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F59D8" w14:textId="66AE72B1" w:rsidR="00366CB9" w:rsidRDefault="00366CB9" w:rsidP="00425523">
      <w:pPr>
        <w:spacing w:line="1" w:lineRule="exact"/>
      </w:pPr>
    </w:p>
    <w:p w14:paraId="782894FE" w14:textId="12E6FB14" w:rsidR="0028397B" w:rsidRPr="00481B88" w:rsidRDefault="009D0C1D" w:rsidP="00481B88">
      <w:pPr>
        <w:pStyle w:val="Default"/>
        <w:framePr w:w="7006" w:wrap="none" w:vAnchor="page" w:hAnchor="page" w:x="787" w:y="2938"/>
        <w:rPr>
          <w:sz w:val="108"/>
          <w:szCs w:val="108"/>
        </w:rPr>
      </w:pPr>
      <w:bookmarkStart w:id="0" w:name="_GoBack"/>
      <w:r>
        <w:rPr>
          <w:rFonts w:ascii="Arial" w:hAnsi="Arial"/>
          <w:color w:val="FFFFFF"/>
          <w:sz w:val="108"/>
        </w:rPr>
        <w:t xml:space="preserve">Операційне керівництво </w:t>
      </w:r>
    </w:p>
    <w:bookmarkEnd w:id="0"/>
    <w:p w14:paraId="47E8CC15" w14:textId="6BF6F72A" w:rsidR="0028397B" w:rsidRPr="00481B88" w:rsidRDefault="0028397B" w:rsidP="00481B88">
      <w:pPr>
        <w:pStyle w:val="Default"/>
        <w:framePr w:w="7006" w:wrap="none" w:vAnchor="page" w:hAnchor="page" w:x="787" w:y="2938"/>
        <w:rPr>
          <w:rFonts w:ascii="Arial" w:hAnsi="Arial" w:cs="Arial"/>
          <w:sz w:val="108"/>
          <w:szCs w:val="108"/>
        </w:rPr>
      </w:pPr>
      <w:r>
        <w:rPr>
          <w:rFonts w:ascii="Arial" w:hAnsi="Arial"/>
          <w:color w:val="EB2428"/>
          <w:sz w:val="108"/>
        </w:rPr>
        <w:t xml:space="preserve">ВООЗ </w:t>
      </w:r>
      <w:r>
        <w:rPr>
          <w:rFonts w:ascii="Arial" w:hAnsi="Arial"/>
          <w:color w:val="FFFFFF"/>
          <w:sz w:val="108"/>
        </w:rPr>
        <w:t xml:space="preserve">щодо </w:t>
      </w:r>
    </w:p>
    <w:p w14:paraId="2EF6AB21" w14:textId="48EA2C8D" w:rsidR="00366CB9" w:rsidRPr="00481B88" w:rsidRDefault="009D0C1D" w:rsidP="00481B88">
      <w:pPr>
        <w:pStyle w:val="a4"/>
        <w:framePr w:w="7006" w:wrap="none" w:vAnchor="page" w:hAnchor="page" w:x="787" w:y="2938"/>
        <w:shd w:val="clear" w:color="auto" w:fill="auto"/>
        <w:spacing w:after="1020" w:line="240" w:lineRule="auto"/>
        <w:rPr>
          <w:sz w:val="108"/>
          <w:szCs w:val="108"/>
        </w:rPr>
      </w:pPr>
      <w:r>
        <w:rPr>
          <w:b w:val="0"/>
          <w:color w:val="FFFFFF"/>
          <w:sz w:val="108"/>
        </w:rPr>
        <w:t>туберкульозу</w:t>
      </w:r>
    </w:p>
    <w:p w14:paraId="480FEDF9" w14:textId="77777777" w:rsidR="00366CB9" w:rsidRDefault="009D0C1D" w:rsidP="00481B88">
      <w:pPr>
        <w:pStyle w:val="a4"/>
        <w:framePr w:w="7006" w:wrap="none" w:vAnchor="page" w:hAnchor="page" w:x="787" w:y="2938"/>
        <w:shd w:val="clear" w:color="auto" w:fill="auto"/>
        <w:spacing w:line="240" w:lineRule="auto"/>
        <w:rPr>
          <w:sz w:val="52"/>
          <w:szCs w:val="52"/>
        </w:rPr>
      </w:pPr>
      <w:r>
        <w:rPr>
          <w:b w:val="0"/>
          <w:color w:val="FFFFFF"/>
          <w:sz w:val="52"/>
        </w:rPr>
        <w:t>Модуль 3: Діагностика</w:t>
      </w:r>
    </w:p>
    <w:tbl>
      <w:tblPr>
        <w:tblOverlap w:val="never"/>
        <w:tblW w:w="3010" w:type="dxa"/>
        <w:shd w:val="clear" w:color="auto" w:fill="007A44"/>
        <w:tblLayout w:type="fixed"/>
        <w:tblCellMar>
          <w:left w:w="10" w:type="dxa"/>
          <w:right w:w="10" w:type="dxa"/>
        </w:tblCellMar>
        <w:tblLook w:val="0000" w:firstRow="0" w:lastRow="0" w:firstColumn="0" w:lastColumn="0" w:noHBand="0" w:noVBand="0"/>
      </w:tblPr>
      <w:tblGrid>
        <w:gridCol w:w="1089"/>
        <w:gridCol w:w="1921"/>
      </w:tblGrid>
      <w:tr w:rsidR="00366CB9" w14:paraId="35339A42" w14:textId="77777777" w:rsidTr="008278DD">
        <w:trPr>
          <w:trHeight w:hRule="exact" w:val="1107"/>
        </w:trPr>
        <w:tc>
          <w:tcPr>
            <w:tcW w:w="1089" w:type="dxa"/>
            <w:shd w:val="clear" w:color="auto" w:fill="007A44"/>
          </w:tcPr>
          <w:p w14:paraId="26295342" w14:textId="77777777" w:rsidR="00366CB9" w:rsidRDefault="009D0C1D" w:rsidP="008278DD">
            <w:pPr>
              <w:framePr w:w="2904" w:wrap="none" w:vAnchor="page" w:hAnchor="page" w:x="8148" w:y="14799"/>
              <w:rPr>
                <w:sz w:val="2"/>
                <w:szCs w:val="2"/>
              </w:rPr>
            </w:pPr>
            <w:r>
              <w:rPr>
                <w:noProof/>
              </w:rPr>
              <w:drawing>
                <wp:inline distT="0" distB="0" distL="0" distR="0" wp14:anchorId="7A855F8C" wp14:editId="463EF396">
                  <wp:extent cx="667385" cy="609600"/>
                  <wp:effectExtent l="19050" t="19050" r="18415" b="1905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pic:blipFill>
                        <pic:spPr>
                          <a:xfrm>
                            <a:off x="0" y="0"/>
                            <a:ext cx="667385" cy="609600"/>
                          </a:xfrm>
                          <a:prstGeom prst="rect">
                            <a:avLst/>
                          </a:prstGeom>
                          <a:ln>
                            <a:solidFill>
                              <a:srgbClr val="007A44"/>
                            </a:solidFill>
                          </a:ln>
                        </pic:spPr>
                      </pic:pic>
                    </a:graphicData>
                  </a:graphic>
                </wp:inline>
              </w:drawing>
            </w:r>
          </w:p>
        </w:tc>
        <w:tc>
          <w:tcPr>
            <w:tcW w:w="1921" w:type="dxa"/>
            <w:shd w:val="clear" w:color="auto" w:fill="007A44"/>
          </w:tcPr>
          <w:p w14:paraId="1A6BD0BD" w14:textId="77777777" w:rsidR="00366CB9" w:rsidRDefault="009D0C1D" w:rsidP="008278DD">
            <w:pPr>
              <w:pStyle w:val="a6"/>
              <w:framePr w:w="2904" w:wrap="none" w:vAnchor="page" w:hAnchor="page" w:x="8148" w:y="14799"/>
              <w:shd w:val="clear" w:color="auto" w:fill="auto"/>
              <w:jc w:val="both"/>
            </w:pPr>
            <w:r w:rsidRPr="008278DD">
              <w:rPr>
                <w:color w:val="FFFFFF"/>
                <w:sz w:val="22"/>
                <w:szCs w:val="22"/>
              </w:rPr>
              <w:t>Всесвітня організація охорони здоров’я</w:t>
            </w:r>
          </w:p>
        </w:tc>
      </w:tr>
    </w:tbl>
    <w:p w14:paraId="17B1A747" w14:textId="3EDA1388" w:rsidR="00366CB9" w:rsidRDefault="00425523" w:rsidP="00425523">
      <w:pPr>
        <w:spacing w:line="1" w:lineRule="exact"/>
        <w:sectPr w:rsidR="00366CB9" w:rsidSect="0028397B">
          <w:pgSz w:w="11913" w:h="16840"/>
          <w:pgMar w:top="357" w:right="357" w:bottom="357" w:left="357" w:header="0" w:footer="6" w:gutter="0"/>
          <w:cols w:space="720"/>
          <w:noEndnote/>
          <w:docGrid w:linePitch="360"/>
        </w:sectPr>
      </w:pPr>
      <w:r>
        <w:rPr>
          <w:noProof/>
        </w:rPr>
        <w:drawing>
          <wp:anchor distT="0" distB="0" distL="0" distR="0" simplePos="0" relativeHeight="251433984" behindDoc="1" locked="0" layoutInCell="1" allowOverlap="1" wp14:anchorId="4F2C25D7" wp14:editId="7F6D722A">
            <wp:simplePos x="0" y="0"/>
            <wp:positionH relativeFrom="page">
              <wp:align>left</wp:align>
            </wp:positionH>
            <wp:positionV relativeFrom="page">
              <wp:align>top</wp:align>
            </wp:positionV>
            <wp:extent cx="7560000" cy="10692000"/>
            <wp:effectExtent l="0" t="0" r="3175" b="0"/>
            <wp:wrapNone/>
            <wp:docPr id="87642489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12"/>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156B0558" w14:textId="77777777" w:rsidR="00366CB9" w:rsidRDefault="00366CB9" w:rsidP="00425523">
      <w:pPr>
        <w:spacing w:line="1" w:lineRule="exact"/>
      </w:pPr>
    </w:p>
    <w:p w14:paraId="45B8BD70" w14:textId="77777777" w:rsidR="00366CB9" w:rsidRDefault="00366CB9" w:rsidP="00425523"/>
    <w:p w14:paraId="5B483B91" w14:textId="77777777" w:rsidR="00366CB9" w:rsidRDefault="00366CB9" w:rsidP="00425523">
      <w:pPr>
        <w:spacing w:line="1" w:lineRule="exact"/>
        <w:sectPr w:rsidR="00366CB9" w:rsidSect="0028397B">
          <w:pgSz w:w="11913" w:h="16840"/>
          <w:pgMar w:top="357" w:right="357" w:bottom="357" w:left="357" w:header="0" w:footer="6" w:gutter="0"/>
          <w:cols w:space="720"/>
          <w:noEndnote/>
          <w:docGrid w:linePitch="360"/>
        </w:sectPr>
      </w:pPr>
    </w:p>
    <w:p w14:paraId="7D220742" w14:textId="77777777" w:rsidR="00366CB9" w:rsidRDefault="00366CB9" w:rsidP="00425523">
      <w:pPr>
        <w:spacing w:line="1" w:lineRule="exact"/>
      </w:pPr>
    </w:p>
    <w:p w14:paraId="24D2A2B1" w14:textId="461971F1" w:rsidR="00481B88" w:rsidRPr="008278DD" w:rsidRDefault="009D0C1D" w:rsidP="00481B88">
      <w:pPr>
        <w:pStyle w:val="70"/>
        <w:shd w:val="clear" w:color="auto" w:fill="auto"/>
        <w:spacing w:after="0"/>
        <w:rPr>
          <w:color w:val="EE0000"/>
        </w:rPr>
      </w:pPr>
      <w:r w:rsidRPr="008278DD">
        <w:rPr>
          <w:color w:val="EE0000"/>
        </w:rPr>
        <w:t>Операційн</w:t>
      </w:r>
      <w:r>
        <w:rPr>
          <w:color w:val="EE0000"/>
        </w:rPr>
        <w:t>е</w:t>
      </w:r>
      <w:r w:rsidRPr="008278DD">
        <w:rPr>
          <w:color w:val="EE0000"/>
        </w:rPr>
        <w:t xml:space="preserve"> </w:t>
      </w:r>
      <w:r>
        <w:rPr>
          <w:color w:val="EE0000"/>
        </w:rPr>
        <w:t>керівництво</w:t>
      </w:r>
    </w:p>
    <w:p w14:paraId="1D7D6A29" w14:textId="463CC808" w:rsidR="00366CB9" w:rsidRDefault="009D0C1D" w:rsidP="00481B88">
      <w:pPr>
        <w:pStyle w:val="70"/>
        <w:shd w:val="clear" w:color="auto" w:fill="auto"/>
      </w:pPr>
      <w:r w:rsidRPr="008278DD">
        <w:rPr>
          <w:color w:val="000000" w:themeColor="text1"/>
        </w:rPr>
        <w:t xml:space="preserve">ВООЗ </w:t>
      </w:r>
      <w:r>
        <w:rPr>
          <w:color w:val="000000"/>
        </w:rPr>
        <w:t>щодо туберкульозу</w:t>
      </w:r>
    </w:p>
    <w:p w14:paraId="6F5E720C" w14:textId="77777777" w:rsidR="00366CB9" w:rsidRDefault="009D0C1D" w:rsidP="00481B88">
      <w:pPr>
        <w:pStyle w:val="a6"/>
        <w:shd w:val="clear" w:color="auto" w:fill="auto"/>
        <w:spacing w:after="4320"/>
        <w:rPr>
          <w:sz w:val="52"/>
          <w:szCs w:val="52"/>
        </w:rPr>
      </w:pPr>
      <w:r>
        <w:rPr>
          <w:b w:val="0"/>
          <w:color w:val="000000"/>
          <w:sz w:val="52"/>
        </w:rPr>
        <w:t>Модуль 3: Діагностика</w:t>
      </w:r>
    </w:p>
    <w:tbl>
      <w:tblPr>
        <w:tblOverlap w:val="never"/>
        <w:tblW w:w="0" w:type="auto"/>
        <w:jc w:val="right"/>
        <w:tblLayout w:type="fixed"/>
        <w:tblCellMar>
          <w:left w:w="10" w:type="dxa"/>
          <w:right w:w="10" w:type="dxa"/>
        </w:tblCellMar>
        <w:tblLook w:val="0000" w:firstRow="0" w:lastRow="0" w:firstColumn="0" w:lastColumn="0" w:noHBand="0" w:noVBand="0"/>
      </w:tblPr>
      <w:tblGrid>
        <w:gridCol w:w="1075"/>
        <w:gridCol w:w="1790"/>
      </w:tblGrid>
      <w:tr w:rsidR="00366CB9" w14:paraId="3C24F746" w14:textId="77777777" w:rsidTr="008278DD">
        <w:trPr>
          <w:trHeight w:hRule="exact" w:val="1126"/>
          <w:jc w:val="right"/>
        </w:trPr>
        <w:tc>
          <w:tcPr>
            <w:tcW w:w="1075" w:type="dxa"/>
            <w:shd w:val="clear" w:color="auto" w:fill="FFFFFF"/>
          </w:tcPr>
          <w:p w14:paraId="154A1752" w14:textId="77777777" w:rsidR="00366CB9" w:rsidRDefault="009D0C1D" w:rsidP="00481B88">
            <w:pPr>
              <w:rPr>
                <w:sz w:val="2"/>
                <w:szCs w:val="2"/>
              </w:rPr>
            </w:pPr>
            <w:r>
              <w:rPr>
                <w:noProof/>
              </w:rPr>
              <w:drawing>
                <wp:inline distT="0" distB="0" distL="0" distR="0" wp14:anchorId="6EF9D95E" wp14:editId="0214E18A">
                  <wp:extent cx="682625" cy="57277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pic:blipFill>
                        <pic:spPr>
                          <a:xfrm>
                            <a:off x="0" y="0"/>
                            <a:ext cx="682625" cy="572770"/>
                          </a:xfrm>
                          <a:prstGeom prst="rect">
                            <a:avLst/>
                          </a:prstGeom>
                        </pic:spPr>
                      </pic:pic>
                    </a:graphicData>
                  </a:graphic>
                </wp:inline>
              </w:drawing>
            </w:r>
          </w:p>
        </w:tc>
        <w:tc>
          <w:tcPr>
            <w:tcW w:w="1790" w:type="dxa"/>
            <w:shd w:val="clear" w:color="auto" w:fill="FFFFFF"/>
          </w:tcPr>
          <w:p w14:paraId="566D5A10" w14:textId="77777777" w:rsidR="00366CB9" w:rsidRPr="008278DD" w:rsidRDefault="009D0C1D" w:rsidP="008278DD">
            <w:pPr>
              <w:pStyle w:val="a6"/>
              <w:shd w:val="clear" w:color="auto" w:fill="auto"/>
              <w:rPr>
                <w:sz w:val="22"/>
                <w:szCs w:val="22"/>
              </w:rPr>
            </w:pPr>
            <w:r w:rsidRPr="008278DD">
              <w:rPr>
                <w:color w:val="0097B4"/>
                <w:sz w:val="22"/>
                <w:szCs w:val="22"/>
              </w:rPr>
              <w:t>Всесвітня організація охорони здоров’я</w:t>
            </w:r>
          </w:p>
        </w:tc>
      </w:tr>
    </w:tbl>
    <w:p w14:paraId="712EFBA3" w14:textId="77777777" w:rsidR="00366CB9" w:rsidRDefault="00366CB9" w:rsidP="00425523">
      <w:pPr>
        <w:spacing w:line="1" w:lineRule="exact"/>
        <w:sectPr w:rsidR="00366CB9" w:rsidSect="008278DD">
          <w:pgSz w:w="11913" w:h="16840"/>
          <w:pgMar w:top="3493" w:right="868" w:bottom="142" w:left="788" w:header="0" w:footer="6" w:gutter="0"/>
          <w:cols w:space="720"/>
          <w:noEndnote/>
          <w:docGrid w:linePitch="360"/>
        </w:sectPr>
      </w:pPr>
    </w:p>
    <w:p w14:paraId="327899CC" w14:textId="77777777" w:rsidR="00366CB9" w:rsidRDefault="00366CB9" w:rsidP="00425523">
      <w:pPr>
        <w:spacing w:line="1" w:lineRule="exact"/>
      </w:pPr>
    </w:p>
    <w:p w14:paraId="57B0EB11" w14:textId="58F64AB5" w:rsidR="00366CB9" w:rsidRDefault="009D0C1D" w:rsidP="00481B88">
      <w:pPr>
        <w:pStyle w:val="40"/>
        <w:shd w:val="clear" w:color="auto" w:fill="auto"/>
        <w:jc w:val="both"/>
      </w:pPr>
      <w:r>
        <w:t>Операційне керівництво ВООЗ щодо туберкульозу Модуль 3: діагностика</w:t>
      </w:r>
    </w:p>
    <w:p w14:paraId="3936E1B7" w14:textId="77777777" w:rsidR="00366CB9" w:rsidRDefault="009D0C1D" w:rsidP="00481B88">
      <w:pPr>
        <w:pStyle w:val="40"/>
        <w:shd w:val="clear" w:color="auto" w:fill="auto"/>
        <w:spacing w:after="0"/>
        <w:jc w:val="both"/>
      </w:pPr>
      <w:r>
        <w:t>ISBN 978-92-4-011099-1 (електронна версія)</w:t>
      </w:r>
    </w:p>
    <w:p w14:paraId="097DEA99" w14:textId="77777777" w:rsidR="00366CB9" w:rsidRDefault="009D0C1D" w:rsidP="00481B88">
      <w:pPr>
        <w:pStyle w:val="40"/>
        <w:shd w:val="clear" w:color="auto" w:fill="auto"/>
        <w:jc w:val="both"/>
      </w:pPr>
      <w:r>
        <w:t>ISBN 978-92-4-011100-4 (друкована версія)</w:t>
      </w:r>
    </w:p>
    <w:p w14:paraId="3E9D9D24" w14:textId="77777777" w:rsidR="00366CB9" w:rsidRPr="00356397" w:rsidRDefault="009D0C1D" w:rsidP="00481B88">
      <w:pPr>
        <w:pStyle w:val="40"/>
        <w:shd w:val="clear" w:color="auto" w:fill="auto"/>
        <w:jc w:val="center"/>
        <w:rPr>
          <w:b/>
          <w:bCs/>
        </w:rPr>
      </w:pPr>
      <w:r>
        <w:rPr>
          <w:b/>
        </w:rPr>
        <w:t>© Всесвітня організація охорони здоров’я, 2025</w:t>
      </w:r>
    </w:p>
    <w:p w14:paraId="3FA23257" w14:textId="77777777" w:rsidR="00366CB9" w:rsidRDefault="009D0C1D" w:rsidP="00481B88">
      <w:pPr>
        <w:pStyle w:val="40"/>
        <w:shd w:val="clear" w:color="auto" w:fill="auto"/>
        <w:jc w:val="both"/>
      </w:pPr>
      <w:r>
        <w:t xml:space="preserve">Деякі права захищені. Це керівництво доступно на умовах ліцензії Creative Commons Attribution-NonCommercial-ShareAlike 3.0 IGO (CC BY-NC-SA 3.0 IGO; </w:t>
      </w:r>
      <w:hyperlink r:id="rId14" w:history="1">
        <w:r w:rsidR="00366CB9">
          <w:rPr>
            <w:color w:val="019648"/>
          </w:rPr>
          <w:t>https://creativecommons.org/licenses/by-nc-sa/3.0/igo</w:t>
        </w:r>
      </w:hyperlink>
      <w:r>
        <w:t>).</w:t>
      </w:r>
    </w:p>
    <w:p w14:paraId="4C71F94A" w14:textId="77777777" w:rsidR="00366CB9" w:rsidRDefault="009D0C1D" w:rsidP="00481B88">
      <w:pPr>
        <w:pStyle w:val="40"/>
        <w:shd w:val="clear" w:color="auto" w:fill="auto"/>
        <w:jc w:val="both"/>
      </w:pPr>
      <w:r>
        <w:t>Згідно з умовами цієї ліцензії копіювання, поширення та адаптація роботи для некомерційних цілей дозволяється за умови відповідного цитування цього керівництва, як зазначено нижче. При будь-якому використанні цієї роботи не повинно бути жодних натяків на те, що ВООЗ схвалює будь-яку конкретну організацію, продукти або послуги. Використання логотипу ВООЗ заборонено. Якщо ви адаптуєте роботу, ви повинні ліцензувати свою роботу за тією ж або еквівалентною ліцензією Creative Commons. Якщо ви створюєте переклад цієї роботи, ви маєте додати наступне застереження разом із запропонованим посиланням: «Цей переклад не був створений Всесвітньою організацією охорони здоров’я (ВООЗ). ВООЗ не несе відповідальності за зміст або точність цього перекладу. Оригінальне видання на англійській мові є обов’язковим і автентичним виданням».</w:t>
      </w:r>
    </w:p>
    <w:p w14:paraId="4B7562E0" w14:textId="77777777" w:rsidR="00366CB9" w:rsidRDefault="009D0C1D" w:rsidP="00481B88">
      <w:pPr>
        <w:pStyle w:val="40"/>
        <w:shd w:val="clear" w:color="auto" w:fill="auto"/>
        <w:jc w:val="both"/>
      </w:pPr>
      <w:r>
        <w:t>Будь-яке посередництво, що стосується спорів, що виникають щодо ліцензії, здійснюється відповідно до правил посередництва Всесвітньої організації інтелектуальної власності (</w:t>
      </w:r>
      <w:hyperlink r:id="rId15" w:history="1">
        <w:r w:rsidR="00366CB9">
          <w:rPr>
            <w:color w:val="019648"/>
          </w:rPr>
          <w:t>http://www.wipo.int/amc/en/mediation/rules/</w:t>
        </w:r>
      </w:hyperlink>
      <w:r>
        <w:t>).</w:t>
      </w:r>
    </w:p>
    <w:p w14:paraId="715F00CA" w14:textId="77777777" w:rsidR="00366CB9" w:rsidRDefault="009D0C1D" w:rsidP="00481B88">
      <w:pPr>
        <w:pStyle w:val="40"/>
        <w:shd w:val="clear" w:color="auto" w:fill="auto"/>
        <w:jc w:val="both"/>
      </w:pPr>
      <w:r>
        <w:rPr>
          <w:b/>
        </w:rPr>
        <w:t>Пропоноване цитування.</w:t>
      </w:r>
      <w:r>
        <w:t xml:space="preserve"> WHO operational handbook on tuberculosis. Module 3: diagnosis. Geneva: World Health Organization; 2025. Licence: </w:t>
      </w:r>
      <w:hyperlink r:id="rId16" w:history="1">
        <w:r w:rsidR="00366CB9">
          <w:rPr>
            <w:color w:val="019648"/>
          </w:rPr>
          <w:t>CC BY-NC-SA 3.0 IGO</w:t>
        </w:r>
      </w:hyperlink>
      <w:r>
        <w:t>.</w:t>
      </w:r>
    </w:p>
    <w:p w14:paraId="64AE4848" w14:textId="77777777" w:rsidR="00366CB9" w:rsidRDefault="009D0C1D" w:rsidP="00481B88">
      <w:pPr>
        <w:pStyle w:val="40"/>
        <w:shd w:val="clear" w:color="auto" w:fill="auto"/>
        <w:jc w:val="both"/>
      </w:pPr>
      <w:r>
        <w:rPr>
          <w:b/>
        </w:rPr>
        <w:t>Бібліографічний запис (БЗ).</w:t>
      </w:r>
      <w:r>
        <w:t xml:space="preserve"> БЗ доступний на веб-сайті </w:t>
      </w:r>
      <w:hyperlink r:id="rId17" w:history="1">
        <w:r w:rsidR="00366CB9">
          <w:rPr>
            <w:color w:val="019648"/>
          </w:rPr>
          <w:t>https://iris.who.int/</w:t>
        </w:r>
      </w:hyperlink>
      <w:r>
        <w:t>.</w:t>
      </w:r>
    </w:p>
    <w:p w14:paraId="0D17D896" w14:textId="77777777" w:rsidR="00366CB9" w:rsidRDefault="009D0C1D" w:rsidP="00481B88">
      <w:pPr>
        <w:pStyle w:val="40"/>
        <w:shd w:val="clear" w:color="auto" w:fill="auto"/>
        <w:jc w:val="both"/>
      </w:pPr>
      <w:r>
        <w:rPr>
          <w:b/>
        </w:rPr>
        <w:t>Продаж, права та ліцензування.</w:t>
      </w:r>
      <w:r>
        <w:t xml:space="preserve"> Щоб придбати публікації ВООЗ, перейдіть за посиланням </w:t>
      </w:r>
      <w:hyperlink r:id="rId18" w:history="1">
        <w:r w:rsidR="00366CB9">
          <w:rPr>
            <w:color w:val="019648"/>
          </w:rPr>
          <w:t>https://www.who.int/publications/book-orders</w:t>
        </w:r>
      </w:hyperlink>
      <w:r>
        <w:t xml:space="preserve">. Щоб отримати інформацію щодо подання запитів стосовно комерційного використання та запитів стосовно прав та ліцензування, перейдіть за посиланням </w:t>
      </w:r>
      <w:hyperlink r:id="rId19" w:history="1">
        <w:r w:rsidR="00366CB9">
          <w:rPr>
            <w:color w:val="019648"/>
          </w:rPr>
          <w:t>https://www.who.int/copyright</w:t>
        </w:r>
      </w:hyperlink>
      <w:r>
        <w:t>.</w:t>
      </w:r>
    </w:p>
    <w:p w14:paraId="66DCB194" w14:textId="77777777" w:rsidR="00366CB9" w:rsidRDefault="009D0C1D" w:rsidP="00481B88">
      <w:pPr>
        <w:pStyle w:val="40"/>
        <w:shd w:val="clear" w:color="auto" w:fill="auto"/>
        <w:jc w:val="both"/>
      </w:pPr>
      <w:r>
        <w:rPr>
          <w:b/>
        </w:rPr>
        <w:t>Сторонні матеріали.</w:t>
      </w:r>
      <w:r>
        <w:t xml:space="preserve"> Якщо ви хочете повторно використовувати матеріал з цієї праці, авторські права на який належать третій стороні, наприклад таблиці, рисунки або зображення, ви несете відповідальність за те, щоб визначити, чи потрібний дозвіл на таке повторне використання, і за отримання дозволу від власника авторських прав. Ризик претензій внаслідок порушення будь-якого сторонніх компонентів у роботі покладається виключно на користувача.</w:t>
      </w:r>
    </w:p>
    <w:p w14:paraId="3B9578B8" w14:textId="77777777" w:rsidR="00366CB9" w:rsidRDefault="009D0C1D" w:rsidP="00481B88">
      <w:pPr>
        <w:pStyle w:val="40"/>
        <w:shd w:val="clear" w:color="auto" w:fill="auto"/>
        <w:jc w:val="both"/>
      </w:pPr>
      <w:r>
        <w:rPr>
          <w:b/>
        </w:rPr>
        <w:t>Загальні заяви про відмову від відповідальності.</w:t>
      </w:r>
      <w:r>
        <w:t xml:space="preserve"> Використані позначення та подання матеріалів у цій публікації не означають висловлення будь-якої думки з боку ВООЗ щодо правового статусу будь-якої країни, території, міста чи району чи їхніх органів влади, або щодо розмежування їхніх меж або кордонів. Штрихпунктирні лінії на картах позначають приблизні кордони, щодо яких, можливо, ще не досягнуто повної згоди.</w:t>
      </w:r>
    </w:p>
    <w:p w14:paraId="704511A5" w14:textId="77777777" w:rsidR="00366CB9" w:rsidRDefault="009D0C1D" w:rsidP="00481B88">
      <w:pPr>
        <w:pStyle w:val="40"/>
        <w:shd w:val="clear" w:color="auto" w:fill="auto"/>
        <w:jc w:val="both"/>
      </w:pPr>
      <w:r>
        <w:t>Згадка про конкретні компанії чи продукцію певних виробників не означає, що ВООЗ затвердила або рекомендує їх, надаючи перевагу іншим виробникам аналогічної продукції, не згаданим у цьому керівництві. За винятком помилок та упущень, назви фірмових продуктів відрізняються початковими великими літерами.</w:t>
      </w:r>
    </w:p>
    <w:p w14:paraId="24C2C8E0" w14:textId="77777777" w:rsidR="00366CB9" w:rsidRDefault="009D0C1D" w:rsidP="00481B88">
      <w:pPr>
        <w:pStyle w:val="40"/>
        <w:shd w:val="clear" w:color="auto" w:fill="auto"/>
        <w:jc w:val="both"/>
      </w:pPr>
      <w:r>
        <w:t>ВООЗ вжила всіх необхідних заходів для перевірки інформації, що міститься в цій публікації. Однак опубліковані матеріали розповсюджуються без будь-яких гарантій, явних або прихованих. Відповідальність за інтерпретацію та використання матеріалу покладається на читача. ВООЗ в жодному разі не несе відповідальності за збитки, що виникли внаслідок використання цього матеріалу.</w:t>
      </w:r>
    </w:p>
    <w:p w14:paraId="5FA0FC6F" w14:textId="77777777" w:rsidR="00366CB9" w:rsidRDefault="009D0C1D" w:rsidP="00481B88">
      <w:pPr>
        <w:pStyle w:val="40"/>
        <w:shd w:val="clear" w:color="auto" w:fill="auto"/>
        <w:spacing w:after="0"/>
        <w:jc w:val="both"/>
      </w:pPr>
      <w:r>
        <w:t>Розроблено компанією Inis Communication</w:t>
      </w:r>
    </w:p>
    <w:p w14:paraId="3E011DF8" w14:textId="77777777" w:rsidR="00366CB9" w:rsidRDefault="00366CB9" w:rsidP="00425523">
      <w:pPr>
        <w:spacing w:line="1" w:lineRule="exact"/>
        <w:sectPr w:rsidR="00366CB9" w:rsidSect="00F03360">
          <w:type w:val="nextColumn"/>
          <w:pgSz w:w="11913" w:h="16840"/>
          <w:pgMar w:top="5547" w:right="1378" w:bottom="851" w:left="1372" w:header="0" w:footer="6" w:gutter="0"/>
          <w:paperSrc w:first="15" w:other="15"/>
          <w:cols w:space="720"/>
          <w:noEndnote/>
          <w:docGrid w:linePitch="360"/>
        </w:sectPr>
      </w:pPr>
    </w:p>
    <w:p w14:paraId="4BE77F4C" w14:textId="77777777" w:rsidR="00366CB9" w:rsidRDefault="00366CB9" w:rsidP="00425523">
      <w:pPr>
        <w:spacing w:line="1" w:lineRule="exact"/>
      </w:pPr>
    </w:p>
    <w:p w14:paraId="0B0B5609" w14:textId="77777777" w:rsidR="00366CB9" w:rsidRDefault="009D0C1D" w:rsidP="00481B88">
      <w:pPr>
        <w:pStyle w:val="a6"/>
        <w:shd w:val="clear" w:color="auto" w:fill="auto"/>
        <w:spacing w:after="720"/>
        <w:rPr>
          <w:sz w:val="62"/>
          <w:szCs w:val="62"/>
        </w:rPr>
      </w:pPr>
      <w:r>
        <w:rPr>
          <w:b w:val="0"/>
          <w:color w:val="019648"/>
          <w:sz w:val="62"/>
        </w:rPr>
        <w:t>Зміст</w:t>
      </w:r>
    </w:p>
    <w:p w14:paraId="4CF05F6D" w14:textId="77777777" w:rsidR="00366CB9" w:rsidRPr="00420A3F" w:rsidRDefault="009D0C1D" w:rsidP="008278DD">
      <w:pPr>
        <w:pStyle w:val="a9"/>
        <w:shd w:val="clear" w:color="auto" w:fill="auto"/>
        <w:tabs>
          <w:tab w:val="right" w:leader="dot" w:pos="9163"/>
        </w:tabs>
        <w:spacing w:line="240" w:lineRule="auto"/>
        <w:ind w:firstLine="0"/>
        <w:jc w:val="both"/>
        <w:rPr>
          <w:b/>
          <w:bCs/>
          <w:sz w:val="24"/>
          <w:szCs w:val="24"/>
        </w:rPr>
      </w:pPr>
      <w:hyperlink w:anchor="bookmark1" w:tooltip="Поточний документ">
        <w:r w:rsidR="00366CB9">
          <w:rPr>
            <w:b/>
            <w:color w:val="019648"/>
            <w:sz w:val="24"/>
          </w:rPr>
          <w:t>Подяка</w:t>
        </w:r>
        <w:r w:rsidR="00366CB9">
          <w:rPr>
            <w:b/>
            <w:color w:val="019648"/>
            <w:sz w:val="24"/>
          </w:rPr>
          <w:tab/>
          <w:t>v</w:t>
        </w:r>
      </w:hyperlink>
    </w:p>
    <w:p w14:paraId="3C89AF5D" w14:textId="56AA0E98" w:rsidR="00366CB9" w:rsidRPr="008278DD" w:rsidRDefault="009D0C1D" w:rsidP="0061381C">
      <w:pPr>
        <w:pStyle w:val="a9"/>
        <w:shd w:val="clear" w:color="auto" w:fill="auto"/>
        <w:tabs>
          <w:tab w:val="right" w:leader="dot" w:pos="9163"/>
        </w:tabs>
        <w:spacing w:after="120" w:line="240" w:lineRule="auto"/>
        <w:ind w:firstLine="0"/>
        <w:jc w:val="both"/>
        <w:rPr>
          <w:b/>
          <w:bCs/>
          <w:sz w:val="24"/>
          <w:szCs w:val="24"/>
          <w:lang w:val="en-US"/>
        </w:rPr>
      </w:pPr>
      <w:r>
        <w:rPr>
          <w:b/>
          <w:color w:val="019648"/>
          <w:sz w:val="24"/>
        </w:rPr>
        <w:t>Перелік скорочень</w:t>
      </w:r>
      <w:r>
        <w:rPr>
          <w:b/>
          <w:color w:val="019648"/>
          <w:sz w:val="24"/>
        </w:rPr>
        <w:tab/>
      </w:r>
      <w:r w:rsidR="008278DD">
        <w:rPr>
          <w:b/>
          <w:color w:val="019648"/>
          <w:sz w:val="24"/>
          <w:lang w:val="en-US"/>
        </w:rPr>
        <w:t>vi</w:t>
      </w:r>
    </w:p>
    <w:p w14:paraId="091969AA" w14:textId="77777777" w:rsidR="00366CB9" w:rsidRPr="00420A3F" w:rsidRDefault="009D0C1D" w:rsidP="0061381C">
      <w:pPr>
        <w:pStyle w:val="a9"/>
        <w:numPr>
          <w:ilvl w:val="0"/>
          <w:numId w:val="1"/>
        </w:numPr>
        <w:shd w:val="clear" w:color="auto" w:fill="auto"/>
        <w:tabs>
          <w:tab w:val="right" w:leader="dot" w:pos="9163"/>
        </w:tabs>
        <w:spacing w:after="120" w:line="240" w:lineRule="auto"/>
        <w:jc w:val="both"/>
        <w:rPr>
          <w:b/>
          <w:bCs/>
          <w:sz w:val="24"/>
          <w:szCs w:val="24"/>
        </w:rPr>
      </w:pPr>
      <w:hyperlink w:anchor="bookmark6" w:tooltip="Поточний документ">
        <w:r w:rsidR="00366CB9">
          <w:rPr>
            <w:b/>
            <w:color w:val="019648"/>
            <w:sz w:val="24"/>
          </w:rPr>
          <w:t>Вступ</w:t>
        </w:r>
        <w:r w:rsidR="00366CB9">
          <w:rPr>
            <w:b/>
            <w:color w:val="019648"/>
            <w:sz w:val="24"/>
          </w:rPr>
          <w:tab/>
          <w:t>1</w:t>
        </w:r>
      </w:hyperlink>
    </w:p>
    <w:p w14:paraId="2EF7614C" w14:textId="77777777" w:rsidR="00366CB9" w:rsidRDefault="009D0C1D" w:rsidP="0061381C">
      <w:pPr>
        <w:pStyle w:val="a9"/>
        <w:numPr>
          <w:ilvl w:val="1"/>
          <w:numId w:val="1"/>
        </w:numPr>
        <w:shd w:val="clear" w:color="auto" w:fill="auto"/>
        <w:tabs>
          <w:tab w:val="right" w:leader="dot" w:pos="9163"/>
        </w:tabs>
        <w:spacing w:line="386" w:lineRule="auto"/>
        <w:ind w:firstLine="340"/>
        <w:jc w:val="both"/>
      </w:pPr>
      <w:hyperlink w:anchor="bookmark8" w:tooltip="Поточний документ">
        <w:r w:rsidR="00366CB9">
          <w:t>Загальна інформація</w:t>
        </w:r>
        <w:r w:rsidR="00366CB9">
          <w:tab/>
          <w:t>1</w:t>
        </w:r>
      </w:hyperlink>
    </w:p>
    <w:p w14:paraId="635C5F79" w14:textId="0E4B4934" w:rsidR="00366CB9" w:rsidRDefault="009D0C1D" w:rsidP="0061381C">
      <w:pPr>
        <w:pStyle w:val="a9"/>
        <w:numPr>
          <w:ilvl w:val="1"/>
          <w:numId w:val="1"/>
        </w:numPr>
        <w:shd w:val="clear" w:color="auto" w:fill="auto"/>
        <w:tabs>
          <w:tab w:val="right" w:leader="dot" w:pos="9163"/>
        </w:tabs>
        <w:spacing w:line="386" w:lineRule="auto"/>
        <w:ind w:firstLine="340"/>
        <w:jc w:val="both"/>
      </w:pPr>
      <w:hyperlink w:anchor="bookmark10" w:tooltip="Поточний документ">
        <w:r w:rsidR="00366CB9">
          <w:t xml:space="preserve">Досягнення в розробці, оцінці діагностичних тестів на ТБ та рекомендації ВООЗ </w:t>
        </w:r>
        <w:r w:rsidR="00366CB9">
          <w:tab/>
          <w:t>2</w:t>
        </w:r>
      </w:hyperlink>
    </w:p>
    <w:p w14:paraId="69C78E01" w14:textId="77777777" w:rsidR="00366CB9" w:rsidRDefault="009D0C1D" w:rsidP="0061381C">
      <w:pPr>
        <w:pStyle w:val="a9"/>
        <w:numPr>
          <w:ilvl w:val="1"/>
          <w:numId w:val="1"/>
        </w:numPr>
        <w:shd w:val="clear" w:color="auto" w:fill="auto"/>
        <w:tabs>
          <w:tab w:val="right" w:leader="dot" w:pos="9163"/>
        </w:tabs>
        <w:spacing w:line="386" w:lineRule="auto"/>
        <w:ind w:firstLine="340"/>
        <w:jc w:val="both"/>
      </w:pPr>
      <w:hyperlink w:anchor="bookmark15" w:tooltip="Поточний документ">
        <w:r w:rsidR="00366CB9">
          <w:t>Сфера застосування цього операційного довідника</w:t>
        </w:r>
        <w:r w:rsidR="00366CB9">
          <w:tab/>
          <w:t>7</w:t>
        </w:r>
      </w:hyperlink>
    </w:p>
    <w:p w14:paraId="279FAF88" w14:textId="77777777" w:rsidR="00366CB9" w:rsidRDefault="009D0C1D" w:rsidP="0061381C">
      <w:pPr>
        <w:pStyle w:val="a9"/>
        <w:numPr>
          <w:ilvl w:val="1"/>
          <w:numId w:val="1"/>
        </w:numPr>
        <w:shd w:val="clear" w:color="auto" w:fill="auto"/>
        <w:tabs>
          <w:tab w:val="right" w:leader="dot" w:pos="9163"/>
        </w:tabs>
        <w:spacing w:line="386" w:lineRule="auto"/>
        <w:ind w:firstLine="340"/>
        <w:jc w:val="both"/>
      </w:pPr>
      <w:hyperlink w:anchor="bookmark17" w:tooltip="Поточний документ">
        <w:r w:rsidR="00366CB9">
          <w:t>Цільова аудиторія</w:t>
        </w:r>
        <w:r w:rsidR="00366CB9">
          <w:tab/>
          <w:t>7</w:t>
        </w:r>
      </w:hyperlink>
    </w:p>
    <w:p w14:paraId="341DAEDA" w14:textId="77777777" w:rsidR="00366CB9" w:rsidRDefault="009D0C1D" w:rsidP="0061381C">
      <w:pPr>
        <w:pStyle w:val="a9"/>
        <w:numPr>
          <w:ilvl w:val="1"/>
          <w:numId w:val="1"/>
        </w:numPr>
        <w:shd w:val="clear" w:color="auto" w:fill="auto"/>
        <w:tabs>
          <w:tab w:val="right" w:leader="dot" w:pos="9163"/>
        </w:tabs>
        <w:spacing w:after="120" w:line="386" w:lineRule="auto"/>
        <w:ind w:firstLine="340"/>
        <w:jc w:val="both"/>
      </w:pPr>
      <w:hyperlink w:anchor="bookmark20" w:tooltip="Поточний документ">
        <w:r w:rsidR="00366CB9">
          <w:t>Що нового у цій версії: резюме змін</w:t>
        </w:r>
        <w:r w:rsidR="00366CB9">
          <w:tab/>
          <w:t>8</w:t>
        </w:r>
      </w:hyperlink>
    </w:p>
    <w:p w14:paraId="71C9AEBE" w14:textId="77777777" w:rsidR="00366CB9" w:rsidRPr="00420A3F" w:rsidRDefault="009D0C1D" w:rsidP="0061381C">
      <w:pPr>
        <w:pStyle w:val="a9"/>
        <w:numPr>
          <w:ilvl w:val="0"/>
          <w:numId w:val="1"/>
        </w:numPr>
        <w:shd w:val="clear" w:color="auto" w:fill="auto"/>
        <w:tabs>
          <w:tab w:val="right" w:leader="dot" w:pos="9163"/>
        </w:tabs>
        <w:spacing w:after="120" w:line="240" w:lineRule="auto"/>
        <w:jc w:val="both"/>
        <w:rPr>
          <w:b/>
          <w:bCs/>
          <w:sz w:val="24"/>
          <w:szCs w:val="24"/>
        </w:rPr>
      </w:pPr>
      <w:hyperlink w:anchor="bookmark25" w:tooltip="Поточний документ">
        <w:r w:rsidR="00366CB9">
          <w:rPr>
            <w:b/>
            <w:color w:val="019648"/>
            <w:sz w:val="24"/>
          </w:rPr>
          <w:t>Тести на ТБ з рекомендаціями ВООЗ</w:t>
        </w:r>
        <w:r w:rsidR="00366CB9">
          <w:rPr>
            <w:b/>
            <w:color w:val="019648"/>
            <w:sz w:val="24"/>
          </w:rPr>
          <w:tab/>
          <w:t>11</w:t>
        </w:r>
      </w:hyperlink>
    </w:p>
    <w:p w14:paraId="6141AF26" w14:textId="77777777" w:rsidR="00366CB9" w:rsidRDefault="009D0C1D" w:rsidP="0061381C">
      <w:pPr>
        <w:pStyle w:val="a9"/>
        <w:numPr>
          <w:ilvl w:val="1"/>
          <w:numId w:val="1"/>
        </w:numPr>
        <w:shd w:val="clear" w:color="auto" w:fill="auto"/>
        <w:tabs>
          <w:tab w:val="right" w:leader="dot" w:pos="9163"/>
        </w:tabs>
        <w:spacing w:line="386" w:lineRule="auto"/>
        <w:ind w:firstLine="340"/>
        <w:jc w:val="both"/>
      </w:pPr>
      <w:hyperlink w:anchor="bookmark29" w:tooltip="Поточний документ">
        <w:r w:rsidR="00366CB9">
          <w:t>Стандартні тести для діагностики ТБ</w:t>
        </w:r>
        <w:r w:rsidR="00366CB9">
          <w:tab/>
          <w:t>15</w:t>
        </w:r>
      </w:hyperlink>
    </w:p>
    <w:p w14:paraId="2FE93606" w14:textId="77777777" w:rsidR="00366CB9" w:rsidRDefault="009D0C1D" w:rsidP="0061381C">
      <w:pPr>
        <w:pStyle w:val="a9"/>
        <w:numPr>
          <w:ilvl w:val="1"/>
          <w:numId w:val="1"/>
        </w:numPr>
        <w:shd w:val="clear" w:color="auto" w:fill="auto"/>
        <w:tabs>
          <w:tab w:val="right" w:leader="dot" w:pos="9163"/>
        </w:tabs>
        <w:spacing w:line="386" w:lineRule="auto"/>
        <w:ind w:firstLine="340"/>
        <w:jc w:val="both"/>
      </w:pPr>
      <w:hyperlink w:anchor="bookmark33" w:tooltip="Поточний документ">
        <w:r w:rsidR="00366CB9">
          <w:t>Початкові тести для діагностики ТБ з виявленням медикаментозної резистентності</w:t>
        </w:r>
        <w:r w:rsidR="00366CB9">
          <w:tab/>
          <w:t>18</w:t>
        </w:r>
      </w:hyperlink>
    </w:p>
    <w:p w14:paraId="20CA4944" w14:textId="77777777" w:rsidR="00366CB9" w:rsidRDefault="009D0C1D" w:rsidP="0061381C">
      <w:pPr>
        <w:pStyle w:val="a9"/>
        <w:numPr>
          <w:ilvl w:val="1"/>
          <w:numId w:val="1"/>
        </w:numPr>
        <w:shd w:val="clear" w:color="auto" w:fill="auto"/>
        <w:tabs>
          <w:tab w:val="right" w:leader="dot" w:pos="9163"/>
        </w:tabs>
        <w:spacing w:line="386" w:lineRule="auto"/>
        <w:ind w:firstLine="340"/>
        <w:jc w:val="both"/>
      </w:pPr>
      <w:hyperlink w:anchor="bookmark39" w:tooltip="Поточний документ">
        <w:r w:rsidR="00366CB9">
          <w:t>Початкові тести для діагностики ТБ без виявлення медикаментозної резистентності</w:t>
        </w:r>
        <w:r w:rsidR="00366CB9">
          <w:tab/>
          <w:t>25</w:t>
        </w:r>
      </w:hyperlink>
    </w:p>
    <w:p w14:paraId="0B697B51" w14:textId="77777777" w:rsidR="00366CB9" w:rsidRDefault="009D0C1D" w:rsidP="0061381C">
      <w:pPr>
        <w:pStyle w:val="a9"/>
        <w:numPr>
          <w:ilvl w:val="1"/>
          <w:numId w:val="1"/>
        </w:numPr>
        <w:shd w:val="clear" w:color="auto" w:fill="auto"/>
        <w:tabs>
          <w:tab w:val="right" w:leader="dot" w:pos="9163"/>
        </w:tabs>
        <w:spacing w:line="386" w:lineRule="auto"/>
        <w:ind w:firstLine="340"/>
        <w:jc w:val="both"/>
      </w:pPr>
      <w:hyperlink w:anchor="bookmark44" w:tooltip="Поточний документ">
        <w:r w:rsidR="00366CB9">
          <w:t>Подальші діагностичні тести для виявлення додаткової медикаментозної резистентності</w:t>
        </w:r>
        <w:r w:rsidR="00366CB9">
          <w:tab/>
          <w:t>28</w:t>
        </w:r>
      </w:hyperlink>
    </w:p>
    <w:p w14:paraId="68AC7C15" w14:textId="77777777" w:rsidR="00366CB9" w:rsidRDefault="009D0C1D" w:rsidP="0061381C">
      <w:pPr>
        <w:pStyle w:val="a9"/>
        <w:numPr>
          <w:ilvl w:val="1"/>
          <w:numId w:val="1"/>
        </w:numPr>
        <w:shd w:val="clear" w:color="auto" w:fill="auto"/>
        <w:tabs>
          <w:tab w:val="right" w:leader="dot" w:pos="9163"/>
        </w:tabs>
        <w:spacing w:line="386" w:lineRule="auto"/>
        <w:ind w:firstLine="340"/>
        <w:jc w:val="both"/>
      </w:pPr>
      <w:r>
        <w:t>Методи фенотипового та генотипового тестування медикаментозної резистентності</w:t>
      </w:r>
      <w:r>
        <w:tab/>
        <w:t>41</w:t>
      </w:r>
    </w:p>
    <w:p w14:paraId="3C213188" w14:textId="77777777" w:rsidR="00366CB9" w:rsidRDefault="009D0C1D" w:rsidP="0061381C">
      <w:pPr>
        <w:pStyle w:val="a9"/>
        <w:numPr>
          <w:ilvl w:val="1"/>
          <w:numId w:val="1"/>
        </w:numPr>
        <w:shd w:val="clear" w:color="auto" w:fill="auto"/>
        <w:tabs>
          <w:tab w:val="right" w:leader="dot" w:pos="9163"/>
        </w:tabs>
        <w:spacing w:line="386" w:lineRule="auto"/>
        <w:ind w:firstLine="340"/>
        <w:jc w:val="both"/>
      </w:pPr>
      <w:hyperlink w:anchor="bookmark61" w:tooltip="Поточний документ">
        <w:r w:rsidR="00366CB9">
          <w:t>Тести на виявлення туберкульозної інфекції</w:t>
        </w:r>
        <w:r w:rsidR="00366CB9">
          <w:tab/>
          <w:t>55</w:t>
        </w:r>
      </w:hyperlink>
    </w:p>
    <w:p w14:paraId="60760A91" w14:textId="77777777" w:rsidR="00366CB9" w:rsidRDefault="009D0C1D" w:rsidP="0061381C">
      <w:pPr>
        <w:pStyle w:val="a9"/>
        <w:numPr>
          <w:ilvl w:val="1"/>
          <w:numId w:val="1"/>
        </w:numPr>
        <w:shd w:val="clear" w:color="auto" w:fill="auto"/>
        <w:tabs>
          <w:tab w:val="right" w:leader="dot" w:pos="9163"/>
        </w:tabs>
        <w:spacing w:after="120" w:line="386" w:lineRule="auto"/>
        <w:ind w:firstLine="340"/>
        <w:jc w:val="both"/>
      </w:pPr>
      <w:r>
        <w:t>Тести, що ВООЗ рекомендує не застосовувати або рекомендує обмежити їхнє застосування</w:t>
      </w:r>
      <w:r>
        <w:tab/>
        <w:t>66</w:t>
      </w:r>
    </w:p>
    <w:p w14:paraId="2B80468D" w14:textId="77777777" w:rsidR="00366CB9" w:rsidRPr="00420A3F" w:rsidRDefault="009D0C1D" w:rsidP="0061381C">
      <w:pPr>
        <w:pStyle w:val="a9"/>
        <w:numPr>
          <w:ilvl w:val="0"/>
          <w:numId w:val="1"/>
        </w:numPr>
        <w:shd w:val="clear" w:color="auto" w:fill="auto"/>
        <w:tabs>
          <w:tab w:val="right" w:leader="dot" w:pos="9163"/>
        </w:tabs>
        <w:spacing w:after="120" w:line="240" w:lineRule="auto"/>
        <w:jc w:val="both"/>
        <w:rPr>
          <w:b/>
          <w:bCs/>
          <w:sz w:val="24"/>
          <w:szCs w:val="24"/>
        </w:rPr>
      </w:pPr>
      <w:hyperlink w:anchor="bookmark72" w:tooltip="Поточний документ">
        <w:r w:rsidR="00366CB9">
          <w:rPr>
            <w:b/>
            <w:color w:val="019648"/>
            <w:sz w:val="24"/>
          </w:rPr>
          <w:t>Стратегії та міркування щодо діагностичного тестування</w:t>
        </w:r>
        <w:r w:rsidR="00366CB9">
          <w:rPr>
            <w:b/>
            <w:color w:val="019648"/>
            <w:sz w:val="24"/>
          </w:rPr>
          <w:tab/>
          <w:t>67</w:t>
        </w:r>
      </w:hyperlink>
    </w:p>
    <w:p w14:paraId="731F5BF2" w14:textId="61AB93A0" w:rsidR="00366CB9" w:rsidRDefault="009D0C1D" w:rsidP="0061381C">
      <w:pPr>
        <w:pStyle w:val="a9"/>
        <w:numPr>
          <w:ilvl w:val="1"/>
          <w:numId w:val="1"/>
        </w:numPr>
        <w:shd w:val="clear" w:color="auto" w:fill="auto"/>
        <w:tabs>
          <w:tab w:val="right" w:leader="dot" w:pos="9163"/>
        </w:tabs>
        <w:spacing w:line="386" w:lineRule="auto"/>
        <w:ind w:firstLine="340"/>
        <w:jc w:val="both"/>
      </w:pPr>
      <w:hyperlink w:anchor="bookmark70" w:tooltip="Поточний документ">
        <w:r w:rsidR="00366CB9">
          <w:t xml:space="preserve">Епідеміологічні міркування </w:t>
        </w:r>
        <w:r w:rsidR="00366CB9">
          <w:tab/>
          <w:t>67</w:t>
        </w:r>
      </w:hyperlink>
    </w:p>
    <w:p w14:paraId="1517531F" w14:textId="77777777" w:rsidR="00366CB9" w:rsidRDefault="009D0C1D" w:rsidP="0061381C">
      <w:pPr>
        <w:pStyle w:val="a9"/>
        <w:numPr>
          <w:ilvl w:val="1"/>
          <w:numId w:val="1"/>
        </w:numPr>
        <w:shd w:val="clear" w:color="auto" w:fill="auto"/>
        <w:tabs>
          <w:tab w:val="right" w:leader="dot" w:pos="9163"/>
        </w:tabs>
        <w:spacing w:line="386" w:lineRule="auto"/>
        <w:ind w:firstLine="340"/>
        <w:jc w:val="both"/>
      </w:pPr>
      <w:hyperlink w:anchor="bookmark76" w:tooltip="Поточний документ">
        <w:r w:rsidR="00366CB9">
          <w:t>Міркування щодо клінічної передбачуваності результатів та точності тесту</w:t>
        </w:r>
        <w:r w:rsidR="00366CB9">
          <w:tab/>
          <w:t>67</w:t>
        </w:r>
      </w:hyperlink>
    </w:p>
    <w:p w14:paraId="3ADC77A5" w14:textId="22EFB97C" w:rsidR="00366CB9" w:rsidRDefault="009D0C1D" w:rsidP="0061381C">
      <w:pPr>
        <w:pStyle w:val="a9"/>
        <w:numPr>
          <w:ilvl w:val="1"/>
          <w:numId w:val="1"/>
        </w:numPr>
        <w:shd w:val="clear" w:color="auto" w:fill="auto"/>
        <w:tabs>
          <w:tab w:val="right" w:leader="dot" w:pos="9163"/>
        </w:tabs>
        <w:spacing w:line="353" w:lineRule="auto"/>
        <w:ind w:firstLine="340"/>
        <w:jc w:val="both"/>
      </w:pPr>
      <w:hyperlink w:anchor="bookmark84" w:tooltip="Поточний документ">
        <w:r w:rsidR="00366CB9">
          <w:t xml:space="preserve">Планування та впровадження якісних послуг з тестування на виявлення ТБ </w:t>
        </w:r>
        <w:r w:rsidR="00366CB9">
          <w:tab/>
          <w:t>77</w:t>
        </w:r>
      </w:hyperlink>
    </w:p>
    <w:p w14:paraId="36E6D54D" w14:textId="77777777" w:rsidR="00366CB9" w:rsidRDefault="009D0C1D" w:rsidP="0061381C">
      <w:pPr>
        <w:pStyle w:val="a9"/>
        <w:numPr>
          <w:ilvl w:val="1"/>
          <w:numId w:val="1"/>
        </w:numPr>
        <w:shd w:val="clear" w:color="auto" w:fill="auto"/>
        <w:tabs>
          <w:tab w:val="right" w:leader="dot" w:pos="9163"/>
        </w:tabs>
        <w:spacing w:line="353" w:lineRule="auto"/>
        <w:ind w:left="340"/>
      </w:pPr>
      <w:hyperlink w:anchor="bookmark88" w:tooltip="Поточний документ">
        <w:r w:rsidR="00366CB9">
          <w:t>Супутнє тестування для покращення виявлення випадків у дітей та людей (будь-якого віку), які живуть з ВІЛ</w:t>
        </w:r>
        <w:r w:rsidR="00366CB9">
          <w:tab/>
          <w:t>77</w:t>
        </w:r>
      </w:hyperlink>
    </w:p>
    <w:p w14:paraId="5091B513" w14:textId="77777777" w:rsidR="00366CB9" w:rsidRDefault="009D0C1D" w:rsidP="0061381C">
      <w:pPr>
        <w:pStyle w:val="a9"/>
        <w:numPr>
          <w:ilvl w:val="1"/>
          <w:numId w:val="1"/>
        </w:numPr>
        <w:shd w:val="clear" w:color="auto" w:fill="auto"/>
        <w:tabs>
          <w:tab w:val="right" w:leader="dot" w:pos="9163"/>
        </w:tabs>
        <w:spacing w:line="386" w:lineRule="auto"/>
        <w:ind w:firstLine="340"/>
        <w:jc w:val="both"/>
      </w:pPr>
      <w:hyperlink w:anchor="bookmark91" w:tooltip="Поточний документ">
        <w:r w:rsidR="00366CB9">
          <w:t>Тестування на виявлення туберкульозної інфекції</w:t>
        </w:r>
        <w:r w:rsidR="00366CB9">
          <w:tab/>
          <w:t>80</w:t>
        </w:r>
      </w:hyperlink>
    </w:p>
    <w:p w14:paraId="00DC8C66" w14:textId="77777777" w:rsidR="00366CB9" w:rsidRDefault="009D0C1D" w:rsidP="0061381C">
      <w:pPr>
        <w:pStyle w:val="a9"/>
        <w:numPr>
          <w:ilvl w:val="1"/>
          <w:numId w:val="1"/>
        </w:numPr>
        <w:shd w:val="clear" w:color="auto" w:fill="auto"/>
        <w:tabs>
          <w:tab w:val="right" w:leader="dot" w:pos="9163"/>
        </w:tabs>
        <w:spacing w:after="120" w:line="386" w:lineRule="auto"/>
        <w:ind w:firstLine="340"/>
        <w:jc w:val="both"/>
      </w:pPr>
      <w:hyperlink w:anchor="bookmark94" w:tooltip="Поточний документ">
        <w:r w:rsidR="00366CB9">
          <w:t>Міркування щодо тестування на виявлення кількох захворювань</w:t>
        </w:r>
        <w:r w:rsidR="00366CB9">
          <w:tab/>
          <w:t>82</w:t>
        </w:r>
      </w:hyperlink>
    </w:p>
    <w:p w14:paraId="2802C726" w14:textId="77777777" w:rsidR="00366CB9" w:rsidRPr="00420A3F" w:rsidRDefault="009D0C1D" w:rsidP="0061381C">
      <w:pPr>
        <w:pStyle w:val="a9"/>
        <w:numPr>
          <w:ilvl w:val="0"/>
          <w:numId w:val="1"/>
        </w:numPr>
        <w:shd w:val="clear" w:color="auto" w:fill="auto"/>
        <w:tabs>
          <w:tab w:val="right" w:leader="dot" w:pos="9163"/>
        </w:tabs>
        <w:spacing w:after="120" w:line="240" w:lineRule="auto"/>
        <w:jc w:val="both"/>
        <w:rPr>
          <w:b/>
          <w:bCs/>
          <w:sz w:val="24"/>
          <w:szCs w:val="24"/>
        </w:rPr>
      </w:pPr>
      <w:hyperlink w:anchor="bookmark98" w:tooltip="Поточний документ">
        <w:r w:rsidR="00366CB9">
          <w:rPr>
            <w:b/>
            <w:color w:val="019648"/>
            <w:sz w:val="24"/>
          </w:rPr>
          <w:t>Роль діагностичних тестів у багаторівневій лабораторній мережі</w:t>
        </w:r>
        <w:r w:rsidR="00366CB9">
          <w:rPr>
            <w:b/>
            <w:color w:val="019648"/>
            <w:sz w:val="24"/>
          </w:rPr>
          <w:tab/>
          <w:t>85</w:t>
        </w:r>
      </w:hyperlink>
    </w:p>
    <w:p w14:paraId="0D9EC916" w14:textId="77777777" w:rsidR="00366CB9" w:rsidRDefault="009D0C1D" w:rsidP="0061381C">
      <w:pPr>
        <w:pStyle w:val="a9"/>
        <w:numPr>
          <w:ilvl w:val="1"/>
          <w:numId w:val="1"/>
        </w:numPr>
        <w:shd w:val="clear" w:color="auto" w:fill="auto"/>
        <w:tabs>
          <w:tab w:val="right" w:leader="dot" w:pos="9163"/>
        </w:tabs>
        <w:spacing w:line="386" w:lineRule="auto"/>
        <w:ind w:firstLine="340"/>
        <w:jc w:val="both"/>
      </w:pPr>
      <w:r>
        <w:t>Периферійний рівень</w:t>
      </w:r>
      <w:r>
        <w:tab/>
        <w:t>86</w:t>
      </w:r>
    </w:p>
    <w:p w14:paraId="1F950C86" w14:textId="77777777" w:rsidR="00366CB9" w:rsidRDefault="009D0C1D" w:rsidP="0061381C">
      <w:pPr>
        <w:pStyle w:val="a9"/>
        <w:numPr>
          <w:ilvl w:val="1"/>
          <w:numId w:val="1"/>
        </w:numPr>
        <w:shd w:val="clear" w:color="auto" w:fill="auto"/>
        <w:tabs>
          <w:tab w:val="right" w:leader="dot" w:pos="9163"/>
        </w:tabs>
        <w:spacing w:line="386" w:lineRule="auto"/>
        <w:ind w:firstLine="340"/>
        <w:jc w:val="both"/>
      </w:pPr>
      <w:hyperlink w:anchor="bookmark104" w:tooltip="Поточний документ">
        <w:r w:rsidR="00366CB9">
          <w:t>Проміжний рівень</w:t>
        </w:r>
        <w:r w:rsidR="00366CB9">
          <w:tab/>
          <w:t>87</w:t>
        </w:r>
      </w:hyperlink>
    </w:p>
    <w:p w14:paraId="340E435D" w14:textId="77777777" w:rsidR="00366CB9" w:rsidRDefault="009D0C1D" w:rsidP="0061381C">
      <w:pPr>
        <w:pStyle w:val="a9"/>
        <w:numPr>
          <w:ilvl w:val="1"/>
          <w:numId w:val="1"/>
        </w:numPr>
        <w:shd w:val="clear" w:color="auto" w:fill="auto"/>
        <w:tabs>
          <w:tab w:val="right" w:leader="dot" w:pos="9163"/>
        </w:tabs>
        <w:spacing w:line="386" w:lineRule="auto"/>
        <w:ind w:firstLine="340"/>
        <w:jc w:val="both"/>
      </w:pPr>
      <w:r>
        <w:t>Центральний рівень</w:t>
      </w:r>
      <w:r>
        <w:tab/>
        <w:t>88</w:t>
      </w:r>
    </w:p>
    <w:p w14:paraId="223B1E57" w14:textId="77777777" w:rsidR="00366CB9" w:rsidRDefault="009D0C1D" w:rsidP="0061381C">
      <w:pPr>
        <w:pStyle w:val="a9"/>
        <w:numPr>
          <w:ilvl w:val="1"/>
          <w:numId w:val="1"/>
        </w:numPr>
        <w:shd w:val="clear" w:color="auto" w:fill="auto"/>
        <w:tabs>
          <w:tab w:val="right" w:leader="dot" w:pos="9163"/>
        </w:tabs>
        <w:spacing w:line="386" w:lineRule="auto"/>
        <w:ind w:firstLine="340"/>
        <w:jc w:val="both"/>
      </w:pPr>
      <w:hyperlink w:anchor="bookmark110" w:tooltip="Поточний документ">
        <w:r w:rsidR="00366CB9">
          <w:t>Структура мережі та пакети тестів</w:t>
        </w:r>
        <w:r w:rsidR="00366CB9">
          <w:tab/>
          <w:t>89</w:t>
        </w:r>
      </w:hyperlink>
    </w:p>
    <w:p w14:paraId="5107BFBE" w14:textId="77777777" w:rsidR="00366CB9" w:rsidRDefault="009D0C1D" w:rsidP="00425523">
      <w:pPr>
        <w:spacing w:line="1" w:lineRule="exact"/>
        <w:sectPr w:rsidR="00366CB9" w:rsidSect="008278DD">
          <w:type w:val="nextColumn"/>
          <w:pgSz w:w="11913" w:h="16840"/>
          <w:pgMar w:top="1134" w:right="1378" w:bottom="851" w:left="1372" w:header="0" w:footer="6" w:gutter="0"/>
          <w:paperSrc w:first="15" w:other="15"/>
          <w:cols w:space="720"/>
          <w:noEndnote/>
          <w:docGrid w:linePitch="360"/>
        </w:sectPr>
      </w:pPr>
      <w:r>
        <w:rPr>
          <w:noProof/>
        </w:rPr>
        <w:drawing>
          <wp:anchor distT="0" distB="0" distL="0" distR="0" simplePos="0" relativeHeight="251418624" behindDoc="1" locked="0" layoutInCell="1" allowOverlap="1" wp14:anchorId="761D1E4E" wp14:editId="286FD1A7">
            <wp:simplePos x="0" y="0"/>
            <wp:positionH relativeFrom="page">
              <wp:align>left</wp:align>
            </wp:positionH>
            <wp:positionV relativeFrom="page">
              <wp:align>bottom</wp:align>
            </wp:positionV>
            <wp:extent cx="7560000" cy="1641600"/>
            <wp:effectExtent l="0" t="0" r="3175"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20"/>
                    <a:stretch/>
                  </pic:blipFill>
                  <pic:spPr>
                    <a:xfrm>
                      <a:off x="0" y="0"/>
                      <a:ext cx="7560000" cy="1641600"/>
                    </a:xfrm>
                    <a:prstGeom prst="rect">
                      <a:avLst/>
                    </a:prstGeom>
                  </pic:spPr>
                </pic:pic>
              </a:graphicData>
            </a:graphic>
            <wp14:sizeRelH relativeFrom="margin">
              <wp14:pctWidth>0</wp14:pctWidth>
            </wp14:sizeRelH>
            <wp14:sizeRelV relativeFrom="margin">
              <wp14:pctHeight>0</wp14:pctHeight>
            </wp14:sizeRelV>
          </wp:anchor>
        </w:drawing>
      </w:r>
    </w:p>
    <w:p w14:paraId="3153ACD6" w14:textId="77777777" w:rsidR="00366CB9" w:rsidRDefault="00366CB9" w:rsidP="00425523">
      <w:pPr>
        <w:spacing w:line="1" w:lineRule="exact"/>
      </w:pPr>
    </w:p>
    <w:p w14:paraId="721A5093" w14:textId="77777777" w:rsidR="00366CB9" w:rsidRPr="00420A3F" w:rsidRDefault="009D0C1D" w:rsidP="0061381C">
      <w:pPr>
        <w:pStyle w:val="a9"/>
        <w:numPr>
          <w:ilvl w:val="0"/>
          <w:numId w:val="1"/>
        </w:numPr>
        <w:shd w:val="clear" w:color="auto" w:fill="auto"/>
        <w:tabs>
          <w:tab w:val="right" w:leader="dot" w:pos="9163"/>
        </w:tabs>
        <w:jc w:val="both"/>
        <w:rPr>
          <w:b/>
          <w:bCs/>
          <w:sz w:val="24"/>
          <w:szCs w:val="24"/>
        </w:rPr>
      </w:pPr>
      <w:r>
        <w:rPr>
          <w:b/>
          <w:color w:val="019648"/>
          <w:sz w:val="24"/>
        </w:rPr>
        <w:t>Етапи та процеси впровадження нового діагностичного тесту</w:t>
      </w:r>
      <w:r>
        <w:rPr>
          <w:b/>
          <w:color w:val="019648"/>
          <w:sz w:val="24"/>
        </w:rPr>
        <w:tab/>
        <w:t>91</w:t>
      </w:r>
    </w:p>
    <w:p w14:paraId="76921880" w14:textId="77777777" w:rsidR="00366CB9" w:rsidRDefault="009D0C1D" w:rsidP="0061381C">
      <w:pPr>
        <w:pStyle w:val="a9"/>
        <w:numPr>
          <w:ilvl w:val="1"/>
          <w:numId w:val="1"/>
        </w:numPr>
        <w:shd w:val="clear" w:color="auto" w:fill="auto"/>
        <w:tabs>
          <w:tab w:val="right" w:leader="dot" w:pos="9163"/>
        </w:tabs>
        <w:spacing w:line="324" w:lineRule="auto"/>
        <w:jc w:val="both"/>
      </w:pPr>
      <w:r>
        <w:t>Область 1 – Політики, бюджетування та планування</w:t>
      </w:r>
      <w:r>
        <w:tab/>
        <w:t>91</w:t>
      </w:r>
    </w:p>
    <w:p w14:paraId="5DC2E581" w14:textId="77777777" w:rsidR="00366CB9" w:rsidRDefault="009D0C1D" w:rsidP="0061381C">
      <w:pPr>
        <w:pStyle w:val="a9"/>
        <w:numPr>
          <w:ilvl w:val="1"/>
          <w:numId w:val="1"/>
        </w:numPr>
        <w:shd w:val="clear" w:color="auto" w:fill="auto"/>
        <w:tabs>
          <w:tab w:val="right" w:leader="dot" w:pos="9163"/>
        </w:tabs>
        <w:spacing w:line="324" w:lineRule="auto"/>
        <w:jc w:val="both"/>
      </w:pPr>
      <w:r>
        <w:t>Область 2 – Питання нормативно-правового регулювання</w:t>
      </w:r>
      <w:r>
        <w:tab/>
        <w:t>94</w:t>
      </w:r>
    </w:p>
    <w:p w14:paraId="18EB5B36" w14:textId="77777777" w:rsidR="00366CB9" w:rsidRDefault="009D0C1D" w:rsidP="0061381C">
      <w:pPr>
        <w:pStyle w:val="a9"/>
        <w:numPr>
          <w:ilvl w:val="1"/>
          <w:numId w:val="1"/>
        </w:numPr>
        <w:shd w:val="clear" w:color="auto" w:fill="auto"/>
        <w:tabs>
          <w:tab w:val="right" w:leader="dot" w:pos="9163"/>
        </w:tabs>
        <w:spacing w:line="324" w:lineRule="auto"/>
        <w:jc w:val="both"/>
      </w:pPr>
      <w:hyperlink w:anchor="bookmark122" w:tooltip="Поточний документ">
        <w:r w:rsidR="00366CB9">
          <w:t>Область 3 – Обладнання</w:t>
        </w:r>
        <w:r w:rsidR="00366CB9">
          <w:tab/>
          <w:t>95</w:t>
        </w:r>
      </w:hyperlink>
    </w:p>
    <w:p w14:paraId="1816D5D3" w14:textId="77777777" w:rsidR="00366CB9" w:rsidRDefault="009D0C1D" w:rsidP="0061381C">
      <w:pPr>
        <w:pStyle w:val="a9"/>
        <w:numPr>
          <w:ilvl w:val="1"/>
          <w:numId w:val="1"/>
        </w:numPr>
        <w:shd w:val="clear" w:color="auto" w:fill="auto"/>
        <w:tabs>
          <w:tab w:val="right" w:leader="dot" w:pos="9163"/>
        </w:tabs>
        <w:spacing w:line="324" w:lineRule="auto"/>
        <w:jc w:val="both"/>
      </w:pPr>
      <w:hyperlink w:anchor="bookmark126" w:tooltip="Поточний документ">
        <w:r w:rsidR="00366CB9">
          <w:t>Область 4 – Ланцюжок поставок</w:t>
        </w:r>
        <w:r w:rsidR="00366CB9">
          <w:tab/>
          <w:t>97</w:t>
        </w:r>
      </w:hyperlink>
    </w:p>
    <w:p w14:paraId="3F15C3C3" w14:textId="77777777" w:rsidR="00366CB9" w:rsidRDefault="009D0C1D" w:rsidP="0061381C">
      <w:pPr>
        <w:pStyle w:val="a9"/>
        <w:numPr>
          <w:ilvl w:val="1"/>
          <w:numId w:val="1"/>
        </w:numPr>
        <w:shd w:val="clear" w:color="auto" w:fill="auto"/>
        <w:tabs>
          <w:tab w:val="right" w:leader="dot" w:pos="9163"/>
        </w:tabs>
        <w:spacing w:line="324" w:lineRule="auto"/>
        <w:jc w:val="both"/>
      </w:pPr>
      <w:hyperlink w:anchor="bookmark130" w:tooltip="Поточний документ">
        <w:r w:rsidR="00366CB9">
          <w:t>Область 5 – Процедури</w:t>
        </w:r>
        <w:r w:rsidR="00366CB9">
          <w:tab/>
          <w:t>98</w:t>
        </w:r>
      </w:hyperlink>
    </w:p>
    <w:p w14:paraId="4103EDF3" w14:textId="77777777" w:rsidR="00366CB9" w:rsidRDefault="009D0C1D" w:rsidP="0061381C">
      <w:pPr>
        <w:pStyle w:val="a9"/>
        <w:numPr>
          <w:ilvl w:val="1"/>
          <w:numId w:val="1"/>
        </w:numPr>
        <w:shd w:val="clear" w:color="auto" w:fill="auto"/>
        <w:tabs>
          <w:tab w:val="right" w:leader="dot" w:pos="9163"/>
        </w:tabs>
        <w:spacing w:line="324" w:lineRule="auto"/>
        <w:jc w:val="both"/>
      </w:pPr>
      <w:hyperlink w:anchor="bookmark134" w:tooltip="Поточний документ">
        <w:r w:rsidR="00366CB9">
          <w:t>Область 6 – Цифрові далі</w:t>
        </w:r>
        <w:r w:rsidR="00366CB9">
          <w:tab/>
          <w:t>99</w:t>
        </w:r>
      </w:hyperlink>
    </w:p>
    <w:p w14:paraId="4ECC6283" w14:textId="77777777" w:rsidR="00366CB9" w:rsidRDefault="009D0C1D" w:rsidP="0061381C">
      <w:pPr>
        <w:pStyle w:val="a9"/>
        <w:numPr>
          <w:ilvl w:val="1"/>
          <w:numId w:val="1"/>
        </w:numPr>
        <w:shd w:val="clear" w:color="auto" w:fill="auto"/>
        <w:tabs>
          <w:tab w:val="right" w:leader="dot" w:pos="9163"/>
        </w:tabs>
        <w:spacing w:line="324" w:lineRule="auto"/>
        <w:jc w:val="both"/>
      </w:pPr>
      <w:hyperlink w:anchor="bookmark138" w:tooltip="Поточний документ">
        <w:r w:rsidR="00366CB9">
          <w:t>Область 7 – Забезпечення, контроль та оцінка якості</w:t>
        </w:r>
        <w:r w:rsidR="00366CB9">
          <w:tab/>
          <w:t>100</w:t>
        </w:r>
      </w:hyperlink>
    </w:p>
    <w:p w14:paraId="11EC1043" w14:textId="77777777" w:rsidR="00366CB9" w:rsidRDefault="009D0C1D" w:rsidP="0061381C">
      <w:pPr>
        <w:pStyle w:val="a9"/>
        <w:numPr>
          <w:ilvl w:val="1"/>
          <w:numId w:val="1"/>
        </w:numPr>
        <w:shd w:val="clear" w:color="auto" w:fill="auto"/>
        <w:tabs>
          <w:tab w:val="right" w:leader="dot" w:pos="9163"/>
        </w:tabs>
        <w:spacing w:line="324" w:lineRule="auto"/>
        <w:jc w:val="both"/>
      </w:pPr>
      <w:hyperlink w:anchor="bookmark142" w:tooltip="Поточний документ">
        <w:r w:rsidR="00366CB9">
          <w:t>Область 8 – Реєстрація та звітування</w:t>
        </w:r>
        <w:r w:rsidR="00366CB9">
          <w:tab/>
          <w:t>103</w:t>
        </w:r>
      </w:hyperlink>
    </w:p>
    <w:p w14:paraId="2838978F" w14:textId="77777777" w:rsidR="00366CB9" w:rsidRDefault="009D0C1D" w:rsidP="0061381C">
      <w:pPr>
        <w:pStyle w:val="a9"/>
        <w:numPr>
          <w:ilvl w:val="1"/>
          <w:numId w:val="1"/>
        </w:numPr>
        <w:shd w:val="clear" w:color="auto" w:fill="auto"/>
        <w:tabs>
          <w:tab w:val="right" w:leader="dot" w:pos="9163"/>
        </w:tabs>
        <w:spacing w:line="324" w:lineRule="auto"/>
        <w:jc w:val="both"/>
      </w:pPr>
      <w:hyperlink w:anchor="bookmark146" w:tooltip="Поточний документ">
        <w:r w:rsidR="00366CB9">
          <w:t>Область 9 – Підготовка та оцінка компетентності людських ресурсів</w:t>
        </w:r>
        <w:r w:rsidR="00366CB9">
          <w:tab/>
          <w:t>104</w:t>
        </w:r>
      </w:hyperlink>
    </w:p>
    <w:p w14:paraId="1E1B0BCA" w14:textId="77777777" w:rsidR="00366CB9" w:rsidRDefault="009D0C1D" w:rsidP="0061381C">
      <w:pPr>
        <w:pStyle w:val="a9"/>
        <w:numPr>
          <w:ilvl w:val="1"/>
          <w:numId w:val="1"/>
        </w:numPr>
        <w:shd w:val="clear" w:color="auto" w:fill="auto"/>
        <w:tabs>
          <w:tab w:val="right" w:leader="dot" w:pos="9163"/>
        </w:tabs>
        <w:spacing w:after="180" w:line="324" w:lineRule="auto"/>
        <w:jc w:val="both"/>
      </w:pPr>
      <w:hyperlink w:anchor="bookmark150" w:tooltip="Поточний документ">
        <w:r w:rsidR="00366CB9">
          <w:t>Область 10 – Моніторинг та оцінка</w:t>
        </w:r>
        <w:r w:rsidR="00366CB9">
          <w:tab/>
          <w:t>105</w:t>
        </w:r>
      </w:hyperlink>
    </w:p>
    <w:p w14:paraId="0E9FF8C3" w14:textId="77777777" w:rsidR="00366CB9" w:rsidRPr="00420A3F" w:rsidRDefault="009D0C1D" w:rsidP="0061381C">
      <w:pPr>
        <w:pStyle w:val="a9"/>
        <w:numPr>
          <w:ilvl w:val="0"/>
          <w:numId w:val="1"/>
        </w:numPr>
        <w:shd w:val="clear" w:color="auto" w:fill="auto"/>
        <w:tabs>
          <w:tab w:val="right" w:leader="dot" w:pos="9163"/>
        </w:tabs>
        <w:jc w:val="both"/>
        <w:rPr>
          <w:b/>
          <w:bCs/>
          <w:sz w:val="24"/>
          <w:szCs w:val="24"/>
        </w:rPr>
      </w:pPr>
      <w:hyperlink w:anchor="bookmark154" w:tooltip="Поточний документ">
        <w:r w:rsidR="00366CB9">
          <w:rPr>
            <w:b/>
            <w:color w:val="019648"/>
            <w:sz w:val="24"/>
          </w:rPr>
          <w:t>Модельні алгоритми</w:t>
        </w:r>
        <w:r w:rsidR="00366CB9">
          <w:rPr>
            <w:b/>
            <w:color w:val="019648"/>
            <w:sz w:val="24"/>
          </w:rPr>
          <w:tab/>
          <w:t>107</w:t>
        </w:r>
      </w:hyperlink>
    </w:p>
    <w:p w14:paraId="2A17030B" w14:textId="77777777" w:rsidR="00366CB9" w:rsidRDefault="009D0C1D" w:rsidP="0061381C">
      <w:pPr>
        <w:pStyle w:val="a9"/>
        <w:numPr>
          <w:ilvl w:val="1"/>
          <w:numId w:val="1"/>
        </w:numPr>
        <w:shd w:val="clear" w:color="auto" w:fill="auto"/>
        <w:tabs>
          <w:tab w:val="right" w:leader="dot" w:pos="9163"/>
        </w:tabs>
        <w:spacing w:line="324" w:lineRule="auto"/>
        <w:jc w:val="both"/>
      </w:pPr>
      <w:hyperlink w:anchor="bookmark157" w:tooltip="Поточний документ">
        <w:r w:rsidR="00366CB9">
          <w:t>Впровадження нового діагностичного алгоритму</w:t>
        </w:r>
        <w:r w:rsidR="00366CB9">
          <w:tab/>
          <w:t>108</w:t>
        </w:r>
      </w:hyperlink>
    </w:p>
    <w:p w14:paraId="4FDC8B4C" w14:textId="77777777" w:rsidR="00366CB9" w:rsidRDefault="009D0C1D" w:rsidP="0061381C">
      <w:pPr>
        <w:pStyle w:val="a9"/>
        <w:numPr>
          <w:ilvl w:val="1"/>
          <w:numId w:val="1"/>
        </w:numPr>
        <w:shd w:val="clear" w:color="auto" w:fill="auto"/>
        <w:tabs>
          <w:tab w:val="right" w:leader="dot" w:pos="9163"/>
        </w:tabs>
        <w:spacing w:line="324" w:lineRule="auto"/>
        <w:jc w:val="both"/>
      </w:pPr>
      <w:hyperlink w:anchor="bookmark160" w:tooltip="Поточний документ">
        <w:r w:rsidR="00366CB9">
          <w:t>Каскад чотирьох модельних алгоритмів</w:t>
        </w:r>
        <w:r w:rsidR="00366CB9">
          <w:tab/>
          <w:t>109</w:t>
        </w:r>
      </w:hyperlink>
    </w:p>
    <w:p w14:paraId="5AD8B554" w14:textId="77777777" w:rsidR="00366CB9" w:rsidRDefault="009D0C1D" w:rsidP="0061381C">
      <w:pPr>
        <w:pStyle w:val="a9"/>
        <w:numPr>
          <w:ilvl w:val="1"/>
          <w:numId w:val="1"/>
        </w:numPr>
        <w:shd w:val="clear" w:color="auto" w:fill="auto"/>
        <w:tabs>
          <w:tab w:val="right" w:leader="dot" w:pos="9163"/>
        </w:tabs>
        <w:spacing w:line="324" w:lineRule="auto"/>
        <w:jc w:val="both"/>
      </w:pPr>
      <w:hyperlink w:anchor="bookmark164" w:tooltip="Поточний документ">
        <w:r w:rsidR="00366CB9">
          <w:t>Алгоритм 1 – WRD як початкові діагностичні тести на ТБ</w:t>
        </w:r>
        <w:r w:rsidR="00366CB9">
          <w:tab/>
          <w:t>111</w:t>
        </w:r>
      </w:hyperlink>
    </w:p>
    <w:p w14:paraId="46B145BC" w14:textId="77777777" w:rsidR="00366CB9" w:rsidRDefault="009D0C1D" w:rsidP="0061381C">
      <w:pPr>
        <w:pStyle w:val="a9"/>
        <w:numPr>
          <w:ilvl w:val="1"/>
          <w:numId w:val="1"/>
        </w:numPr>
        <w:shd w:val="clear" w:color="auto" w:fill="auto"/>
        <w:tabs>
          <w:tab w:val="right" w:leader="dot" w:pos="9163"/>
        </w:tabs>
        <w:spacing w:line="324" w:lineRule="auto"/>
        <w:jc w:val="both"/>
      </w:pPr>
      <w:hyperlink w:anchor="bookmark169" w:tooltip="Поточний документ">
        <w:r w:rsidR="00366CB9">
          <w:t>Алгоритм 2 – ТМЧ для препаратів другої лінії для осіб з МЛС/Риф-ТБ</w:t>
        </w:r>
        <w:r w:rsidR="00366CB9">
          <w:tab/>
          <w:t>132</w:t>
        </w:r>
      </w:hyperlink>
    </w:p>
    <w:p w14:paraId="6D19FE95" w14:textId="0618C2C1" w:rsidR="00366CB9" w:rsidRDefault="009D0C1D" w:rsidP="009D0C1D">
      <w:pPr>
        <w:pStyle w:val="a9"/>
        <w:numPr>
          <w:ilvl w:val="1"/>
          <w:numId w:val="1"/>
        </w:numPr>
        <w:shd w:val="clear" w:color="auto" w:fill="auto"/>
        <w:tabs>
          <w:tab w:val="right" w:leader="dot" w:pos="9163"/>
        </w:tabs>
        <w:spacing w:line="324" w:lineRule="auto"/>
        <w:jc w:val="both"/>
      </w:pPr>
      <w:hyperlink w:anchor="bookmark174" w:tooltip="Поточний документ">
        <w:r w:rsidR="00366CB9">
          <w:t>Алгоритм 3 – Подальше тестування для осіб з рифампіцин-чутливим ТБ, у яких спостерігається ризик</w:t>
        </w:r>
      </w:hyperlink>
      <w:r w:rsidR="008278DD" w:rsidRPr="008278DD">
        <w:rPr>
          <w:lang w:val="ru-RU"/>
        </w:rPr>
        <w:t xml:space="preserve"> </w:t>
      </w:r>
      <w:r w:rsidR="00366CB9">
        <w:t>резистентності до інших лікарських засобів</w:t>
      </w:r>
      <w:r w:rsidR="00366CB9">
        <w:tab/>
        <w:t>142</w:t>
      </w:r>
    </w:p>
    <w:p w14:paraId="19488188" w14:textId="77777777" w:rsidR="00366CB9" w:rsidRDefault="009D0C1D" w:rsidP="0061381C">
      <w:pPr>
        <w:pStyle w:val="a9"/>
        <w:numPr>
          <w:ilvl w:val="1"/>
          <w:numId w:val="1"/>
        </w:numPr>
        <w:shd w:val="clear" w:color="auto" w:fill="auto"/>
        <w:tabs>
          <w:tab w:val="right" w:leader="dot" w:pos="9163"/>
        </w:tabs>
        <w:spacing w:line="324" w:lineRule="auto"/>
        <w:jc w:val="both"/>
      </w:pPr>
      <w:hyperlink w:anchor="bookmark180" w:tooltip="Поточний документ">
        <w:r w:rsidR="00366CB9">
          <w:t>Невідповідні результати</w:t>
        </w:r>
        <w:r w:rsidR="00366CB9">
          <w:tab/>
          <w:t>149</w:t>
        </w:r>
      </w:hyperlink>
    </w:p>
    <w:p w14:paraId="0D9E0B5C" w14:textId="77777777" w:rsidR="00366CB9" w:rsidRDefault="009D0C1D" w:rsidP="0061381C">
      <w:pPr>
        <w:pStyle w:val="a9"/>
        <w:numPr>
          <w:ilvl w:val="1"/>
          <w:numId w:val="1"/>
        </w:numPr>
        <w:shd w:val="clear" w:color="auto" w:fill="auto"/>
        <w:tabs>
          <w:tab w:val="right" w:leader="dot" w:pos="9163"/>
        </w:tabs>
        <w:spacing w:line="324" w:lineRule="auto"/>
        <w:jc w:val="both"/>
      </w:pPr>
      <w:hyperlink w:anchor="bookmark184" w:tooltip="Поточний документ">
        <w:r w:rsidR="00366CB9">
          <w:t>Алгоритм 4 – Тестування на виявлення туберкульозної інфекції</w:t>
        </w:r>
        <w:r w:rsidR="00366CB9">
          <w:tab/>
          <w:t>151</w:t>
        </w:r>
      </w:hyperlink>
    </w:p>
    <w:p w14:paraId="032690CF" w14:textId="77777777" w:rsidR="00366CB9" w:rsidRDefault="009D0C1D" w:rsidP="0061381C">
      <w:pPr>
        <w:pStyle w:val="a9"/>
        <w:numPr>
          <w:ilvl w:val="1"/>
          <w:numId w:val="1"/>
        </w:numPr>
        <w:shd w:val="clear" w:color="auto" w:fill="auto"/>
        <w:tabs>
          <w:tab w:val="right" w:leader="dot" w:pos="9163"/>
        </w:tabs>
        <w:spacing w:after="180" w:line="324" w:lineRule="auto"/>
        <w:jc w:val="both"/>
      </w:pPr>
      <w:hyperlink w:anchor="bookmark188" w:tooltip="Поточний документ">
        <w:r w:rsidR="00366CB9">
          <w:t>Ілюстративні комбінації алгоритмів</w:t>
        </w:r>
        <w:r w:rsidR="00366CB9">
          <w:tab/>
          <w:t>154</w:t>
        </w:r>
      </w:hyperlink>
    </w:p>
    <w:p w14:paraId="798DF424" w14:textId="77777777" w:rsidR="00366CB9" w:rsidRPr="00420A3F" w:rsidRDefault="009D0C1D" w:rsidP="0061381C">
      <w:pPr>
        <w:pStyle w:val="a9"/>
        <w:shd w:val="clear" w:color="auto" w:fill="auto"/>
        <w:tabs>
          <w:tab w:val="right" w:leader="dot" w:pos="9163"/>
        </w:tabs>
        <w:ind w:firstLine="0"/>
        <w:jc w:val="both"/>
        <w:rPr>
          <w:b/>
          <w:bCs/>
          <w:sz w:val="24"/>
          <w:szCs w:val="24"/>
        </w:rPr>
      </w:pPr>
      <w:hyperlink w:anchor="bookmark194" w:tooltip="Поточний документ">
        <w:r w:rsidR="00366CB9">
          <w:rPr>
            <w:b/>
            <w:color w:val="019648"/>
            <w:sz w:val="24"/>
          </w:rPr>
          <w:t>Список літератури</w:t>
        </w:r>
        <w:r w:rsidR="00366CB9">
          <w:rPr>
            <w:b/>
            <w:color w:val="019648"/>
            <w:sz w:val="24"/>
          </w:rPr>
          <w:tab/>
          <w:t>159</w:t>
        </w:r>
      </w:hyperlink>
    </w:p>
    <w:p w14:paraId="27F2D256" w14:textId="1345C38A" w:rsidR="0061381C" w:rsidRPr="00420A3F" w:rsidRDefault="009D0C1D" w:rsidP="0061381C">
      <w:pPr>
        <w:pStyle w:val="a9"/>
        <w:shd w:val="clear" w:color="auto" w:fill="auto"/>
        <w:tabs>
          <w:tab w:val="right" w:leader="dot" w:pos="9163"/>
        </w:tabs>
        <w:ind w:firstLine="0"/>
        <w:jc w:val="both"/>
        <w:rPr>
          <w:b/>
          <w:bCs/>
          <w:color w:val="019648"/>
          <w:sz w:val="24"/>
          <w:szCs w:val="24"/>
        </w:rPr>
      </w:pPr>
      <w:r>
        <w:rPr>
          <w:b/>
          <w:color w:val="019648"/>
          <w:sz w:val="24"/>
        </w:rPr>
        <w:t>Додаток 1. Бюджетні міркування щодо впровадження нового діагностичного тесту</w:t>
      </w:r>
      <w:r>
        <w:rPr>
          <w:b/>
          <w:color w:val="019648"/>
          <w:sz w:val="24"/>
        </w:rPr>
        <w:tab/>
        <w:t>166</w:t>
      </w:r>
    </w:p>
    <w:p w14:paraId="55DC09F5" w14:textId="1FFC2A63" w:rsidR="00366CB9" w:rsidRPr="00420A3F" w:rsidRDefault="009D0C1D" w:rsidP="0061381C">
      <w:pPr>
        <w:pStyle w:val="a9"/>
        <w:shd w:val="clear" w:color="auto" w:fill="auto"/>
        <w:tabs>
          <w:tab w:val="right" w:leader="dot" w:pos="9163"/>
        </w:tabs>
        <w:ind w:firstLine="0"/>
        <w:jc w:val="both"/>
        <w:rPr>
          <w:b/>
          <w:bCs/>
          <w:sz w:val="24"/>
          <w:szCs w:val="24"/>
        </w:rPr>
      </w:pPr>
      <w:r>
        <w:rPr>
          <w:b/>
          <w:color w:val="019648"/>
          <w:sz w:val="24"/>
        </w:rPr>
        <w:t>Додаток 2. Методи тестування медикаментозної чутливості та критичні концентрації</w:t>
      </w:r>
      <w:r>
        <w:rPr>
          <w:b/>
          <w:color w:val="019648"/>
          <w:sz w:val="24"/>
        </w:rPr>
        <w:tab/>
        <w:t>169</w:t>
      </w:r>
    </w:p>
    <w:p w14:paraId="0DD442E7" w14:textId="5101A45C" w:rsidR="0061381C" w:rsidRPr="00420A3F" w:rsidRDefault="009D0C1D" w:rsidP="0061381C">
      <w:pPr>
        <w:pStyle w:val="a9"/>
        <w:shd w:val="clear" w:color="auto" w:fill="auto"/>
        <w:tabs>
          <w:tab w:val="right" w:leader="dot" w:pos="9163"/>
        </w:tabs>
        <w:ind w:firstLine="0"/>
        <w:jc w:val="both"/>
        <w:rPr>
          <w:b/>
          <w:bCs/>
          <w:color w:val="019648"/>
          <w:sz w:val="24"/>
          <w:szCs w:val="24"/>
        </w:rPr>
      </w:pPr>
      <w:r>
        <w:rPr>
          <w:b/>
          <w:color w:val="019648"/>
          <w:sz w:val="24"/>
        </w:rPr>
        <w:t>Додаток 3. Впровадження технологій секвенування наступного покоління</w:t>
      </w:r>
      <w:r>
        <w:rPr>
          <w:b/>
          <w:color w:val="019648"/>
          <w:sz w:val="24"/>
        </w:rPr>
        <w:tab/>
        <w:t xml:space="preserve">172 </w:t>
      </w:r>
    </w:p>
    <w:p w14:paraId="7576D6BD" w14:textId="766B4F75" w:rsidR="00366CB9" w:rsidRPr="00420A3F" w:rsidRDefault="009D0C1D" w:rsidP="0061381C">
      <w:pPr>
        <w:pStyle w:val="a9"/>
        <w:shd w:val="clear" w:color="auto" w:fill="auto"/>
        <w:tabs>
          <w:tab w:val="right" w:leader="dot" w:pos="9163"/>
        </w:tabs>
        <w:ind w:firstLine="0"/>
        <w:jc w:val="both"/>
        <w:rPr>
          <w:b/>
          <w:bCs/>
          <w:sz w:val="24"/>
          <w:szCs w:val="24"/>
        </w:rPr>
      </w:pPr>
      <w:r>
        <w:rPr>
          <w:b/>
          <w:color w:val="019648"/>
          <w:sz w:val="24"/>
        </w:rPr>
        <w:t>Додаток 4. Шкірні тести на виявлення туберкульозної інфекції — докладний опис</w:t>
      </w:r>
      <w:r>
        <w:rPr>
          <w:b/>
          <w:color w:val="019648"/>
          <w:sz w:val="24"/>
        </w:rPr>
        <w:tab/>
        <w:t>175</w:t>
      </w:r>
    </w:p>
    <w:p w14:paraId="6B190F96" w14:textId="77777777" w:rsidR="00366CB9" w:rsidRPr="00420A3F" w:rsidRDefault="009D0C1D" w:rsidP="0061381C">
      <w:pPr>
        <w:pStyle w:val="60"/>
        <w:shd w:val="clear" w:color="auto" w:fill="auto"/>
        <w:spacing w:after="0" w:line="346" w:lineRule="auto"/>
        <w:jc w:val="both"/>
        <w:rPr>
          <w:b/>
          <w:bCs/>
        </w:rPr>
      </w:pPr>
      <w:r>
        <w:rPr>
          <w:b/>
          <w:color w:val="019648"/>
        </w:rPr>
        <w:t>Вебдодатки</w:t>
      </w:r>
    </w:p>
    <w:p w14:paraId="3B77E24E" w14:textId="77777777" w:rsidR="00366CB9" w:rsidRPr="00420A3F" w:rsidRDefault="009D0C1D" w:rsidP="0061381C">
      <w:pPr>
        <w:pStyle w:val="1"/>
        <w:shd w:val="clear" w:color="auto" w:fill="auto"/>
        <w:spacing w:line="413" w:lineRule="auto"/>
        <w:ind w:left="300"/>
      </w:pPr>
      <w:r>
        <w:t>Вебдодаток A. Інформаційні аркуші</w:t>
      </w:r>
    </w:p>
    <w:p w14:paraId="0131AB13" w14:textId="77777777" w:rsidR="00366CB9" w:rsidRPr="00420A3F" w:rsidRDefault="009D0C1D" w:rsidP="0061381C">
      <w:pPr>
        <w:pStyle w:val="1"/>
        <w:shd w:val="clear" w:color="auto" w:fill="auto"/>
        <w:spacing w:line="324" w:lineRule="auto"/>
        <w:ind w:left="300"/>
      </w:pPr>
      <w:hyperlink r:id="rId21" w:history="1">
        <w:r w:rsidR="00366CB9">
          <w:t>https://iris.who.int/handle/10665/376284</w:t>
        </w:r>
      </w:hyperlink>
    </w:p>
    <w:p w14:paraId="697C981F" w14:textId="77777777" w:rsidR="00366CB9" w:rsidRPr="00420A3F" w:rsidRDefault="009D0C1D" w:rsidP="0061381C">
      <w:pPr>
        <w:pStyle w:val="1"/>
        <w:shd w:val="clear" w:color="auto" w:fill="auto"/>
        <w:spacing w:line="324" w:lineRule="auto"/>
        <w:ind w:left="300"/>
      </w:pPr>
      <w:r>
        <w:t xml:space="preserve">Вебдодаток B. Критичні концентрації претоманіду та циклосерину: систематичний огляд та звіти технічної консультативної групи </w:t>
      </w:r>
      <w:hyperlink r:id="rId22" w:history="1">
        <w:r w:rsidR="00366CB9">
          <w:t>https://doi.org/10.2471/B09403</w:t>
        </w:r>
      </w:hyperlink>
    </w:p>
    <w:p w14:paraId="6BE4BB25" w14:textId="77777777" w:rsidR="00366CB9" w:rsidRPr="00420A3F" w:rsidRDefault="009D0C1D" w:rsidP="0061381C">
      <w:pPr>
        <w:pStyle w:val="1"/>
        <w:shd w:val="clear" w:color="auto" w:fill="auto"/>
        <w:spacing w:line="324" w:lineRule="auto"/>
        <w:ind w:left="300"/>
      </w:pPr>
      <w:r>
        <w:t xml:space="preserve">Вебдодаток C. Методологічне керівництво щодо культурального тестування медикаментозної чутливості до протитуберкульозних препаратів, що застосовуються при лікуванні туберкульозу </w:t>
      </w:r>
      <w:hyperlink r:id="rId23" w:history="1">
        <w:r w:rsidR="00366CB9">
          <w:t>https://iris.who.int/handle/10665/376286</w:t>
        </w:r>
      </w:hyperlink>
    </w:p>
    <w:tbl>
      <w:tblPr>
        <w:tblOverlap w:val="never"/>
        <w:tblW w:w="0" w:type="auto"/>
        <w:tblLayout w:type="fixed"/>
        <w:tblCellMar>
          <w:left w:w="10" w:type="dxa"/>
          <w:right w:w="10" w:type="dxa"/>
        </w:tblCellMar>
        <w:tblLook w:val="0000" w:firstRow="0" w:lastRow="0" w:firstColumn="0" w:lastColumn="0" w:noHBand="0" w:noVBand="0"/>
      </w:tblPr>
      <w:tblGrid>
        <w:gridCol w:w="7251"/>
        <w:gridCol w:w="1859"/>
      </w:tblGrid>
      <w:tr w:rsidR="00366CB9" w:rsidRPr="00420A3F" w14:paraId="5D503333" w14:textId="77777777" w:rsidTr="0061381C">
        <w:trPr>
          <w:trHeight w:hRule="exact" w:val="1190"/>
        </w:trPr>
        <w:tc>
          <w:tcPr>
            <w:tcW w:w="7251" w:type="dxa"/>
            <w:shd w:val="clear" w:color="auto" w:fill="FFFFFF"/>
          </w:tcPr>
          <w:p w14:paraId="40EC7699" w14:textId="77777777" w:rsidR="00366CB9" w:rsidRPr="00420A3F" w:rsidRDefault="009D0C1D" w:rsidP="00481B88">
            <w:pPr>
              <w:pStyle w:val="a6"/>
              <w:shd w:val="clear" w:color="auto" w:fill="auto"/>
              <w:spacing w:line="324" w:lineRule="auto"/>
              <w:ind w:left="280"/>
              <w:rPr>
                <w:b w:val="0"/>
                <w:bCs w:val="0"/>
                <w:sz w:val="20"/>
                <w:szCs w:val="20"/>
              </w:rPr>
            </w:pPr>
            <w:r>
              <w:rPr>
                <w:b w:val="0"/>
                <w:color w:val="000000"/>
                <w:sz w:val="20"/>
              </w:rPr>
              <w:t xml:space="preserve">Вебдодаток D. Аналізи на вивільнення гамма-інтерферону для лікування туберкульозу ВООЗ та окремі рішення для секвенування наступного покоління: систематичний огляд та звіти технічної консультативної групи </w:t>
            </w:r>
            <w:hyperlink r:id="rId24" w:history="1">
              <w:r w:rsidR="00366CB9">
                <w:rPr>
                  <w:b w:val="0"/>
                  <w:color w:val="000000"/>
                  <w:sz w:val="20"/>
                </w:rPr>
                <w:t>https://doi.org/10.2471/B09404</w:t>
              </w:r>
            </w:hyperlink>
          </w:p>
        </w:tc>
        <w:tc>
          <w:tcPr>
            <w:tcW w:w="1859" w:type="dxa"/>
            <w:shd w:val="clear" w:color="auto" w:fill="FFFFFF"/>
          </w:tcPr>
          <w:p w14:paraId="4A8EA4AC" w14:textId="3A272655" w:rsidR="00366CB9" w:rsidRPr="00420A3F" w:rsidRDefault="0061381C" w:rsidP="00481B88">
            <w:pPr>
              <w:rPr>
                <w:sz w:val="2"/>
                <w:szCs w:val="2"/>
              </w:rPr>
            </w:pPr>
            <w:r>
              <w:rPr>
                <w:noProof/>
              </w:rPr>
              <mc:AlternateContent>
                <mc:Choice Requires="wpg">
                  <w:drawing>
                    <wp:inline distT="0" distB="0" distL="0" distR="0" wp14:anchorId="0AF66060" wp14:editId="436B163B">
                      <wp:extent cx="702734" cy="448733"/>
                      <wp:effectExtent l="0" t="0" r="2540" b="0"/>
                      <wp:docPr id="1424360585" name="Групувати 12"/>
                      <wp:cNvGraphicFramePr/>
                      <a:graphic xmlns:a="http://schemas.openxmlformats.org/drawingml/2006/main">
                        <a:graphicData uri="http://schemas.microsoft.com/office/word/2010/wordprocessingGroup">
                          <wpg:wgp>
                            <wpg:cNvGrpSpPr/>
                            <wpg:grpSpPr>
                              <a:xfrm>
                                <a:off x="0" y="0"/>
                                <a:ext cx="702734" cy="448733"/>
                                <a:chOff x="0" y="0"/>
                                <a:chExt cx="515620" cy="338667"/>
                              </a:xfrm>
                            </wpg:grpSpPr>
                            <wps:wsp>
                              <wps:cNvPr id="240426886" name="object 6"/>
                              <wps:cNvSpPr/>
                              <wps:spPr>
                                <a:xfrm>
                                  <a:off x="0" y="0"/>
                                  <a:ext cx="515620" cy="245745"/>
                                </a:xfrm>
                                <a:custGeom>
                                  <a:avLst/>
                                  <a:gdLst/>
                                  <a:ahLst/>
                                  <a:cxnLst/>
                                  <a:rect l="l" t="t" r="r" b="b"/>
                                  <a:pathLst>
                                    <a:path w="515620" h="245744">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wps:wsp>
                            <wps:wsp>
                              <wps:cNvPr id="672880208" name="object 7"/>
                              <wps:cNvSpPr txBox="1"/>
                              <wps:spPr>
                                <a:xfrm>
                                  <a:off x="94798" y="33867"/>
                                  <a:ext cx="323215" cy="304800"/>
                                </a:xfrm>
                                <a:prstGeom prst="rect">
                                  <a:avLst/>
                                </a:prstGeom>
                              </wps:spPr>
                              <wps:txbx>
                                <w:txbxContent>
                                  <w:p w14:paraId="3EB970A4" w14:textId="77777777" w:rsidR="009D0C1D" w:rsidRPr="008278DD" w:rsidRDefault="009D0C1D" w:rsidP="0061381C">
                                    <w:pPr>
                                      <w:ind w:left="14"/>
                                      <w:rPr>
                                        <w:color w:val="FFFFFF"/>
                                        <w:spacing w:val="-5"/>
                                        <w:sz w:val="20"/>
                                      </w:rPr>
                                    </w:pPr>
                                    <w:r>
                                      <w:rPr>
                                        <w:color w:val="FFFFFF"/>
                                        <w:sz w:val="20"/>
                                      </w:rPr>
                                      <w:t>НОВЕ</w:t>
                                    </w:r>
                                  </w:p>
                                </w:txbxContent>
                              </wps:txbx>
                              <wps:bodyPr vert="horz" wrap="square" lIns="0" tIns="12700" rIns="0" bIns="0" rtlCol="0">
                                <a:noAutofit/>
                              </wps:bodyPr>
                            </wps:wsp>
                          </wpg:wgp>
                        </a:graphicData>
                      </a:graphic>
                    </wp:inline>
                  </w:drawing>
                </mc:Choice>
                <mc:Fallback>
                  <w:pict>
                    <v:group w14:anchorId="0AF66060" id="Групувати 12" o:spid="_x0000_s1026" style="width:55.35pt;height:35.35pt;mso-position-horizontal-relative:char;mso-position-vertical-relative:line" coordsize="515620,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">
                      <v:shape id="object 6" o:spid="_x0000_s1027" style="position:absolute;width:515620;height:245745;visibility:visible;mso-wrap-style:square;v-text-anchor:top" coordsize="515620,24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" path="m515543,l,,,122796r9650,47797l35966,209626r39032,26316l122796,245592r269951,l440545,235942r39032,-26316l505893,170593r9650,-47797l515543,xe" fillcolor="#0c8140" stroked="f">
                        <v:path arrowok="t"/>
                      </v:shape>
                      <v:shapetype id="_x0000_t202" coordsize="21600,21600" o:spt="202" path="m,l,21600r21600,l21600,xe">
                        <v:stroke joinstyle="miter"/>
                        <v:path gradientshapeok="t" o:connecttype="rect"/>
                      </v:shapetype>
                      <v:shape id="object 7" o:spid="_x0000_s1028" type="#_x0000_t202" style="position:absolute;left:94798;top:33867;width:323215;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" filled="f" stroked="f">
                        <v:textbox inset="0,1pt,0,0">
                          <w:txbxContent>
                            <w:p w14:paraId="3EB970A4" w14:textId="77777777" w:rsidR="009D0C1D" w:rsidRPr="008278DD" w:rsidRDefault="009D0C1D" w:rsidP="0061381C">
                              <w:pPr>
                                <w:ind w:left="14"/>
                                <w:rPr>
                                  <w:color w:val="FFFFFF"/>
                                  <w:spacing w:val="-5"/>
                                  <w:sz w:val="20"/>
                                </w:rPr>
                              </w:pPr>
                              <w:r>
                                <w:rPr>
                                  <w:color w:val="FFFFFF"/>
                                  <w:sz w:val="20"/>
                                </w:rPr>
                                <w:t>НОВЕ</w:t>
                              </w:r>
                            </w:p>
                          </w:txbxContent>
                        </v:textbox>
                      </v:shape>
                      <w10:anchorlock/>
                    </v:group>
                  </w:pict>
                </mc:Fallback>
              </mc:AlternateContent>
            </w:r>
          </w:p>
        </w:tc>
      </w:tr>
    </w:tbl>
    <w:p w14:paraId="033BB4B0" w14:textId="77777777" w:rsidR="00366CB9" w:rsidRDefault="00366CB9" w:rsidP="00425523">
      <w:pPr>
        <w:spacing w:line="1" w:lineRule="exact"/>
        <w:sectPr w:rsidR="00366CB9" w:rsidSect="00105171">
          <w:footerReference w:type="even" r:id="rId25"/>
          <w:type w:val="nextColumn"/>
          <w:pgSz w:w="11913" w:h="16840"/>
          <w:pgMar w:top="1469" w:right="1378" w:bottom="851" w:left="1372" w:header="0" w:footer="6" w:gutter="0"/>
          <w:paperSrc w:first="15" w:other="15"/>
          <w:cols w:space="720"/>
          <w:noEndnote/>
          <w:docGrid w:linePitch="360"/>
        </w:sectPr>
      </w:pPr>
    </w:p>
    <w:p w14:paraId="248F662F" w14:textId="77777777" w:rsidR="00366CB9" w:rsidRDefault="00366CB9" w:rsidP="00425523">
      <w:pPr>
        <w:spacing w:line="1" w:lineRule="exact"/>
      </w:pPr>
    </w:p>
    <w:p w14:paraId="2C4FCCEE" w14:textId="77777777" w:rsidR="00366CB9" w:rsidRDefault="009D0C1D" w:rsidP="0061381C">
      <w:pPr>
        <w:pStyle w:val="11"/>
        <w:shd w:val="clear" w:color="auto" w:fill="auto"/>
        <w:spacing w:before="0" w:after="720" w:line="240" w:lineRule="auto"/>
      </w:pPr>
      <w:bookmarkStart w:id="1" w:name="bookmark1"/>
      <w:bookmarkStart w:id="2" w:name="bookmark2"/>
      <w:bookmarkStart w:id="3" w:name="bookmark0"/>
      <w:r>
        <w:t>Подяка</w:t>
      </w:r>
      <w:bookmarkEnd w:id="1"/>
      <w:bookmarkEnd w:id="2"/>
      <w:bookmarkEnd w:id="3"/>
    </w:p>
    <w:p w14:paraId="0C758541" w14:textId="429EB195" w:rsidR="00366CB9" w:rsidRPr="006E22E5" w:rsidRDefault="009D0C1D" w:rsidP="0061381C">
      <w:pPr>
        <w:pStyle w:val="1"/>
        <w:shd w:val="clear" w:color="auto" w:fill="auto"/>
        <w:spacing w:after="140" w:line="324" w:lineRule="auto"/>
        <w:jc w:val="both"/>
        <w:rPr>
          <w:sz w:val="18"/>
          <w:szCs w:val="18"/>
        </w:rPr>
      </w:pPr>
      <w:r>
        <w:rPr>
          <w:sz w:val="18"/>
          <w:szCs w:val="18"/>
        </w:rPr>
        <w:t>Оперційне керівництво</w:t>
      </w:r>
      <w:r w:rsidRPr="006E22E5">
        <w:rPr>
          <w:sz w:val="18"/>
          <w:szCs w:val="18"/>
        </w:rPr>
        <w:t xml:space="preserve"> щодо туберкульозу (ТБ) було оновлено під керівництвом Nazir Ahmed Ismail, Patricia Hall-Eidson, Carl-Michael Nathanson та Олексія Коробіцина за підтримки Cecily Miller, Dennis Falzon, Avinash Kanchar та Matteo Zignol під загальним керівництвом Терези Касаєвої, директора Глобальної програми Всесвітньої організації охорони здоров’я з туберкульозу та ТБ легень (ВООЗ/GTB). Керівництво ВООЗ/GTB висловлює подяку Thomas Shinnick, незалежному раднику з м. Атланта (штат Джорджія), США, за роботу над частинами довідника, що охоплюють первинну діагностику ТБ, а також Richard (Dick) Menzies, Lika Apriani та Anete Trajman з Міжнародного центру з туберкульозу Університету МакГілла, Канада, за роботу над частинами довідника, що охоплюють тестування на виявлення туберкульозної інфекції, включеними до </w:t>
      </w:r>
      <w:r w:rsidRPr="006E22E5">
        <w:rPr>
          <w:b/>
          <w:bCs/>
          <w:sz w:val="18"/>
          <w:szCs w:val="18"/>
        </w:rPr>
        <w:t>Додатку 4</w:t>
      </w:r>
      <w:r w:rsidRPr="006E22E5">
        <w:rPr>
          <w:sz w:val="18"/>
          <w:szCs w:val="18"/>
        </w:rPr>
        <w:t>.</w:t>
      </w:r>
    </w:p>
    <w:p w14:paraId="1385CA56" w14:textId="49481C8A" w:rsidR="00366CB9" w:rsidRPr="006E22E5" w:rsidRDefault="009D0C1D" w:rsidP="0061381C">
      <w:pPr>
        <w:pStyle w:val="1"/>
        <w:shd w:val="clear" w:color="auto" w:fill="auto"/>
        <w:spacing w:after="140" w:line="324" w:lineRule="auto"/>
        <w:jc w:val="both"/>
        <w:rPr>
          <w:sz w:val="18"/>
          <w:szCs w:val="18"/>
        </w:rPr>
      </w:pPr>
      <w:r>
        <w:rPr>
          <w:sz w:val="18"/>
          <w:szCs w:val="18"/>
        </w:rPr>
        <w:t>Керівництво</w:t>
      </w:r>
      <w:r w:rsidRPr="006E22E5">
        <w:rPr>
          <w:sz w:val="18"/>
          <w:szCs w:val="18"/>
        </w:rPr>
        <w:t xml:space="preserve"> було розроблено на основі результатів роботи групи з розробки керівництва (ГРК) та технічної консультативної групи (ТКГ); усі рекомендації, класифікація інструментів та віднесення інструментів до класів засновані на рішеннях попередніх зустрічей ГРК та ТКГ. Включення нових аналізів на вивільнення гамма-інтерферону (IGRA) та рішень для цільового секвенування наступного покоління (СНП) засновано на результатах зустрічі ТКГ 20-23 січня 2025 року у м. Женева, Швейцарія. ВООЗ із вдячністю визнає внесок таких членів ТКГ у рецензію документа: Heidi Albert, Фонд інноваційної діагностики (FIND), Південна Африка; Khalide Azam, Проєкт підтримки системи охорони здоров’я щодо туберкульозу в Південній Африці: спільнота фахівців у сфері охорони здоров’я Східної, Центральної та Південної Африки, Об’єднана Республіка Танзанія; Daniela Maria Cirillo, Університет Сан-Рафаеле, Італія; Christopher Coulter, Референс-лабораторія культури мікобактерій у Квінсленді, Австралія; Valeriu Crudu, Національна референс-лабораторія з діагностики ТБ, Республіка Молдова; Claudia Denkinger, Гайдельберзький університет Рупрехта-Карла, Німеччина; Nguyen Van Hung, Національна референс-лабораторія з діагностики ТБ, В’єтнам; Farzana Ismail, Національний інститут інфекційних захворювань Південної Африки/Національна служба лабораторій з охорони здоров’я, Південна Африка; Ірина Лядова, Інститут біології розвитку ім. М.К. Кольцова РАН, Російська Федерація; Sandeep Meharwal, FHI360, Таїланд; Mark Nicol, Університет Західної Австралії, Австралія; Shaheed V Omar, Національний інститут інфекційних захворювань та Національна служба лабораторій з охорони здоров’я, Південна Африка; Vithal Prasad Myneedu, Центр ТБ та ВІЛ/СНІД Асоціації регіонального співробітництва Південної Азії (SAARC); Alaine Umubyeyi Nyaruhirira, Management Sciences for Health, Південна Африка; Madhukar Pai, Університет МакГілла, Канада; Paulo Redner, Фонд Освальдо Круза, Бразилія; Sadia Shakoor, Університетська лікарня Ага Хана, Пакистан; Siva Kumar Shanmugam, Індійська рада з медичних досліджень, Індія; Xin Shen, Шанхайський муніципальний центр з контролю та профілактики захворювань, Китай; Thomas Shinnick, незалежний радник, США; Sabira Tahseen, Міністерство національних служб охорони здоров’я, що регламентує та координує їхню діяльність, Пакистан; та Yanlin Zhao, Центр з контролю та профілактики захворювань у Китаї, Китай.</w:t>
      </w:r>
    </w:p>
    <w:p w14:paraId="0EAFEFCE" w14:textId="77777777" w:rsidR="00366CB9" w:rsidRPr="006E22E5" w:rsidRDefault="009D0C1D" w:rsidP="0061381C">
      <w:pPr>
        <w:pStyle w:val="1"/>
        <w:shd w:val="clear" w:color="auto" w:fill="auto"/>
        <w:spacing w:line="324" w:lineRule="auto"/>
        <w:jc w:val="both"/>
        <w:rPr>
          <w:sz w:val="18"/>
          <w:szCs w:val="18"/>
        </w:rPr>
      </w:pPr>
      <w:r w:rsidRPr="006E22E5">
        <w:rPr>
          <w:sz w:val="18"/>
          <w:szCs w:val="18"/>
        </w:rPr>
        <w:t>Christopher Dobosz розробив усі рисунки.</w:t>
      </w:r>
    </w:p>
    <w:p w14:paraId="2F2B745B" w14:textId="77777777" w:rsidR="00366CB9" w:rsidRDefault="009D0C1D" w:rsidP="00425523">
      <w:pPr>
        <w:spacing w:line="1" w:lineRule="exact"/>
        <w:sectPr w:rsidR="00366CB9" w:rsidSect="0061381C">
          <w:footerReference w:type="default" r:id="rId26"/>
          <w:type w:val="nextColumn"/>
          <w:pgSz w:w="11913" w:h="16840"/>
          <w:pgMar w:top="2325" w:right="1378" w:bottom="851" w:left="1372" w:header="0" w:footer="6" w:gutter="0"/>
          <w:paperSrc w:first="15" w:other="15"/>
          <w:cols w:space="720"/>
          <w:noEndnote/>
          <w:docGrid w:linePitch="360"/>
        </w:sectPr>
      </w:pPr>
      <w:r>
        <w:rPr>
          <w:noProof/>
        </w:rPr>
        <w:drawing>
          <wp:anchor distT="0" distB="0" distL="0" distR="0" simplePos="0" relativeHeight="251419648" behindDoc="1" locked="0" layoutInCell="1" allowOverlap="1" wp14:anchorId="191F18E8" wp14:editId="64CABA2C">
            <wp:simplePos x="0" y="0"/>
            <wp:positionH relativeFrom="page">
              <wp:align>left</wp:align>
            </wp:positionH>
            <wp:positionV relativeFrom="page">
              <wp:align>top</wp:align>
            </wp:positionV>
            <wp:extent cx="7560000" cy="1472400"/>
            <wp:effectExtent l="0" t="0" r="3175" b="0"/>
            <wp:wrapNone/>
            <wp:docPr id="8" name="Shape 8"/>
            <wp:cNvGraphicFramePr/>
            <a:graphic xmlns:a="http://schemas.openxmlformats.org/drawingml/2006/main">
              <a:graphicData uri="http://schemas.openxmlformats.org/drawingml/2006/picture">
                <pic:pic xmlns:pic="http://schemas.openxmlformats.org/drawingml/2006/picture">
                  <pic:nvPicPr>
                    <pic:cNvPr id="9" name="Picture box 9"/>
                    <pic:cNvPicPr/>
                  </pic:nvPicPr>
                  <pic:blipFill>
                    <a:blip r:embed="rId27"/>
                    <a:stretch/>
                  </pic:blipFill>
                  <pic:spPr>
                    <a:xfrm>
                      <a:off x="0" y="0"/>
                      <a:ext cx="7560000" cy="1472400"/>
                    </a:xfrm>
                    <a:prstGeom prst="rect">
                      <a:avLst/>
                    </a:prstGeom>
                  </pic:spPr>
                </pic:pic>
              </a:graphicData>
            </a:graphic>
            <wp14:sizeRelH relativeFrom="margin">
              <wp14:pctWidth>0</wp14:pctWidth>
            </wp14:sizeRelH>
            <wp14:sizeRelV relativeFrom="margin">
              <wp14:pctHeight>0</wp14:pctHeight>
            </wp14:sizeRelV>
          </wp:anchor>
        </w:drawing>
      </w:r>
    </w:p>
    <w:p w14:paraId="311B8F11" w14:textId="77777777" w:rsidR="00366CB9" w:rsidRDefault="00366CB9" w:rsidP="00425523">
      <w:pPr>
        <w:spacing w:line="1" w:lineRule="exact"/>
      </w:pPr>
    </w:p>
    <w:tbl>
      <w:tblPr>
        <w:tblOverlap w:val="never"/>
        <w:tblW w:w="9169" w:type="dxa"/>
        <w:tblLayout w:type="fixed"/>
        <w:tblCellMar>
          <w:left w:w="10" w:type="dxa"/>
          <w:right w:w="10" w:type="dxa"/>
        </w:tblCellMar>
        <w:tblLook w:val="0000" w:firstRow="0" w:lastRow="0" w:firstColumn="0" w:lastColumn="0" w:noHBand="0" w:noVBand="0"/>
      </w:tblPr>
      <w:tblGrid>
        <w:gridCol w:w="2141"/>
        <w:gridCol w:w="7028"/>
      </w:tblGrid>
      <w:tr w:rsidR="00366CB9" w14:paraId="4E733D7B" w14:textId="77777777" w:rsidTr="0061381C">
        <w:trPr>
          <w:trHeight w:hRule="exact" w:val="1339"/>
        </w:trPr>
        <w:tc>
          <w:tcPr>
            <w:tcW w:w="9169" w:type="dxa"/>
            <w:gridSpan w:val="2"/>
            <w:shd w:val="clear" w:color="auto" w:fill="FFFFFF"/>
          </w:tcPr>
          <w:p w14:paraId="094C4802" w14:textId="77777777" w:rsidR="00366CB9" w:rsidRDefault="009D0C1D" w:rsidP="0061381C">
            <w:pPr>
              <w:pStyle w:val="a6"/>
              <w:shd w:val="clear" w:color="auto" w:fill="auto"/>
              <w:rPr>
                <w:sz w:val="62"/>
                <w:szCs w:val="62"/>
              </w:rPr>
            </w:pPr>
            <w:bookmarkStart w:id="4" w:name="bookmark4"/>
            <w:bookmarkStart w:id="5" w:name="bookmark3"/>
            <w:r>
              <w:rPr>
                <w:b w:val="0"/>
                <w:color w:val="019648"/>
                <w:sz w:val="62"/>
              </w:rPr>
              <w:t>Скорочення та абревіатури</w:t>
            </w:r>
            <w:bookmarkEnd w:id="4"/>
            <w:bookmarkEnd w:id="5"/>
          </w:p>
        </w:tc>
      </w:tr>
      <w:tr w:rsidR="00366CB9" w14:paraId="115A9E34" w14:textId="77777777" w:rsidTr="0061381C">
        <w:trPr>
          <w:trHeight w:hRule="exact" w:val="307"/>
        </w:trPr>
        <w:tc>
          <w:tcPr>
            <w:tcW w:w="2141" w:type="dxa"/>
            <w:shd w:val="clear" w:color="auto" w:fill="FFFFFF"/>
          </w:tcPr>
          <w:p w14:paraId="360A7FD6" w14:textId="77777777" w:rsidR="00366CB9" w:rsidRPr="006E22E5" w:rsidRDefault="009D0C1D" w:rsidP="0061381C">
            <w:pPr>
              <w:pStyle w:val="a6"/>
              <w:shd w:val="clear" w:color="auto" w:fill="auto"/>
              <w:rPr>
                <w:sz w:val="18"/>
                <w:szCs w:val="24"/>
              </w:rPr>
            </w:pPr>
            <w:r w:rsidRPr="006E22E5">
              <w:rPr>
                <w:color w:val="019648"/>
                <w:sz w:val="18"/>
                <w:szCs w:val="24"/>
              </w:rPr>
              <w:t>СНІД</w:t>
            </w:r>
          </w:p>
        </w:tc>
        <w:tc>
          <w:tcPr>
            <w:tcW w:w="7028" w:type="dxa"/>
            <w:shd w:val="clear" w:color="auto" w:fill="FFFFFF"/>
          </w:tcPr>
          <w:p w14:paraId="4BD6FAA6" w14:textId="77777777" w:rsidR="00366CB9" w:rsidRPr="006E22E5" w:rsidRDefault="009D0C1D" w:rsidP="0061381C">
            <w:pPr>
              <w:pStyle w:val="a6"/>
              <w:shd w:val="clear" w:color="auto" w:fill="auto"/>
              <w:rPr>
                <w:sz w:val="18"/>
                <w:szCs w:val="24"/>
              </w:rPr>
            </w:pPr>
            <w:r w:rsidRPr="006E22E5">
              <w:rPr>
                <w:b w:val="0"/>
                <w:color w:val="000000"/>
                <w:sz w:val="18"/>
                <w:szCs w:val="24"/>
              </w:rPr>
              <w:t>синдром набутого імунодефіциту</w:t>
            </w:r>
          </w:p>
        </w:tc>
      </w:tr>
      <w:tr w:rsidR="00366CB9" w14:paraId="43C56131" w14:textId="77777777" w:rsidTr="0061381C">
        <w:trPr>
          <w:trHeight w:hRule="exact" w:val="326"/>
        </w:trPr>
        <w:tc>
          <w:tcPr>
            <w:tcW w:w="2141" w:type="dxa"/>
            <w:shd w:val="clear" w:color="auto" w:fill="FFFFFF"/>
          </w:tcPr>
          <w:p w14:paraId="5C73F9F2" w14:textId="77777777" w:rsidR="00366CB9" w:rsidRPr="006E22E5" w:rsidRDefault="009D0C1D" w:rsidP="0061381C">
            <w:pPr>
              <w:pStyle w:val="a6"/>
              <w:shd w:val="clear" w:color="auto" w:fill="auto"/>
              <w:rPr>
                <w:sz w:val="18"/>
                <w:szCs w:val="24"/>
              </w:rPr>
            </w:pPr>
            <w:r w:rsidRPr="006E22E5">
              <w:rPr>
                <w:color w:val="019648"/>
                <w:sz w:val="18"/>
                <w:szCs w:val="24"/>
              </w:rPr>
              <w:t>АРТ</w:t>
            </w:r>
          </w:p>
        </w:tc>
        <w:tc>
          <w:tcPr>
            <w:tcW w:w="7028" w:type="dxa"/>
            <w:shd w:val="clear" w:color="auto" w:fill="FFFFFF"/>
          </w:tcPr>
          <w:p w14:paraId="68489693" w14:textId="77777777" w:rsidR="00366CB9" w:rsidRPr="006E22E5" w:rsidRDefault="009D0C1D" w:rsidP="0061381C">
            <w:pPr>
              <w:pStyle w:val="a6"/>
              <w:shd w:val="clear" w:color="auto" w:fill="auto"/>
              <w:rPr>
                <w:sz w:val="18"/>
                <w:szCs w:val="24"/>
              </w:rPr>
            </w:pPr>
            <w:r w:rsidRPr="006E22E5">
              <w:rPr>
                <w:b w:val="0"/>
                <w:color w:val="000000"/>
                <w:sz w:val="18"/>
                <w:szCs w:val="24"/>
              </w:rPr>
              <w:t>антиретровірусна терапія</w:t>
            </w:r>
          </w:p>
        </w:tc>
      </w:tr>
      <w:tr w:rsidR="00366CB9" w14:paraId="194AAD16" w14:textId="77777777" w:rsidTr="0061381C">
        <w:trPr>
          <w:trHeight w:hRule="exact" w:val="336"/>
        </w:trPr>
        <w:tc>
          <w:tcPr>
            <w:tcW w:w="2141" w:type="dxa"/>
            <w:shd w:val="clear" w:color="auto" w:fill="FFFFFF"/>
          </w:tcPr>
          <w:p w14:paraId="062E5BD6" w14:textId="77777777" w:rsidR="00366CB9" w:rsidRPr="006E22E5" w:rsidRDefault="009D0C1D" w:rsidP="0061381C">
            <w:pPr>
              <w:pStyle w:val="a6"/>
              <w:shd w:val="clear" w:color="auto" w:fill="auto"/>
              <w:rPr>
                <w:sz w:val="18"/>
                <w:szCs w:val="24"/>
              </w:rPr>
            </w:pPr>
            <w:r w:rsidRPr="006E22E5">
              <w:rPr>
                <w:color w:val="019648"/>
                <w:sz w:val="18"/>
                <w:szCs w:val="24"/>
              </w:rPr>
              <w:t>БЦЖ</w:t>
            </w:r>
          </w:p>
        </w:tc>
        <w:tc>
          <w:tcPr>
            <w:tcW w:w="7028" w:type="dxa"/>
            <w:shd w:val="clear" w:color="auto" w:fill="FFFFFF"/>
          </w:tcPr>
          <w:p w14:paraId="3B85DBB6" w14:textId="77777777" w:rsidR="00366CB9" w:rsidRPr="006E22E5" w:rsidRDefault="009D0C1D" w:rsidP="0061381C">
            <w:pPr>
              <w:pStyle w:val="a6"/>
              <w:shd w:val="clear" w:color="auto" w:fill="auto"/>
              <w:rPr>
                <w:sz w:val="18"/>
                <w:szCs w:val="24"/>
              </w:rPr>
            </w:pPr>
            <w:r w:rsidRPr="006E22E5">
              <w:rPr>
                <w:b w:val="0"/>
                <w:color w:val="000000"/>
                <w:sz w:val="18"/>
                <w:szCs w:val="24"/>
              </w:rPr>
              <w:t>бацила Кальметта-Герена (вакцина)</w:t>
            </w:r>
          </w:p>
        </w:tc>
      </w:tr>
      <w:tr w:rsidR="00366CB9" w14:paraId="0ACD3952" w14:textId="77777777" w:rsidTr="0061381C">
        <w:trPr>
          <w:trHeight w:hRule="exact" w:val="326"/>
        </w:trPr>
        <w:tc>
          <w:tcPr>
            <w:tcW w:w="2141" w:type="dxa"/>
            <w:shd w:val="clear" w:color="auto" w:fill="FFFFFF"/>
          </w:tcPr>
          <w:p w14:paraId="60DEE1E8" w14:textId="77777777" w:rsidR="00366CB9" w:rsidRPr="006E22E5" w:rsidRDefault="009D0C1D" w:rsidP="0061381C">
            <w:pPr>
              <w:pStyle w:val="a6"/>
              <w:shd w:val="clear" w:color="auto" w:fill="auto"/>
              <w:rPr>
                <w:sz w:val="18"/>
                <w:szCs w:val="24"/>
              </w:rPr>
            </w:pPr>
            <w:r w:rsidRPr="006E22E5">
              <w:rPr>
                <w:color w:val="019648"/>
                <w:sz w:val="18"/>
                <w:szCs w:val="24"/>
              </w:rPr>
              <w:t>КК</w:t>
            </w:r>
          </w:p>
        </w:tc>
        <w:tc>
          <w:tcPr>
            <w:tcW w:w="7028" w:type="dxa"/>
            <w:shd w:val="clear" w:color="auto" w:fill="FFFFFF"/>
          </w:tcPr>
          <w:p w14:paraId="618D74F8" w14:textId="77777777" w:rsidR="00366CB9" w:rsidRPr="006E22E5" w:rsidRDefault="009D0C1D" w:rsidP="0061381C">
            <w:pPr>
              <w:pStyle w:val="a6"/>
              <w:shd w:val="clear" w:color="auto" w:fill="auto"/>
              <w:rPr>
                <w:sz w:val="18"/>
                <w:szCs w:val="24"/>
              </w:rPr>
            </w:pPr>
            <w:r w:rsidRPr="006E22E5">
              <w:rPr>
                <w:b w:val="0"/>
                <w:color w:val="000000"/>
                <w:sz w:val="18"/>
                <w:szCs w:val="24"/>
              </w:rPr>
              <w:t>критична концентрація</w:t>
            </w:r>
          </w:p>
        </w:tc>
      </w:tr>
      <w:tr w:rsidR="00366CB9" w14:paraId="6E876A62" w14:textId="77777777" w:rsidTr="0061381C">
        <w:trPr>
          <w:trHeight w:hRule="exact" w:val="341"/>
        </w:trPr>
        <w:tc>
          <w:tcPr>
            <w:tcW w:w="2141" w:type="dxa"/>
            <w:shd w:val="clear" w:color="auto" w:fill="FFFFFF"/>
          </w:tcPr>
          <w:p w14:paraId="7E1CAF7D" w14:textId="77777777" w:rsidR="00366CB9" w:rsidRPr="006E22E5" w:rsidRDefault="009D0C1D" w:rsidP="0061381C">
            <w:pPr>
              <w:pStyle w:val="a6"/>
              <w:shd w:val="clear" w:color="auto" w:fill="auto"/>
              <w:rPr>
                <w:sz w:val="18"/>
                <w:szCs w:val="24"/>
              </w:rPr>
            </w:pPr>
            <w:r w:rsidRPr="006E22E5">
              <w:rPr>
                <w:color w:val="019648"/>
                <w:sz w:val="18"/>
                <w:szCs w:val="24"/>
              </w:rPr>
              <w:t>CFP-10</w:t>
            </w:r>
          </w:p>
        </w:tc>
        <w:tc>
          <w:tcPr>
            <w:tcW w:w="7028" w:type="dxa"/>
            <w:shd w:val="clear" w:color="auto" w:fill="FFFFFF"/>
          </w:tcPr>
          <w:p w14:paraId="2D855129" w14:textId="77777777" w:rsidR="00366CB9" w:rsidRPr="006E22E5" w:rsidRDefault="009D0C1D" w:rsidP="0061381C">
            <w:pPr>
              <w:pStyle w:val="a6"/>
              <w:shd w:val="clear" w:color="auto" w:fill="auto"/>
              <w:rPr>
                <w:sz w:val="18"/>
                <w:szCs w:val="24"/>
              </w:rPr>
            </w:pPr>
            <w:r w:rsidRPr="006E22E5">
              <w:rPr>
                <w:b w:val="0"/>
                <w:color w:val="000000"/>
                <w:sz w:val="18"/>
                <w:szCs w:val="24"/>
              </w:rPr>
              <w:t>білок культурального фільтрату 10</w:t>
            </w:r>
          </w:p>
        </w:tc>
      </w:tr>
      <w:tr w:rsidR="00366CB9" w14:paraId="2B9392A0" w14:textId="77777777" w:rsidTr="0061381C">
        <w:trPr>
          <w:trHeight w:hRule="exact" w:val="331"/>
        </w:trPr>
        <w:tc>
          <w:tcPr>
            <w:tcW w:w="2141" w:type="dxa"/>
            <w:shd w:val="clear" w:color="auto" w:fill="FFFFFF"/>
          </w:tcPr>
          <w:p w14:paraId="5C091F4C" w14:textId="77777777" w:rsidR="00366CB9" w:rsidRPr="006E22E5" w:rsidRDefault="009D0C1D" w:rsidP="0061381C">
            <w:pPr>
              <w:pStyle w:val="a6"/>
              <w:shd w:val="clear" w:color="auto" w:fill="auto"/>
              <w:rPr>
                <w:sz w:val="18"/>
                <w:szCs w:val="24"/>
              </w:rPr>
            </w:pPr>
            <w:r w:rsidRPr="006E22E5">
              <w:rPr>
                <w:color w:val="019648"/>
                <w:sz w:val="18"/>
                <w:szCs w:val="24"/>
              </w:rPr>
              <w:t>ДІ</w:t>
            </w:r>
          </w:p>
        </w:tc>
        <w:tc>
          <w:tcPr>
            <w:tcW w:w="7028" w:type="dxa"/>
            <w:shd w:val="clear" w:color="auto" w:fill="FFFFFF"/>
          </w:tcPr>
          <w:p w14:paraId="65027D73" w14:textId="77777777" w:rsidR="00366CB9" w:rsidRPr="006E22E5" w:rsidRDefault="009D0C1D" w:rsidP="0061381C">
            <w:pPr>
              <w:pStyle w:val="a6"/>
              <w:shd w:val="clear" w:color="auto" w:fill="auto"/>
              <w:rPr>
                <w:sz w:val="18"/>
                <w:szCs w:val="24"/>
              </w:rPr>
            </w:pPr>
            <w:r w:rsidRPr="006E22E5">
              <w:rPr>
                <w:b w:val="0"/>
                <w:color w:val="000000"/>
                <w:sz w:val="18"/>
                <w:szCs w:val="24"/>
              </w:rPr>
              <w:t>довірчий інтервал</w:t>
            </w:r>
          </w:p>
        </w:tc>
      </w:tr>
      <w:tr w:rsidR="00366CB9" w14:paraId="1FCBCAD4" w14:textId="77777777" w:rsidTr="0061381C">
        <w:trPr>
          <w:trHeight w:hRule="exact" w:val="346"/>
        </w:trPr>
        <w:tc>
          <w:tcPr>
            <w:tcW w:w="2141" w:type="dxa"/>
            <w:shd w:val="clear" w:color="auto" w:fill="FFFFFF"/>
          </w:tcPr>
          <w:p w14:paraId="576CC28A" w14:textId="77777777" w:rsidR="00366CB9" w:rsidRPr="006E22E5" w:rsidRDefault="009D0C1D" w:rsidP="0061381C">
            <w:pPr>
              <w:pStyle w:val="a6"/>
              <w:shd w:val="clear" w:color="auto" w:fill="auto"/>
              <w:rPr>
                <w:sz w:val="18"/>
                <w:szCs w:val="24"/>
              </w:rPr>
            </w:pPr>
            <w:r w:rsidRPr="006E22E5">
              <w:rPr>
                <w:color w:val="019648"/>
                <w:sz w:val="18"/>
                <w:szCs w:val="24"/>
              </w:rPr>
              <w:t>CLIA</w:t>
            </w:r>
          </w:p>
        </w:tc>
        <w:tc>
          <w:tcPr>
            <w:tcW w:w="7028" w:type="dxa"/>
            <w:shd w:val="clear" w:color="auto" w:fill="FFFFFF"/>
          </w:tcPr>
          <w:p w14:paraId="02700DBD" w14:textId="77777777" w:rsidR="00366CB9" w:rsidRPr="006E22E5" w:rsidRDefault="009D0C1D" w:rsidP="0061381C">
            <w:pPr>
              <w:pStyle w:val="a6"/>
              <w:shd w:val="clear" w:color="auto" w:fill="auto"/>
              <w:rPr>
                <w:sz w:val="18"/>
                <w:szCs w:val="24"/>
              </w:rPr>
            </w:pPr>
            <w:r w:rsidRPr="006E22E5">
              <w:rPr>
                <w:b w:val="0"/>
                <w:color w:val="000000"/>
                <w:sz w:val="18"/>
                <w:szCs w:val="24"/>
              </w:rPr>
              <w:t>імунохемілюмінесцентний аналіз</w:t>
            </w:r>
          </w:p>
        </w:tc>
      </w:tr>
      <w:tr w:rsidR="00366CB9" w14:paraId="5647A736" w14:textId="77777777" w:rsidTr="0061381C">
        <w:trPr>
          <w:trHeight w:hRule="exact" w:val="336"/>
        </w:trPr>
        <w:tc>
          <w:tcPr>
            <w:tcW w:w="2141" w:type="dxa"/>
            <w:shd w:val="clear" w:color="auto" w:fill="FFFFFF"/>
          </w:tcPr>
          <w:p w14:paraId="6830DF36" w14:textId="77777777" w:rsidR="00366CB9" w:rsidRPr="006E22E5" w:rsidRDefault="009D0C1D" w:rsidP="0061381C">
            <w:pPr>
              <w:pStyle w:val="a6"/>
              <w:shd w:val="clear" w:color="auto" w:fill="auto"/>
              <w:rPr>
                <w:sz w:val="18"/>
                <w:szCs w:val="24"/>
              </w:rPr>
            </w:pPr>
            <w:r w:rsidRPr="006E22E5">
              <w:rPr>
                <w:color w:val="019648"/>
                <w:sz w:val="18"/>
                <w:szCs w:val="24"/>
              </w:rPr>
              <w:t>СМР</w:t>
            </w:r>
          </w:p>
        </w:tc>
        <w:tc>
          <w:tcPr>
            <w:tcW w:w="7028" w:type="dxa"/>
            <w:shd w:val="clear" w:color="auto" w:fill="FFFFFF"/>
          </w:tcPr>
          <w:p w14:paraId="35F0144D" w14:textId="77777777" w:rsidR="00366CB9" w:rsidRPr="006E22E5" w:rsidRDefault="009D0C1D" w:rsidP="0061381C">
            <w:pPr>
              <w:pStyle w:val="a6"/>
              <w:shd w:val="clear" w:color="auto" w:fill="auto"/>
              <w:rPr>
                <w:sz w:val="18"/>
                <w:szCs w:val="24"/>
              </w:rPr>
            </w:pPr>
            <w:r w:rsidRPr="006E22E5">
              <w:rPr>
                <w:b w:val="0"/>
                <w:color w:val="000000"/>
                <w:sz w:val="18"/>
                <w:szCs w:val="24"/>
              </w:rPr>
              <w:t>спинномозкова рідина</w:t>
            </w:r>
          </w:p>
        </w:tc>
      </w:tr>
      <w:tr w:rsidR="00366CB9" w14:paraId="76BB810A" w14:textId="77777777" w:rsidTr="0061381C">
        <w:trPr>
          <w:trHeight w:hRule="exact" w:val="341"/>
        </w:trPr>
        <w:tc>
          <w:tcPr>
            <w:tcW w:w="2141" w:type="dxa"/>
            <w:shd w:val="clear" w:color="auto" w:fill="FFFFFF"/>
          </w:tcPr>
          <w:p w14:paraId="15E6A946" w14:textId="77777777" w:rsidR="00366CB9" w:rsidRPr="006E22E5" w:rsidRDefault="009D0C1D" w:rsidP="0061381C">
            <w:pPr>
              <w:pStyle w:val="a6"/>
              <w:shd w:val="clear" w:color="auto" w:fill="auto"/>
              <w:rPr>
                <w:sz w:val="18"/>
                <w:szCs w:val="24"/>
              </w:rPr>
            </w:pPr>
            <w:r w:rsidRPr="006E22E5">
              <w:rPr>
                <w:color w:val="019648"/>
                <w:sz w:val="18"/>
                <w:szCs w:val="24"/>
              </w:rPr>
              <w:t>РОГК</w:t>
            </w:r>
          </w:p>
        </w:tc>
        <w:tc>
          <w:tcPr>
            <w:tcW w:w="7028" w:type="dxa"/>
            <w:shd w:val="clear" w:color="auto" w:fill="FFFFFF"/>
          </w:tcPr>
          <w:p w14:paraId="4CF89010" w14:textId="77777777" w:rsidR="00366CB9" w:rsidRPr="006E22E5" w:rsidRDefault="009D0C1D" w:rsidP="0061381C">
            <w:pPr>
              <w:pStyle w:val="a6"/>
              <w:shd w:val="clear" w:color="auto" w:fill="auto"/>
              <w:rPr>
                <w:sz w:val="18"/>
                <w:szCs w:val="24"/>
              </w:rPr>
            </w:pPr>
            <w:r w:rsidRPr="006E22E5">
              <w:rPr>
                <w:b w:val="0"/>
                <w:color w:val="000000"/>
                <w:sz w:val="18"/>
                <w:szCs w:val="24"/>
              </w:rPr>
              <w:t>рентгенографія органів грудної клітини</w:t>
            </w:r>
          </w:p>
        </w:tc>
      </w:tr>
      <w:tr w:rsidR="00366CB9" w14:paraId="67984A31" w14:textId="77777777" w:rsidTr="0061381C">
        <w:trPr>
          <w:trHeight w:hRule="exact" w:val="336"/>
        </w:trPr>
        <w:tc>
          <w:tcPr>
            <w:tcW w:w="2141" w:type="dxa"/>
            <w:shd w:val="clear" w:color="auto" w:fill="FFFFFF"/>
          </w:tcPr>
          <w:p w14:paraId="12524490" w14:textId="77777777" w:rsidR="00366CB9" w:rsidRPr="006E22E5" w:rsidRDefault="009D0C1D" w:rsidP="0061381C">
            <w:pPr>
              <w:pStyle w:val="a6"/>
              <w:shd w:val="clear" w:color="auto" w:fill="auto"/>
              <w:rPr>
                <w:sz w:val="18"/>
                <w:szCs w:val="24"/>
              </w:rPr>
            </w:pPr>
            <w:r w:rsidRPr="006E22E5">
              <w:rPr>
                <w:color w:val="019648"/>
                <w:sz w:val="18"/>
                <w:szCs w:val="24"/>
              </w:rPr>
              <w:t>ДНК</w:t>
            </w:r>
          </w:p>
        </w:tc>
        <w:tc>
          <w:tcPr>
            <w:tcW w:w="7028" w:type="dxa"/>
            <w:shd w:val="clear" w:color="auto" w:fill="FFFFFF"/>
          </w:tcPr>
          <w:p w14:paraId="791CF963" w14:textId="77777777" w:rsidR="00366CB9" w:rsidRPr="006E22E5" w:rsidRDefault="009D0C1D" w:rsidP="0061381C">
            <w:pPr>
              <w:pStyle w:val="a6"/>
              <w:shd w:val="clear" w:color="auto" w:fill="auto"/>
              <w:rPr>
                <w:sz w:val="18"/>
                <w:szCs w:val="24"/>
              </w:rPr>
            </w:pPr>
            <w:r w:rsidRPr="006E22E5">
              <w:rPr>
                <w:b w:val="0"/>
                <w:color w:val="000000"/>
                <w:sz w:val="18"/>
                <w:szCs w:val="24"/>
              </w:rPr>
              <w:t>дезоксирибонуклеїнова кислота</w:t>
            </w:r>
          </w:p>
        </w:tc>
      </w:tr>
      <w:tr w:rsidR="00366CB9" w14:paraId="00FE0C97" w14:textId="77777777" w:rsidTr="0061381C">
        <w:trPr>
          <w:trHeight w:hRule="exact" w:val="317"/>
        </w:trPr>
        <w:tc>
          <w:tcPr>
            <w:tcW w:w="2141" w:type="dxa"/>
            <w:shd w:val="clear" w:color="auto" w:fill="FFFFFF"/>
          </w:tcPr>
          <w:p w14:paraId="5863241F" w14:textId="77777777" w:rsidR="00366CB9" w:rsidRPr="006E22E5" w:rsidRDefault="009D0C1D" w:rsidP="0061381C">
            <w:pPr>
              <w:pStyle w:val="a6"/>
              <w:shd w:val="clear" w:color="auto" w:fill="auto"/>
              <w:rPr>
                <w:sz w:val="18"/>
                <w:szCs w:val="24"/>
              </w:rPr>
            </w:pPr>
            <w:r w:rsidRPr="006E22E5">
              <w:rPr>
                <w:color w:val="019648"/>
                <w:sz w:val="18"/>
                <w:szCs w:val="24"/>
              </w:rPr>
              <w:t>ЛС-ТБ</w:t>
            </w:r>
          </w:p>
        </w:tc>
        <w:tc>
          <w:tcPr>
            <w:tcW w:w="7028" w:type="dxa"/>
            <w:shd w:val="clear" w:color="auto" w:fill="FFFFFF"/>
          </w:tcPr>
          <w:p w14:paraId="6E6DAFCC" w14:textId="77777777" w:rsidR="00366CB9" w:rsidRPr="006E22E5" w:rsidRDefault="009D0C1D" w:rsidP="0061381C">
            <w:pPr>
              <w:pStyle w:val="a6"/>
              <w:shd w:val="clear" w:color="auto" w:fill="auto"/>
              <w:rPr>
                <w:sz w:val="18"/>
                <w:szCs w:val="24"/>
              </w:rPr>
            </w:pPr>
            <w:r w:rsidRPr="006E22E5">
              <w:rPr>
                <w:b w:val="0"/>
                <w:color w:val="000000"/>
                <w:sz w:val="18"/>
                <w:szCs w:val="24"/>
              </w:rPr>
              <w:t>лікарсько-стійкий туберкульоз</w:t>
            </w:r>
          </w:p>
        </w:tc>
      </w:tr>
      <w:tr w:rsidR="00366CB9" w14:paraId="172188A5" w14:textId="77777777" w:rsidTr="0061381C">
        <w:trPr>
          <w:trHeight w:hRule="exact" w:val="355"/>
        </w:trPr>
        <w:tc>
          <w:tcPr>
            <w:tcW w:w="2141" w:type="dxa"/>
            <w:shd w:val="clear" w:color="auto" w:fill="FFFFFF"/>
          </w:tcPr>
          <w:p w14:paraId="2D35AA7D" w14:textId="77777777" w:rsidR="00366CB9" w:rsidRPr="006E22E5" w:rsidRDefault="009D0C1D" w:rsidP="0061381C">
            <w:pPr>
              <w:pStyle w:val="a6"/>
              <w:shd w:val="clear" w:color="auto" w:fill="auto"/>
              <w:rPr>
                <w:sz w:val="18"/>
                <w:szCs w:val="24"/>
              </w:rPr>
            </w:pPr>
            <w:r w:rsidRPr="006E22E5">
              <w:rPr>
                <w:color w:val="019648"/>
                <w:sz w:val="18"/>
                <w:szCs w:val="24"/>
              </w:rPr>
              <w:t>ТМЧ</w:t>
            </w:r>
          </w:p>
        </w:tc>
        <w:tc>
          <w:tcPr>
            <w:tcW w:w="7028" w:type="dxa"/>
            <w:shd w:val="clear" w:color="auto" w:fill="FFFFFF"/>
          </w:tcPr>
          <w:p w14:paraId="7EDA48A3" w14:textId="77777777" w:rsidR="00366CB9" w:rsidRPr="006E22E5" w:rsidRDefault="009D0C1D" w:rsidP="0061381C">
            <w:pPr>
              <w:pStyle w:val="a6"/>
              <w:shd w:val="clear" w:color="auto" w:fill="auto"/>
              <w:rPr>
                <w:sz w:val="18"/>
                <w:szCs w:val="24"/>
              </w:rPr>
            </w:pPr>
            <w:r w:rsidRPr="006E22E5">
              <w:rPr>
                <w:b w:val="0"/>
                <w:color w:val="000000"/>
                <w:sz w:val="18"/>
                <w:szCs w:val="24"/>
              </w:rPr>
              <w:t>тестування медикаментозної чутливості</w:t>
            </w:r>
          </w:p>
        </w:tc>
      </w:tr>
      <w:tr w:rsidR="00366CB9" w14:paraId="64D7F31A" w14:textId="77777777" w:rsidTr="0061381C">
        <w:trPr>
          <w:trHeight w:hRule="exact" w:val="331"/>
        </w:trPr>
        <w:tc>
          <w:tcPr>
            <w:tcW w:w="2141" w:type="dxa"/>
            <w:shd w:val="clear" w:color="auto" w:fill="FFFFFF"/>
          </w:tcPr>
          <w:p w14:paraId="7C83E1B4" w14:textId="77777777" w:rsidR="00366CB9" w:rsidRPr="006E22E5" w:rsidRDefault="009D0C1D" w:rsidP="0061381C">
            <w:pPr>
              <w:pStyle w:val="a6"/>
              <w:shd w:val="clear" w:color="auto" w:fill="auto"/>
              <w:rPr>
                <w:sz w:val="18"/>
                <w:szCs w:val="24"/>
              </w:rPr>
            </w:pPr>
            <w:r w:rsidRPr="006E22E5">
              <w:rPr>
                <w:color w:val="019648"/>
                <w:sz w:val="18"/>
                <w:szCs w:val="24"/>
              </w:rPr>
              <w:t>ELISA</w:t>
            </w:r>
          </w:p>
        </w:tc>
        <w:tc>
          <w:tcPr>
            <w:tcW w:w="7028" w:type="dxa"/>
            <w:shd w:val="clear" w:color="auto" w:fill="FFFFFF"/>
          </w:tcPr>
          <w:p w14:paraId="6A76A655" w14:textId="77777777" w:rsidR="00366CB9" w:rsidRPr="006E22E5" w:rsidRDefault="009D0C1D" w:rsidP="0061381C">
            <w:pPr>
              <w:pStyle w:val="a6"/>
              <w:shd w:val="clear" w:color="auto" w:fill="auto"/>
              <w:rPr>
                <w:sz w:val="18"/>
                <w:szCs w:val="24"/>
              </w:rPr>
            </w:pPr>
            <w:r w:rsidRPr="006E22E5">
              <w:rPr>
                <w:b w:val="0"/>
                <w:color w:val="000000"/>
                <w:sz w:val="18"/>
                <w:szCs w:val="24"/>
              </w:rPr>
              <w:t>імуноферментний аналіз</w:t>
            </w:r>
          </w:p>
        </w:tc>
      </w:tr>
      <w:tr w:rsidR="00366CB9" w14:paraId="15F89A21" w14:textId="77777777" w:rsidTr="0061381C">
        <w:trPr>
          <w:trHeight w:hRule="exact" w:val="331"/>
        </w:trPr>
        <w:tc>
          <w:tcPr>
            <w:tcW w:w="2141" w:type="dxa"/>
            <w:shd w:val="clear" w:color="auto" w:fill="FFFFFF"/>
          </w:tcPr>
          <w:p w14:paraId="4B961FAF" w14:textId="77777777" w:rsidR="00366CB9" w:rsidRPr="006E22E5" w:rsidRDefault="009D0C1D" w:rsidP="0061381C">
            <w:pPr>
              <w:pStyle w:val="a6"/>
              <w:shd w:val="clear" w:color="auto" w:fill="auto"/>
              <w:rPr>
                <w:sz w:val="18"/>
                <w:szCs w:val="24"/>
              </w:rPr>
            </w:pPr>
            <w:r w:rsidRPr="006E22E5">
              <w:rPr>
                <w:color w:val="019648"/>
                <w:sz w:val="18"/>
                <w:szCs w:val="24"/>
              </w:rPr>
              <w:t>ELISPOT</w:t>
            </w:r>
          </w:p>
        </w:tc>
        <w:tc>
          <w:tcPr>
            <w:tcW w:w="7028" w:type="dxa"/>
            <w:shd w:val="clear" w:color="auto" w:fill="FFFFFF"/>
          </w:tcPr>
          <w:p w14:paraId="594A6459" w14:textId="77777777" w:rsidR="00366CB9" w:rsidRPr="006E22E5" w:rsidRDefault="009D0C1D" w:rsidP="0061381C">
            <w:pPr>
              <w:pStyle w:val="a6"/>
              <w:shd w:val="clear" w:color="auto" w:fill="auto"/>
              <w:rPr>
                <w:sz w:val="18"/>
                <w:szCs w:val="24"/>
              </w:rPr>
            </w:pPr>
            <w:r w:rsidRPr="006E22E5">
              <w:rPr>
                <w:b w:val="0"/>
                <w:color w:val="000000"/>
                <w:sz w:val="18"/>
                <w:szCs w:val="24"/>
              </w:rPr>
              <w:t>модифікований імуноферментний аналіз</w:t>
            </w:r>
          </w:p>
        </w:tc>
      </w:tr>
      <w:tr w:rsidR="00366CB9" w14:paraId="31E5FC05" w14:textId="77777777" w:rsidTr="0061381C">
        <w:trPr>
          <w:trHeight w:hRule="exact" w:val="336"/>
        </w:trPr>
        <w:tc>
          <w:tcPr>
            <w:tcW w:w="2141" w:type="dxa"/>
            <w:shd w:val="clear" w:color="auto" w:fill="FFFFFF"/>
          </w:tcPr>
          <w:p w14:paraId="7D3D97C3" w14:textId="77777777" w:rsidR="00366CB9" w:rsidRPr="006E22E5" w:rsidRDefault="009D0C1D" w:rsidP="0061381C">
            <w:pPr>
              <w:pStyle w:val="a6"/>
              <w:shd w:val="clear" w:color="auto" w:fill="auto"/>
              <w:rPr>
                <w:sz w:val="18"/>
                <w:szCs w:val="24"/>
              </w:rPr>
            </w:pPr>
            <w:r w:rsidRPr="006E22E5">
              <w:rPr>
                <w:color w:val="019648"/>
                <w:sz w:val="18"/>
                <w:szCs w:val="24"/>
              </w:rPr>
              <w:t>ЗОЯ</w:t>
            </w:r>
          </w:p>
        </w:tc>
        <w:tc>
          <w:tcPr>
            <w:tcW w:w="7028" w:type="dxa"/>
            <w:shd w:val="clear" w:color="auto" w:fill="FFFFFF"/>
          </w:tcPr>
          <w:p w14:paraId="3EF40163" w14:textId="77777777" w:rsidR="00366CB9" w:rsidRPr="006E22E5" w:rsidRDefault="009D0C1D" w:rsidP="0061381C">
            <w:pPr>
              <w:pStyle w:val="a6"/>
              <w:shd w:val="clear" w:color="auto" w:fill="auto"/>
              <w:rPr>
                <w:sz w:val="18"/>
                <w:szCs w:val="24"/>
              </w:rPr>
            </w:pPr>
            <w:r w:rsidRPr="006E22E5">
              <w:rPr>
                <w:b w:val="0"/>
                <w:color w:val="000000"/>
                <w:sz w:val="18"/>
                <w:szCs w:val="24"/>
              </w:rPr>
              <w:t>зовнішня оцінка якості</w:t>
            </w:r>
          </w:p>
        </w:tc>
      </w:tr>
      <w:tr w:rsidR="00366CB9" w14:paraId="5CB03E34" w14:textId="77777777" w:rsidTr="0061381C">
        <w:trPr>
          <w:trHeight w:hRule="exact" w:val="341"/>
        </w:trPr>
        <w:tc>
          <w:tcPr>
            <w:tcW w:w="2141" w:type="dxa"/>
            <w:shd w:val="clear" w:color="auto" w:fill="FFFFFF"/>
          </w:tcPr>
          <w:p w14:paraId="5F02297A" w14:textId="77777777" w:rsidR="00366CB9" w:rsidRPr="006E22E5" w:rsidRDefault="009D0C1D" w:rsidP="0061381C">
            <w:pPr>
              <w:pStyle w:val="a6"/>
              <w:shd w:val="clear" w:color="auto" w:fill="auto"/>
              <w:rPr>
                <w:sz w:val="18"/>
                <w:szCs w:val="24"/>
              </w:rPr>
            </w:pPr>
            <w:r w:rsidRPr="006E22E5">
              <w:rPr>
                <w:color w:val="019648"/>
                <w:sz w:val="18"/>
                <w:szCs w:val="24"/>
              </w:rPr>
              <w:t>ESAT-6</w:t>
            </w:r>
          </w:p>
        </w:tc>
        <w:tc>
          <w:tcPr>
            <w:tcW w:w="7028" w:type="dxa"/>
            <w:shd w:val="clear" w:color="auto" w:fill="FFFFFF"/>
          </w:tcPr>
          <w:p w14:paraId="70FE091B" w14:textId="77777777" w:rsidR="00366CB9" w:rsidRPr="006E22E5" w:rsidRDefault="009D0C1D" w:rsidP="0061381C">
            <w:pPr>
              <w:pStyle w:val="a6"/>
              <w:shd w:val="clear" w:color="auto" w:fill="auto"/>
              <w:rPr>
                <w:sz w:val="18"/>
                <w:szCs w:val="24"/>
              </w:rPr>
            </w:pPr>
            <w:r w:rsidRPr="006E22E5">
              <w:rPr>
                <w:b w:val="0"/>
                <w:color w:val="000000"/>
                <w:sz w:val="18"/>
                <w:szCs w:val="24"/>
              </w:rPr>
              <w:t>рання секреторна антигенна мішень 6 кДа</w:t>
            </w:r>
          </w:p>
        </w:tc>
      </w:tr>
      <w:tr w:rsidR="00366CB9" w14:paraId="128F85EB" w14:textId="77777777" w:rsidTr="0061381C">
        <w:trPr>
          <w:trHeight w:hRule="exact" w:val="317"/>
        </w:trPr>
        <w:tc>
          <w:tcPr>
            <w:tcW w:w="2141" w:type="dxa"/>
            <w:shd w:val="clear" w:color="auto" w:fill="FFFFFF"/>
          </w:tcPr>
          <w:p w14:paraId="704F3238" w14:textId="77777777" w:rsidR="00366CB9" w:rsidRPr="006E22E5" w:rsidRDefault="009D0C1D" w:rsidP="0061381C">
            <w:pPr>
              <w:pStyle w:val="a6"/>
              <w:shd w:val="clear" w:color="auto" w:fill="auto"/>
              <w:rPr>
                <w:sz w:val="18"/>
                <w:szCs w:val="24"/>
              </w:rPr>
            </w:pPr>
            <w:r w:rsidRPr="006E22E5">
              <w:rPr>
                <w:color w:val="019648"/>
                <w:sz w:val="18"/>
                <w:szCs w:val="24"/>
              </w:rPr>
              <w:t>FIND</w:t>
            </w:r>
          </w:p>
        </w:tc>
        <w:tc>
          <w:tcPr>
            <w:tcW w:w="7028" w:type="dxa"/>
            <w:shd w:val="clear" w:color="auto" w:fill="FFFFFF"/>
          </w:tcPr>
          <w:p w14:paraId="29468CAD" w14:textId="77777777" w:rsidR="00366CB9" w:rsidRPr="006E22E5" w:rsidRDefault="009D0C1D" w:rsidP="0061381C">
            <w:pPr>
              <w:pStyle w:val="a6"/>
              <w:shd w:val="clear" w:color="auto" w:fill="auto"/>
              <w:rPr>
                <w:sz w:val="18"/>
                <w:szCs w:val="24"/>
              </w:rPr>
            </w:pPr>
            <w:r w:rsidRPr="006E22E5">
              <w:rPr>
                <w:b w:val="0"/>
                <w:color w:val="000000"/>
                <w:sz w:val="18"/>
                <w:szCs w:val="24"/>
              </w:rPr>
              <w:t>Фонд інноваційної діагностики</w:t>
            </w:r>
          </w:p>
        </w:tc>
      </w:tr>
      <w:tr w:rsidR="00366CB9" w14:paraId="4EAC9B2D" w14:textId="77777777" w:rsidTr="0061381C">
        <w:trPr>
          <w:trHeight w:hRule="exact" w:val="350"/>
        </w:trPr>
        <w:tc>
          <w:tcPr>
            <w:tcW w:w="2141" w:type="dxa"/>
            <w:shd w:val="clear" w:color="auto" w:fill="FFFFFF"/>
          </w:tcPr>
          <w:p w14:paraId="27113D46" w14:textId="77777777" w:rsidR="00366CB9" w:rsidRPr="006E22E5" w:rsidRDefault="009D0C1D" w:rsidP="0061381C">
            <w:pPr>
              <w:pStyle w:val="a6"/>
              <w:shd w:val="clear" w:color="auto" w:fill="auto"/>
              <w:rPr>
                <w:sz w:val="18"/>
                <w:szCs w:val="24"/>
              </w:rPr>
            </w:pPr>
            <w:r w:rsidRPr="006E22E5">
              <w:rPr>
                <w:color w:val="019648"/>
                <w:sz w:val="18"/>
                <w:szCs w:val="24"/>
              </w:rPr>
              <w:t>FL-LPA</w:t>
            </w:r>
          </w:p>
        </w:tc>
        <w:tc>
          <w:tcPr>
            <w:tcW w:w="7028" w:type="dxa"/>
            <w:shd w:val="clear" w:color="auto" w:fill="FFFFFF"/>
          </w:tcPr>
          <w:p w14:paraId="5B68630C" w14:textId="77777777" w:rsidR="00366CB9" w:rsidRPr="006E22E5" w:rsidRDefault="009D0C1D" w:rsidP="0061381C">
            <w:pPr>
              <w:pStyle w:val="a6"/>
              <w:shd w:val="clear" w:color="auto" w:fill="auto"/>
              <w:rPr>
                <w:sz w:val="18"/>
                <w:szCs w:val="24"/>
              </w:rPr>
            </w:pPr>
            <w:r w:rsidRPr="006E22E5">
              <w:rPr>
                <w:b w:val="0"/>
                <w:color w:val="000000"/>
                <w:sz w:val="18"/>
                <w:szCs w:val="24"/>
              </w:rPr>
              <w:t>аналіз олігонуклеотидними зондами для препаратів першої лінії</w:t>
            </w:r>
          </w:p>
        </w:tc>
      </w:tr>
      <w:tr w:rsidR="00366CB9" w14:paraId="5658B01F" w14:textId="77777777" w:rsidTr="0061381C">
        <w:trPr>
          <w:trHeight w:hRule="exact" w:val="336"/>
        </w:trPr>
        <w:tc>
          <w:tcPr>
            <w:tcW w:w="2141" w:type="dxa"/>
            <w:shd w:val="clear" w:color="auto" w:fill="FFFFFF"/>
          </w:tcPr>
          <w:p w14:paraId="4EC9E2B1" w14:textId="77777777" w:rsidR="00366CB9" w:rsidRPr="006E22E5" w:rsidRDefault="009D0C1D" w:rsidP="0061381C">
            <w:pPr>
              <w:pStyle w:val="a6"/>
              <w:shd w:val="clear" w:color="auto" w:fill="auto"/>
              <w:rPr>
                <w:sz w:val="18"/>
                <w:szCs w:val="24"/>
              </w:rPr>
            </w:pPr>
            <w:r w:rsidRPr="006E22E5">
              <w:rPr>
                <w:color w:val="019648"/>
                <w:sz w:val="18"/>
                <w:szCs w:val="24"/>
              </w:rPr>
              <w:t>ГРК</w:t>
            </w:r>
          </w:p>
        </w:tc>
        <w:tc>
          <w:tcPr>
            <w:tcW w:w="7028" w:type="dxa"/>
            <w:shd w:val="clear" w:color="auto" w:fill="FFFFFF"/>
          </w:tcPr>
          <w:p w14:paraId="320A75DF" w14:textId="77777777" w:rsidR="00366CB9" w:rsidRPr="006E22E5" w:rsidRDefault="009D0C1D" w:rsidP="0061381C">
            <w:pPr>
              <w:pStyle w:val="a6"/>
              <w:shd w:val="clear" w:color="auto" w:fill="auto"/>
              <w:rPr>
                <w:sz w:val="18"/>
                <w:szCs w:val="24"/>
              </w:rPr>
            </w:pPr>
            <w:r w:rsidRPr="006E22E5">
              <w:rPr>
                <w:b w:val="0"/>
                <w:color w:val="000000"/>
                <w:sz w:val="18"/>
                <w:szCs w:val="24"/>
              </w:rPr>
              <w:t>група з розробки керівництва</w:t>
            </w:r>
          </w:p>
        </w:tc>
      </w:tr>
      <w:tr w:rsidR="00366CB9" w14:paraId="6EB68E0E" w14:textId="77777777" w:rsidTr="0061381C">
        <w:trPr>
          <w:trHeight w:hRule="exact" w:val="331"/>
        </w:trPr>
        <w:tc>
          <w:tcPr>
            <w:tcW w:w="2141" w:type="dxa"/>
            <w:shd w:val="clear" w:color="auto" w:fill="FFFFFF"/>
          </w:tcPr>
          <w:p w14:paraId="23697360" w14:textId="77777777" w:rsidR="00366CB9" w:rsidRPr="006E22E5" w:rsidRDefault="009D0C1D" w:rsidP="0061381C">
            <w:pPr>
              <w:pStyle w:val="a6"/>
              <w:shd w:val="clear" w:color="auto" w:fill="auto"/>
              <w:rPr>
                <w:sz w:val="18"/>
                <w:szCs w:val="24"/>
              </w:rPr>
            </w:pPr>
            <w:r w:rsidRPr="006E22E5">
              <w:rPr>
                <w:color w:val="019648"/>
                <w:sz w:val="18"/>
                <w:szCs w:val="24"/>
              </w:rPr>
              <w:t>ГЛІ</w:t>
            </w:r>
          </w:p>
        </w:tc>
        <w:tc>
          <w:tcPr>
            <w:tcW w:w="7028" w:type="dxa"/>
            <w:shd w:val="clear" w:color="auto" w:fill="FFFFFF"/>
          </w:tcPr>
          <w:p w14:paraId="1F7BE2BF" w14:textId="77777777" w:rsidR="00366CB9" w:rsidRPr="006E22E5" w:rsidRDefault="009D0C1D" w:rsidP="0061381C">
            <w:pPr>
              <w:pStyle w:val="a6"/>
              <w:shd w:val="clear" w:color="auto" w:fill="auto"/>
              <w:rPr>
                <w:sz w:val="18"/>
                <w:szCs w:val="24"/>
              </w:rPr>
            </w:pPr>
            <w:r w:rsidRPr="006E22E5">
              <w:rPr>
                <w:b w:val="0"/>
                <w:color w:val="000000"/>
                <w:sz w:val="18"/>
                <w:szCs w:val="24"/>
              </w:rPr>
              <w:t>Глобальна лабораторна ініціатива</w:t>
            </w:r>
          </w:p>
        </w:tc>
      </w:tr>
      <w:tr w:rsidR="00366CB9" w14:paraId="5002ADB0" w14:textId="77777777" w:rsidTr="008278DD">
        <w:trPr>
          <w:trHeight w:hRule="exact" w:val="492"/>
        </w:trPr>
        <w:tc>
          <w:tcPr>
            <w:tcW w:w="2141" w:type="dxa"/>
            <w:shd w:val="clear" w:color="auto" w:fill="FFFFFF"/>
          </w:tcPr>
          <w:p w14:paraId="6C7492AA" w14:textId="77777777" w:rsidR="00366CB9" w:rsidRPr="006E22E5" w:rsidRDefault="009D0C1D" w:rsidP="0061381C">
            <w:pPr>
              <w:pStyle w:val="a6"/>
              <w:shd w:val="clear" w:color="auto" w:fill="auto"/>
              <w:rPr>
                <w:sz w:val="18"/>
                <w:szCs w:val="24"/>
              </w:rPr>
            </w:pPr>
            <w:r w:rsidRPr="006E22E5">
              <w:rPr>
                <w:color w:val="019648"/>
                <w:sz w:val="18"/>
                <w:szCs w:val="24"/>
              </w:rPr>
              <w:t>HC-rNAAT</w:t>
            </w:r>
          </w:p>
        </w:tc>
        <w:tc>
          <w:tcPr>
            <w:tcW w:w="7028" w:type="dxa"/>
            <w:shd w:val="clear" w:color="auto" w:fill="FFFFFF"/>
          </w:tcPr>
          <w:p w14:paraId="4F2B6D08" w14:textId="77777777" w:rsidR="00366CB9" w:rsidRPr="006E22E5" w:rsidRDefault="009D0C1D" w:rsidP="0061381C">
            <w:pPr>
              <w:pStyle w:val="a6"/>
              <w:shd w:val="clear" w:color="auto" w:fill="auto"/>
              <w:rPr>
                <w:sz w:val="18"/>
                <w:szCs w:val="24"/>
              </w:rPr>
            </w:pPr>
            <w:r w:rsidRPr="006E22E5">
              <w:rPr>
                <w:b w:val="0"/>
                <w:color w:val="000000"/>
                <w:sz w:val="18"/>
                <w:szCs w:val="24"/>
              </w:rPr>
              <w:t>аналіз ампліфікації нуклеїнових кислот на основі зворотної гібридизації високої складності</w:t>
            </w:r>
          </w:p>
        </w:tc>
      </w:tr>
      <w:tr w:rsidR="00366CB9" w14:paraId="65BDE5D2" w14:textId="77777777" w:rsidTr="0061381C">
        <w:trPr>
          <w:trHeight w:hRule="exact" w:val="322"/>
        </w:trPr>
        <w:tc>
          <w:tcPr>
            <w:tcW w:w="2141" w:type="dxa"/>
            <w:shd w:val="clear" w:color="auto" w:fill="FFFFFF"/>
          </w:tcPr>
          <w:p w14:paraId="11CE145A" w14:textId="77777777" w:rsidR="00366CB9" w:rsidRPr="006E22E5" w:rsidRDefault="009D0C1D" w:rsidP="0061381C">
            <w:pPr>
              <w:pStyle w:val="a6"/>
              <w:shd w:val="clear" w:color="auto" w:fill="auto"/>
              <w:rPr>
                <w:sz w:val="18"/>
                <w:szCs w:val="24"/>
              </w:rPr>
            </w:pPr>
            <w:r w:rsidRPr="006E22E5">
              <w:rPr>
                <w:color w:val="019648"/>
                <w:sz w:val="18"/>
                <w:szCs w:val="24"/>
              </w:rPr>
              <w:t>GTB</w:t>
            </w:r>
          </w:p>
        </w:tc>
        <w:tc>
          <w:tcPr>
            <w:tcW w:w="7028" w:type="dxa"/>
            <w:shd w:val="clear" w:color="auto" w:fill="FFFFFF"/>
          </w:tcPr>
          <w:p w14:paraId="29EF8B40" w14:textId="77777777" w:rsidR="00366CB9" w:rsidRPr="006E22E5" w:rsidRDefault="009D0C1D" w:rsidP="0061381C">
            <w:pPr>
              <w:pStyle w:val="a6"/>
              <w:shd w:val="clear" w:color="auto" w:fill="auto"/>
              <w:rPr>
                <w:sz w:val="18"/>
                <w:szCs w:val="24"/>
              </w:rPr>
            </w:pPr>
            <w:r w:rsidRPr="006E22E5">
              <w:rPr>
                <w:b w:val="0"/>
                <w:color w:val="000000"/>
                <w:sz w:val="18"/>
                <w:szCs w:val="24"/>
              </w:rPr>
              <w:t>Глобальна програма ВООЗ із боротьби з туберкульозом та ТБ легень</w:t>
            </w:r>
          </w:p>
        </w:tc>
      </w:tr>
      <w:tr w:rsidR="00366CB9" w14:paraId="6992F845" w14:textId="77777777" w:rsidTr="0061381C">
        <w:trPr>
          <w:trHeight w:hRule="exact" w:val="346"/>
        </w:trPr>
        <w:tc>
          <w:tcPr>
            <w:tcW w:w="2141" w:type="dxa"/>
            <w:shd w:val="clear" w:color="auto" w:fill="FFFFFF"/>
          </w:tcPr>
          <w:p w14:paraId="4126A5BF" w14:textId="77777777" w:rsidR="00366CB9" w:rsidRPr="006E22E5" w:rsidRDefault="009D0C1D" w:rsidP="0061381C">
            <w:pPr>
              <w:pStyle w:val="a6"/>
              <w:shd w:val="clear" w:color="auto" w:fill="auto"/>
              <w:rPr>
                <w:sz w:val="18"/>
                <w:szCs w:val="24"/>
              </w:rPr>
            </w:pPr>
            <w:r w:rsidRPr="006E22E5">
              <w:rPr>
                <w:color w:val="019648"/>
                <w:sz w:val="18"/>
                <w:szCs w:val="24"/>
              </w:rPr>
              <w:t>ВІЛ</w:t>
            </w:r>
          </w:p>
        </w:tc>
        <w:tc>
          <w:tcPr>
            <w:tcW w:w="7028" w:type="dxa"/>
            <w:shd w:val="clear" w:color="auto" w:fill="FFFFFF"/>
          </w:tcPr>
          <w:p w14:paraId="02B15EEA" w14:textId="77777777" w:rsidR="00366CB9" w:rsidRPr="006E22E5" w:rsidRDefault="009D0C1D" w:rsidP="0061381C">
            <w:pPr>
              <w:pStyle w:val="a6"/>
              <w:shd w:val="clear" w:color="auto" w:fill="auto"/>
              <w:rPr>
                <w:sz w:val="18"/>
                <w:szCs w:val="24"/>
              </w:rPr>
            </w:pPr>
            <w:r w:rsidRPr="006E22E5">
              <w:rPr>
                <w:b w:val="0"/>
                <w:color w:val="000000"/>
                <w:sz w:val="18"/>
                <w:szCs w:val="24"/>
              </w:rPr>
              <w:t>вірус імунодефіциту людини</w:t>
            </w:r>
          </w:p>
        </w:tc>
      </w:tr>
      <w:tr w:rsidR="00366CB9" w14:paraId="23BCCDA1" w14:textId="77777777" w:rsidTr="0061381C">
        <w:trPr>
          <w:trHeight w:hRule="exact" w:val="336"/>
        </w:trPr>
        <w:tc>
          <w:tcPr>
            <w:tcW w:w="2141" w:type="dxa"/>
            <w:shd w:val="clear" w:color="auto" w:fill="FFFFFF"/>
          </w:tcPr>
          <w:p w14:paraId="464B50ED" w14:textId="77777777" w:rsidR="00366CB9" w:rsidRPr="006E22E5" w:rsidRDefault="009D0C1D" w:rsidP="0061381C">
            <w:pPr>
              <w:pStyle w:val="a6"/>
              <w:shd w:val="clear" w:color="auto" w:fill="auto"/>
              <w:rPr>
                <w:sz w:val="18"/>
                <w:szCs w:val="24"/>
              </w:rPr>
            </w:pPr>
            <w:r w:rsidRPr="006E22E5">
              <w:rPr>
                <w:color w:val="019648"/>
                <w:sz w:val="18"/>
                <w:szCs w:val="24"/>
              </w:rPr>
              <w:t>Нрез-ТБ</w:t>
            </w:r>
          </w:p>
        </w:tc>
        <w:tc>
          <w:tcPr>
            <w:tcW w:w="7028" w:type="dxa"/>
            <w:shd w:val="clear" w:color="auto" w:fill="FFFFFF"/>
          </w:tcPr>
          <w:p w14:paraId="526C671E" w14:textId="77777777" w:rsidR="00366CB9" w:rsidRPr="006E22E5" w:rsidRDefault="009D0C1D" w:rsidP="0061381C">
            <w:pPr>
              <w:pStyle w:val="a6"/>
              <w:shd w:val="clear" w:color="auto" w:fill="auto"/>
              <w:rPr>
                <w:sz w:val="18"/>
                <w:szCs w:val="24"/>
              </w:rPr>
            </w:pPr>
            <w:r w:rsidRPr="006E22E5">
              <w:rPr>
                <w:b w:val="0"/>
                <w:color w:val="000000"/>
                <w:sz w:val="18"/>
                <w:szCs w:val="24"/>
              </w:rPr>
              <w:t>чутливий до рифампіцину, резистентний до ізоніазиду туберкульоз</w:t>
            </w:r>
          </w:p>
        </w:tc>
      </w:tr>
      <w:tr w:rsidR="00366CB9" w14:paraId="65E9110E" w14:textId="77777777" w:rsidTr="0061381C">
        <w:trPr>
          <w:trHeight w:hRule="exact" w:val="336"/>
        </w:trPr>
        <w:tc>
          <w:tcPr>
            <w:tcW w:w="2141" w:type="dxa"/>
            <w:shd w:val="clear" w:color="auto" w:fill="FFFFFF"/>
          </w:tcPr>
          <w:p w14:paraId="1D296A43" w14:textId="77777777" w:rsidR="00366CB9" w:rsidRPr="006E22E5" w:rsidRDefault="009D0C1D" w:rsidP="0061381C">
            <w:pPr>
              <w:pStyle w:val="a6"/>
              <w:shd w:val="clear" w:color="auto" w:fill="auto"/>
              <w:rPr>
                <w:sz w:val="18"/>
                <w:szCs w:val="24"/>
              </w:rPr>
            </w:pPr>
            <w:r w:rsidRPr="006E22E5">
              <w:rPr>
                <w:color w:val="019648"/>
                <w:sz w:val="18"/>
                <w:szCs w:val="24"/>
              </w:rPr>
              <w:t>IGRA</w:t>
            </w:r>
          </w:p>
        </w:tc>
        <w:tc>
          <w:tcPr>
            <w:tcW w:w="7028" w:type="dxa"/>
            <w:shd w:val="clear" w:color="auto" w:fill="FFFFFF"/>
          </w:tcPr>
          <w:p w14:paraId="58DE5ED6" w14:textId="77777777" w:rsidR="00366CB9" w:rsidRPr="006E22E5" w:rsidRDefault="009D0C1D" w:rsidP="0061381C">
            <w:pPr>
              <w:pStyle w:val="a6"/>
              <w:shd w:val="clear" w:color="auto" w:fill="auto"/>
              <w:rPr>
                <w:sz w:val="18"/>
                <w:szCs w:val="24"/>
              </w:rPr>
            </w:pPr>
            <w:r w:rsidRPr="006E22E5">
              <w:rPr>
                <w:b w:val="0"/>
                <w:color w:val="000000"/>
                <w:sz w:val="18"/>
                <w:szCs w:val="24"/>
              </w:rPr>
              <w:t>аналіз на вивільнення гамма-інтерферону</w:t>
            </w:r>
          </w:p>
        </w:tc>
      </w:tr>
      <w:tr w:rsidR="00366CB9" w14:paraId="4C2FCA17" w14:textId="77777777" w:rsidTr="0061381C">
        <w:trPr>
          <w:trHeight w:hRule="exact" w:val="341"/>
        </w:trPr>
        <w:tc>
          <w:tcPr>
            <w:tcW w:w="2141" w:type="dxa"/>
            <w:shd w:val="clear" w:color="auto" w:fill="FFFFFF"/>
          </w:tcPr>
          <w:p w14:paraId="394033B5" w14:textId="77777777" w:rsidR="00366CB9" w:rsidRPr="006E22E5" w:rsidRDefault="009D0C1D" w:rsidP="0061381C">
            <w:pPr>
              <w:pStyle w:val="a6"/>
              <w:shd w:val="clear" w:color="auto" w:fill="auto"/>
              <w:rPr>
                <w:sz w:val="18"/>
                <w:szCs w:val="24"/>
              </w:rPr>
            </w:pPr>
            <w:r w:rsidRPr="006E22E5">
              <w:rPr>
                <w:color w:val="019648"/>
                <w:sz w:val="18"/>
                <w:szCs w:val="24"/>
              </w:rPr>
              <w:t>IT</w:t>
            </w:r>
          </w:p>
        </w:tc>
        <w:tc>
          <w:tcPr>
            <w:tcW w:w="7028" w:type="dxa"/>
            <w:shd w:val="clear" w:color="auto" w:fill="FFFFFF"/>
          </w:tcPr>
          <w:p w14:paraId="6F0C76A0" w14:textId="77777777" w:rsidR="00366CB9" w:rsidRPr="006E22E5" w:rsidRDefault="009D0C1D" w:rsidP="0061381C">
            <w:pPr>
              <w:pStyle w:val="a6"/>
              <w:shd w:val="clear" w:color="auto" w:fill="auto"/>
              <w:rPr>
                <w:sz w:val="18"/>
                <w:szCs w:val="24"/>
              </w:rPr>
            </w:pPr>
            <w:r w:rsidRPr="006E22E5">
              <w:rPr>
                <w:b w:val="0"/>
                <w:color w:val="000000"/>
                <w:sz w:val="18"/>
                <w:szCs w:val="24"/>
              </w:rPr>
              <w:t>інформаційні технології</w:t>
            </w:r>
          </w:p>
        </w:tc>
      </w:tr>
      <w:tr w:rsidR="00366CB9" w14:paraId="6CFCF89A" w14:textId="77777777" w:rsidTr="0061381C">
        <w:trPr>
          <w:trHeight w:hRule="exact" w:val="322"/>
        </w:trPr>
        <w:tc>
          <w:tcPr>
            <w:tcW w:w="2141" w:type="dxa"/>
            <w:shd w:val="clear" w:color="auto" w:fill="FFFFFF"/>
          </w:tcPr>
          <w:p w14:paraId="6068B8D5" w14:textId="77777777" w:rsidR="00366CB9" w:rsidRPr="006E22E5" w:rsidRDefault="009D0C1D" w:rsidP="0061381C">
            <w:pPr>
              <w:pStyle w:val="a6"/>
              <w:shd w:val="clear" w:color="auto" w:fill="auto"/>
              <w:rPr>
                <w:sz w:val="18"/>
                <w:szCs w:val="24"/>
              </w:rPr>
            </w:pPr>
            <w:r w:rsidRPr="006E22E5">
              <w:rPr>
                <w:color w:val="019648"/>
                <w:sz w:val="18"/>
                <w:szCs w:val="24"/>
              </w:rPr>
              <w:t>LAM</w:t>
            </w:r>
          </w:p>
        </w:tc>
        <w:tc>
          <w:tcPr>
            <w:tcW w:w="7028" w:type="dxa"/>
            <w:shd w:val="clear" w:color="auto" w:fill="FFFFFF"/>
          </w:tcPr>
          <w:p w14:paraId="2C87B379" w14:textId="77777777" w:rsidR="00366CB9" w:rsidRPr="006E22E5" w:rsidRDefault="009D0C1D" w:rsidP="0061381C">
            <w:pPr>
              <w:pStyle w:val="a6"/>
              <w:shd w:val="clear" w:color="auto" w:fill="auto"/>
              <w:rPr>
                <w:sz w:val="18"/>
                <w:szCs w:val="24"/>
              </w:rPr>
            </w:pPr>
            <w:r w:rsidRPr="006E22E5">
              <w:rPr>
                <w:b w:val="0"/>
                <w:color w:val="000000"/>
                <w:sz w:val="18"/>
                <w:szCs w:val="24"/>
              </w:rPr>
              <w:t>ліпоарабіноманнан</w:t>
            </w:r>
          </w:p>
        </w:tc>
      </w:tr>
      <w:tr w:rsidR="00366CB9" w14:paraId="3EECCDC0" w14:textId="77777777" w:rsidTr="0061381C">
        <w:trPr>
          <w:trHeight w:hRule="exact" w:val="336"/>
        </w:trPr>
        <w:tc>
          <w:tcPr>
            <w:tcW w:w="2141" w:type="dxa"/>
            <w:shd w:val="clear" w:color="auto" w:fill="FFFFFF"/>
          </w:tcPr>
          <w:p w14:paraId="3FDA2F5F" w14:textId="77777777" w:rsidR="00366CB9" w:rsidRPr="006E22E5" w:rsidRDefault="009D0C1D" w:rsidP="0061381C">
            <w:pPr>
              <w:pStyle w:val="a6"/>
              <w:shd w:val="clear" w:color="auto" w:fill="auto"/>
              <w:rPr>
                <w:sz w:val="18"/>
                <w:szCs w:val="24"/>
              </w:rPr>
            </w:pPr>
            <w:r w:rsidRPr="006E22E5">
              <w:rPr>
                <w:color w:val="019648"/>
                <w:sz w:val="18"/>
                <w:szCs w:val="24"/>
              </w:rPr>
              <w:t>LAMP</w:t>
            </w:r>
          </w:p>
        </w:tc>
        <w:tc>
          <w:tcPr>
            <w:tcW w:w="7028" w:type="dxa"/>
            <w:shd w:val="clear" w:color="auto" w:fill="FFFFFF"/>
          </w:tcPr>
          <w:p w14:paraId="30581A11" w14:textId="77777777" w:rsidR="00366CB9" w:rsidRPr="006E22E5" w:rsidRDefault="009D0C1D" w:rsidP="0061381C">
            <w:pPr>
              <w:pStyle w:val="a6"/>
              <w:shd w:val="clear" w:color="auto" w:fill="auto"/>
              <w:rPr>
                <w:sz w:val="18"/>
                <w:szCs w:val="24"/>
              </w:rPr>
            </w:pPr>
            <w:r w:rsidRPr="006E22E5">
              <w:rPr>
                <w:b w:val="0"/>
                <w:color w:val="000000"/>
                <w:sz w:val="18"/>
                <w:szCs w:val="24"/>
              </w:rPr>
              <w:t>петльова ізотермічна ампліфікація</w:t>
            </w:r>
          </w:p>
        </w:tc>
      </w:tr>
      <w:tr w:rsidR="00366CB9" w14:paraId="1105A7E7" w14:textId="77777777" w:rsidTr="008278DD">
        <w:trPr>
          <w:trHeight w:hRule="exact" w:val="505"/>
        </w:trPr>
        <w:tc>
          <w:tcPr>
            <w:tcW w:w="2141" w:type="dxa"/>
            <w:shd w:val="clear" w:color="auto" w:fill="FFFFFF"/>
          </w:tcPr>
          <w:p w14:paraId="1D9E14D8" w14:textId="77777777" w:rsidR="00366CB9" w:rsidRPr="006E22E5" w:rsidRDefault="009D0C1D" w:rsidP="0061381C">
            <w:pPr>
              <w:pStyle w:val="a6"/>
              <w:shd w:val="clear" w:color="auto" w:fill="auto"/>
              <w:rPr>
                <w:sz w:val="18"/>
                <w:szCs w:val="24"/>
              </w:rPr>
            </w:pPr>
            <w:r w:rsidRPr="006E22E5">
              <w:rPr>
                <w:color w:val="019648"/>
                <w:sz w:val="18"/>
                <w:szCs w:val="24"/>
              </w:rPr>
              <w:t>LC-aNAAT</w:t>
            </w:r>
          </w:p>
        </w:tc>
        <w:tc>
          <w:tcPr>
            <w:tcW w:w="7028" w:type="dxa"/>
            <w:shd w:val="clear" w:color="auto" w:fill="FFFFFF"/>
          </w:tcPr>
          <w:p w14:paraId="549270FE" w14:textId="77777777" w:rsidR="00366CB9" w:rsidRPr="006E22E5" w:rsidRDefault="009D0C1D" w:rsidP="0061381C">
            <w:pPr>
              <w:pStyle w:val="a6"/>
              <w:shd w:val="clear" w:color="auto" w:fill="auto"/>
              <w:rPr>
                <w:sz w:val="18"/>
                <w:szCs w:val="24"/>
              </w:rPr>
            </w:pPr>
            <w:r w:rsidRPr="006E22E5">
              <w:rPr>
                <w:b w:val="0"/>
                <w:color w:val="000000"/>
                <w:sz w:val="18"/>
                <w:szCs w:val="24"/>
              </w:rPr>
              <w:t>автоматизований аналіз ампліфікації нуклеїнових кислот низької складності</w:t>
            </w:r>
          </w:p>
        </w:tc>
      </w:tr>
      <w:tr w:rsidR="00366CB9" w14:paraId="4C708B7A" w14:textId="77777777" w:rsidTr="0061381C">
        <w:trPr>
          <w:trHeight w:hRule="exact" w:val="336"/>
        </w:trPr>
        <w:tc>
          <w:tcPr>
            <w:tcW w:w="2141" w:type="dxa"/>
            <w:shd w:val="clear" w:color="auto" w:fill="FFFFFF"/>
          </w:tcPr>
          <w:p w14:paraId="2107046A" w14:textId="77777777" w:rsidR="00366CB9" w:rsidRPr="006E22E5" w:rsidRDefault="009D0C1D" w:rsidP="0061381C">
            <w:pPr>
              <w:pStyle w:val="a6"/>
              <w:shd w:val="clear" w:color="auto" w:fill="auto"/>
              <w:rPr>
                <w:sz w:val="18"/>
                <w:szCs w:val="24"/>
              </w:rPr>
            </w:pPr>
            <w:r w:rsidRPr="006E22E5">
              <w:rPr>
                <w:color w:val="019648"/>
                <w:sz w:val="18"/>
                <w:szCs w:val="24"/>
              </w:rPr>
              <w:t>LC-mNAAT</w:t>
            </w:r>
          </w:p>
        </w:tc>
        <w:tc>
          <w:tcPr>
            <w:tcW w:w="7028" w:type="dxa"/>
            <w:shd w:val="clear" w:color="auto" w:fill="FFFFFF"/>
          </w:tcPr>
          <w:p w14:paraId="25411287" w14:textId="77777777" w:rsidR="00366CB9" w:rsidRPr="006E22E5" w:rsidRDefault="009D0C1D" w:rsidP="0061381C">
            <w:pPr>
              <w:pStyle w:val="a6"/>
              <w:shd w:val="clear" w:color="auto" w:fill="auto"/>
              <w:rPr>
                <w:sz w:val="18"/>
                <w:szCs w:val="24"/>
              </w:rPr>
            </w:pPr>
            <w:r w:rsidRPr="006E22E5">
              <w:rPr>
                <w:b w:val="0"/>
                <w:color w:val="000000"/>
                <w:sz w:val="18"/>
                <w:szCs w:val="24"/>
              </w:rPr>
              <w:t>ручний аналіз ампліфікації нуклеїнових кислот низької складності</w:t>
            </w:r>
          </w:p>
        </w:tc>
      </w:tr>
      <w:tr w:rsidR="00366CB9" w14:paraId="0691C180" w14:textId="77777777" w:rsidTr="0061381C">
        <w:trPr>
          <w:trHeight w:hRule="exact" w:val="331"/>
        </w:trPr>
        <w:tc>
          <w:tcPr>
            <w:tcW w:w="2141" w:type="dxa"/>
            <w:shd w:val="clear" w:color="auto" w:fill="FFFFFF"/>
          </w:tcPr>
          <w:p w14:paraId="14A39746" w14:textId="77777777" w:rsidR="00366CB9" w:rsidRPr="006E22E5" w:rsidRDefault="009D0C1D" w:rsidP="0061381C">
            <w:pPr>
              <w:pStyle w:val="a6"/>
              <w:shd w:val="clear" w:color="auto" w:fill="auto"/>
              <w:rPr>
                <w:sz w:val="18"/>
                <w:szCs w:val="24"/>
              </w:rPr>
            </w:pPr>
            <w:r w:rsidRPr="006E22E5">
              <w:rPr>
                <w:color w:val="019648"/>
                <w:sz w:val="18"/>
                <w:szCs w:val="24"/>
              </w:rPr>
              <w:t>LF-LAM</w:t>
            </w:r>
          </w:p>
        </w:tc>
        <w:tc>
          <w:tcPr>
            <w:tcW w:w="7028" w:type="dxa"/>
            <w:shd w:val="clear" w:color="auto" w:fill="FFFFFF"/>
          </w:tcPr>
          <w:p w14:paraId="62EF04A3" w14:textId="77777777" w:rsidR="00366CB9" w:rsidRPr="006E22E5" w:rsidRDefault="009D0C1D" w:rsidP="0061381C">
            <w:pPr>
              <w:pStyle w:val="a6"/>
              <w:shd w:val="clear" w:color="auto" w:fill="auto"/>
              <w:rPr>
                <w:sz w:val="18"/>
                <w:szCs w:val="24"/>
              </w:rPr>
            </w:pPr>
            <w:r w:rsidRPr="006E22E5">
              <w:rPr>
                <w:b w:val="0"/>
                <w:color w:val="000000"/>
                <w:sz w:val="18"/>
                <w:szCs w:val="24"/>
              </w:rPr>
              <w:t>ліпоарабіноманнановий тест бокового зсуву</w:t>
            </w:r>
          </w:p>
        </w:tc>
      </w:tr>
      <w:tr w:rsidR="00366CB9" w14:paraId="4155C450" w14:textId="77777777" w:rsidTr="0061381C">
        <w:trPr>
          <w:trHeight w:hRule="exact" w:val="322"/>
        </w:trPr>
        <w:tc>
          <w:tcPr>
            <w:tcW w:w="2141" w:type="dxa"/>
            <w:shd w:val="clear" w:color="auto" w:fill="FFFFFF"/>
          </w:tcPr>
          <w:p w14:paraId="20B90EA3" w14:textId="77777777" w:rsidR="00366CB9" w:rsidRPr="006E22E5" w:rsidRDefault="009D0C1D" w:rsidP="0061381C">
            <w:pPr>
              <w:pStyle w:val="a6"/>
              <w:shd w:val="clear" w:color="auto" w:fill="auto"/>
              <w:rPr>
                <w:sz w:val="18"/>
                <w:szCs w:val="24"/>
              </w:rPr>
            </w:pPr>
            <w:r w:rsidRPr="006E22E5">
              <w:rPr>
                <w:color w:val="019648"/>
                <w:sz w:val="18"/>
                <w:szCs w:val="24"/>
              </w:rPr>
              <w:t>КНСД</w:t>
            </w:r>
          </w:p>
        </w:tc>
        <w:tc>
          <w:tcPr>
            <w:tcW w:w="7028" w:type="dxa"/>
            <w:shd w:val="clear" w:color="auto" w:fill="FFFFFF"/>
          </w:tcPr>
          <w:p w14:paraId="76735376" w14:textId="77777777" w:rsidR="00366CB9" w:rsidRPr="006E22E5" w:rsidRDefault="009D0C1D" w:rsidP="0061381C">
            <w:pPr>
              <w:pStyle w:val="a6"/>
              <w:shd w:val="clear" w:color="auto" w:fill="auto"/>
              <w:rPr>
                <w:sz w:val="18"/>
                <w:szCs w:val="24"/>
              </w:rPr>
            </w:pPr>
            <w:r w:rsidRPr="006E22E5">
              <w:rPr>
                <w:b w:val="0"/>
                <w:color w:val="000000"/>
                <w:sz w:val="18"/>
                <w:szCs w:val="24"/>
              </w:rPr>
              <w:t>країни з низьким та середнім рівнем доходу</w:t>
            </w:r>
          </w:p>
        </w:tc>
      </w:tr>
      <w:tr w:rsidR="00366CB9" w14:paraId="43D50DAD" w14:textId="77777777" w:rsidTr="0061381C">
        <w:trPr>
          <w:trHeight w:hRule="exact" w:val="341"/>
        </w:trPr>
        <w:tc>
          <w:tcPr>
            <w:tcW w:w="2141" w:type="dxa"/>
            <w:shd w:val="clear" w:color="auto" w:fill="FFFFFF"/>
          </w:tcPr>
          <w:p w14:paraId="12590104" w14:textId="77777777" w:rsidR="00366CB9" w:rsidRPr="006E22E5" w:rsidRDefault="009D0C1D" w:rsidP="0061381C">
            <w:pPr>
              <w:pStyle w:val="a6"/>
              <w:shd w:val="clear" w:color="auto" w:fill="auto"/>
              <w:rPr>
                <w:sz w:val="18"/>
                <w:szCs w:val="24"/>
              </w:rPr>
            </w:pPr>
            <w:r w:rsidRPr="006E22E5">
              <w:rPr>
                <w:color w:val="019648"/>
                <w:sz w:val="18"/>
                <w:szCs w:val="24"/>
              </w:rPr>
              <w:t>LoD</w:t>
            </w:r>
          </w:p>
        </w:tc>
        <w:tc>
          <w:tcPr>
            <w:tcW w:w="7028" w:type="dxa"/>
            <w:shd w:val="clear" w:color="auto" w:fill="FFFFFF"/>
          </w:tcPr>
          <w:p w14:paraId="7B88A2A8" w14:textId="77777777" w:rsidR="00366CB9" w:rsidRPr="006E22E5" w:rsidRDefault="009D0C1D" w:rsidP="0061381C">
            <w:pPr>
              <w:pStyle w:val="a6"/>
              <w:shd w:val="clear" w:color="auto" w:fill="auto"/>
              <w:rPr>
                <w:sz w:val="18"/>
                <w:szCs w:val="24"/>
              </w:rPr>
            </w:pPr>
            <w:r w:rsidRPr="006E22E5">
              <w:rPr>
                <w:b w:val="0"/>
                <w:color w:val="000000"/>
                <w:sz w:val="18"/>
                <w:szCs w:val="24"/>
              </w:rPr>
              <w:t>межа виявлення</w:t>
            </w:r>
          </w:p>
        </w:tc>
      </w:tr>
      <w:tr w:rsidR="00366CB9" w14:paraId="675A9B19" w14:textId="77777777" w:rsidTr="0061381C">
        <w:trPr>
          <w:trHeight w:hRule="exact" w:val="350"/>
        </w:trPr>
        <w:tc>
          <w:tcPr>
            <w:tcW w:w="2141" w:type="dxa"/>
            <w:shd w:val="clear" w:color="auto" w:fill="FFFFFF"/>
          </w:tcPr>
          <w:p w14:paraId="5F7A8F6C" w14:textId="77777777" w:rsidR="00366CB9" w:rsidRPr="006E22E5" w:rsidRDefault="009D0C1D" w:rsidP="0061381C">
            <w:pPr>
              <w:pStyle w:val="a6"/>
              <w:shd w:val="clear" w:color="auto" w:fill="auto"/>
              <w:rPr>
                <w:sz w:val="18"/>
                <w:szCs w:val="24"/>
              </w:rPr>
            </w:pPr>
            <w:r w:rsidRPr="006E22E5">
              <w:rPr>
                <w:color w:val="019648"/>
                <w:sz w:val="18"/>
                <w:szCs w:val="24"/>
              </w:rPr>
              <w:t>LPA</w:t>
            </w:r>
          </w:p>
        </w:tc>
        <w:tc>
          <w:tcPr>
            <w:tcW w:w="7028" w:type="dxa"/>
            <w:shd w:val="clear" w:color="auto" w:fill="FFFFFF"/>
          </w:tcPr>
          <w:p w14:paraId="7BDCF973" w14:textId="77777777" w:rsidR="00366CB9" w:rsidRPr="006E22E5" w:rsidRDefault="009D0C1D" w:rsidP="0061381C">
            <w:pPr>
              <w:pStyle w:val="a6"/>
              <w:shd w:val="clear" w:color="auto" w:fill="auto"/>
              <w:rPr>
                <w:sz w:val="18"/>
                <w:szCs w:val="24"/>
              </w:rPr>
            </w:pPr>
            <w:r w:rsidRPr="006E22E5">
              <w:rPr>
                <w:b w:val="0"/>
                <w:color w:val="000000"/>
                <w:sz w:val="18"/>
                <w:szCs w:val="24"/>
              </w:rPr>
              <w:t>аналіз олігонуклеотидними зондами</w:t>
            </w:r>
          </w:p>
        </w:tc>
      </w:tr>
      <w:tr w:rsidR="00366CB9" w14:paraId="0352B730" w14:textId="77777777" w:rsidTr="008278DD">
        <w:trPr>
          <w:trHeight w:hRule="exact" w:val="592"/>
        </w:trPr>
        <w:tc>
          <w:tcPr>
            <w:tcW w:w="2141" w:type="dxa"/>
            <w:shd w:val="clear" w:color="auto" w:fill="FFFFFF"/>
          </w:tcPr>
          <w:p w14:paraId="19FD04B2" w14:textId="77777777" w:rsidR="00366CB9" w:rsidRPr="006E22E5" w:rsidRDefault="009D0C1D" w:rsidP="0061381C">
            <w:pPr>
              <w:pStyle w:val="a6"/>
              <w:shd w:val="clear" w:color="auto" w:fill="auto"/>
              <w:rPr>
                <w:sz w:val="18"/>
                <w:szCs w:val="24"/>
              </w:rPr>
            </w:pPr>
            <w:r w:rsidRPr="006E22E5">
              <w:rPr>
                <w:color w:val="019648"/>
                <w:sz w:val="18"/>
                <w:szCs w:val="24"/>
              </w:rPr>
              <w:t>MC-aNAAT</w:t>
            </w:r>
          </w:p>
        </w:tc>
        <w:tc>
          <w:tcPr>
            <w:tcW w:w="7028" w:type="dxa"/>
            <w:shd w:val="clear" w:color="auto" w:fill="FFFFFF"/>
          </w:tcPr>
          <w:p w14:paraId="1AA9E8BF" w14:textId="77777777" w:rsidR="00366CB9" w:rsidRPr="006E22E5" w:rsidRDefault="009D0C1D" w:rsidP="0061381C">
            <w:pPr>
              <w:pStyle w:val="a6"/>
              <w:shd w:val="clear" w:color="auto" w:fill="auto"/>
              <w:rPr>
                <w:sz w:val="18"/>
                <w:szCs w:val="24"/>
              </w:rPr>
            </w:pPr>
            <w:r w:rsidRPr="006E22E5">
              <w:rPr>
                <w:b w:val="0"/>
                <w:color w:val="000000"/>
                <w:sz w:val="18"/>
                <w:szCs w:val="24"/>
              </w:rPr>
              <w:t>автоматизований аналіз ампліфікації нуклеїнових кислот середньої складності</w:t>
            </w:r>
          </w:p>
        </w:tc>
      </w:tr>
    </w:tbl>
    <w:p w14:paraId="622421E6" w14:textId="77777777" w:rsidR="00366CB9" w:rsidRDefault="009D0C1D" w:rsidP="00425523">
      <w:pPr>
        <w:spacing w:line="1" w:lineRule="exact"/>
        <w:sectPr w:rsidR="00366CB9" w:rsidSect="0061381C">
          <w:footerReference w:type="even" r:id="rId28"/>
          <w:type w:val="nextColumn"/>
          <w:pgSz w:w="11913" w:h="16840"/>
          <w:pgMar w:top="2325" w:right="1378" w:bottom="851" w:left="1372" w:header="0" w:footer="6" w:gutter="0"/>
          <w:paperSrc w:first="15" w:other="15"/>
          <w:cols w:space="720"/>
          <w:noEndnote/>
          <w:docGrid w:linePitch="360"/>
        </w:sectPr>
      </w:pPr>
      <w:r>
        <w:rPr>
          <w:noProof/>
        </w:rPr>
        <w:drawing>
          <wp:anchor distT="0" distB="0" distL="0" distR="0" simplePos="0" relativeHeight="251420672" behindDoc="1" locked="0" layoutInCell="1" allowOverlap="1" wp14:anchorId="21C5E284" wp14:editId="50552744">
            <wp:simplePos x="0" y="0"/>
            <wp:positionH relativeFrom="page">
              <wp:align>left</wp:align>
            </wp:positionH>
            <wp:positionV relativeFrom="page">
              <wp:align>top</wp:align>
            </wp:positionV>
            <wp:extent cx="7560000" cy="1472400"/>
            <wp:effectExtent l="0" t="0" r="3175" b="0"/>
            <wp:wrapNone/>
            <wp:docPr id="10" name="Shape 10"/>
            <wp:cNvGraphicFramePr/>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29"/>
                    <a:stretch/>
                  </pic:blipFill>
                  <pic:spPr>
                    <a:xfrm>
                      <a:off x="0" y="0"/>
                      <a:ext cx="7560000" cy="1472400"/>
                    </a:xfrm>
                    <a:prstGeom prst="rect">
                      <a:avLst/>
                    </a:prstGeom>
                  </pic:spPr>
                </pic:pic>
              </a:graphicData>
            </a:graphic>
            <wp14:sizeRelH relativeFrom="margin">
              <wp14:pctWidth>0</wp14:pctWidth>
            </wp14:sizeRelH>
            <wp14:sizeRelV relativeFrom="margin">
              <wp14:pctHeight>0</wp14:pctHeight>
            </wp14:sizeRelV>
          </wp:anchor>
        </w:drawing>
      </w:r>
    </w:p>
    <w:p w14:paraId="1F3566AC"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2136"/>
        <w:gridCol w:w="7019"/>
      </w:tblGrid>
      <w:tr w:rsidR="00366CB9" w14:paraId="1D4B2D46" w14:textId="77777777" w:rsidTr="008278DD">
        <w:trPr>
          <w:trHeight w:hRule="exact" w:val="567"/>
        </w:trPr>
        <w:tc>
          <w:tcPr>
            <w:tcW w:w="2136" w:type="dxa"/>
            <w:shd w:val="clear" w:color="auto" w:fill="FFFFFF"/>
          </w:tcPr>
          <w:p w14:paraId="5EB0A076" w14:textId="77777777" w:rsidR="00366CB9" w:rsidRPr="006E22E5" w:rsidRDefault="009D0C1D" w:rsidP="0061381C">
            <w:pPr>
              <w:pStyle w:val="a6"/>
              <w:shd w:val="clear" w:color="auto" w:fill="auto"/>
              <w:rPr>
                <w:sz w:val="18"/>
                <w:szCs w:val="24"/>
              </w:rPr>
            </w:pPr>
            <w:r w:rsidRPr="006E22E5">
              <w:rPr>
                <w:color w:val="019648"/>
                <w:sz w:val="18"/>
                <w:szCs w:val="24"/>
              </w:rPr>
              <w:t>МЛС/Риф-ТБ</w:t>
            </w:r>
          </w:p>
        </w:tc>
        <w:tc>
          <w:tcPr>
            <w:tcW w:w="7019" w:type="dxa"/>
            <w:shd w:val="clear" w:color="auto" w:fill="FFFFFF"/>
          </w:tcPr>
          <w:p w14:paraId="3908AFC0" w14:textId="77777777" w:rsidR="00366CB9" w:rsidRPr="006E22E5" w:rsidRDefault="009D0C1D" w:rsidP="0061381C">
            <w:pPr>
              <w:pStyle w:val="a6"/>
              <w:shd w:val="clear" w:color="auto" w:fill="auto"/>
              <w:rPr>
                <w:sz w:val="18"/>
                <w:szCs w:val="24"/>
              </w:rPr>
            </w:pPr>
            <w:r w:rsidRPr="006E22E5">
              <w:rPr>
                <w:b w:val="0"/>
                <w:color w:val="000000"/>
                <w:sz w:val="18"/>
                <w:szCs w:val="24"/>
              </w:rPr>
              <w:t>туберкульоз із множинною лікарською стійкістю або рифампіцин-резистентний туберкульоз</w:t>
            </w:r>
          </w:p>
        </w:tc>
      </w:tr>
      <w:tr w:rsidR="00366CB9" w14:paraId="0475F228" w14:textId="77777777" w:rsidTr="0061381C">
        <w:trPr>
          <w:trHeight w:hRule="exact" w:val="326"/>
        </w:trPr>
        <w:tc>
          <w:tcPr>
            <w:tcW w:w="2136" w:type="dxa"/>
            <w:shd w:val="clear" w:color="auto" w:fill="FFFFFF"/>
          </w:tcPr>
          <w:p w14:paraId="681485B5" w14:textId="77777777" w:rsidR="00366CB9" w:rsidRPr="006E22E5" w:rsidRDefault="009D0C1D" w:rsidP="0061381C">
            <w:pPr>
              <w:pStyle w:val="a6"/>
              <w:shd w:val="clear" w:color="auto" w:fill="auto"/>
              <w:rPr>
                <w:sz w:val="18"/>
                <w:szCs w:val="24"/>
              </w:rPr>
            </w:pPr>
            <w:r w:rsidRPr="006E22E5">
              <w:rPr>
                <w:color w:val="019648"/>
                <w:sz w:val="18"/>
                <w:szCs w:val="24"/>
              </w:rPr>
              <w:t>МЛС-ТБ</w:t>
            </w:r>
          </w:p>
        </w:tc>
        <w:tc>
          <w:tcPr>
            <w:tcW w:w="7019" w:type="dxa"/>
            <w:shd w:val="clear" w:color="auto" w:fill="FFFFFF"/>
          </w:tcPr>
          <w:p w14:paraId="765A6231" w14:textId="77777777" w:rsidR="00366CB9" w:rsidRPr="006E22E5" w:rsidRDefault="009D0C1D" w:rsidP="0061381C">
            <w:pPr>
              <w:pStyle w:val="a6"/>
              <w:shd w:val="clear" w:color="auto" w:fill="auto"/>
              <w:rPr>
                <w:sz w:val="18"/>
                <w:szCs w:val="24"/>
              </w:rPr>
            </w:pPr>
            <w:r w:rsidRPr="006E22E5">
              <w:rPr>
                <w:b w:val="0"/>
                <w:color w:val="000000"/>
                <w:sz w:val="18"/>
                <w:szCs w:val="24"/>
              </w:rPr>
              <w:t>туберкульоз із множинною лікарською стійкістю</w:t>
            </w:r>
          </w:p>
        </w:tc>
      </w:tr>
      <w:tr w:rsidR="00366CB9" w14:paraId="093DC7EB" w14:textId="77777777" w:rsidTr="0061381C">
        <w:trPr>
          <w:trHeight w:hRule="exact" w:val="350"/>
        </w:trPr>
        <w:tc>
          <w:tcPr>
            <w:tcW w:w="2136" w:type="dxa"/>
            <w:shd w:val="clear" w:color="auto" w:fill="FFFFFF"/>
          </w:tcPr>
          <w:p w14:paraId="3BD7A1DA" w14:textId="77777777" w:rsidR="00366CB9" w:rsidRPr="006E22E5" w:rsidRDefault="009D0C1D" w:rsidP="0061381C">
            <w:pPr>
              <w:pStyle w:val="a6"/>
              <w:shd w:val="clear" w:color="auto" w:fill="auto"/>
              <w:rPr>
                <w:sz w:val="18"/>
                <w:szCs w:val="24"/>
              </w:rPr>
            </w:pPr>
            <w:r w:rsidRPr="006E22E5">
              <w:rPr>
                <w:color w:val="019648"/>
                <w:sz w:val="18"/>
                <w:szCs w:val="24"/>
              </w:rPr>
              <w:t>MGIT</w:t>
            </w:r>
          </w:p>
        </w:tc>
        <w:tc>
          <w:tcPr>
            <w:tcW w:w="7019" w:type="dxa"/>
            <w:shd w:val="clear" w:color="auto" w:fill="FFFFFF"/>
          </w:tcPr>
          <w:p w14:paraId="5A69004F" w14:textId="77777777" w:rsidR="00366CB9" w:rsidRPr="006E22E5" w:rsidRDefault="009D0C1D" w:rsidP="0061381C">
            <w:pPr>
              <w:pStyle w:val="a6"/>
              <w:shd w:val="clear" w:color="auto" w:fill="auto"/>
              <w:rPr>
                <w:sz w:val="18"/>
                <w:szCs w:val="24"/>
              </w:rPr>
            </w:pPr>
            <w:r w:rsidRPr="006E22E5">
              <w:rPr>
                <w:b w:val="0"/>
                <w:color w:val="000000"/>
                <w:sz w:val="18"/>
                <w:szCs w:val="24"/>
              </w:rPr>
              <w:t>пробірка з індикатором росту мікобактерій</w:t>
            </w:r>
          </w:p>
        </w:tc>
      </w:tr>
      <w:tr w:rsidR="00366CB9" w14:paraId="350D3D8F" w14:textId="77777777" w:rsidTr="0061381C">
        <w:trPr>
          <w:trHeight w:hRule="exact" w:val="322"/>
        </w:trPr>
        <w:tc>
          <w:tcPr>
            <w:tcW w:w="2136" w:type="dxa"/>
            <w:shd w:val="clear" w:color="auto" w:fill="FFFFFF"/>
          </w:tcPr>
          <w:p w14:paraId="222B4775" w14:textId="77777777" w:rsidR="00366CB9" w:rsidRPr="006E22E5" w:rsidRDefault="009D0C1D" w:rsidP="0061381C">
            <w:pPr>
              <w:pStyle w:val="a6"/>
              <w:shd w:val="clear" w:color="auto" w:fill="auto"/>
              <w:rPr>
                <w:sz w:val="18"/>
                <w:szCs w:val="24"/>
              </w:rPr>
            </w:pPr>
            <w:r w:rsidRPr="006E22E5">
              <w:rPr>
                <w:color w:val="019648"/>
                <w:sz w:val="18"/>
                <w:szCs w:val="24"/>
              </w:rPr>
              <w:t>МІК</w:t>
            </w:r>
          </w:p>
        </w:tc>
        <w:tc>
          <w:tcPr>
            <w:tcW w:w="7019" w:type="dxa"/>
            <w:shd w:val="clear" w:color="auto" w:fill="FFFFFF"/>
          </w:tcPr>
          <w:p w14:paraId="7161191C" w14:textId="77777777" w:rsidR="00366CB9" w:rsidRPr="006E22E5" w:rsidRDefault="009D0C1D" w:rsidP="0061381C">
            <w:pPr>
              <w:pStyle w:val="a6"/>
              <w:shd w:val="clear" w:color="auto" w:fill="auto"/>
              <w:rPr>
                <w:sz w:val="18"/>
                <w:szCs w:val="24"/>
              </w:rPr>
            </w:pPr>
            <w:r w:rsidRPr="006E22E5">
              <w:rPr>
                <w:b w:val="0"/>
                <w:color w:val="000000"/>
                <w:sz w:val="18"/>
                <w:szCs w:val="24"/>
              </w:rPr>
              <w:t>мінімальна інгібуюча концентрація</w:t>
            </w:r>
          </w:p>
        </w:tc>
      </w:tr>
      <w:tr w:rsidR="00366CB9" w14:paraId="634595E9" w14:textId="77777777" w:rsidTr="0061381C">
        <w:trPr>
          <w:trHeight w:hRule="exact" w:val="346"/>
        </w:trPr>
        <w:tc>
          <w:tcPr>
            <w:tcW w:w="2136" w:type="dxa"/>
            <w:shd w:val="clear" w:color="auto" w:fill="FFFFFF"/>
          </w:tcPr>
          <w:p w14:paraId="57FF707D" w14:textId="77777777" w:rsidR="00366CB9" w:rsidRPr="006E22E5" w:rsidRDefault="009D0C1D" w:rsidP="0061381C">
            <w:pPr>
              <w:pStyle w:val="a6"/>
              <w:shd w:val="clear" w:color="auto" w:fill="auto"/>
              <w:rPr>
                <w:sz w:val="18"/>
                <w:szCs w:val="24"/>
              </w:rPr>
            </w:pPr>
            <w:r w:rsidRPr="006E22E5">
              <w:rPr>
                <w:color w:val="019648"/>
                <w:sz w:val="18"/>
                <w:szCs w:val="24"/>
              </w:rPr>
              <w:t>мРНК</w:t>
            </w:r>
          </w:p>
        </w:tc>
        <w:tc>
          <w:tcPr>
            <w:tcW w:w="7019" w:type="dxa"/>
            <w:shd w:val="clear" w:color="auto" w:fill="FFFFFF"/>
          </w:tcPr>
          <w:p w14:paraId="7D8B4792" w14:textId="77777777" w:rsidR="00366CB9" w:rsidRPr="006E22E5" w:rsidRDefault="009D0C1D" w:rsidP="0061381C">
            <w:pPr>
              <w:pStyle w:val="a6"/>
              <w:shd w:val="clear" w:color="auto" w:fill="auto"/>
              <w:rPr>
                <w:sz w:val="18"/>
                <w:szCs w:val="24"/>
              </w:rPr>
            </w:pPr>
            <w:r w:rsidRPr="006E22E5">
              <w:rPr>
                <w:b w:val="0"/>
                <w:color w:val="000000"/>
                <w:sz w:val="18"/>
                <w:szCs w:val="24"/>
              </w:rPr>
              <w:t>матрична рибонуклеїнова кислота</w:t>
            </w:r>
          </w:p>
        </w:tc>
      </w:tr>
      <w:tr w:rsidR="00366CB9" w14:paraId="2BA51647" w14:textId="77777777" w:rsidTr="0061381C">
        <w:trPr>
          <w:trHeight w:hRule="exact" w:val="336"/>
        </w:trPr>
        <w:tc>
          <w:tcPr>
            <w:tcW w:w="2136" w:type="dxa"/>
            <w:shd w:val="clear" w:color="auto" w:fill="FFFFFF"/>
          </w:tcPr>
          <w:p w14:paraId="7F94FECE" w14:textId="77777777" w:rsidR="00366CB9" w:rsidRPr="006E22E5" w:rsidRDefault="009D0C1D" w:rsidP="0061381C">
            <w:pPr>
              <w:pStyle w:val="a6"/>
              <w:shd w:val="clear" w:color="auto" w:fill="auto"/>
              <w:rPr>
                <w:i/>
                <w:iCs/>
                <w:sz w:val="18"/>
                <w:szCs w:val="24"/>
              </w:rPr>
            </w:pPr>
            <w:r w:rsidRPr="006E22E5">
              <w:rPr>
                <w:i/>
                <w:color w:val="019648"/>
                <w:sz w:val="18"/>
                <w:szCs w:val="24"/>
              </w:rPr>
              <w:t>Mtb</w:t>
            </w:r>
          </w:p>
        </w:tc>
        <w:tc>
          <w:tcPr>
            <w:tcW w:w="7019" w:type="dxa"/>
            <w:shd w:val="clear" w:color="auto" w:fill="FFFFFF"/>
          </w:tcPr>
          <w:p w14:paraId="12002C02" w14:textId="77777777" w:rsidR="00366CB9" w:rsidRPr="006E22E5" w:rsidRDefault="009D0C1D" w:rsidP="0061381C">
            <w:pPr>
              <w:pStyle w:val="a6"/>
              <w:shd w:val="clear" w:color="auto" w:fill="auto"/>
              <w:rPr>
                <w:sz w:val="18"/>
                <w:szCs w:val="24"/>
              </w:rPr>
            </w:pPr>
            <w:r w:rsidRPr="006E22E5">
              <w:rPr>
                <w:b w:val="0"/>
                <w:i/>
                <w:color w:val="000000"/>
                <w:sz w:val="18"/>
                <w:szCs w:val="24"/>
              </w:rPr>
              <w:t>Mycobacterium tuberculosis</w:t>
            </w:r>
          </w:p>
        </w:tc>
      </w:tr>
      <w:tr w:rsidR="00366CB9" w14:paraId="6007CF40" w14:textId="77777777" w:rsidTr="0061381C">
        <w:trPr>
          <w:trHeight w:hRule="exact" w:val="336"/>
        </w:trPr>
        <w:tc>
          <w:tcPr>
            <w:tcW w:w="2136" w:type="dxa"/>
            <w:shd w:val="clear" w:color="auto" w:fill="FFFFFF"/>
          </w:tcPr>
          <w:p w14:paraId="77547B8E" w14:textId="77777777" w:rsidR="00366CB9" w:rsidRPr="006E22E5" w:rsidRDefault="009D0C1D" w:rsidP="0061381C">
            <w:pPr>
              <w:pStyle w:val="a6"/>
              <w:shd w:val="clear" w:color="auto" w:fill="auto"/>
              <w:rPr>
                <w:sz w:val="18"/>
                <w:szCs w:val="24"/>
              </w:rPr>
            </w:pPr>
            <w:r w:rsidRPr="006E22E5">
              <w:rPr>
                <w:color w:val="019648"/>
                <w:sz w:val="18"/>
                <w:szCs w:val="24"/>
              </w:rPr>
              <w:t>MTBC</w:t>
            </w:r>
          </w:p>
        </w:tc>
        <w:tc>
          <w:tcPr>
            <w:tcW w:w="7019" w:type="dxa"/>
            <w:shd w:val="clear" w:color="auto" w:fill="FFFFFF"/>
          </w:tcPr>
          <w:p w14:paraId="7F14E7A6" w14:textId="77777777" w:rsidR="00366CB9" w:rsidRPr="006E22E5" w:rsidRDefault="009D0C1D" w:rsidP="0061381C">
            <w:pPr>
              <w:pStyle w:val="a6"/>
              <w:shd w:val="clear" w:color="auto" w:fill="auto"/>
              <w:rPr>
                <w:sz w:val="18"/>
                <w:szCs w:val="24"/>
              </w:rPr>
            </w:pPr>
            <w:r w:rsidRPr="006E22E5">
              <w:rPr>
                <w:b w:val="0"/>
                <w:color w:val="000000"/>
                <w:sz w:val="18"/>
                <w:szCs w:val="24"/>
              </w:rPr>
              <w:t xml:space="preserve">комплекс </w:t>
            </w:r>
            <w:r w:rsidRPr="006E22E5">
              <w:rPr>
                <w:b w:val="0"/>
                <w:i/>
                <w:color w:val="000000"/>
                <w:sz w:val="18"/>
                <w:szCs w:val="24"/>
              </w:rPr>
              <w:t>Mycobacterium tuberculosis</w:t>
            </w:r>
          </w:p>
        </w:tc>
      </w:tr>
      <w:tr w:rsidR="00366CB9" w14:paraId="34A5D92B" w14:textId="77777777" w:rsidTr="008278DD">
        <w:trPr>
          <w:trHeight w:hRule="exact" w:val="531"/>
        </w:trPr>
        <w:tc>
          <w:tcPr>
            <w:tcW w:w="2136" w:type="dxa"/>
            <w:shd w:val="clear" w:color="auto" w:fill="FFFFFF"/>
          </w:tcPr>
          <w:p w14:paraId="26A6C582" w14:textId="77777777" w:rsidR="00366CB9" w:rsidRPr="006E22E5" w:rsidRDefault="009D0C1D" w:rsidP="0061381C">
            <w:pPr>
              <w:pStyle w:val="a6"/>
              <w:shd w:val="clear" w:color="auto" w:fill="auto"/>
              <w:rPr>
                <w:sz w:val="18"/>
                <w:szCs w:val="24"/>
              </w:rPr>
            </w:pPr>
            <w:r w:rsidRPr="006E22E5">
              <w:rPr>
                <w:color w:val="019648"/>
                <w:sz w:val="18"/>
                <w:szCs w:val="24"/>
              </w:rPr>
              <w:t>mWRD</w:t>
            </w:r>
          </w:p>
        </w:tc>
        <w:tc>
          <w:tcPr>
            <w:tcW w:w="7019" w:type="dxa"/>
            <w:shd w:val="clear" w:color="auto" w:fill="FFFFFF"/>
          </w:tcPr>
          <w:p w14:paraId="66F3DE59" w14:textId="77777777" w:rsidR="00366CB9" w:rsidRPr="006E22E5" w:rsidRDefault="009D0C1D" w:rsidP="0061381C">
            <w:pPr>
              <w:pStyle w:val="a6"/>
              <w:shd w:val="clear" w:color="auto" w:fill="auto"/>
              <w:rPr>
                <w:sz w:val="18"/>
                <w:szCs w:val="24"/>
              </w:rPr>
            </w:pPr>
            <w:r w:rsidRPr="006E22E5">
              <w:rPr>
                <w:b w:val="0"/>
                <w:color w:val="000000"/>
                <w:sz w:val="18"/>
                <w:szCs w:val="24"/>
              </w:rPr>
              <w:t>молекулярний експрес-тест для діагностики туберкульозу, рекомендований ВООЗ</w:t>
            </w:r>
          </w:p>
        </w:tc>
      </w:tr>
      <w:tr w:rsidR="00366CB9" w14:paraId="06ED5293" w14:textId="77777777" w:rsidTr="0061381C">
        <w:trPr>
          <w:trHeight w:hRule="exact" w:val="346"/>
        </w:trPr>
        <w:tc>
          <w:tcPr>
            <w:tcW w:w="2136" w:type="dxa"/>
            <w:shd w:val="clear" w:color="auto" w:fill="FFFFFF"/>
          </w:tcPr>
          <w:p w14:paraId="5989227B" w14:textId="77777777" w:rsidR="00366CB9" w:rsidRPr="006E22E5" w:rsidRDefault="009D0C1D" w:rsidP="0061381C">
            <w:pPr>
              <w:pStyle w:val="a6"/>
              <w:shd w:val="clear" w:color="auto" w:fill="auto"/>
              <w:rPr>
                <w:sz w:val="18"/>
                <w:szCs w:val="24"/>
              </w:rPr>
            </w:pPr>
            <w:r w:rsidRPr="006E22E5">
              <w:rPr>
                <w:color w:val="019648"/>
                <w:sz w:val="18"/>
                <w:szCs w:val="24"/>
              </w:rPr>
              <w:t>NAAT</w:t>
            </w:r>
          </w:p>
        </w:tc>
        <w:tc>
          <w:tcPr>
            <w:tcW w:w="7019" w:type="dxa"/>
            <w:shd w:val="clear" w:color="auto" w:fill="FFFFFF"/>
          </w:tcPr>
          <w:p w14:paraId="7CFCBD0B" w14:textId="77777777" w:rsidR="00366CB9" w:rsidRPr="006E22E5" w:rsidRDefault="009D0C1D" w:rsidP="0061381C">
            <w:pPr>
              <w:pStyle w:val="a6"/>
              <w:shd w:val="clear" w:color="auto" w:fill="auto"/>
              <w:rPr>
                <w:sz w:val="18"/>
                <w:szCs w:val="24"/>
              </w:rPr>
            </w:pPr>
            <w:r w:rsidRPr="006E22E5">
              <w:rPr>
                <w:b w:val="0"/>
                <w:color w:val="000000"/>
                <w:sz w:val="18"/>
                <w:szCs w:val="24"/>
              </w:rPr>
              <w:t>аналіз методом ампліфікації НК</w:t>
            </w:r>
          </w:p>
        </w:tc>
      </w:tr>
      <w:tr w:rsidR="00366CB9" w14:paraId="1E22B8B9" w14:textId="77777777" w:rsidTr="0061381C">
        <w:trPr>
          <w:trHeight w:hRule="exact" w:val="331"/>
        </w:trPr>
        <w:tc>
          <w:tcPr>
            <w:tcW w:w="2136" w:type="dxa"/>
            <w:shd w:val="clear" w:color="auto" w:fill="FFFFFF"/>
          </w:tcPr>
          <w:p w14:paraId="59858361" w14:textId="77777777" w:rsidR="00366CB9" w:rsidRPr="006E22E5" w:rsidRDefault="009D0C1D" w:rsidP="0061381C">
            <w:pPr>
              <w:pStyle w:val="a6"/>
              <w:shd w:val="clear" w:color="auto" w:fill="auto"/>
              <w:rPr>
                <w:sz w:val="18"/>
                <w:szCs w:val="24"/>
              </w:rPr>
            </w:pPr>
            <w:r w:rsidRPr="006E22E5">
              <w:rPr>
                <w:color w:val="019648"/>
                <w:sz w:val="18"/>
                <w:szCs w:val="24"/>
              </w:rPr>
              <w:t>СНП</w:t>
            </w:r>
          </w:p>
        </w:tc>
        <w:tc>
          <w:tcPr>
            <w:tcW w:w="7019" w:type="dxa"/>
            <w:shd w:val="clear" w:color="auto" w:fill="FFFFFF"/>
          </w:tcPr>
          <w:p w14:paraId="720DFFFE" w14:textId="77777777" w:rsidR="00366CB9" w:rsidRPr="006E22E5" w:rsidRDefault="009D0C1D" w:rsidP="0061381C">
            <w:pPr>
              <w:pStyle w:val="a6"/>
              <w:shd w:val="clear" w:color="auto" w:fill="auto"/>
              <w:rPr>
                <w:sz w:val="18"/>
                <w:szCs w:val="24"/>
              </w:rPr>
            </w:pPr>
            <w:r w:rsidRPr="006E22E5">
              <w:rPr>
                <w:b w:val="0"/>
                <w:color w:val="000000"/>
                <w:sz w:val="18"/>
                <w:szCs w:val="24"/>
              </w:rPr>
              <w:t>секвенування наступного покоління</w:t>
            </w:r>
          </w:p>
        </w:tc>
      </w:tr>
      <w:tr w:rsidR="00366CB9" w14:paraId="03C46512" w14:textId="77777777" w:rsidTr="0061381C">
        <w:trPr>
          <w:trHeight w:hRule="exact" w:val="331"/>
        </w:trPr>
        <w:tc>
          <w:tcPr>
            <w:tcW w:w="2136" w:type="dxa"/>
            <w:shd w:val="clear" w:color="auto" w:fill="FFFFFF"/>
          </w:tcPr>
          <w:p w14:paraId="35155804" w14:textId="77777777" w:rsidR="00366CB9" w:rsidRPr="006E22E5" w:rsidRDefault="009D0C1D" w:rsidP="0061381C">
            <w:pPr>
              <w:pStyle w:val="a6"/>
              <w:shd w:val="clear" w:color="auto" w:fill="auto"/>
              <w:rPr>
                <w:sz w:val="18"/>
                <w:szCs w:val="24"/>
              </w:rPr>
            </w:pPr>
            <w:r w:rsidRPr="006E22E5">
              <w:rPr>
                <w:color w:val="019648"/>
                <w:sz w:val="18"/>
                <w:szCs w:val="24"/>
              </w:rPr>
              <w:t>NTM</w:t>
            </w:r>
          </w:p>
        </w:tc>
        <w:tc>
          <w:tcPr>
            <w:tcW w:w="7019" w:type="dxa"/>
            <w:shd w:val="clear" w:color="auto" w:fill="FFFFFF"/>
          </w:tcPr>
          <w:p w14:paraId="0EDE5DE2" w14:textId="77777777" w:rsidR="00366CB9" w:rsidRPr="006E22E5" w:rsidRDefault="009D0C1D" w:rsidP="0061381C">
            <w:pPr>
              <w:pStyle w:val="a6"/>
              <w:shd w:val="clear" w:color="auto" w:fill="auto"/>
              <w:rPr>
                <w:sz w:val="18"/>
                <w:szCs w:val="24"/>
              </w:rPr>
            </w:pPr>
            <w:r w:rsidRPr="006E22E5">
              <w:rPr>
                <w:b w:val="0"/>
                <w:color w:val="000000"/>
                <w:sz w:val="18"/>
                <w:szCs w:val="24"/>
              </w:rPr>
              <w:t>нетуберкульозні мікобактерії</w:t>
            </w:r>
          </w:p>
        </w:tc>
      </w:tr>
      <w:tr w:rsidR="00366CB9" w14:paraId="357E7CE1" w14:textId="77777777" w:rsidTr="0061381C">
        <w:trPr>
          <w:trHeight w:hRule="exact" w:val="341"/>
        </w:trPr>
        <w:tc>
          <w:tcPr>
            <w:tcW w:w="2136" w:type="dxa"/>
            <w:shd w:val="clear" w:color="auto" w:fill="FFFFFF"/>
          </w:tcPr>
          <w:p w14:paraId="20661F56" w14:textId="77777777" w:rsidR="00366CB9" w:rsidRPr="006E22E5" w:rsidRDefault="009D0C1D" w:rsidP="0061381C">
            <w:pPr>
              <w:pStyle w:val="a6"/>
              <w:shd w:val="clear" w:color="auto" w:fill="auto"/>
              <w:rPr>
                <w:sz w:val="18"/>
                <w:szCs w:val="24"/>
              </w:rPr>
            </w:pPr>
            <w:r w:rsidRPr="006E22E5">
              <w:rPr>
                <w:color w:val="019648"/>
                <w:sz w:val="18"/>
                <w:szCs w:val="24"/>
              </w:rPr>
              <w:t>НПБТ</w:t>
            </w:r>
          </w:p>
        </w:tc>
        <w:tc>
          <w:tcPr>
            <w:tcW w:w="7019" w:type="dxa"/>
            <w:shd w:val="clear" w:color="auto" w:fill="FFFFFF"/>
          </w:tcPr>
          <w:p w14:paraId="08CCD7C6" w14:textId="77777777" w:rsidR="00366CB9" w:rsidRPr="006E22E5" w:rsidRDefault="009D0C1D" w:rsidP="0061381C">
            <w:pPr>
              <w:pStyle w:val="a6"/>
              <w:shd w:val="clear" w:color="auto" w:fill="auto"/>
              <w:rPr>
                <w:sz w:val="18"/>
                <w:szCs w:val="24"/>
              </w:rPr>
            </w:pPr>
            <w:r w:rsidRPr="006E22E5">
              <w:rPr>
                <w:b w:val="0"/>
                <w:color w:val="000000"/>
                <w:sz w:val="18"/>
                <w:szCs w:val="24"/>
              </w:rPr>
              <w:t>Національна програма з боротьби з туберкульозом</w:t>
            </w:r>
          </w:p>
        </w:tc>
      </w:tr>
      <w:tr w:rsidR="00366CB9" w14:paraId="61D53652" w14:textId="77777777" w:rsidTr="0061381C">
        <w:trPr>
          <w:trHeight w:hRule="exact" w:val="331"/>
        </w:trPr>
        <w:tc>
          <w:tcPr>
            <w:tcW w:w="2136" w:type="dxa"/>
            <w:shd w:val="clear" w:color="auto" w:fill="FFFFFF"/>
          </w:tcPr>
          <w:p w14:paraId="5089952F" w14:textId="77777777" w:rsidR="00366CB9" w:rsidRPr="006E22E5" w:rsidRDefault="009D0C1D" w:rsidP="0061381C">
            <w:pPr>
              <w:pStyle w:val="a6"/>
              <w:shd w:val="clear" w:color="auto" w:fill="auto"/>
              <w:rPr>
                <w:sz w:val="18"/>
                <w:szCs w:val="24"/>
              </w:rPr>
            </w:pPr>
            <w:r w:rsidRPr="006E22E5">
              <w:rPr>
                <w:color w:val="019648"/>
                <w:sz w:val="18"/>
                <w:szCs w:val="24"/>
              </w:rPr>
              <w:t>НТРЛ</w:t>
            </w:r>
          </w:p>
        </w:tc>
        <w:tc>
          <w:tcPr>
            <w:tcW w:w="7019" w:type="dxa"/>
            <w:shd w:val="clear" w:color="auto" w:fill="FFFFFF"/>
          </w:tcPr>
          <w:p w14:paraId="492D16EC" w14:textId="77777777" w:rsidR="00366CB9" w:rsidRPr="006E22E5" w:rsidRDefault="009D0C1D" w:rsidP="0061381C">
            <w:pPr>
              <w:pStyle w:val="a6"/>
              <w:shd w:val="clear" w:color="auto" w:fill="auto"/>
              <w:rPr>
                <w:sz w:val="18"/>
                <w:szCs w:val="24"/>
              </w:rPr>
            </w:pPr>
            <w:r w:rsidRPr="006E22E5">
              <w:rPr>
                <w:b w:val="0"/>
                <w:color w:val="000000"/>
                <w:sz w:val="18"/>
                <w:szCs w:val="24"/>
              </w:rPr>
              <w:t>Національна референс-лабораторія з діагностики туберкульозу</w:t>
            </w:r>
          </w:p>
        </w:tc>
      </w:tr>
      <w:tr w:rsidR="00366CB9" w14:paraId="7E56417F" w14:textId="77777777" w:rsidTr="0061381C">
        <w:trPr>
          <w:trHeight w:hRule="exact" w:val="331"/>
        </w:trPr>
        <w:tc>
          <w:tcPr>
            <w:tcW w:w="2136" w:type="dxa"/>
            <w:shd w:val="clear" w:color="auto" w:fill="FFFFFF"/>
          </w:tcPr>
          <w:p w14:paraId="4B91D8C8" w14:textId="77777777" w:rsidR="00366CB9" w:rsidRPr="006E22E5" w:rsidRDefault="009D0C1D" w:rsidP="0061381C">
            <w:pPr>
              <w:pStyle w:val="a6"/>
              <w:shd w:val="clear" w:color="auto" w:fill="auto"/>
              <w:rPr>
                <w:sz w:val="18"/>
                <w:szCs w:val="24"/>
              </w:rPr>
            </w:pPr>
            <w:r w:rsidRPr="006E22E5">
              <w:rPr>
                <w:color w:val="019648"/>
                <w:sz w:val="18"/>
                <w:szCs w:val="24"/>
              </w:rPr>
              <w:t>ЕА</w:t>
            </w:r>
          </w:p>
        </w:tc>
        <w:tc>
          <w:tcPr>
            <w:tcW w:w="7019" w:type="dxa"/>
            <w:shd w:val="clear" w:color="auto" w:fill="FFFFFF"/>
          </w:tcPr>
          <w:p w14:paraId="35364733" w14:textId="77777777" w:rsidR="00366CB9" w:rsidRPr="006E22E5" w:rsidRDefault="009D0C1D" w:rsidP="0061381C">
            <w:pPr>
              <w:pStyle w:val="a6"/>
              <w:shd w:val="clear" w:color="auto" w:fill="auto"/>
              <w:rPr>
                <w:sz w:val="18"/>
                <w:szCs w:val="24"/>
              </w:rPr>
            </w:pPr>
            <w:r w:rsidRPr="006E22E5">
              <w:rPr>
                <w:b w:val="0"/>
                <w:color w:val="000000"/>
                <w:sz w:val="18"/>
                <w:szCs w:val="24"/>
              </w:rPr>
              <w:t>експрес-аналіз</w:t>
            </w:r>
          </w:p>
        </w:tc>
      </w:tr>
      <w:tr w:rsidR="00366CB9" w14:paraId="3D5E1504" w14:textId="77777777" w:rsidTr="0061381C">
        <w:trPr>
          <w:trHeight w:hRule="exact" w:val="336"/>
        </w:trPr>
        <w:tc>
          <w:tcPr>
            <w:tcW w:w="2136" w:type="dxa"/>
            <w:shd w:val="clear" w:color="auto" w:fill="FFFFFF"/>
          </w:tcPr>
          <w:p w14:paraId="4E1B9A66" w14:textId="77777777" w:rsidR="00366CB9" w:rsidRPr="006E22E5" w:rsidRDefault="009D0C1D" w:rsidP="0061381C">
            <w:pPr>
              <w:pStyle w:val="a6"/>
              <w:shd w:val="clear" w:color="auto" w:fill="auto"/>
              <w:rPr>
                <w:sz w:val="18"/>
                <w:szCs w:val="24"/>
              </w:rPr>
            </w:pPr>
            <w:r w:rsidRPr="006E22E5">
              <w:rPr>
                <w:color w:val="019648"/>
                <w:sz w:val="18"/>
                <w:szCs w:val="24"/>
              </w:rPr>
              <w:t>ОБП</w:t>
            </w:r>
          </w:p>
        </w:tc>
        <w:tc>
          <w:tcPr>
            <w:tcW w:w="7019" w:type="dxa"/>
            <w:shd w:val="clear" w:color="auto" w:fill="FFFFFF"/>
          </w:tcPr>
          <w:p w14:paraId="13FF1F3D" w14:textId="77777777" w:rsidR="00366CB9" w:rsidRPr="006E22E5" w:rsidRDefault="009D0C1D" w:rsidP="0061381C">
            <w:pPr>
              <w:pStyle w:val="a6"/>
              <w:shd w:val="clear" w:color="auto" w:fill="auto"/>
              <w:rPr>
                <w:sz w:val="18"/>
                <w:szCs w:val="24"/>
              </w:rPr>
            </w:pPr>
            <w:r w:rsidRPr="006E22E5">
              <w:rPr>
                <w:b w:val="0"/>
                <w:color w:val="000000"/>
                <w:sz w:val="18"/>
                <w:szCs w:val="24"/>
              </w:rPr>
              <w:t>очищений білковий продукт</w:t>
            </w:r>
          </w:p>
        </w:tc>
      </w:tr>
      <w:tr w:rsidR="00366CB9" w14:paraId="2ED09994" w14:textId="77777777" w:rsidTr="0061381C">
        <w:trPr>
          <w:trHeight w:hRule="exact" w:val="336"/>
        </w:trPr>
        <w:tc>
          <w:tcPr>
            <w:tcW w:w="2136" w:type="dxa"/>
            <w:shd w:val="clear" w:color="auto" w:fill="FFFFFF"/>
          </w:tcPr>
          <w:p w14:paraId="5D591A96" w14:textId="77777777" w:rsidR="00366CB9" w:rsidRPr="006E22E5" w:rsidRDefault="009D0C1D" w:rsidP="0061381C">
            <w:pPr>
              <w:pStyle w:val="a6"/>
              <w:shd w:val="clear" w:color="auto" w:fill="auto"/>
              <w:rPr>
                <w:sz w:val="18"/>
                <w:szCs w:val="24"/>
              </w:rPr>
            </w:pPr>
            <w:r w:rsidRPr="006E22E5">
              <w:rPr>
                <w:color w:val="019648"/>
                <w:sz w:val="18"/>
                <w:szCs w:val="24"/>
              </w:rPr>
              <w:t>ОБПС</w:t>
            </w:r>
          </w:p>
        </w:tc>
        <w:tc>
          <w:tcPr>
            <w:tcW w:w="7019" w:type="dxa"/>
            <w:shd w:val="clear" w:color="auto" w:fill="FFFFFF"/>
          </w:tcPr>
          <w:p w14:paraId="3E5DC80E" w14:textId="77777777" w:rsidR="00366CB9" w:rsidRPr="006E22E5" w:rsidRDefault="009D0C1D" w:rsidP="0061381C">
            <w:pPr>
              <w:pStyle w:val="a6"/>
              <w:shd w:val="clear" w:color="auto" w:fill="auto"/>
              <w:rPr>
                <w:sz w:val="18"/>
                <w:szCs w:val="24"/>
              </w:rPr>
            </w:pPr>
            <w:r w:rsidRPr="006E22E5">
              <w:rPr>
                <w:b w:val="0"/>
                <w:color w:val="000000"/>
                <w:sz w:val="18"/>
                <w:szCs w:val="24"/>
              </w:rPr>
              <w:t>очищений білковий продукт (стандартний)</w:t>
            </w:r>
          </w:p>
        </w:tc>
      </w:tr>
      <w:tr w:rsidR="00366CB9" w14:paraId="4B42C694" w14:textId="77777777" w:rsidTr="0061381C">
        <w:trPr>
          <w:trHeight w:hRule="exact" w:val="341"/>
        </w:trPr>
        <w:tc>
          <w:tcPr>
            <w:tcW w:w="2136" w:type="dxa"/>
            <w:shd w:val="clear" w:color="auto" w:fill="FFFFFF"/>
          </w:tcPr>
          <w:p w14:paraId="13A08A1A" w14:textId="77777777" w:rsidR="00366CB9" w:rsidRPr="006E22E5" w:rsidRDefault="009D0C1D" w:rsidP="0061381C">
            <w:pPr>
              <w:pStyle w:val="a6"/>
              <w:shd w:val="clear" w:color="auto" w:fill="auto"/>
              <w:rPr>
                <w:sz w:val="18"/>
                <w:szCs w:val="24"/>
              </w:rPr>
            </w:pPr>
            <w:r w:rsidRPr="006E22E5">
              <w:rPr>
                <w:color w:val="019648"/>
                <w:sz w:val="18"/>
                <w:szCs w:val="24"/>
              </w:rPr>
              <w:t>ПЦПР</w:t>
            </w:r>
          </w:p>
        </w:tc>
        <w:tc>
          <w:tcPr>
            <w:tcW w:w="7019" w:type="dxa"/>
            <w:shd w:val="clear" w:color="auto" w:fill="FFFFFF"/>
          </w:tcPr>
          <w:p w14:paraId="10DEB7ED" w14:textId="77777777" w:rsidR="00366CB9" w:rsidRPr="006E22E5" w:rsidRDefault="009D0C1D" w:rsidP="0061381C">
            <w:pPr>
              <w:pStyle w:val="a6"/>
              <w:shd w:val="clear" w:color="auto" w:fill="auto"/>
              <w:rPr>
                <w:sz w:val="18"/>
                <w:szCs w:val="24"/>
              </w:rPr>
            </w:pPr>
            <w:r w:rsidRPr="006E22E5">
              <w:rPr>
                <w:b w:val="0"/>
                <w:color w:val="000000"/>
                <w:sz w:val="18"/>
                <w:szCs w:val="24"/>
              </w:rPr>
              <w:t>прогностична цінність позитивного результату</w:t>
            </w:r>
          </w:p>
        </w:tc>
      </w:tr>
      <w:tr w:rsidR="00366CB9" w14:paraId="6DBE369B" w14:textId="77777777" w:rsidTr="0061381C">
        <w:trPr>
          <w:trHeight w:hRule="exact" w:val="331"/>
        </w:trPr>
        <w:tc>
          <w:tcPr>
            <w:tcW w:w="2136" w:type="dxa"/>
            <w:shd w:val="clear" w:color="auto" w:fill="FFFFFF"/>
          </w:tcPr>
          <w:p w14:paraId="5BC9008B" w14:textId="77777777" w:rsidR="00366CB9" w:rsidRPr="006E22E5" w:rsidRDefault="009D0C1D" w:rsidP="0061381C">
            <w:pPr>
              <w:pStyle w:val="a6"/>
              <w:shd w:val="clear" w:color="auto" w:fill="auto"/>
              <w:rPr>
                <w:sz w:val="18"/>
                <w:szCs w:val="24"/>
              </w:rPr>
            </w:pPr>
            <w:r w:rsidRPr="006E22E5">
              <w:rPr>
                <w:color w:val="019648"/>
                <w:sz w:val="18"/>
                <w:szCs w:val="24"/>
              </w:rPr>
              <w:t>ЗЯ</w:t>
            </w:r>
          </w:p>
        </w:tc>
        <w:tc>
          <w:tcPr>
            <w:tcW w:w="7019" w:type="dxa"/>
            <w:shd w:val="clear" w:color="auto" w:fill="FFFFFF"/>
          </w:tcPr>
          <w:p w14:paraId="4926BA19" w14:textId="77777777" w:rsidR="00366CB9" w:rsidRPr="006E22E5" w:rsidRDefault="009D0C1D" w:rsidP="0061381C">
            <w:pPr>
              <w:pStyle w:val="a6"/>
              <w:shd w:val="clear" w:color="auto" w:fill="auto"/>
              <w:rPr>
                <w:sz w:val="18"/>
                <w:szCs w:val="24"/>
              </w:rPr>
            </w:pPr>
            <w:r w:rsidRPr="006E22E5">
              <w:rPr>
                <w:b w:val="0"/>
                <w:color w:val="000000"/>
                <w:sz w:val="18"/>
                <w:szCs w:val="24"/>
              </w:rPr>
              <w:t>забезпечення якості</w:t>
            </w:r>
          </w:p>
        </w:tc>
      </w:tr>
      <w:tr w:rsidR="00366CB9" w14:paraId="7F771194" w14:textId="77777777" w:rsidTr="0061381C">
        <w:trPr>
          <w:trHeight w:hRule="exact" w:val="336"/>
        </w:trPr>
        <w:tc>
          <w:tcPr>
            <w:tcW w:w="2136" w:type="dxa"/>
            <w:shd w:val="clear" w:color="auto" w:fill="FFFFFF"/>
          </w:tcPr>
          <w:p w14:paraId="3541DD3B" w14:textId="77777777" w:rsidR="00366CB9" w:rsidRPr="006E22E5" w:rsidRDefault="009D0C1D" w:rsidP="0061381C">
            <w:pPr>
              <w:pStyle w:val="a6"/>
              <w:shd w:val="clear" w:color="auto" w:fill="auto"/>
              <w:rPr>
                <w:sz w:val="18"/>
                <w:szCs w:val="24"/>
              </w:rPr>
            </w:pPr>
            <w:r w:rsidRPr="006E22E5">
              <w:rPr>
                <w:color w:val="019648"/>
                <w:sz w:val="18"/>
                <w:szCs w:val="24"/>
              </w:rPr>
              <w:t>КЯ</w:t>
            </w:r>
          </w:p>
        </w:tc>
        <w:tc>
          <w:tcPr>
            <w:tcW w:w="7019" w:type="dxa"/>
            <w:shd w:val="clear" w:color="auto" w:fill="FFFFFF"/>
          </w:tcPr>
          <w:p w14:paraId="3AD10344" w14:textId="77777777" w:rsidR="00366CB9" w:rsidRPr="006E22E5" w:rsidRDefault="009D0C1D" w:rsidP="0061381C">
            <w:pPr>
              <w:pStyle w:val="a6"/>
              <w:shd w:val="clear" w:color="auto" w:fill="auto"/>
              <w:rPr>
                <w:sz w:val="18"/>
                <w:szCs w:val="24"/>
              </w:rPr>
            </w:pPr>
            <w:r w:rsidRPr="006E22E5">
              <w:rPr>
                <w:b w:val="0"/>
                <w:color w:val="000000"/>
                <w:sz w:val="18"/>
                <w:szCs w:val="24"/>
              </w:rPr>
              <w:t>контроль якості</w:t>
            </w:r>
          </w:p>
        </w:tc>
      </w:tr>
      <w:tr w:rsidR="00366CB9" w14:paraId="50CA9FFF" w14:textId="77777777" w:rsidTr="0061381C">
        <w:trPr>
          <w:trHeight w:hRule="exact" w:val="331"/>
        </w:trPr>
        <w:tc>
          <w:tcPr>
            <w:tcW w:w="2136" w:type="dxa"/>
            <w:shd w:val="clear" w:color="auto" w:fill="FFFFFF"/>
          </w:tcPr>
          <w:p w14:paraId="15EA5EB8" w14:textId="77777777" w:rsidR="00366CB9" w:rsidRPr="006E22E5" w:rsidRDefault="009D0C1D" w:rsidP="0061381C">
            <w:pPr>
              <w:pStyle w:val="a6"/>
              <w:shd w:val="clear" w:color="auto" w:fill="auto"/>
              <w:rPr>
                <w:sz w:val="18"/>
                <w:szCs w:val="24"/>
              </w:rPr>
            </w:pPr>
            <w:r w:rsidRPr="006E22E5">
              <w:rPr>
                <w:color w:val="019648"/>
                <w:sz w:val="18"/>
                <w:szCs w:val="24"/>
              </w:rPr>
              <w:t>RRDR</w:t>
            </w:r>
          </w:p>
        </w:tc>
        <w:tc>
          <w:tcPr>
            <w:tcW w:w="7019" w:type="dxa"/>
            <w:shd w:val="clear" w:color="auto" w:fill="FFFFFF"/>
          </w:tcPr>
          <w:p w14:paraId="5B40675F" w14:textId="77777777" w:rsidR="00366CB9" w:rsidRPr="006E22E5" w:rsidRDefault="009D0C1D" w:rsidP="0061381C">
            <w:pPr>
              <w:pStyle w:val="a6"/>
              <w:shd w:val="clear" w:color="auto" w:fill="auto"/>
              <w:rPr>
                <w:sz w:val="18"/>
                <w:szCs w:val="24"/>
              </w:rPr>
            </w:pPr>
            <w:r w:rsidRPr="006E22E5">
              <w:rPr>
                <w:b w:val="0"/>
                <w:color w:val="000000"/>
                <w:sz w:val="18"/>
                <w:szCs w:val="24"/>
              </w:rPr>
              <w:t>ділянка, що визначає резистентність до рифампіцину</w:t>
            </w:r>
          </w:p>
        </w:tc>
      </w:tr>
      <w:tr w:rsidR="00366CB9" w14:paraId="394A354A" w14:textId="77777777" w:rsidTr="0061381C">
        <w:trPr>
          <w:trHeight w:hRule="exact" w:val="331"/>
        </w:trPr>
        <w:tc>
          <w:tcPr>
            <w:tcW w:w="2136" w:type="dxa"/>
            <w:shd w:val="clear" w:color="auto" w:fill="FFFFFF"/>
          </w:tcPr>
          <w:p w14:paraId="0868D67A" w14:textId="77777777" w:rsidR="00366CB9" w:rsidRPr="006E22E5" w:rsidRDefault="009D0C1D" w:rsidP="0061381C">
            <w:pPr>
              <w:pStyle w:val="a6"/>
              <w:shd w:val="clear" w:color="auto" w:fill="auto"/>
              <w:rPr>
                <w:sz w:val="18"/>
                <w:szCs w:val="24"/>
              </w:rPr>
            </w:pPr>
            <w:r w:rsidRPr="006E22E5">
              <w:rPr>
                <w:color w:val="019648"/>
                <w:sz w:val="18"/>
                <w:szCs w:val="24"/>
              </w:rPr>
              <w:t>Риф-ТБ</w:t>
            </w:r>
          </w:p>
        </w:tc>
        <w:tc>
          <w:tcPr>
            <w:tcW w:w="7019" w:type="dxa"/>
            <w:shd w:val="clear" w:color="auto" w:fill="FFFFFF"/>
          </w:tcPr>
          <w:p w14:paraId="38F8BBD2" w14:textId="77777777" w:rsidR="00366CB9" w:rsidRPr="006E22E5" w:rsidRDefault="009D0C1D" w:rsidP="0061381C">
            <w:pPr>
              <w:pStyle w:val="a6"/>
              <w:shd w:val="clear" w:color="auto" w:fill="auto"/>
              <w:rPr>
                <w:sz w:val="18"/>
                <w:szCs w:val="24"/>
              </w:rPr>
            </w:pPr>
            <w:r w:rsidRPr="006E22E5">
              <w:rPr>
                <w:b w:val="0"/>
                <w:color w:val="000000"/>
                <w:sz w:val="18"/>
                <w:szCs w:val="24"/>
              </w:rPr>
              <w:t>рифампіцин-резистентний туберкульоз</w:t>
            </w:r>
          </w:p>
        </w:tc>
      </w:tr>
      <w:tr w:rsidR="00366CB9" w14:paraId="289BC949" w14:textId="77777777" w:rsidTr="0061381C">
        <w:trPr>
          <w:trHeight w:hRule="exact" w:val="341"/>
        </w:trPr>
        <w:tc>
          <w:tcPr>
            <w:tcW w:w="2136" w:type="dxa"/>
            <w:shd w:val="clear" w:color="auto" w:fill="FFFFFF"/>
          </w:tcPr>
          <w:p w14:paraId="6EEB3517" w14:textId="77777777" w:rsidR="00366CB9" w:rsidRPr="006E22E5" w:rsidRDefault="009D0C1D" w:rsidP="0061381C">
            <w:pPr>
              <w:pStyle w:val="a6"/>
              <w:shd w:val="clear" w:color="auto" w:fill="auto"/>
              <w:rPr>
                <w:sz w:val="18"/>
                <w:szCs w:val="24"/>
              </w:rPr>
            </w:pPr>
            <w:r w:rsidRPr="006E22E5">
              <w:rPr>
                <w:color w:val="019648"/>
                <w:sz w:val="18"/>
                <w:szCs w:val="24"/>
              </w:rPr>
              <w:t>SARS-CoV-2</w:t>
            </w:r>
          </w:p>
        </w:tc>
        <w:tc>
          <w:tcPr>
            <w:tcW w:w="7019" w:type="dxa"/>
            <w:shd w:val="clear" w:color="auto" w:fill="FFFFFF"/>
          </w:tcPr>
          <w:p w14:paraId="5060B20F" w14:textId="77777777" w:rsidR="00366CB9" w:rsidRPr="006E22E5" w:rsidRDefault="009D0C1D" w:rsidP="0061381C">
            <w:pPr>
              <w:pStyle w:val="a6"/>
              <w:shd w:val="clear" w:color="auto" w:fill="auto"/>
              <w:rPr>
                <w:sz w:val="18"/>
                <w:szCs w:val="24"/>
              </w:rPr>
            </w:pPr>
            <w:r w:rsidRPr="006E22E5">
              <w:rPr>
                <w:b w:val="0"/>
                <w:color w:val="000000"/>
                <w:sz w:val="18"/>
                <w:szCs w:val="24"/>
              </w:rPr>
              <w:t>тяжкий гострий респіраторний синдром коронавірус 2</w:t>
            </w:r>
          </w:p>
        </w:tc>
      </w:tr>
      <w:tr w:rsidR="00366CB9" w14:paraId="47A0EC57" w14:textId="77777777" w:rsidTr="0061381C">
        <w:trPr>
          <w:trHeight w:hRule="exact" w:val="341"/>
        </w:trPr>
        <w:tc>
          <w:tcPr>
            <w:tcW w:w="2136" w:type="dxa"/>
            <w:shd w:val="clear" w:color="auto" w:fill="FFFFFF"/>
          </w:tcPr>
          <w:p w14:paraId="7B85B535" w14:textId="77777777" w:rsidR="00366CB9" w:rsidRPr="006E22E5" w:rsidRDefault="009D0C1D" w:rsidP="0061381C">
            <w:pPr>
              <w:pStyle w:val="a6"/>
              <w:shd w:val="clear" w:color="auto" w:fill="auto"/>
              <w:rPr>
                <w:sz w:val="18"/>
                <w:szCs w:val="24"/>
              </w:rPr>
            </w:pPr>
            <w:r w:rsidRPr="006E22E5">
              <w:rPr>
                <w:color w:val="019648"/>
                <w:sz w:val="18"/>
                <w:szCs w:val="24"/>
              </w:rPr>
              <w:t>SL-LPA</w:t>
            </w:r>
          </w:p>
        </w:tc>
        <w:tc>
          <w:tcPr>
            <w:tcW w:w="7019" w:type="dxa"/>
            <w:shd w:val="clear" w:color="auto" w:fill="FFFFFF"/>
          </w:tcPr>
          <w:p w14:paraId="53859B3A" w14:textId="77777777" w:rsidR="00366CB9" w:rsidRPr="006E22E5" w:rsidRDefault="009D0C1D" w:rsidP="0061381C">
            <w:pPr>
              <w:pStyle w:val="a6"/>
              <w:shd w:val="clear" w:color="auto" w:fill="auto"/>
              <w:rPr>
                <w:sz w:val="18"/>
                <w:szCs w:val="24"/>
              </w:rPr>
            </w:pPr>
            <w:r w:rsidRPr="006E22E5">
              <w:rPr>
                <w:b w:val="0"/>
                <w:color w:val="000000"/>
                <w:sz w:val="18"/>
                <w:szCs w:val="24"/>
              </w:rPr>
              <w:t>аналіз олігонуклеотидними зондами для препаратів другої лінії</w:t>
            </w:r>
          </w:p>
        </w:tc>
      </w:tr>
      <w:tr w:rsidR="00366CB9" w14:paraId="18EF9709" w14:textId="77777777" w:rsidTr="0061381C">
        <w:trPr>
          <w:trHeight w:hRule="exact" w:val="331"/>
        </w:trPr>
        <w:tc>
          <w:tcPr>
            <w:tcW w:w="2136" w:type="dxa"/>
            <w:shd w:val="clear" w:color="auto" w:fill="FFFFFF"/>
          </w:tcPr>
          <w:p w14:paraId="0397B182" w14:textId="77777777" w:rsidR="00366CB9" w:rsidRPr="006E22E5" w:rsidRDefault="009D0C1D" w:rsidP="0061381C">
            <w:pPr>
              <w:pStyle w:val="a6"/>
              <w:shd w:val="clear" w:color="auto" w:fill="auto"/>
              <w:rPr>
                <w:sz w:val="18"/>
                <w:szCs w:val="24"/>
              </w:rPr>
            </w:pPr>
            <w:r w:rsidRPr="006E22E5">
              <w:rPr>
                <w:color w:val="019648"/>
                <w:sz w:val="18"/>
                <w:szCs w:val="24"/>
              </w:rPr>
              <w:t>СОП</w:t>
            </w:r>
          </w:p>
        </w:tc>
        <w:tc>
          <w:tcPr>
            <w:tcW w:w="7019" w:type="dxa"/>
            <w:shd w:val="clear" w:color="auto" w:fill="FFFFFF"/>
          </w:tcPr>
          <w:p w14:paraId="6D816AEA" w14:textId="77777777" w:rsidR="00366CB9" w:rsidRPr="006E22E5" w:rsidRDefault="009D0C1D" w:rsidP="0061381C">
            <w:pPr>
              <w:pStyle w:val="a6"/>
              <w:shd w:val="clear" w:color="auto" w:fill="auto"/>
              <w:rPr>
                <w:sz w:val="18"/>
                <w:szCs w:val="24"/>
              </w:rPr>
            </w:pPr>
            <w:r w:rsidRPr="006E22E5">
              <w:rPr>
                <w:b w:val="0"/>
                <w:color w:val="000000"/>
                <w:sz w:val="18"/>
                <w:szCs w:val="24"/>
              </w:rPr>
              <w:t>стандартна операційна процедура</w:t>
            </w:r>
          </w:p>
        </w:tc>
      </w:tr>
      <w:tr w:rsidR="00366CB9" w14:paraId="602019C7" w14:textId="77777777" w:rsidTr="0061381C">
        <w:trPr>
          <w:trHeight w:hRule="exact" w:val="331"/>
        </w:trPr>
        <w:tc>
          <w:tcPr>
            <w:tcW w:w="2136" w:type="dxa"/>
            <w:shd w:val="clear" w:color="auto" w:fill="FFFFFF"/>
          </w:tcPr>
          <w:p w14:paraId="3A81E9D8" w14:textId="77777777" w:rsidR="00366CB9" w:rsidRPr="006E22E5" w:rsidRDefault="009D0C1D" w:rsidP="0061381C">
            <w:pPr>
              <w:pStyle w:val="a6"/>
              <w:shd w:val="clear" w:color="auto" w:fill="auto"/>
              <w:rPr>
                <w:sz w:val="18"/>
                <w:szCs w:val="24"/>
              </w:rPr>
            </w:pPr>
            <w:r w:rsidRPr="006E22E5">
              <w:rPr>
                <w:color w:val="019648"/>
                <w:sz w:val="18"/>
                <w:szCs w:val="24"/>
              </w:rPr>
              <w:t>НРЛ</w:t>
            </w:r>
          </w:p>
        </w:tc>
        <w:tc>
          <w:tcPr>
            <w:tcW w:w="7019" w:type="dxa"/>
            <w:shd w:val="clear" w:color="auto" w:fill="FFFFFF"/>
          </w:tcPr>
          <w:p w14:paraId="24F4D870" w14:textId="77777777" w:rsidR="00366CB9" w:rsidRPr="006E22E5" w:rsidRDefault="009D0C1D" w:rsidP="0061381C">
            <w:pPr>
              <w:pStyle w:val="a6"/>
              <w:shd w:val="clear" w:color="auto" w:fill="auto"/>
              <w:rPr>
                <w:sz w:val="18"/>
                <w:szCs w:val="24"/>
              </w:rPr>
            </w:pPr>
            <w:r w:rsidRPr="006E22E5">
              <w:rPr>
                <w:b w:val="0"/>
                <w:color w:val="000000"/>
                <w:sz w:val="18"/>
                <w:szCs w:val="24"/>
              </w:rPr>
              <w:t>наднаціональна референс-лабораторія</w:t>
            </w:r>
          </w:p>
        </w:tc>
      </w:tr>
      <w:tr w:rsidR="00366CB9" w14:paraId="5BD11635" w14:textId="77777777" w:rsidTr="0061381C">
        <w:trPr>
          <w:trHeight w:hRule="exact" w:val="317"/>
        </w:trPr>
        <w:tc>
          <w:tcPr>
            <w:tcW w:w="2136" w:type="dxa"/>
            <w:shd w:val="clear" w:color="auto" w:fill="FFFFFF"/>
          </w:tcPr>
          <w:p w14:paraId="4A89C002" w14:textId="77777777" w:rsidR="00366CB9" w:rsidRPr="006E22E5" w:rsidRDefault="009D0C1D" w:rsidP="0061381C">
            <w:pPr>
              <w:pStyle w:val="a6"/>
              <w:shd w:val="clear" w:color="auto" w:fill="auto"/>
              <w:rPr>
                <w:sz w:val="18"/>
                <w:szCs w:val="24"/>
              </w:rPr>
            </w:pPr>
            <w:r w:rsidRPr="006E22E5">
              <w:rPr>
                <w:color w:val="019648"/>
                <w:sz w:val="18"/>
                <w:szCs w:val="24"/>
              </w:rPr>
              <w:t>ТБ</w:t>
            </w:r>
          </w:p>
        </w:tc>
        <w:tc>
          <w:tcPr>
            <w:tcW w:w="7019" w:type="dxa"/>
            <w:shd w:val="clear" w:color="auto" w:fill="FFFFFF"/>
          </w:tcPr>
          <w:p w14:paraId="2197E8F7" w14:textId="77777777" w:rsidR="00366CB9" w:rsidRPr="006E22E5" w:rsidRDefault="009D0C1D" w:rsidP="0061381C">
            <w:pPr>
              <w:pStyle w:val="a6"/>
              <w:shd w:val="clear" w:color="auto" w:fill="auto"/>
              <w:rPr>
                <w:sz w:val="18"/>
                <w:szCs w:val="24"/>
              </w:rPr>
            </w:pPr>
            <w:r w:rsidRPr="006E22E5">
              <w:rPr>
                <w:b w:val="0"/>
                <w:color w:val="000000"/>
                <w:sz w:val="18"/>
                <w:szCs w:val="24"/>
              </w:rPr>
              <w:t>туберкульоз</w:t>
            </w:r>
          </w:p>
        </w:tc>
      </w:tr>
      <w:tr w:rsidR="00366CB9" w14:paraId="31D6CDE3" w14:textId="77777777" w:rsidTr="0061381C">
        <w:trPr>
          <w:trHeight w:hRule="exact" w:val="360"/>
        </w:trPr>
        <w:tc>
          <w:tcPr>
            <w:tcW w:w="2136" w:type="dxa"/>
            <w:shd w:val="clear" w:color="auto" w:fill="FFFFFF"/>
          </w:tcPr>
          <w:p w14:paraId="7F4DDE38" w14:textId="77777777" w:rsidR="00366CB9" w:rsidRPr="006E22E5" w:rsidRDefault="009D0C1D" w:rsidP="0061381C">
            <w:pPr>
              <w:pStyle w:val="a6"/>
              <w:shd w:val="clear" w:color="auto" w:fill="auto"/>
              <w:rPr>
                <w:sz w:val="18"/>
                <w:szCs w:val="24"/>
              </w:rPr>
            </w:pPr>
            <w:r w:rsidRPr="006E22E5">
              <w:rPr>
                <w:color w:val="019648"/>
                <w:sz w:val="18"/>
                <w:szCs w:val="24"/>
              </w:rPr>
              <w:t>TBST</w:t>
            </w:r>
          </w:p>
        </w:tc>
        <w:tc>
          <w:tcPr>
            <w:tcW w:w="7019" w:type="dxa"/>
            <w:shd w:val="clear" w:color="auto" w:fill="FFFFFF"/>
          </w:tcPr>
          <w:p w14:paraId="69530AEB" w14:textId="77777777" w:rsidR="00366CB9" w:rsidRPr="006E22E5" w:rsidRDefault="009D0C1D" w:rsidP="0061381C">
            <w:pPr>
              <w:pStyle w:val="a6"/>
              <w:shd w:val="clear" w:color="auto" w:fill="auto"/>
              <w:rPr>
                <w:sz w:val="18"/>
                <w:szCs w:val="24"/>
              </w:rPr>
            </w:pPr>
            <w:r w:rsidRPr="006E22E5">
              <w:rPr>
                <w:b w:val="0"/>
                <w:color w:val="000000"/>
                <w:sz w:val="18"/>
                <w:szCs w:val="24"/>
              </w:rPr>
              <w:t xml:space="preserve">шкірний тест на антигени </w:t>
            </w:r>
            <w:r w:rsidRPr="006E22E5">
              <w:rPr>
                <w:b w:val="0"/>
                <w:i/>
                <w:color w:val="000000"/>
                <w:sz w:val="18"/>
                <w:szCs w:val="24"/>
              </w:rPr>
              <w:t>Mycobacterium tuberculosis</w:t>
            </w:r>
          </w:p>
        </w:tc>
      </w:tr>
      <w:tr w:rsidR="00366CB9" w14:paraId="5F0273D7" w14:textId="77777777" w:rsidTr="0061381C">
        <w:trPr>
          <w:trHeight w:hRule="exact" w:val="326"/>
        </w:trPr>
        <w:tc>
          <w:tcPr>
            <w:tcW w:w="2136" w:type="dxa"/>
            <w:shd w:val="clear" w:color="auto" w:fill="FFFFFF"/>
          </w:tcPr>
          <w:p w14:paraId="18A54240" w14:textId="77777777" w:rsidR="00366CB9" w:rsidRPr="006E22E5" w:rsidRDefault="009D0C1D" w:rsidP="0061381C">
            <w:pPr>
              <w:pStyle w:val="a6"/>
              <w:shd w:val="clear" w:color="auto" w:fill="auto"/>
              <w:rPr>
                <w:sz w:val="18"/>
                <w:szCs w:val="24"/>
              </w:rPr>
            </w:pPr>
            <w:r w:rsidRPr="006E22E5">
              <w:rPr>
                <w:color w:val="019648"/>
                <w:sz w:val="18"/>
                <w:szCs w:val="24"/>
              </w:rPr>
              <w:t>ПЛТ</w:t>
            </w:r>
          </w:p>
        </w:tc>
        <w:tc>
          <w:tcPr>
            <w:tcW w:w="7019" w:type="dxa"/>
            <w:shd w:val="clear" w:color="auto" w:fill="FFFFFF"/>
          </w:tcPr>
          <w:p w14:paraId="16EB615A" w14:textId="77777777" w:rsidR="00366CB9" w:rsidRPr="006E22E5" w:rsidRDefault="009D0C1D" w:rsidP="0061381C">
            <w:pPr>
              <w:pStyle w:val="a6"/>
              <w:shd w:val="clear" w:color="auto" w:fill="auto"/>
              <w:rPr>
                <w:sz w:val="18"/>
                <w:szCs w:val="24"/>
              </w:rPr>
            </w:pPr>
            <w:r w:rsidRPr="006E22E5">
              <w:rPr>
                <w:b w:val="0"/>
                <w:color w:val="000000"/>
                <w:sz w:val="18"/>
                <w:szCs w:val="24"/>
              </w:rPr>
              <w:t>профілактичне лікування туберкульозу</w:t>
            </w:r>
          </w:p>
        </w:tc>
      </w:tr>
      <w:tr w:rsidR="00366CB9" w14:paraId="474F9FA8" w14:textId="77777777" w:rsidTr="0061381C">
        <w:trPr>
          <w:trHeight w:hRule="exact" w:val="322"/>
        </w:trPr>
        <w:tc>
          <w:tcPr>
            <w:tcW w:w="2136" w:type="dxa"/>
            <w:shd w:val="clear" w:color="auto" w:fill="FFFFFF"/>
          </w:tcPr>
          <w:p w14:paraId="7C22D725" w14:textId="77777777" w:rsidR="00366CB9" w:rsidRPr="006E22E5" w:rsidRDefault="009D0C1D" w:rsidP="0061381C">
            <w:pPr>
              <w:pStyle w:val="a6"/>
              <w:shd w:val="clear" w:color="auto" w:fill="auto"/>
              <w:rPr>
                <w:sz w:val="18"/>
                <w:szCs w:val="24"/>
              </w:rPr>
            </w:pPr>
            <w:r w:rsidRPr="006E22E5">
              <w:rPr>
                <w:color w:val="019648"/>
                <w:sz w:val="18"/>
                <w:szCs w:val="24"/>
              </w:rPr>
              <w:t>TST</w:t>
            </w:r>
          </w:p>
        </w:tc>
        <w:tc>
          <w:tcPr>
            <w:tcW w:w="7019" w:type="dxa"/>
            <w:shd w:val="clear" w:color="auto" w:fill="FFFFFF"/>
          </w:tcPr>
          <w:p w14:paraId="5FA490B0" w14:textId="77777777" w:rsidR="00366CB9" w:rsidRPr="006E22E5" w:rsidRDefault="009D0C1D" w:rsidP="0061381C">
            <w:pPr>
              <w:pStyle w:val="a6"/>
              <w:shd w:val="clear" w:color="auto" w:fill="auto"/>
              <w:rPr>
                <w:sz w:val="18"/>
                <w:szCs w:val="24"/>
              </w:rPr>
            </w:pPr>
            <w:r w:rsidRPr="006E22E5">
              <w:rPr>
                <w:b w:val="0"/>
                <w:color w:val="000000"/>
                <w:sz w:val="18"/>
                <w:szCs w:val="24"/>
              </w:rPr>
              <w:t>туберкуліновий шкірний тест</w:t>
            </w:r>
          </w:p>
        </w:tc>
      </w:tr>
      <w:tr w:rsidR="00366CB9" w14:paraId="046EDFB3" w14:textId="77777777" w:rsidTr="0061381C">
        <w:trPr>
          <w:trHeight w:hRule="exact" w:val="355"/>
        </w:trPr>
        <w:tc>
          <w:tcPr>
            <w:tcW w:w="2136" w:type="dxa"/>
            <w:shd w:val="clear" w:color="auto" w:fill="FFFFFF"/>
          </w:tcPr>
          <w:p w14:paraId="54ACC333" w14:textId="77777777" w:rsidR="00366CB9" w:rsidRPr="006E22E5" w:rsidRDefault="009D0C1D" w:rsidP="0061381C">
            <w:pPr>
              <w:pStyle w:val="a6"/>
              <w:shd w:val="clear" w:color="auto" w:fill="auto"/>
              <w:rPr>
                <w:sz w:val="18"/>
                <w:szCs w:val="24"/>
              </w:rPr>
            </w:pPr>
            <w:r w:rsidRPr="006E22E5">
              <w:rPr>
                <w:color w:val="019648"/>
                <w:sz w:val="18"/>
                <w:szCs w:val="24"/>
              </w:rPr>
              <w:t>ТРГ</w:t>
            </w:r>
          </w:p>
        </w:tc>
        <w:tc>
          <w:tcPr>
            <w:tcW w:w="7019" w:type="dxa"/>
            <w:shd w:val="clear" w:color="auto" w:fill="FFFFFF"/>
          </w:tcPr>
          <w:p w14:paraId="02C96D33" w14:textId="77777777" w:rsidR="00366CB9" w:rsidRPr="006E22E5" w:rsidRDefault="009D0C1D" w:rsidP="0061381C">
            <w:pPr>
              <w:pStyle w:val="a6"/>
              <w:shd w:val="clear" w:color="auto" w:fill="auto"/>
              <w:rPr>
                <w:sz w:val="18"/>
                <w:szCs w:val="24"/>
              </w:rPr>
            </w:pPr>
            <w:r w:rsidRPr="006E22E5">
              <w:rPr>
                <w:b w:val="0"/>
                <w:color w:val="000000"/>
                <w:sz w:val="18"/>
                <w:szCs w:val="24"/>
              </w:rPr>
              <w:t>технічна робоча група</w:t>
            </w:r>
          </w:p>
        </w:tc>
      </w:tr>
      <w:tr w:rsidR="00366CB9" w14:paraId="5209761A" w14:textId="77777777" w:rsidTr="0061381C">
        <w:trPr>
          <w:trHeight w:hRule="exact" w:val="341"/>
        </w:trPr>
        <w:tc>
          <w:tcPr>
            <w:tcW w:w="2136" w:type="dxa"/>
            <w:shd w:val="clear" w:color="auto" w:fill="FFFFFF"/>
          </w:tcPr>
          <w:p w14:paraId="2C8882EA" w14:textId="77777777" w:rsidR="00366CB9" w:rsidRPr="006E22E5" w:rsidRDefault="009D0C1D" w:rsidP="0061381C">
            <w:pPr>
              <w:pStyle w:val="a6"/>
              <w:shd w:val="clear" w:color="auto" w:fill="auto"/>
              <w:rPr>
                <w:sz w:val="18"/>
                <w:szCs w:val="24"/>
              </w:rPr>
            </w:pPr>
            <w:r w:rsidRPr="006E22E5">
              <w:rPr>
                <w:color w:val="019648"/>
                <w:sz w:val="18"/>
                <w:szCs w:val="24"/>
              </w:rPr>
              <w:t>ПГС</w:t>
            </w:r>
          </w:p>
        </w:tc>
        <w:tc>
          <w:tcPr>
            <w:tcW w:w="7019" w:type="dxa"/>
            <w:shd w:val="clear" w:color="auto" w:fill="FFFFFF"/>
          </w:tcPr>
          <w:p w14:paraId="0C130DEA" w14:textId="77777777" w:rsidR="00366CB9" w:rsidRPr="006E22E5" w:rsidRDefault="009D0C1D" w:rsidP="0061381C">
            <w:pPr>
              <w:pStyle w:val="a6"/>
              <w:shd w:val="clear" w:color="auto" w:fill="auto"/>
              <w:rPr>
                <w:sz w:val="18"/>
                <w:szCs w:val="24"/>
              </w:rPr>
            </w:pPr>
            <w:r w:rsidRPr="006E22E5">
              <w:rPr>
                <w:b w:val="0"/>
                <w:color w:val="000000"/>
                <w:sz w:val="18"/>
                <w:szCs w:val="24"/>
              </w:rPr>
              <w:t>повногеномне секвенування</w:t>
            </w:r>
          </w:p>
        </w:tc>
      </w:tr>
      <w:tr w:rsidR="00366CB9" w14:paraId="12BB431E" w14:textId="77777777" w:rsidTr="0061381C">
        <w:trPr>
          <w:trHeight w:hRule="exact" w:val="331"/>
        </w:trPr>
        <w:tc>
          <w:tcPr>
            <w:tcW w:w="2136" w:type="dxa"/>
            <w:shd w:val="clear" w:color="auto" w:fill="FFFFFF"/>
          </w:tcPr>
          <w:p w14:paraId="5004AC75" w14:textId="77777777" w:rsidR="00366CB9" w:rsidRPr="006E22E5" w:rsidRDefault="009D0C1D" w:rsidP="0061381C">
            <w:pPr>
              <w:pStyle w:val="a6"/>
              <w:shd w:val="clear" w:color="auto" w:fill="auto"/>
              <w:rPr>
                <w:sz w:val="18"/>
                <w:szCs w:val="24"/>
              </w:rPr>
            </w:pPr>
            <w:r w:rsidRPr="006E22E5">
              <w:rPr>
                <w:color w:val="019648"/>
                <w:sz w:val="18"/>
                <w:szCs w:val="24"/>
              </w:rPr>
              <w:t>ВООЗ</w:t>
            </w:r>
          </w:p>
        </w:tc>
        <w:tc>
          <w:tcPr>
            <w:tcW w:w="7019" w:type="dxa"/>
            <w:shd w:val="clear" w:color="auto" w:fill="FFFFFF"/>
          </w:tcPr>
          <w:p w14:paraId="5E58E0F7" w14:textId="77777777" w:rsidR="00366CB9" w:rsidRPr="006E22E5" w:rsidRDefault="009D0C1D" w:rsidP="0061381C">
            <w:pPr>
              <w:pStyle w:val="a6"/>
              <w:shd w:val="clear" w:color="auto" w:fill="auto"/>
              <w:rPr>
                <w:sz w:val="18"/>
                <w:szCs w:val="24"/>
              </w:rPr>
            </w:pPr>
            <w:r w:rsidRPr="006E22E5">
              <w:rPr>
                <w:b w:val="0"/>
                <w:color w:val="000000"/>
                <w:sz w:val="18"/>
                <w:szCs w:val="24"/>
              </w:rPr>
              <w:t>Всесвітня організація охорони здоров’я</w:t>
            </w:r>
          </w:p>
        </w:tc>
      </w:tr>
      <w:tr w:rsidR="00366CB9" w14:paraId="0754AE76" w14:textId="77777777" w:rsidTr="0061381C">
        <w:trPr>
          <w:trHeight w:hRule="exact" w:val="331"/>
        </w:trPr>
        <w:tc>
          <w:tcPr>
            <w:tcW w:w="2136" w:type="dxa"/>
            <w:shd w:val="clear" w:color="auto" w:fill="FFFFFF"/>
          </w:tcPr>
          <w:p w14:paraId="350A9224" w14:textId="77777777" w:rsidR="00366CB9" w:rsidRPr="006E22E5" w:rsidRDefault="009D0C1D" w:rsidP="0061381C">
            <w:pPr>
              <w:pStyle w:val="a6"/>
              <w:shd w:val="clear" w:color="auto" w:fill="auto"/>
              <w:rPr>
                <w:sz w:val="18"/>
                <w:szCs w:val="24"/>
              </w:rPr>
            </w:pPr>
            <w:r w:rsidRPr="006E22E5">
              <w:rPr>
                <w:color w:val="019648"/>
                <w:sz w:val="18"/>
                <w:szCs w:val="24"/>
              </w:rPr>
              <w:t>ПК ВООЗ</w:t>
            </w:r>
          </w:p>
        </w:tc>
        <w:tc>
          <w:tcPr>
            <w:tcW w:w="7019" w:type="dxa"/>
            <w:shd w:val="clear" w:color="auto" w:fill="FFFFFF"/>
          </w:tcPr>
          <w:p w14:paraId="71954A6A" w14:textId="77777777" w:rsidR="00366CB9" w:rsidRPr="006E22E5" w:rsidRDefault="009D0C1D" w:rsidP="0061381C">
            <w:pPr>
              <w:pStyle w:val="a6"/>
              <w:shd w:val="clear" w:color="auto" w:fill="auto"/>
              <w:rPr>
                <w:sz w:val="18"/>
                <w:szCs w:val="24"/>
              </w:rPr>
            </w:pPr>
            <w:r w:rsidRPr="006E22E5">
              <w:rPr>
                <w:b w:val="0"/>
                <w:color w:val="000000"/>
                <w:sz w:val="18"/>
                <w:szCs w:val="24"/>
              </w:rPr>
              <w:t>попередня кваліфікація ВООЗ</w:t>
            </w:r>
          </w:p>
        </w:tc>
      </w:tr>
      <w:tr w:rsidR="00366CB9" w14:paraId="67890AB6" w14:textId="77777777" w:rsidTr="0061381C">
        <w:trPr>
          <w:trHeight w:hRule="exact" w:val="331"/>
        </w:trPr>
        <w:tc>
          <w:tcPr>
            <w:tcW w:w="2136" w:type="dxa"/>
            <w:shd w:val="clear" w:color="auto" w:fill="FFFFFF"/>
          </w:tcPr>
          <w:p w14:paraId="56B59259" w14:textId="77777777" w:rsidR="00366CB9" w:rsidRPr="006E22E5" w:rsidRDefault="009D0C1D" w:rsidP="0061381C">
            <w:pPr>
              <w:pStyle w:val="a6"/>
              <w:shd w:val="clear" w:color="auto" w:fill="auto"/>
              <w:rPr>
                <w:sz w:val="18"/>
                <w:szCs w:val="24"/>
              </w:rPr>
            </w:pPr>
            <w:r w:rsidRPr="006E22E5">
              <w:rPr>
                <w:color w:val="019648"/>
                <w:sz w:val="18"/>
                <w:szCs w:val="24"/>
              </w:rPr>
              <w:t>WRD</w:t>
            </w:r>
          </w:p>
        </w:tc>
        <w:tc>
          <w:tcPr>
            <w:tcW w:w="7019" w:type="dxa"/>
            <w:shd w:val="clear" w:color="auto" w:fill="FFFFFF"/>
          </w:tcPr>
          <w:p w14:paraId="0EBC43FD" w14:textId="77777777" w:rsidR="00366CB9" w:rsidRPr="006E22E5" w:rsidRDefault="009D0C1D" w:rsidP="0061381C">
            <w:pPr>
              <w:pStyle w:val="a6"/>
              <w:shd w:val="clear" w:color="auto" w:fill="auto"/>
              <w:rPr>
                <w:sz w:val="18"/>
                <w:szCs w:val="24"/>
              </w:rPr>
            </w:pPr>
            <w:r w:rsidRPr="006E22E5">
              <w:rPr>
                <w:b w:val="0"/>
                <w:color w:val="000000"/>
                <w:sz w:val="18"/>
                <w:szCs w:val="24"/>
              </w:rPr>
              <w:t>експрес-тест для діагностики туберкульозу, рекомендований ВООЗ</w:t>
            </w:r>
          </w:p>
        </w:tc>
      </w:tr>
      <w:tr w:rsidR="00366CB9" w14:paraId="4335B5F5" w14:textId="77777777" w:rsidTr="0061381C">
        <w:trPr>
          <w:trHeight w:hRule="exact" w:val="307"/>
        </w:trPr>
        <w:tc>
          <w:tcPr>
            <w:tcW w:w="2136" w:type="dxa"/>
            <w:shd w:val="clear" w:color="auto" w:fill="FFFFFF"/>
          </w:tcPr>
          <w:p w14:paraId="0F6CE51A" w14:textId="77777777" w:rsidR="00366CB9" w:rsidRPr="006E22E5" w:rsidRDefault="009D0C1D" w:rsidP="0061381C">
            <w:pPr>
              <w:pStyle w:val="a6"/>
              <w:shd w:val="clear" w:color="auto" w:fill="auto"/>
              <w:rPr>
                <w:sz w:val="18"/>
                <w:szCs w:val="24"/>
              </w:rPr>
            </w:pPr>
            <w:r w:rsidRPr="006E22E5">
              <w:rPr>
                <w:color w:val="019648"/>
                <w:sz w:val="18"/>
                <w:szCs w:val="24"/>
              </w:rPr>
              <w:t>ШЛС-ТБ</w:t>
            </w:r>
          </w:p>
        </w:tc>
        <w:tc>
          <w:tcPr>
            <w:tcW w:w="7019" w:type="dxa"/>
            <w:shd w:val="clear" w:color="auto" w:fill="FFFFFF"/>
          </w:tcPr>
          <w:p w14:paraId="5F9DC905" w14:textId="77777777" w:rsidR="00366CB9" w:rsidRPr="006E22E5" w:rsidRDefault="009D0C1D" w:rsidP="0061381C">
            <w:pPr>
              <w:pStyle w:val="a6"/>
              <w:shd w:val="clear" w:color="auto" w:fill="auto"/>
              <w:rPr>
                <w:sz w:val="18"/>
                <w:szCs w:val="24"/>
              </w:rPr>
            </w:pPr>
            <w:r w:rsidRPr="006E22E5">
              <w:rPr>
                <w:b w:val="0"/>
                <w:color w:val="000000"/>
                <w:sz w:val="18"/>
                <w:szCs w:val="24"/>
              </w:rPr>
              <w:t>туберкульоз із широкою лікарською стійкістю</w:t>
            </w:r>
          </w:p>
        </w:tc>
      </w:tr>
    </w:tbl>
    <w:p w14:paraId="0856119E" w14:textId="77777777" w:rsidR="00366CB9" w:rsidRDefault="00366CB9" w:rsidP="00425523">
      <w:pPr>
        <w:spacing w:line="1" w:lineRule="exact"/>
        <w:sectPr w:rsidR="00366CB9" w:rsidSect="00F03360">
          <w:footerReference w:type="default" r:id="rId30"/>
          <w:type w:val="nextColumn"/>
          <w:pgSz w:w="11913" w:h="16840"/>
          <w:pgMar w:top="1469" w:right="1378" w:bottom="851" w:left="1372" w:header="0" w:footer="6" w:gutter="0"/>
          <w:paperSrc w:first="15" w:other="15"/>
          <w:cols w:space="720"/>
          <w:noEndnote/>
          <w:docGrid w:linePitch="360"/>
        </w:sectPr>
      </w:pPr>
    </w:p>
    <w:p w14:paraId="68EE7E70" w14:textId="77777777" w:rsidR="00366CB9" w:rsidRDefault="00366CB9" w:rsidP="00425523">
      <w:pPr>
        <w:spacing w:line="1" w:lineRule="exact"/>
      </w:pPr>
    </w:p>
    <w:tbl>
      <w:tblPr>
        <w:tblOverlap w:val="never"/>
        <w:tblW w:w="9169" w:type="dxa"/>
        <w:tblLayout w:type="fixed"/>
        <w:tblCellMar>
          <w:left w:w="10" w:type="dxa"/>
          <w:right w:w="10" w:type="dxa"/>
        </w:tblCellMar>
        <w:tblLook w:val="0000" w:firstRow="0" w:lastRow="0" w:firstColumn="0" w:lastColumn="0" w:noHBand="0" w:noVBand="0"/>
      </w:tblPr>
      <w:tblGrid>
        <w:gridCol w:w="2141"/>
        <w:gridCol w:w="7028"/>
      </w:tblGrid>
      <w:tr w:rsidR="00366CB9" w14:paraId="55571C45" w14:textId="77777777" w:rsidTr="0061381C">
        <w:trPr>
          <w:trHeight w:hRule="exact" w:val="1152"/>
        </w:trPr>
        <w:tc>
          <w:tcPr>
            <w:tcW w:w="9169" w:type="dxa"/>
            <w:gridSpan w:val="2"/>
            <w:shd w:val="clear" w:color="auto" w:fill="FFFFFF"/>
          </w:tcPr>
          <w:p w14:paraId="207576B1" w14:textId="77777777" w:rsidR="00366CB9" w:rsidRDefault="009D0C1D" w:rsidP="0061381C">
            <w:pPr>
              <w:pStyle w:val="a6"/>
              <w:shd w:val="clear" w:color="auto" w:fill="auto"/>
              <w:spacing w:line="264" w:lineRule="auto"/>
              <w:rPr>
                <w:sz w:val="36"/>
                <w:szCs w:val="36"/>
              </w:rPr>
            </w:pPr>
            <w:r>
              <w:rPr>
                <w:b w:val="0"/>
                <w:color w:val="019648"/>
                <w:sz w:val="36"/>
              </w:rPr>
              <w:t>Скорочення протитуберкульозних препаратів та схем лікування</w:t>
            </w:r>
          </w:p>
        </w:tc>
      </w:tr>
      <w:tr w:rsidR="00366CB9" w14:paraId="3E5BF6A7" w14:textId="77777777" w:rsidTr="0061381C">
        <w:trPr>
          <w:trHeight w:hRule="exact" w:val="298"/>
        </w:trPr>
        <w:tc>
          <w:tcPr>
            <w:tcW w:w="2141" w:type="dxa"/>
            <w:shd w:val="clear" w:color="auto" w:fill="FFFFFF"/>
          </w:tcPr>
          <w:p w14:paraId="09E47735" w14:textId="77777777" w:rsidR="00366CB9" w:rsidRPr="006E22E5" w:rsidRDefault="009D0C1D" w:rsidP="0061381C">
            <w:pPr>
              <w:pStyle w:val="a6"/>
              <w:shd w:val="clear" w:color="auto" w:fill="auto"/>
              <w:rPr>
                <w:sz w:val="18"/>
                <w:szCs w:val="24"/>
              </w:rPr>
            </w:pPr>
            <w:r w:rsidRPr="006E22E5">
              <w:rPr>
                <w:color w:val="019648"/>
                <w:sz w:val="18"/>
                <w:szCs w:val="24"/>
              </w:rPr>
              <w:t>AMK</w:t>
            </w:r>
          </w:p>
        </w:tc>
        <w:tc>
          <w:tcPr>
            <w:tcW w:w="7028" w:type="dxa"/>
            <w:shd w:val="clear" w:color="auto" w:fill="FFFFFF"/>
          </w:tcPr>
          <w:p w14:paraId="1CBDF490" w14:textId="77777777" w:rsidR="00366CB9" w:rsidRPr="006E22E5" w:rsidRDefault="009D0C1D" w:rsidP="0061381C">
            <w:pPr>
              <w:pStyle w:val="a6"/>
              <w:shd w:val="clear" w:color="auto" w:fill="auto"/>
              <w:rPr>
                <w:sz w:val="18"/>
                <w:szCs w:val="24"/>
              </w:rPr>
            </w:pPr>
            <w:r w:rsidRPr="006E22E5">
              <w:rPr>
                <w:b w:val="0"/>
                <w:color w:val="000000"/>
                <w:sz w:val="18"/>
                <w:szCs w:val="24"/>
              </w:rPr>
              <w:t>амікацин</w:t>
            </w:r>
          </w:p>
        </w:tc>
      </w:tr>
      <w:tr w:rsidR="00366CB9" w14:paraId="0BE613F3" w14:textId="77777777" w:rsidTr="0061381C">
        <w:trPr>
          <w:trHeight w:hRule="exact" w:val="341"/>
        </w:trPr>
        <w:tc>
          <w:tcPr>
            <w:tcW w:w="2141" w:type="dxa"/>
            <w:shd w:val="clear" w:color="auto" w:fill="FFFFFF"/>
          </w:tcPr>
          <w:p w14:paraId="6912434D" w14:textId="77777777" w:rsidR="00366CB9" w:rsidRPr="006E22E5" w:rsidRDefault="009D0C1D" w:rsidP="0061381C">
            <w:pPr>
              <w:pStyle w:val="a6"/>
              <w:shd w:val="clear" w:color="auto" w:fill="auto"/>
              <w:rPr>
                <w:sz w:val="18"/>
                <w:szCs w:val="24"/>
              </w:rPr>
            </w:pPr>
            <w:r w:rsidRPr="006E22E5">
              <w:rPr>
                <w:color w:val="019648"/>
                <w:sz w:val="18"/>
                <w:szCs w:val="24"/>
              </w:rPr>
              <w:t>BDLC</w:t>
            </w:r>
          </w:p>
        </w:tc>
        <w:tc>
          <w:tcPr>
            <w:tcW w:w="7028" w:type="dxa"/>
            <w:shd w:val="clear" w:color="auto" w:fill="FFFFFF"/>
          </w:tcPr>
          <w:p w14:paraId="7CACCA9E" w14:textId="77777777" w:rsidR="00366CB9" w:rsidRPr="006E22E5" w:rsidRDefault="009D0C1D" w:rsidP="0061381C">
            <w:pPr>
              <w:pStyle w:val="a6"/>
              <w:shd w:val="clear" w:color="auto" w:fill="auto"/>
              <w:rPr>
                <w:sz w:val="18"/>
                <w:szCs w:val="24"/>
              </w:rPr>
            </w:pPr>
            <w:r w:rsidRPr="006E22E5">
              <w:rPr>
                <w:b w:val="0"/>
                <w:color w:val="000000"/>
                <w:sz w:val="18"/>
                <w:szCs w:val="24"/>
              </w:rPr>
              <w:t>бедаквілін (B), деламанід (D), лінезолід (L) та клофазимін (C)</w:t>
            </w:r>
          </w:p>
        </w:tc>
      </w:tr>
      <w:tr w:rsidR="00366CB9" w14:paraId="0F5A6F43" w14:textId="77777777" w:rsidTr="0061381C">
        <w:trPr>
          <w:trHeight w:hRule="exact" w:val="586"/>
        </w:trPr>
        <w:tc>
          <w:tcPr>
            <w:tcW w:w="2141" w:type="dxa"/>
            <w:shd w:val="clear" w:color="auto" w:fill="FFFFFF"/>
          </w:tcPr>
          <w:p w14:paraId="14981132" w14:textId="77777777" w:rsidR="00366CB9" w:rsidRPr="006E22E5" w:rsidRDefault="009D0C1D" w:rsidP="0061381C">
            <w:pPr>
              <w:pStyle w:val="a6"/>
              <w:shd w:val="clear" w:color="auto" w:fill="auto"/>
              <w:rPr>
                <w:sz w:val="18"/>
                <w:szCs w:val="24"/>
              </w:rPr>
            </w:pPr>
            <w:r w:rsidRPr="006E22E5">
              <w:rPr>
                <w:color w:val="019648"/>
                <w:sz w:val="18"/>
                <w:szCs w:val="24"/>
              </w:rPr>
              <w:t>BDLLfxC</w:t>
            </w:r>
          </w:p>
        </w:tc>
        <w:tc>
          <w:tcPr>
            <w:tcW w:w="7028" w:type="dxa"/>
            <w:shd w:val="clear" w:color="auto" w:fill="FFFFFF"/>
          </w:tcPr>
          <w:p w14:paraId="28D85C52" w14:textId="77777777" w:rsidR="00366CB9" w:rsidRPr="006E22E5" w:rsidRDefault="009D0C1D" w:rsidP="0061381C">
            <w:pPr>
              <w:pStyle w:val="a6"/>
              <w:shd w:val="clear" w:color="auto" w:fill="auto"/>
              <w:spacing w:line="262" w:lineRule="auto"/>
              <w:rPr>
                <w:sz w:val="18"/>
                <w:szCs w:val="24"/>
              </w:rPr>
            </w:pPr>
            <w:r w:rsidRPr="006E22E5">
              <w:rPr>
                <w:b w:val="0"/>
                <w:color w:val="000000"/>
                <w:sz w:val="18"/>
                <w:szCs w:val="24"/>
              </w:rPr>
              <w:t>бедаквілін (B), деламанід (D), лінезолід (L), левофлоксацин (Lfx) та клофазимін (C)</w:t>
            </w:r>
          </w:p>
        </w:tc>
      </w:tr>
      <w:tr w:rsidR="00366CB9" w14:paraId="40137A26" w14:textId="77777777" w:rsidTr="0061381C">
        <w:trPr>
          <w:trHeight w:hRule="exact" w:val="346"/>
        </w:trPr>
        <w:tc>
          <w:tcPr>
            <w:tcW w:w="2141" w:type="dxa"/>
            <w:shd w:val="clear" w:color="auto" w:fill="FFFFFF"/>
          </w:tcPr>
          <w:p w14:paraId="1B6B1D08" w14:textId="77777777" w:rsidR="00366CB9" w:rsidRPr="006E22E5" w:rsidRDefault="009D0C1D" w:rsidP="0061381C">
            <w:pPr>
              <w:pStyle w:val="a6"/>
              <w:shd w:val="clear" w:color="auto" w:fill="auto"/>
              <w:rPr>
                <w:sz w:val="18"/>
                <w:szCs w:val="24"/>
              </w:rPr>
            </w:pPr>
            <w:r w:rsidRPr="006E22E5">
              <w:rPr>
                <w:color w:val="019648"/>
                <w:sz w:val="18"/>
                <w:szCs w:val="24"/>
              </w:rPr>
              <w:t>BDQ</w:t>
            </w:r>
          </w:p>
        </w:tc>
        <w:tc>
          <w:tcPr>
            <w:tcW w:w="7028" w:type="dxa"/>
            <w:shd w:val="clear" w:color="auto" w:fill="FFFFFF"/>
          </w:tcPr>
          <w:p w14:paraId="77457E84" w14:textId="77777777" w:rsidR="00366CB9" w:rsidRPr="006E22E5" w:rsidRDefault="009D0C1D" w:rsidP="0061381C">
            <w:pPr>
              <w:pStyle w:val="a6"/>
              <w:shd w:val="clear" w:color="auto" w:fill="auto"/>
              <w:rPr>
                <w:sz w:val="18"/>
                <w:szCs w:val="24"/>
              </w:rPr>
            </w:pPr>
            <w:r w:rsidRPr="006E22E5">
              <w:rPr>
                <w:b w:val="0"/>
                <w:color w:val="000000"/>
                <w:sz w:val="18"/>
                <w:szCs w:val="24"/>
              </w:rPr>
              <w:t>бедаквілін</w:t>
            </w:r>
          </w:p>
        </w:tc>
      </w:tr>
      <w:tr w:rsidR="00366CB9" w14:paraId="77FE9C3D" w14:textId="77777777" w:rsidTr="0061381C">
        <w:trPr>
          <w:trHeight w:hRule="exact" w:val="336"/>
        </w:trPr>
        <w:tc>
          <w:tcPr>
            <w:tcW w:w="2141" w:type="dxa"/>
            <w:shd w:val="clear" w:color="auto" w:fill="FFFFFF"/>
          </w:tcPr>
          <w:p w14:paraId="4641E8BC" w14:textId="77777777" w:rsidR="00366CB9" w:rsidRPr="006E22E5" w:rsidRDefault="009D0C1D" w:rsidP="0061381C">
            <w:pPr>
              <w:pStyle w:val="a6"/>
              <w:shd w:val="clear" w:color="auto" w:fill="auto"/>
              <w:rPr>
                <w:sz w:val="18"/>
                <w:szCs w:val="24"/>
              </w:rPr>
            </w:pPr>
            <w:r w:rsidRPr="006E22E5">
              <w:rPr>
                <w:color w:val="019648"/>
                <w:sz w:val="18"/>
                <w:szCs w:val="24"/>
              </w:rPr>
              <w:t>BPaL</w:t>
            </w:r>
          </w:p>
        </w:tc>
        <w:tc>
          <w:tcPr>
            <w:tcW w:w="7028" w:type="dxa"/>
            <w:shd w:val="clear" w:color="auto" w:fill="FFFFFF"/>
          </w:tcPr>
          <w:p w14:paraId="698A4179" w14:textId="77777777" w:rsidR="00366CB9" w:rsidRPr="006E22E5" w:rsidRDefault="009D0C1D" w:rsidP="0061381C">
            <w:pPr>
              <w:pStyle w:val="a6"/>
              <w:shd w:val="clear" w:color="auto" w:fill="auto"/>
              <w:rPr>
                <w:sz w:val="18"/>
                <w:szCs w:val="24"/>
              </w:rPr>
            </w:pPr>
            <w:r w:rsidRPr="006E22E5">
              <w:rPr>
                <w:b w:val="0"/>
                <w:color w:val="000000"/>
                <w:sz w:val="18"/>
                <w:szCs w:val="24"/>
              </w:rPr>
              <w:t>бедаквілін (B), претоманід (Pa) та лінезолід (L)</w:t>
            </w:r>
          </w:p>
        </w:tc>
      </w:tr>
      <w:tr w:rsidR="00366CB9" w14:paraId="2D6000FD" w14:textId="77777777" w:rsidTr="0061381C">
        <w:trPr>
          <w:trHeight w:hRule="exact" w:val="331"/>
        </w:trPr>
        <w:tc>
          <w:tcPr>
            <w:tcW w:w="2141" w:type="dxa"/>
            <w:shd w:val="clear" w:color="auto" w:fill="FFFFFF"/>
          </w:tcPr>
          <w:p w14:paraId="7DBCD5D4" w14:textId="77777777" w:rsidR="00366CB9" w:rsidRPr="006E22E5" w:rsidRDefault="009D0C1D" w:rsidP="0061381C">
            <w:pPr>
              <w:pStyle w:val="a6"/>
              <w:shd w:val="clear" w:color="auto" w:fill="auto"/>
              <w:rPr>
                <w:sz w:val="18"/>
                <w:szCs w:val="24"/>
              </w:rPr>
            </w:pPr>
            <w:r w:rsidRPr="006E22E5">
              <w:rPr>
                <w:color w:val="019648"/>
                <w:sz w:val="18"/>
                <w:szCs w:val="24"/>
              </w:rPr>
              <w:t>BPaLM</w:t>
            </w:r>
          </w:p>
        </w:tc>
        <w:tc>
          <w:tcPr>
            <w:tcW w:w="7028" w:type="dxa"/>
            <w:shd w:val="clear" w:color="auto" w:fill="FFFFFF"/>
          </w:tcPr>
          <w:p w14:paraId="50642804" w14:textId="77777777" w:rsidR="00366CB9" w:rsidRPr="006E22E5" w:rsidRDefault="009D0C1D" w:rsidP="0061381C">
            <w:pPr>
              <w:pStyle w:val="a6"/>
              <w:shd w:val="clear" w:color="auto" w:fill="auto"/>
              <w:rPr>
                <w:sz w:val="18"/>
                <w:szCs w:val="24"/>
              </w:rPr>
            </w:pPr>
            <w:r w:rsidRPr="006E22E5">
              <w:rPr>
                <w:b w:val="0"/>
                <w:color w:val="000000"/>
                <w:sz w:val="18"/>
                <w:szCs w:val="24"/>
              </w:rPr>
              <w:t>бедаквілін (B), претоманід (Pa), лінезолід (L) та моксифлоксацин (M)</w:t>
            </w:r>
          </w:p>
        </w:tc>
      </w:tr>
      <w:tr w:rsidR="00366CB9" w14:paraId="52D88B79" w14:textId="77777777" w:rsidTr="0061381C">
        <w:trPr>
          <w:trHeight w:hRule="exact" w:val="322"/>
        </w:trPr>
        <w:tc>
          <w:tcPr>
            <w:tcW w:w="2141" w:type="dxa"/>
            <w:shd w:val="clear" w:color="auto" w:fill="FFFFFF"/>
          </w:tcPr>
          <w:p w14:paraId="5712B417" w14:textId="77777777" w:rsidR="00366CB9" w:rsidRPr="006E22E5" w:rsidRDefault="009D0C1D" w:rsidP="0061381C">
            <w:pPr>
              <w:pStyle w:val="a6"/>
              <w:shd w:val="clear" w:color="auto" w:fill="auto"/>
              <w:rPr>
                <w:sz w:val="18"/>
                <w:szCs w:val="24"/>
              </w:rPr>
            </w:pPr>
            <w:r w:rsidRPr="006E22E5">
              <w:rPr>
                <w:color w:val="019648"/>
                <w:sz w:val="18"/>
                <w:szCs w:val="24"/>
              </w:rPr>
              <w:t>CFZ</w:t>
            </w:r>
          </w:p>
        </w:tc>
        <w:tc>
          <w:tcPr>
            <w:tcW w:w="7028" w:type="dxa"/>
            <w:shd w:val="clear" w:color="auto" w:fill="FFFFFF"/>
          </w:tcPr>
          <w:p w14:paraId="0393A974" w14:textId="77777777" w:rsidR="00366CB9" w:rsidRPr="006E22E5" w:rsidRDefault="009D0C1D" w:rsidP="0061381C">
            <w:pPr>
              <w:pStyle w:val="a6"/>
              <w:shd w:val="clear" w:color="auto" w:fill="auto"/>
              <w:rPr>
                <w:sz w:val="18"/>
                <w:szCs w:val="24"/>
              </w:rPr>
            </w:pPr>
            <w:r w:rsidRPr="006E22E5">
              <w:rPr>
                <w:b w:val="0"/>
                <w:color w:val="000000"/>
                <w:sz w:val="18"/>
                <w:szCs w:val="24"/>
              </w:rPr>
              <w:t>клофазимін</w:t>
            </w:r>
          </w:p>
        </w:tc>
      </w:tr>
      <w:tr w:rsidR="00366CB9" w14:paraId="727F8E4E" w14:textId="77777777" w:rsidTr="0061381C">
        <w:trPr>
          <w:trHeight w:hRule="exact" w:val="355"/>
        </w:trPr>
        <w:tc>
          <w:tcPr>
            <w:tcW w:w="2141" w:type="dxa"/>
            <w:shd w:val="clear" w:color="auto" w:fill="FFFFFF"/>
          </w:tcPr>
          <w:p w14:paraId="586B93F9" w14:textId="77777777" w:rsidR="00366CB9" w:rsidRPr="006E22E5" w:rsidRDefault="009D0C1D" w:rsidP="0061381C">
            <w:pPr>
              <w:pStyle w:val="a6"/>
              <w:shd w:val="clear" w:color="auto" w:fill="auto"/>
              <w:rPr>
                <w:sz w:val="18"/>
                <w:szCs w:val="24"/>
              </w:rPr>
            </w:pPr>
            <w:r w:rsidRPr="006E22E5">
              <w:rPr>
                <w:color w:val="019648"/>
                <w:sz w:val="18"/>
                <w:szCs w:val="24"/>
              </w:rPr>
              <w:t>Cs</w:t>
            </w:r>
          </w:p>
        </w:tc>
        <w:tc>
          <w:tcPr>
            <w:tcW w:w="7028" w:type="dxa"/>
            <w:shd w:val="clear" w:color="auto" w:fill="FFFFFF"/>
          </w:tcPr>
          <w:p w14:paraId="32188A54" w14:textId="77777777" w:rsidR="00366CB9" w:rsidRPr="006E22E5" w:rsidRDefault="009D0C1D" w:rsidP="0061381C">
            <w:pPr>
              <w:pStyle w:val="a6"/>
              <w:shd w:val="clear" w:color="auto" w:fill="auto"/>
              <w:rPr>
                <w:sz w:val="18"/>
                <w:szCs w:val="24"/>
              </w:rPr>
            </w:pPr>
            <w:r w:rsidRPr="006E22E5">
              <w:rPr>
                <w:b w:val="0"/>
                <w:color w:val="000000"/>
                <w:sz w:val="18"/>
                <w:szCs w:val="24"/>
              </w:rPr>
              <w:t>циклосерин</w:t>
            </w:r>
          </w:p>
        </w:tc>
      </w:tr>
      <w:tr w:rsidR="00366CB9" w14:paraId="6FEA446D" w14:textId="77777777" w:rsidTr="0061381C">
        <w:trPr>
          <w:trHeight w:hRule="exact" w:val="312"/>
        </w:trPr>
        <w:tc>
          <w:tcPr>
            <w:tcW w:w="2141" w:type="dxa"/>
            <w:shd w:val="clear" w:color="auto" w:fill="FFFFFF"/>
          </w:tcPr>
          <w:p w14:paraId="228345B7" w14:textId="77777777" w:rsidR="00366CB9" w:rsidRPr="006E22E5" w:rsidRDefault="009D0C1D" w:rsidP="0061381C">
            <w:pPr>
              <w:pStyle w:val="a6"/>
              <w:shd w:val="clear" w:color="auto" w:fill="auto"/>
              <w:rPr>
                <w:sz w:val="18"/>
                <w:szCs w:val="24"/>
              </w:rPr>
            </w:pPr>
            <w:r w:rsidRPr="006E22E5">
              <w:rPr>
                <w:color w:val="019648"/>
                <w:sz w:val="18"/>
                <w:szCs w:val="24"/>
              </w:rPr>
              <w:t>DLM</w:t>
            </w:r>
          </w:p>
        </w:tc>
        <w:tc>
          <w:tcPr>
            <w:tcW w:w="7028" w:type="dxa"/>
            <w:shd w:val="clear" w:color="auto" w:fill="FFFFFF"/>
          </w:tcPr>
          <w:p w14:paraId="21164F3B" w14:textId="77777777" w:rsidR="00366CB9" w:rsidRPr="006E22E5" w:rsidRDefault="009D0C1D" w:rsidP="0061381C">
            <w:pPr>
              <w:pStyle w:val="a6"/>
              <w:shd w:val="clear" w:color="auto" w:fill="auto"/>
              <w:rPr>
                <w:sz w:val="18"/>
                <w:szCs w:val="24"/>
              </w:rPr>
            </w:pPr>
            <w:r w:rsidRPr="006E22E5">
              <w:rPr>
                <w:b w:val="0"/>
                <w:color w:val="000000"/>
                <w:sz w:val="18"/>
                <w:szCs w:val="24"/>
              </w:rPr>
              <w:t>деламанід</w:t>
            </w:r>
          </w:p>
        </w:tc>
      </w:tr>
      <w:tr w:rsidR="00366CB9" w14:paraId="181B9AAA" w14:textId="77777777" w:rsidTr="0061381C">
        <w:trPr>
          <w:trHeight w:hRule="exact" w:val="336"/>
        </w:trPr>
        <w:tc>
          <w:tcPr>
            <w:tcW w:w="2141" w:type="dxa"/>
            <w:shd w:val="clear" w:color="auto" w:fill="FFFFFF"/>
          </w:tcPr>
          <w:p w14:paraId="094FFA12" w14:textId="77777777" w:rsidR="00366CB9" w:rsidRPr="006E22E5" w:rsidRDefault="009D0C1D" w:rsidP="0061381C">
            <w:pPr>
              <w:pStyle w:val="a6"/>
              <w:shd w:val="clear" w:color="auto" w:fill="auto"/>
              <w:rPr>
                <w:sz w:val="18"/>
                <w:szCs w:val="24"/>
              </w:rPr>
            </w:pPr>
            <w:r w:rsidRPr="006E22E5">
              <w:rPr>
                <w:color w:val="019648"/>
                <w:sz w:val="18"/>
                <w:szCs w:val="24"/>
              </w:rPr>
              <w:t>EMB</w:t>
            </w:r>
          </w:p>
        </w:tc>
        <w:tc>
          <w:tcPr>
            <w:tcW w:w="7028" w:type="dxa"/>
            <w:shd w:val="clear" w:color="auto" w:fill="FFFFFF"/>
          </w:tcPr>
          <w:p w14:paraId="5C392A60" w14:textId="77777777" w:rsidR="00366CB9" w:rsidRPr="006E22E5" w:rsidRDefault="009D0C1D" w:rsidP="0061381C">
            <w:pPr>
              <w:pStyle w:val="a6"/>
              <w:shd w:val="clear" w:color="auto" w:fill="auto"/>
              <w:rPr>
                <w:sz w:val="18"/>
                <w:szCs w:val="24"/>
              </w:rPr>
            </w:pPr>
            <w:r w:rsidRPr="006E22E5">
              <w:rPr>
                <w:b w:val="0"/>
                <w:color w:val="000000"/>
                <w:sz w:val="18"/>
                <w:szCs w:val="24"/>
              </w:rPr>
              <w:t>етамбутол</w:t>
            </w:r>
          </w:p>
        </w:tc>
      </w:tr>
      <w:tr w:rsidR="00366CB9" w14:paraId="1CBB88F5" w14:textId="77777777" w:rsidTr="0061381C">
        <w:trPr>
          <w:trHeight w:hRule="exact" w:val="336"/>
        </w:trPr>
        <w:tc>
          <w:tcPr>
            <w:tcW w:w="2141" w:type="dxa"/>
            <w:shd w:val="clear" w:color="auto" w:fill="FFFFFF"/>
          </w:tcPr>
          <w:p w14:paraId="760933E9" w14:textId="77777777" w:rsidR="00366CB9" w:rsidRPr="006E22E5" w:rsidRDefault="009D0C1D" w:rsidP="0061381C">
            <w:pPr>
              <w:pStyle w:val="a6"/>
              <w:shd w:val="clear" w:color="auto" w:fill="auto"/>
              <w:rPr>
                <w:sz w:val="18"/>
                <w:szCs w:val="24"/>
              </w:rPr>
            </w:pPr>
            <w:r w:rsidRPr="006E22E5">
              <w:rPr>
                <w:color w:val="019648"/>
                <w:sz w:val="18"/>
                <w:szCs w:val="24"/>
              </w:rPr>
              <w:t>ETO</w:t>
            </w:r>
          </w:p>
        </w:tc>
        <w:tc>
          <w:tcPr>
            <w:tcW w:w="7028" w:type="dxa"/>
            <w:shd w:val="clear" w:color="auto" w:fill="FFFFFF"/>
          </w:tcPr>
          <w:p w14:paraId="5A196EC6" w14:textId="77777777" w:rsidR="00366CB9" w:rsidRPr="006E22E5" w:rsidRDefault="009D0C1D" w:rsidP="0061381C">
            <w:pPr>
              <w:pStyle w:val="a6"/>
              <w:shd w:val="clear" w:color="auto" w:fill="auto"/>
              <w:rPr>
                <w:sz w:val="18"/>
                <w:szCs w:val="24"/>
              </w:rPr>
            </w:pPr>
            <w:r w:rsidRPr="006E22E5">
              <w:rPr>
                <w:b w:val="0"/>
                <w:color w:val="000000"/>
                <w:sz w:val="18"/>
                <w:szCs w:val="24"/>
              </w:rPr>
              <w:t>етіонамід</w:t>
            </w:r>
          </w:p>
        </w:tc>
      </w:tr>
      <w:tr w:rsidR="00366CB9" w14:paraId="625EB222" w14:textId="77777777" w:rsidTr="0061381C">
        <w:trPr>
          <w:trHeight w:hRule="exact" w:val="346"/>
        </w:trPr>
        <w:tc>
          <w:tcPr>
            <w:tcW w:w="2141" w:type="dxa"/>
            <w:shd w:val="clear" w:color="auto" w:fill="FFFFFF"/>
          </w:tcPr>
          <w:p w14:paraId="6181EF7A" w14:textId="77777777" w:rsidR="00366CB9" w:rsidRPr="006E22E5" w:rsidRDefault="009D0C1D" w:rsidP="0061381C">
            <w:pPr>
              <w:pStyle w:val="a6"/>
              <w:shd w:val="clear" w:color="auto" w:fill="auto"/>
              <w:rPr>
                <w:sz w:val="18"/>
                <w:szCs w:val="24"/>
              </w:rPr>
            </w:pPr>
            <w:r w:rsidRPr="006E22E5">
              <w:rPr>
                <w:color w:val="019648"/>
                <w:sz w:val="18"/>
                <w:szCs w:val="24"/>
              </w:rPr>
              <w:t>FQ</w:t>
            </w:r>
          </w:p>
        </w:tc>
        <w:tc>
          <w:tcPr>
            <w:tcW w:w="7028" w:type="dxa"/>
            <w:shd w:val="clear" w:color="auto" w:fill="FFFFFF"/>
          </w:tcPr>
          <w:p w14:paraId="50CCF84E" w14:textId="77777777" w:rsidR="00366CB9" w:rsidRPr="006E22E5" w:rsidRDefault="009D0C1D" w:rsidP="0061381C">
            <w:pPr>
              <w:pStyle w:val="a6"/>
              <w:shd w:val="clear" w:color="auto" w:fill="auto"/>
              <w:rPr>
                <w:sz w:val="18"/>
                <w:szCs w:val="24"/>
              </w:rPr>
            </w:pPr>
            <w:r w:rsidRPr="006E22E5">
              <w:rPr>
                <w:b w:val="0"/>
                <w:color w:val="000000"/>
                <w:sz w:val="18"/>
                <w:szCs w:val="24"/>
              </w:rPr>
              <w:t>фторхінолон (наприклад, левофлоксацин або моксифлоксацин)</w:t>
            </w:r>
          </w:p>
        </w:tc>
      </w:tr>
      <w:tr w:rsidR="00366CB9" w14:paraId="364F49AB" w14:textId="77777777" w:rsidTr="0061381C">
        <w:trPr>
          <w:trHeight w:hRule="exact" w:val="341"/>
        </w:trPr>
        <w:tc>
          <w:tcPr>
            <w:tcW w:w="2141" w:type="dxa"/>
            <w:shd w:val="clear" w:color="auto" w:fill="FFFFFF"/>
          </w:tcPr>
          <w:p w14:paraId="65E4AE79" w14:textId="77777777" w:rsidR="00366CB9" w:rsidRPr="006E22E5" w:rsidRDefault="009D0C1D" w:rsidP="0061381C">
            <w:pPr>
              <w:pStyle w:val="a6"/>
              <w:shd w:val="clear" w:color="auto" w:fill="auto"/>
              <w:rPr>
                <w:sz w:val="18"/>
                <w:szCs w:val="24"/>
              </w:rPr>
            </w:pPr>
            <w:r w:rsidRPr="006E22E5">
              <w:rPr>
                <w:color w:val="019648"/>
                <w:sz w:val="18"/>
                <w:szCs w:val="24"/>
              </w:rPr>
              <w:t>HREZ</w:t>
            </w:r>
          </w:p>
        </w:tc>
        <w:tc>
          <w:tcPr>
            <w:tcW w:w="7028" w:type="dxa"/>
            <w:shd w:val="clear" w:color="auto" w:fill="FFFFFF"/>
          </w:tcPr>
          <w:p w14:paraId="110635EC" w14:textId="77777777" w:rsidR="00366CB9" w:rsidRPr="006E22E5" w:rsidRDefault="009D0C1D" w:rsidP="0061381C">
            <w:pPr>
              <w:pStyle w:val="a6"/>
              <w:shd w:val="clear" w:color="auto" w:fill="auto"/>
              <w:rPr>
                <w:sz w:val="18"/>
                <w:szCs w:val="24"/>
              </w:rPr>
            </w:pPr>
            <w:r w:rsidRPr="006E22E5">
              <w:rPr>
                <w:b w:val="0"/>
                <w:color w:val="000000"/>
                <w:sz w:val="18"/>
                <w:szCs w:val="24"/>
              </w:rPr>
              <w:t>ізоніазид (H), рифампіцин (R), етамбутол (E) та піразинамід (Z)</w:t>
            </w:r>
          </w:p>
        </w:tc>
      </w:tr>
      <w:tr w:rsidR="00366CB9" w14:paraId="307A4F8A" w14:textId="77777777" w:rsidTr="0061381C">
        <w:trPr>
          <w:trHeight w:hRule="exact" w:val="317"/>
        </w:trPr>
        <w:tc>
          <w:tcPr>
            <w:tcW w:w="2141" w:type="dxa"/>
            <w:shd w:val="clear" w:color="auto" w:fill="FFFFFF"/>
          </w:tcPr>
          <w:p w14:paraId="1ACA0209" w14:textId="77777777" w:rsidR="00366CB9" w:rsidRPr="006E22E5" w:rsidRDefault="009D0C1D" w:rsidP="0061381C">
            <w:pPr>
              <w:pStyle w:val="a6"/>
              <w:shd w:val="clear" w:color="auto" w:fill="auto"/>
              <w:rPr>
                <w:sz w:val="18"/>
                <w:szCs w:val="24"/>
              </w:rPr>
            </w:pPr>
            <w:r w:rsidRPr="006E22E5">
              <w:rPr>
                <w:color w:val="019648"/>
                <w:sz w:val="18"/>
                <w:szCs w:val="24"/>
              </w:rPr>
              <w:t>INH</w:t>
            </w:r>
          </w:p>
        </w:tc>
        <w:tc>
          <w:tcPr>
            <w:tcW w:w="7028" w:type="dxa"/>
            <w:shd w:val="clear" w:color="auto" w:fill="FFFFFF"/>
          </w:tcPr>
          <w:p w14:paraId="52BCCFBC" w14:textId="77777777" w:rsidR="00366CB9" w:rsidRPr="006E22E5" w:rsidRDefault="009D0C1D" w:rsidP="0061381C">
            <w:pPr>
              <w:pStyle w:val="a6"/>
              <w:shd w:val="clear" w:color="auto" w:fill="auto"/>
              <w:rPr>
                <w:sz w:val="18"/>
                <w:szCs w:val="24"/>
              </w:rPr>
            </w:pPr>
            <w:r w:rsidRPr="006E22E5">
              <w:rPr>
                <w:b w:val="0"/>
                <w:color w:val="000000"/>
                <w:sz w:val="18"/>
                <w:szCs w:val="24"/>
              </w:rPr>
              <w:t>ізоніазид</w:t>
            </w:r>
          </w:p>
        </w:tc>
      </w:tr>
      <w:tr w:rsidR="00366CB9" w14:paraId="5B2E5DE9" w14:textId="77777777" w:rsidTr="0061381C">
        <w:trPr>
          <w:trHeight w:hRule="exact" w:val="341"/>
        </w:trPr>
        <w:tc>
          <w:tcPr>
            <w:tcW w:w="2141" w:type="dxa"/>
            <w:shd w:val="clear" w:color="auto" w:fill="FFFFFF"/>
          </w:tcPr>
          <w:p w14:paraId="5F4A3EB7" w14:textId="77777777" w:rsidR="00366CB9" w:rsidRPr="006E22E5" w:rsidRDefault="009D0C1D" w:rsidP="0061381C">
            <w:pPr>
              <w:pStyle w:val="a6"/>
              <w:shd w:val="clear" w:color="auto" w:fill="auto"/>
              <w:rPr>
                <w:sz w:val="18"/>
                <w:szCs w:val="24"/>
              </w:rPr>
            </w:pPr>
            <w:r w:rsidRPr="006E22E5">
              <w:rPr>
                <w:color w:val="019648"/>
                <w:sz w:val="18"/>
                <w:szCs w:val="24"/>
              </w:rPr>
              <w:t>LFX</w:t>
            </w:r>
          </w:p>
        </w:tc>
        <w:tc>
          <w:tcPr>
            <w:tcW w:w="7028" w:type="dxa"/>
            <w:shd w:val="clear" w:color="auto" w:fill="FFFFFF"/>
          </w:tcPr>
          <w:p w14:paraId="3E54EDAA" w14:textId="77777777" w:rsidR="00366CB9" w:rsidRPr="006E22E5" w:rsidRDefault="009D0C1D" w:rsidP="0061381C">
            <w:pPr>
              <w:pStyle w:val="a6"/>
              <w:shd w:val="clear" w:color="auto" w:fill="auto"/>
              <w:rPr>
                <w:sz w:val="18"/>
                <w:szCs w:val="24"/>
              </w:rPr>
            </w:pPr>
            <w:r w:rsidRPr="006E22E5">
              <w:rPr>
                <w:b w:val="0"/>
                <w:color w:val="000000"/>
                <w:sz w:val="18"/>
                <w:szCs w:val="24"/>
              </w:rPr>
              <w:t>левофлоксацин</w:t>
            </w:r>
          </w:p>
        </w:tc>
      </w:tr>
      <w:tr w:rsidR="00366CB9" w14:paraId="0A9A7ADA" w14:textId="77777777" w:rsidTr="0061381C">
        <w:trPr>
          <w:trHeight w:hRule="exact" w:val="341"/>
        </w:trPr>
        <w:tc>
          <w:tcPr>
            <w:tcW w:w="2141" w:type="dxa"/>
            <w:shd w:val="clear" w:color="auto" w:fill="FFFFFF"/>
          </w:tcPr>
          <w:p w14:paraId="1CD5949B" w14:textId="77777777" w:rsidR="00366CB9" w:rsidRPr="006E22E5" w:rsidRDefault="009D0C1D" w:rsidP="0061381C">
            <w:pPr>
              <w:pStyle w:val="a6"/>
              <w:shd w:val="clear" w:color="auto" w:fill="auto"/>
              <w:rPr>
                <w:sz w:val="18"/>
                <w:szCs w:val="24"/>
              </w:rPr>
            </w:pPr>
            <w:r w:rsidRPr="006E22E5">
              <w:rPr>
                <w:color w:val="019648"/>
                <w:sz w:val="18"/>
                <w:szCs w:val="24"/>
              </w:rPr>
              <w:t>LZD</w:t>
            </w:r>
          </w:p>
        </w:tc>
        <w:tc>
          <w:tcPr>
            <w:tcW w:w="7028" w:type="dxa"/>
            <w:shd w:val="clear" w:color="auto" w:fill="FFFFFF"/>
          </w:tcPr>
          <w:p w14:paraId="48B2B36F" w14:textId="77777777" w:rsidR="00366CB9" w:rsidRPr="006E22E5" w:rsidRDefault="009D0C1D" w:rsidP="0061381C">
            <w:pPr>
              <w:pStyle w:val="a6"/>
              <w:shd w:val="clear" w:color="auto" w:fill="auto"/>
              <w:rPr>
                <w:sz w:val="18"/>
                <w:szCs w:val="24"/>
              </w:rPr>
            </w:pPr>
            <w:r w:rsidRPr="006E22E5">
              <w:rPr>
                <w:b w:val="0"/>
                <w:color w:val="000000"/>
                <w:sz w:val="18"/>
                <w:szCs w:val="24"/>
              </w:rPr>
              <w:t>лінезолід</w:t>
            </w:r>
          </w:p>
        </w:tc>
      </w:tr>
      <w:tr w:rsidR="00366CB9" w14:paraId="6731D4E9" w14:textId="77777777" w:rsidTr="0061381C">
        <w:trPr>
          <w:trHeight w:hRule="exact" w:val="346"/>
        </w:trPr>
        <w:tc>
          <w:tcPr>
            <w:tcW w:w="2141" w:type="dxa"/>
            <w:shd w:val="clear" w:color="auto" w:fill="FFFFFF"/>
          </w:tcPr>
          <w:p w14:paraId="6367A248" w14:textId="77777777" w:rsidR="00366CB9" w:rsidRPr="006E22E5" w:rsidRDefault="009D0C1D" w:rsidP="0061381C">
            <w:pPr>
              <w:pStyle w:val="a6"/>
              <w:shd w:val="clear" w:color="auto" w:fill="auto"/>
              <w:rPr>
                <w:sz w:val="18"/>
                <w:szCs w:val="24"/>
              </w:rPr>
            </w:pPr>
            <w:r w:rsidRPr="006E22E5">
              <w:rPr>
                <w:color w:val="019648"/>
                <w:sz w:val="18"/>
                <w:szCs w:val="24"/>
              </w:rPr>
              <w:t>MPM</w:t>
            </w:r>
          </w:p>
        </w:tc>
        <w:tc>
          <w:tcPr>
            <w:tcW w:w="7028" w:type="dxa"/>
            <w:shd w:val="clear" w:color="auto" w:fill="FFFFFF"/>
          </w:tcPr>
          <w:p w14:paraId="19C9A0FD" w14:textId="77777777" w:rsidR="00366CB9" w:rsidRPr="006E22E5" w:rsidRDefault="009D0C1D" w:rsidP="0061381C">
            <w:pPr>
              <w:pStyle w:val="a6"/>
              <w:shd w:val="clear" w:color="auto" w:fill="auto"/>
              <w:rPr>
                <w:sz w:val="18"/>
                <w:szCs w:val="24"/>
              </w:rPr>
            </w:pPr>
            <w:r w:rsidRPr="006E22E5">
              <w:rPr>
                <w:b w:val="0"/>
                <w:color w:val="000000"/>
                <w:sz w:val="18"/>
                <w:szCs w:val="24"/>
              </w:rPr>
              <w:t>меропенем</w:t>
            </w:r>
          </w:p>
        </w:tc>
      </w:tr>
      <w:tr w:rsidR="00366CB9" w14:paraId="7E4EA646" w14:textId="77777777" w:rsidTr="0061381C">
        <w:trPr>
          <w:trHeight w:hRule="exact" w:val="317"/>
        </w:trPr>
        <w:tc>
          <w:tcPr>
            <w:tcW w:w="2141" w:type="dxa"/>
            <w:shd w:val="clear" w:color="auto" w:fill="FFFFFF"/>
          </w:tcPr>
          <w:p w14:paraId="7DC1E806" w14:textId="77777777" w:rsidR="00366CB9" w:rsidRPr="006E22E5" w:rsidRDefault="009D0C1D" w:rsidP="0061381C">
            <w:pPr>
              <w:pStyle w:val="a6"/>
              <w:shd w:val="clear" w:color="auto" w:fill="auto"/>
              <w:rPr>
                <w:sz w:val="18"/>
                <w:szCs w:val="24"/>
              </w:rPr>
            </w:pPr>
            <w:r w:rsidRPr="006E22E5">
              <w:rPr>
                <w:color w:val="019648"/>
                <w:sz w:val="18"/>
                <w:szCs w:val="24"/>
              </w:rPr>
              <w:t>MFX</w:t>
            </w:r>
          </w:p>
        </w:tc>
        <w:tc>
          <w:tcPr>
            <w:tcW w:w="7028" w:type="dxa"/>
            <w:shd w:val="clear" w:color="auto" w:fill="FFFFFF"/>
          </w:tcPr>
          <w:p w14:paraId="12EF3847" w14:textId="77777777" w:rsidR="00366CB9" w:rsidRPr="006E22E5" w:rsidRDefault="009D0C1D" w:rsidP="0061381C">
            <w:pPr>
              <w:pStyle w:val="a6"/>
              <w:shd w:val="clear" w:color="auto" w:fill="auto"/>
              <w:rPr>
                <w:sz w:val="18"/>
                <w:szCs w:val="24"/>
              </w:rPr>
            </w:pPr>
            <w:r w:rsidRPr="006E22E5">
              <w:rPr>
                <w:b w:val="0"/>
                <w:color w:val="000000"/>
                <w:sz w:val="18"/>
                <w:szCs w:val="24"/>
              </w:rPr>
              <w:t>моксифлоксацин</w:t>
            </w:r>
          </w:p>
        </w:tc>
      </w:tr>
      <w:tr w:rsidR="00366CB9" w14:paraId="6CC3B75B" w14:textId="77777777" w:rsidTr="0061381C">
        <w:trPr>
          <w:trHeight w:hRule="exact" w:val="360"/>
        </w:trPr>
        <w:tc>
          <w:tcPr>
            <w:tcW w:w="2141" w:type="dxa"/>
            <w:shd w:val="clear" w:color="auto" w:fill="FFFFFF"/>
          </w:tcPr>
          <w:p w14:paraId="2A4DCB42" w14:textId="77777777" w:rsidR="00366CB9" w:rsidRPr="006E22E5" w:rsidRDefault="009D0C1D" w:rsidP="0061381C">
            <w:pPr>
              <w:pStyle w:val="a6"/>
              <w:shd w:val="clear" w:color="auto" w:fill="auto"/>
              <w:rPr>
                <w:sz w:val="18"/>
                <w:szCs w:val="24"/>
              </w:rPr>
            </w:pPr>
            <w:r w:rsidRPr="006E22E5">
              <w:rPr>
                <w:color w:val="019648"/>
                <w:sz w:val="18"/>
                <w:szCs w:val="24"/>
              </w:rPr>
              <w:t>Pa</w:t>
            </w:r>
          </w:p>
        </w:tc>
        <w:tc>
          <w:tcPr>
            <w:tcW w:w="7028" w:type="dxa"/>
            <w:shd w:val="clear" w:color="auto" w:fill="FFFFFF"/>
          </w:tcPr>
          <w:p w14:paraId="057B7853" w14:textId="77777777" w:rsidR="00366CB9" w:rsidRPr="006E22E5" w:rsidRDefault="009D0C1D" w:rsidP="0061381C">
            <w:pPr>
              <w:pStyle w:val="a6"/>
              <w:shd w:val="clear" w:color="auto" w:fill="auto"/>
              <w:rPr>
                <w:sz w:val="18"/>
                <w:szCs w:val="24"/>
              </w:rPr>
            </w:pPr>
            <w:r w:rsidRPr="006E22E5">
              <w:rPr>
                <w:b w:val="0"/>
                <w:color w:val="000000"/>
                <w:sz w:val="18"/>
                <w:szCs w:val="24"/>
              </w:rPr>
              <w:t>претоманід</w:t>
            </w:r>
          </w:p>
        </w:tc>
      </w:tr>
      <w:tr w:rsidR="00366CB9" w14:paraId="564DB20E" w14:textId="77777777" w:rsidTr="0061381C">
        <w:trPr>
          <w:trHeight w:hRule="exact" w:val="326"/>
        </w:trPr>
        <w:tc>
          <w:tcPr>
            <w:tcW w:w="2141" w:type="dxa"/>
            <w:shd w:val="clear" w:color="auto" w:fill="FFFFFF"/>
          </w:tcPr>
          <w:p w14:paraId="2B5E0889" w14:textId="77777777" w:rsidR="00366CB9" w:rsidRPr="006E22E5" w:rsidRDefault="009D0C1D" w:rsidP="0061381C">
            <w:pPr>
              <w:pStyle w:val="a6"/>
              <w:shd w:val="clear" w:color="auto" w:fill="auto"/>
              <w:rPr>
                <w:sz w:val="18"/>
                <w:szCs w:val="24"/>
              </w:rPr>
            </w:pPr>
            <w:r w:rsidRPr="006E22E5">
              <w:rPr>
                <w:color w:val="019648"/>
                <w:sz w:val="18"/>
                <w:szCs w:val="24"/>
              </w:rPr>
              <w:t>PZA</w:t>
            </w:r>
          </w:p>
        </w:tc>
        <w:tc>
          <w:tcPr>
            <w:tcW w:w="7028" w:type="dxa"/>
            <w:shd w:val="clear" w:color="auto" w:fill="FFFFFF"/>
          </w:tcPr>
          <w:p w14:paraId="517A2797" w14:textId="77777777" w:rsidR="00366CB9" w:rsidRPr="006E22E5" w:rsidRDefault="009D0C1D" w:rsidP="0061381C">
            <w:pPr>
              <w:pStyle w:val="a6"/>
              <w:shd w:val="clear" w:color="auto" w:fill="auto"/>
              <w:rPr>
                <w:sz w:val="18"/>
                <w:szCs w:val="24"/>
              </w:rPr>
            </w:pPr>
            <w:r w:rsidRPr="006E22E5">
              <w:rPr>
                <w:b w:val="0"/>
                <w:color w:val="000000"/>
                <w:sz w:val="18"/>
                <w:szCs w:val="24"/>
              </w:rPr>
              <w:t>піразинамід</w:t>
            </w:r>
          </w:p>
        </w:tc>
      </w:tr>
      <w:tr w:rsidR="00366CB9" w14:paraId="390A39AF" w14:textId="77777777" w:rsidTr="0061381C">
        <w:trPr>
          <w:trHeight w:hRule="exact" w:val="336"/>
        </w:trPr>
        <w:tc>
          <w:tcPr>
            <w:tcW w:w="2141" w:type="dxa"/>
            <w:shd w:val="clear" w:color="auto" w:fill="FFFFFF"/>
          </w:tcPr>
          <w:p w14:paraId="7DB4B9FE" w14:textId="77777777" w:rsidR="00366CB9" w:rsidRPr="006E22E5" w:rsidRDefault="009D0C1D" w:rsidP="0061381C">
            <w:pPr>
              <w:pStyle w:val="a6"/>
              <w:shd w:val="clear" w:color="auto" w:fill="auto"/>
              <w:rPr>
                <w:sz w:val="18"/>
                <w:szCs w:val="24"/>
              </w:rPr>
            </w:pPr>
            <w:r w:rsidRPr="006E22E5">
              <w:rPr>
                <w:color w:val="019648"/>
                <w:sz w:val="18"/>
                <w:szCs w:val="24"/>
              </w:rPr>
              <w:t>REZ</w:t>
            </w:r>
          </w:p>
        </w:tc>
        <w:tc>
          <w:tcPr>
            <w:tcW w:w="7028" w:type="dxa"/>
            <w:shd w:val="clear" w:color="auto" w:fill="FFFFFF"/>
          </w:tcPr>
          <w:p w14:paraId="19504F98" w14:textId="77777777" w:rsidR="00366CB9" w:rsidRPr="006E22E5" w:rsidRDefault="009D0C1D" w:rsidP="0061381C">
            <w:pPr>
              <w:pStyle w:val="a6"/>
              <w:shd w:val="clear" w:color="auto" w:fill="auto"/>
              <w:rPr>
                <w:sz w:val="18"/>
                <w:szCs w:val="24"/>
              </w:rPr>
            </w:pPr>
            <w:r w:rsidRPr="006E22E5">
              <w:rPr>
                <w:b w:val="0"/>
                <w:color w:val="000000"/>
                <w:sz w:val="18"/>
                <w:szCs w:val="24"/>
              </w:rPr>
              <w:t>рифампіцин (R), етамбутол (E) та піразинамід (Z)</w:t>
            </w:r>
          </w:p>
        </w:tc>
      </w:tr>
      <w:tr w:rsidR="00366CB9" w14:paraId="787B5084" w14:textId="77777777" w:rsidTr="0061381C">
        <w:trPr>
          <w:trHeight w:hRule="exact" w:val="341"/>
        </w:trPr>
        <w:tc>
          <w:tcPr>
            <w:tcW w:w="2141" w:type="dxa"/>
            <w:shd w:val="clear" w:color="auto" w:fill="FFFFFF"/>
          </w:tcPr>
          <w:p w14:paraId="5853C2A5" w14:textId="77777777" w:rsidR="00366CB9" w:rsidRPr="006E22E5" w:rsidRDefault="009D0C1D" w:rsidP="0061381C">
            <w:pPr>
              <w:pStyle w:val="a6"/>
              <w:shd w:val="clear" w:color="auto" w:fill="auto"/>
              <w:rPr>
                <w:sz w:val="18"/>
                <w:szCs w:val="24"/>
              </w:rPr>
            </w:pPr>
            <w:r w:rsidRPr="006E22E5">
              <w:rPr>
                <w:color w:val="019648"/>
                <w:sz w:val="18"/>
                <w:szCs w:val="24"/>
              </w:rPr>
              <w:t>RIF</w:t>
            </w:r>
          </w:p>
        </w:tc>
        <w:tc>
          <w:tcPr>
            <w:tcW w:w="7028" w:type="dxa"/>
            <w:shd w:val="clear" w:color="auto" w:fill="FFFFFF"/>
          </w:tcPr>
          <w:p w14:paraId="205F0624" w14:textId="77777777" w:rsidR="00366CB9" w:rsidRPr="006E22E5" w:rsidRDefault="009D0C1D" w:rsidP="0061381C">
            <w:pPr>
              <w:pStyle w:val="a6"/>
              <w:shd w:val="clear" w:color="auto" w:fill="auto"/>
              <w:rPr>
                <w:sz w:val="18"/>
                <w:szCs w:val="24"/>
              </w:rPr>
            </w:pPr>
            <w:r w:rsidRPr="006E22E5">
              <w:rPr>
                <w:b w:val="0"/>
                <w:color w:val="000000"/>
                <w:sz w:val="18"/>
                <w:szCs w:val="24"/>
              </w:rPr>
              <w:t>рифампіцин</w:t>
            </w:r>
          </w:p>
        </w:tc>
      </w:tr>
      <w:tr w:rsidR="00366CB9" w14:paraId="05671737" w14:textId="77777777" w:rsidTr="0061381C">
        <w:trPr>
          <w:trHeight w:hRule="exact" w:val="331"/>
        </w:trPr>
        <w:tc>
          <w:tcPr>
            <w:tcW w:w="2141" w:type="dxa"/>
            <w:shd w:val="clear" w:color="auto" w:fill="FFFFFF"/>
          </w:tcPr>
          <w:p w14:paraId="2DCCD60F" w14:textId="77777777" w:rsidR="00366CB9" w:rsidRPr="006E22E5" w:rsidRDefault="009D0C1D" w:rsidP="0061381C">
            <w:pPr>
              <w:pStyle w:val="a6"/>
              <w:shd w:val="clear" w:color="auto" w:fill="auto"/>
              <w:rPr>
                <w:sz w:val="18"/>
                <w:szCs w:val="24"/>
              </w:rPr>
            </w:pPr>
            <w:r w:rsidRPr="006E22E5">
              <w:rPr>
                <w:color w:val="019648"/>
                <w:sz w:val="18"/>
                <w:szCs w:val="24"/>
              </w:rPr>
              <w:t>STR</w:t>
            </w:r>
          </w:p>
        </w:tc>
        <w:tc>
          <w:tcPr>
            <w:tcW w:w="7028" w:type="dxa"/>
            <w:shd w:val="clear" w:color="auto" w:fill="FFFFFF"/>
          </w:tcPr>
          <w:p w14:paraId="263CCBE7" w14:textId="77777777" w:rsidR="00366CB9" w:rsidRPr="006E22E5" w:rsidRDefault="009D0C1D" w:rsidP="0061381C">
            <w:pPr>
              <w:pStyle w:val="a6"/>
              <w:shd w:val="clear" w:color="auto" w:fill="auto"/>
              <w:rPr>
                <w:sz w:val="18"/>
                <w:szCs w:val="24"/>
              </w:rPr>
            </w:pPr>
            <w:r w:rsidRPr="006E22E5">
              <w:rPr>
                <w:b w:val="0"/>
                <w:color w:val="000000"/>
                <w:sz w:val="18"/>
                <w:szCs w:val="24"/>
              </w:rPr>
              <w:t>стрептоміцин</w:t>
            </w:r>
          </w:p>
        </w:tc>
      </w:tr>
      <w:tr w:rsidR="00366CB9" w14:paraId="615EF806" w14:textId="77777777" w:rsidTr="0061381C">
        <w:trPr>
          <w:trHeight w:hRule="exact" w:val="317"/>
        </w:trPr>
        <w:tc>
          <w:tcPr>
            <w:tcW w:w="2141" w:type="dxa"/>
            <w:shd w:val="clear" w:color="auto" w:fill="FFFFFF"/>
          </w:tcPr>
          <w:p w14:paraId="5EF25898" w14:textId="77777777" w:rsidR="00366CB9" w:rsidRPr="006E22E5" w:rsidRDefault="009D0C1D" w:rsidP="0061381C">
            <w:pPr>
              <w:pStyle w:val="a6"/>
              <w:shd w:val="clear" w:color="auto" w:fill="auto"/>
              <w:rPr>
                <w:sz w:val="18"/>
                <w:szCs w:val="24"/>
              </w:rPr>
            </w:pPr>
            <w:r w:rsidRPr="006E22E5">
              <w:rPr>
                <w:color w:val="019648"/>
                <w:sz w:val="18"/>
                <w:szCs w:val="24"/>
              </w:rPr>
              <w:t>TRD</w:t>
            </w:r>
          </w:p>
        </w:tc>
        <w:tc>
          <w:tcPr>
            <w:tcW w:w="7028" w:type="dxa"/>
            <w:shd w:val="clear" w:color="auto" w:fill="FFFFFF"/>
          </w:tcPr>
          <w:p w14:paraId="123DA13A" w14:textId="77777777" w:rsidR="00366CB9" w:rsidRPr="006E22E5" w:rsidRDefault="009D0C1D" w:rsidP="0061381C">
            <w:pPr>
              <w:pStyle w:val="a6"/>
              <w:shd w:val="clear" w:color="auto" w:fill="auto"/>
              <w:rPr>
                <w:sz w:val="18"/>
                <w:szCs w:val="24"/>
              </w:rPr>
            </w:pPr>
            <w:r w:rsidRPr="006E22E5">
              <w:rPr>
                <w:b w:val="0"/>
                <w:color w:val="000000"/>
                <w:sz w:val="18"/>
                <w:szCs w:val="24"/>
              </w:rPr>
              <w:t>теризидон</w:t>
            </w:r>
          </w:p>
        </w:tc>
      </w:tr>
    </w:tbl>
    <w:p w14:paraId="135DE2BD" w14:textId="77777777" w:rsidR="00366CB9" w:rsidRDefault="00366CB9" w:rsidP="00425523">
      <w:pPr>
        <w:spacing w:line="1" w:lineRule="exact"/>
        <w:sectPr w:rsidR="00366CB9" w:rsidSect="00F03360">
          <w:footerReference w:type="even" r:id="rId31"/>
          <w:type w:val="nextColumn"/>
          <w:pgSz w:w="11913" w:h="16840"/>
          <w:pgMar w:top="1469" w:right="1378" w:bottom="851" w:left="1372" w:header="0" w:footer="6" w:gutter="0"/>
          <w:paperSrc w:first="15" w:other="15"/>
          <w:cols w:space="720"/>
          <w:noEndnote/>
          <w:docGrid w:linePitch="360"/>
        </w:sectPr>
      </w:pPr>
    </w:p>
    <w:p w14:paraId="13D016FF" w14:textId="77777777" w:rsidR="00366CB9" w:rsidRDefault="00366CB9" w:rsidP="00425523">
      <w:pPr>
        <w:spacing w:line="1" w:lineRule="exact"/>
      </w:pPr>
    </w:p>
    <w:p w14:paraId="310F002A" w14:textId="77777777" w:rsidR="00366CB9" w:rsidRDefault="009D0C1D" w:rsidP="0061381C">
      <w:pPr>
        <w:pStyle w:val="11"/>
        <w:numPr>
          <w:ilvl w:val="0"/>
          <w:numId w:val="2"/>
        </w:numPr>
        <w:shd w:val="clear" w:color="auto" w:fill="auto"/>
        <w:tabs>
          <w:tab w:val="left" w:pos="628"/>
        </w:tabs>
        <w:spacing w:before="0" w:after="840" w:line="240" w:lineRule="auto"/>
        <w:jc w:val="both"/>
      </w:pPr>
      <w:bookmarkStart w:id="6" w:name="bookmark6"/>
      <w:bookmarkStart w:id="7" w:name="bookmark7"/>
      <w:bookmarkStart w:id="8" w:name="bookmark5"/>
      <w:r>
        <w:t>Вступ</w:t>
      </w:r>
      <w:bookmarkEnd w:id="6"/>
      <w:bookmarkEnd w:id="7"/>
      <w:bookmarkEnd w:id="8"/>
    </w:p>
    <w:p w14:paraId="278628B2" w14:textId="77777777" w:rsidR="00366CB9" w:rsidRDefault="009D0C1D" w:rsidP="00914714">
      <w:pPr>
        <w:pStyle w:val="22"/>
        <w:numPr>
          <w:ilvl w:val="1"/>
          <w:numId w:val="63"/>
        </w:numPr>
        <w:shd w:val="clear" w:color="auto" w:fill="auto"/>
        <w:tabs>
          <w:tab w:val="left" w:pos="647"/>
        </w:tabs>
        <w:spacing w:after="140" w:line="240" w:lineRule="auto"/>
        <w:jc w:val="both"/>
      </w:pPr>
      <w:bookmarkStart w:id="9" w:name="bookmark8"/>
      <w:bookmarkStart w:id="10" w:name="bookmark9"/>
      <w:r>
        <w:t>Передумови</w:t>
      </w:r>
      <w:bookmarkEnd w:id="9"/>
      <w:bookmarkEnd w:id="10"/>
    </w:p>
    <w:p w14:paraId="60D3FB8B" w14:textId="77777777" w:rsidR="00366CB9" w:rsidRPr="006E22E5" w:rsidRDefault="009D0C1D" w:rsidP="0061381C">
      <w:pPr>
        <w:pStyle w:val="1"/>
        <w:shd w:val="clear" w:color="auto" w:fill="auto"/>
        <w:spacing w:after="140" w:line="324" w:lineRule="auto"/>
        <w:jc w:val="both"/>
        <w:rPr>
          <w:sz w:val="18"/>
          <w:szCs w:val="18"/>
        </w:rPr>
      </w:pPr>
      <w:r w:rsidRPr="006E22E5">
        <w:rPr>
          <w:sz w:val="18"/>
          <w:szCs w:val="18"/>
        </w:rPr>
        <w:t xml:space="preserve">Туберкульоз (ТБ) продовжує залишатися гострим питанням охорони здоров’я в усьому світі. За оцінками, приблизно чверть населення заражена бактерією </w:t>
      </w:r>
      <w:r w:rsidRPr="006E22E5">
        <w:rPr>
          <w:i/>
          <w:sz w:val="18"/>
          <w:szCs w:val="18"/>
        </w:rPr>
        <w:t>Mycobacterium tuberculosis</w:t>
      </w:r>
      <w:r w:rsidRPr="006E22E5">
        <w:rPr>
          <w:sz w:val="18"/>
          <w:szCs w:val="18"/>
        </w:rPr>
        <w:t xml:space="preserve"> (</w:t>
      </w:r>
      <w:r w:rsidRPr="006E22E5">
        <w:rPr>
          <w:i/>
          <w:sz w:val="18"/>
          <w:szCs w:val="18"/>
        </w:rPr>
        <w:t>Mtb</w:t>
      </w:r>
      <w:r w:rsidRPr="006E22E5">
        <w:rPr>
          <w:sz w:val="18"/>
          <w:szCs w:val="18"/>
        </w:rPr>
        <w:t xml:space="preserve">) </w:t>
      </w:r>
      <w:r w:rsidRPr="006E22E5">
        <w:rPr>
          <w:i/>
          <w:sz w:val="18"/>
          <w:szCs w:val="18"/>
        </w:rPr>
        <w:t>(</w:t>
      </w:r>
      <w:hyperlink w:anchor="bookmark193" w:tooltip="Поточний документ">
        <w:r w:rsidR="00366CB9" w:rsidRPr="006E22E5">
          <w:rPr>
            <w:i/>
            <w:sz w:val="18"/>
            <w:szCs w:val="18"/>
          </w:rPr>
          <w:t>1</w:t>
        </w:r>
      </w:hyperlink>
      <w:r w:rsidRPr="006E22E5">
        <w:rPr>
          <w:i/>
          <w:sz w:val="18"/>
          <w:szCs w:val="18"/>
        </w:rPr>
        <w:t>)</w:t>
      </w:r>
      <w:r w:rsidRPr="006E22E5">
        <w:rPr>
          <w:sz w:val="18"/>
          <w:szCs w:val="18"/>
        </w:rPr>
        <w:t xml:space="preserve">. У 2023 році, за оцінками, у 10,8 мільйонів заражених осіб розвинувся ТБ, тоді як 8,2 мільйонів випадків було діагностовано та зафіксовано Всесвітню організацію охорони здоров’я (ВООЗ) </w:t>
      </w:r>
      <w:r w:rsidRPr="006E22E5">
        <w:rPr>
          <w:i/>
          <w:sz w:val="18"/>
          <w:szCs w:val="18"/>
        </w:rPr>
        <w:t>(</w:t>
      </w:r>
      <w:hyperlink w:anchor="bookmark193" w:tooltip="Поточний документ">
        <w:r w:rsidR="00366CB9" w:rsidRPr="006E22E5">
          <w:rPr>
            <w:i/>
            <w:sz w:val="18"/>
            <w:szCs w:val="18"/>
          </w:rPr>
          <w:t>2</w:t>
        </w:r>
      </w:hyperlink>
      <w:r w:rsidRPr="006E22E5">
        <w:rPr>
          <w:i/>
          <w:sz w:val="18"/>
          <w:szCs w:val="18"/>
        </w:rPr>
        <w:t>)</w:t>
      </w:r>
      <w:r w:rsidRPr="006E22E5">
        <w:rPr>
          <w:sz w:val="18"/>
          <w:szCs w:val="18"/>
        </w:rPr>
        <w:t xml:space="preserve">. За оцінками, з цих 8,2 мільйонів, у 1 мільйона осіб розвинувся лікарсько-стійкий ТБ (ЛС-ТБ) – зокрема, форма ЛС-ТБ, резистентна до антибіотика першої лінії ізоніазиду (INH), але чутлива до рифампіцину (RIF) (тобто Нрез-ТБ) – а ще у 410 000 осіб розвинувся ТБ, резистентний як до INH, так і до RIF (тобто туберкульоз із множинною лікарською стійкістю [МЛС-ТБ]), або лише до RIF (тобто рифампіцин-резистентний туберкульоз [Риф-ТБ]) </w:t>
      </w:r>
      <w:r w:rsidRPr="006E22E5">
        <w:rPr>
          <w:i/>
          <w:sz w:val="18"/>
          <w:szCs w:val="18"/>
        </w:rPr>
        <w:t>(</w:t>
      </w:r>
      <w:hyperlink w:anchor="bookmark193" w:tooltip="Поточний документ">
        <w:r w:rsidR="00366CB9" w:rsidRPr="006E22E5">
          <w:rPr>
            <w:i/>
            <w:sz w:val="18"/>
            <w:szCs w:val="18"/>
          </w:rPr>
          <w:t>3</w:t>
        </w:r>
      </w:hyperlink>
      <w:r w:rsidRPr="006E22E5">
        <w:rPr>
          <w:i/>
          <w:sz w:val="18"/>
          <w:szCs w:val="18"/>
        </w:rPr>
        <w:t>)</w:t>
      </w:r>
      <w:r w:rsidRPr="006E22E5">
        <w:rPr>
          <w:sz w:val="18"/>
          <w:szCs w:val="18"/>
        </w:rPr>
        <w:t xml:space="preserve">. Було діагностовано та розпочато лікуванні лише у 2 з 5 випадків з МЛС-ТБ або Риф-ТБ (МЛС/Риф-ТБ), та лише 55 % пацієнтів з Риф-ТБ пройшли подальше тестування на виявлення резистентності до фторхінолонів (FQ) для діагностики ТБ з пре-широкою лікарською стійкістю (пре-ШЛС-ТБ). Крім того, не дивлячись на зниження загального числа смертей від ТБ з 1,32 мільйонів у 2022 році до 1,25 мільйонів у 2023 році, захворювання все ще могло випередити коронавірусне захворювання (COVID-19) як основну причину смерті у світі від одного збудника інфекції </w:t>
      </w:r>
      <w:r w:rsidRPr="006E22E5">
        <w:rPr>
          <w:i/>
          <w:sz w:val="18"/>
          <w:szCs w:val="18"/>
        </w:rPr>
        <w:t>(</w:t>
      </w:r>
      <w:hyperlink w:anchor="bookmark193" w:tooltip="Поточний документ">
        <w:r w:rsidR="00366CB9" w:rsidRPr="006E22E5">
          <w:rPr>
            <w:i/>
            <w:sz w:val="18"/>
            <w:szCs w:val="18"/>
          </w:rPr>
          <w:t>2</w:t>
        </w:r>
      </w:hyperlink>
      <w:r w:rsidRPr="006E22E5">
        <w:rPr>
          <w:i/>
          <w:sz w:val="18"/>
          <w:szCs w:val="18"/>
        </w:rPr>
        <w:t>)</w:t>
      </w:r>
      <w:r w:rsidRPr="006E22E5">
        <w:rPr>
          <w:sz w:val="18"/>
          <w:szCs w:val="18"/>
        </w:rPr>
        <w:t>.</w:t>
      </w:r>
    </w:p>
    <w:p w14:paraId="3F65FD41" w14:textId="77777777" w:rsidR="00366CB9" w:rsidRPr="006E22E5" w:rsidRDefault="009D0C1D" w:rsidP="0061381C">
      <w:pPr>
        <w:pStyle w:val="1"/>
        <w:shd w:val="clear" w:color="auto" w:fill="auto"/>
        <w:spacing w:after="140" w:line="324" w:lineRule="auto"/>
        <w:jc w:val="both"/>
        <w:rPr>
          <w:sz w:val="18"/>
          <w:szCs w:val="18"/>
        </w:rPr>
      </w:pPr>
      <w:r w:rsidRPr="006E22E5">
        <w:rPr>
          <w:sz w:val="18"/>
          <w:szCs w:val="18"/>
        </w:rPr>
        <w:t xml:space="preserve">Для усунення цих прогалин Глобальна стратегія ВООЗ щодо профілактики, догляду та контролю за ТБ на 2015-2035 рр. (відома як Стратегія боротьби з ТБ) </w:t>
      </w:r>
      <w:r w:rsidRPr="006E22E5">
        <w:rPr>
          <w:i/>
          <w:sz w:val="18"/>
          <w:szCs w:val="18"/>
        </w:rPr>
        <w:t>(</w:t>
      </w:r>
      <w:hyperlink w:anchor="bookmark193" w:tooltip="Поточний документ">
        <w:r w:rsidR="00366CB9" w:rsidRPr="006E22E5">
          <w:rPr>
            <w:i/>
            <w:sz w:val="18"/>
            <w:szCs w:val="18"/>
          </w:rPr>
          <w:t>4</w:t>
        </w:r>
      </w:hyperlink>
      <w:r w:rsidRPr="006E22E5">
        <w:rPr>
          <w:i/>
          <w:sz w:val="18"/>
          <w:szCs w:val="18"/>
        </w:rPr>
        <w:t>)</w:t>
      </w:r>
      <w:r w:rsidRPr="006E22E5">
        <w:rPr>
          <w:sz w:val="18"/>
          <w:szCs w:val="18"/>
        </w:rPr>
        <w:t xml:space="preserve"> вимагає ранньої діагностики туберкульозної інфекції, діагностики ТБ та універсального доступу до тестування медикаментозної чутливості (ТМЧ). Для досягнення цілей Стратегії боротьби з ТБ:</w:t>
      </w:r>
    </w:p>
    <w:p w14:paraId="46B186D2" w14:textId="4C3919CC" w:rsidR="00366CB9" w:rsidRPr="006E22E5" w:rsidRDefault="009D0C1D" w:rsidP="00045CAE">
      <w:pPr>
        <w:pStyle w:val="1"/>
        <w:shd w:val="clear" w:color="auto" w:fill="auto"/>
        <w:spacing w:line="324" w:lineRule="auto"/>
        <w:ind w:left="300" w:hanging="300"/>
        <w:jc w:val="both"/>
        <w:rPr>
          <w:sz w:val="18"/>
          <w:szCs w:val="18"/>
        </w:rPr>
      </w:pPr>
      <w:r w:rsidRPr="006E22E5">
        <w:rPr>
          <w:color w:val="019648"/>
          <w:sz w:val="18"/>
          <w:szCs w:val="18"/>
        </w:rPr>
        <w:t xml:space="preserve">• </w:t>
      </w:r>
      <w:r w:rsidR="00045CAE" w:rsidRPr="006E22E5">
        <w:rPr>
          <w:sz w:val="18"/>
          <w:szCs w:val="18"/>
        </w:rPr>
        <w:tab/>
      </w:r>
      <w:r w:rsidRPr="006E22E5">
        <w:rPr>
          <w:sz w:val="18"/>
          <w:szCs w:val="18"/>
        </w:rPr>
        <w:t>особи з туберкульозною інфекцією та підвищеним ризиком прогресування до активної стадії ТБ повинні пройти тестування на виявлення туберкульозної інфекції, щоб визначити осіб, які отримують найбільшу користь від профілактичного лікування ТБ (ПЛТ);</w:t>
      </w:r>
    </w:p>
    <w:p w14:paraId="238E08D2" w14:textId="67E9C2C3" w:rsidR="00366CB9" w:rsidRPr="006E22E5" w:rsidRDefault="009D0C1D" w:rsidP="00045CAE">
      <w:pPr>
        <w:pStyle w:val="1"/>
        <w:shd w:val="clear" w:color="auto" w:fill="auto"/>
        <w:spacing w:line="324" w:lineRule="auto"/>
        <w:ind w:left="300" w:hanging="300"/>
        <w:jc w:val="both"/>
        <w:rPr>
          <w:sz w:val="18"/>
          <w:szCs w:val="18"/>
        </w:rPr>
      </w:pPr>
      <w:r w:rsidRPr="006E22E5">
        <w:rPr>
          <w:color w:val="019648"/>
          <w:sz w:val="18"/>
          <w:szCs w:val="18"/>
        </w:rPr>
        <w:t xml:space="preserve">• </w:t>
      </w:r>
      <w:r w:rsidR="00045CAE" w:rsidRPr="006E22E5">
        <w:rPr>
          <w:sz w:val="18"/>
          <w:szCs w:val="18"/>
        </w:rPr>
        <w:tab/>
      </w:r>
      <w:r w:rsidRPr="006E22E5">
        <w:rPr>
          <w:sz w:val="18"/>
          <w:szCs w:val="18"/>
        </w:rPr>
        <w:t>експрес-тести для діагностики ТБ (WRD), рекомендовані ВООЗ, повинні бути доступні всім особам з ознаками або симптомами ТБ, або особам з позитивним результатом тесту на ТБ;</w:t>
      </w:r>
    </w:p>
    <w:p w14:paraId="1AF534A9" w14:textId="43F9C3ED" w:rsidR="00366CB9" w:rsidRPr="006E22E5" w:rsidRDefault="009D0C1D" w:rsidP="00045CAE">
      <w:pPr>
        <w:pStyle w:val="1"/>
        <w:shd w:val="clear" w:color="auto" w:fill="auto"/>
        <w:tabs>
          <w:tab w:val="left" w:pos="284"/>
        </w:tabs>
        <w:spacing w:line="324" w:lineRule="auto"/>
        <w:ind w:left="300" w:hanging="300"/>
        <w:jc w:val="both"/>
        <w:rPr>
          <w:sz w:val="18"/>
          <w:szCs w:val="18"/>
        </w:rPr>
      </w:pPr>
      <w:r w:rsidRPr="006E22E5">
        <w:rPr>
          <w:color w:val="019648"/>
          <w:sz w:val="18"/>
          <w:szCs w:val="18"/>
        </w:rPr>
        <w:t xml:space="preserve">• </w:t>
      </w:r>
      <w:r w:rsidR="00045CAE" w:rsidRPr="006E22E5">
        <w:rPr>
          <w:sz w:val="18"/>
          <w:szCs w:val="18"/>
        </w:rPr>
        <w:tab/>
      </w:r>
      <w:r w:rsidRPr="006E22E5">
        <w:rPr>
          <w:sz w:val="18"/>
          <w:szCs w:val="18"/>
        </w:rPr>
        <w:t>особи з бактеріологічно підтвердженим ТБ повинні пройти тестування на виявлення резистентності до RIF;</w:t>
      </w:r>
    </w:p>
    <w:p w14:paraId="4BF1FF1A" w14:textId="0A5F0341" w:rsidR="00366CB9" w:rsidRPr="006E22E5" w:rsidRDefault="009D0C1D" w:rsidP="00045CAE">
      <w:pPr>
        <w:pStyle w:val="1"/>
        <w:shd w:val="clear" w:color="auto" w:fill="auto"/>
        <w:spacing w:line="324" w:lineRule="auto"/>
        <w:ind w:left="300" w:hanging="300"/>
        <w:jc w:val="both"/>
        <w:rPr>
          <w:sz w:val="18"/>
          <w:szCs w:val="18"/>
        </w:rPr>
      </w:pPr>
      <w:r w:rsidRPr="006E22E5">
        <w:rPr>
          <w:color w:val="019648"/>
          <w:sz w:val="18"/>
          <w:szCs w:val="18"/>
        </w:rPr>
        <w:t xml:space="preserve">• </w:t>
      </w:r>
      <w:r w:rsidR="00045CAE" w:rsidRPr="006E22E5">
        <w:rPr>
          <w:sz w:val="18"/>
          <w:szCs w:val="18"/>
        </w:rPr>
        <w:tab/>
      </w:r>
      <w:r w:rsidRPr="006E22E5">
        <w:rPr>
          <w:sz w:val="18"/>
          <w:szCs w:val="18"/>
        </w:rPr>
        <w:t>особи з Риф-ТБ повинні пройти тестування на виявлення резистентності до FQ; та</w:t>
      </w:r>
    </w:p>
    <w:p w14:paraId="1DD45BC5" w14:textId="3B2D82D8" w:rsidR="00366CB9" w:rsidRPr="006E22E5" w:rsidRDefault="009D0C1D" w:rsidP="00045CAE">
      <w:pPr>
        <w:pStyle w:val="1"/>
        <w:shd w:val="clear" w:color="auto" w:fill="auto"/>
        <w:spacing w:after="140" w:line="324" w:lineRule="auto"/>
        <w:ind w:left="300" w:hanging="300"/>
        <w:jc w:val="both"/>
        <w:rPr>
          <w:sz w:val="18"/>
          <w:szCs w:val="18"/>
        </w:rPr>
      </w:pPr>
      <w:r w:rsidRPr="006E22E5">
        <w:rPr>
          <w:color w:val="019648"/>
          <w:sz w:val="18"/>
          <w:szCs w:val="18"/>
        </w:rPr>
        <w:t xml:space="preserve">• </w:t>
      </w:r>
      <w:r w:rsidR="00045CAE" w:rsidRPr="006E22E5">
        <w:rPr>
          <w:sz w:val="18"/>
          <w:szCs w:val="18"/>
        </w:rPr>
        <w:tab/>
      </w:r>
      <w:r w:rsidRPr="006E22E5">
        <w:rPr>
          <w:sz w:val="18"/>
          <w:szCs w:val="18"/>
        </w:rPr>
        <w:t xml:space="preserve">особи з пре-ШЛС-ТБ повинні пройти тестування на виявлення резистентності до бедаквіліну (BDQ) та лінезоліду (LZD), а також до всіх інших лікарських засобів, включених до схеми лікування </w:t>
      </w:r>
      <w:hyperlink w:anchor="bookmark193" w:tooltip="Поточний документ">
        <w:r w:rsidR="00366CB9" w:rsidRPr="006E22E5">
          <w:rPr>
            <w:i/>
            <w:sz w:val="18"/>
            <w:szCs w:val="18"/>
          </w:rPr>
          <w:t>(3</w:t>
        </w:r>
      </w:hyperlink>
      <w:r w:rsidRPr="006E22E5">
        <w:rPr>
          <w:i/>
          <w:sz w:val="18"/>
          <w:szCs w:val="18"/>
        </w:rPr>
        <w:t>)</w:t>
      </w:r>
      <w:r w:rsidRPr="006E22E5">
        <w:rPr>
          <w:sz w:val="18"/>
          <w:szCs w:val="18"/>
        </w:rPr>
        <w:t>.</w:t>
      </w:r>
      <w:r w:rsidRPr="006E22E5">
        <w:rPr>
          <w:sz w:val="18"/>
          <w:szCs w:val="18"/>
          <w:vertAlign w:val="superscript"/>
        </w:rPr>
        <w:t>1</w:t>
      </w:r>
    </w:p>
    <w:p w14:paraId="563CEF9B" w14:textId="77777777" w:rsidR="00045CAE" w:rsidRPr="00045CAE" w:rsidRDefault="00045CAE" w:rsidP="00045CAE">
      <w:pPr>
        <w:pStyle w:val="ad"/>
        <w:framePr w:w="9202" w:wrap="none" w:vAnchor="page" w:hAnchor="page" w:x="1320" w:y="15054"/>
        <w:shd w:val="clear" w:color="auto" w:fill="auto"/>
        <w:tabs>
          <w:tab w:val="left" w:pos="245"/>
        </w:tabs>
        <w:ind w:left="280" w:hanging="280"/>
        <w:jc w:val="both"/>
        <w:rPr>
          <w:vertAlign w:val="superscript"/>
        </w:rPr>
      </w:pPr>
      <w:r w:rsidRPr="00045CAE">
        <w:rPr>
          <w:vertAlign w:val="superscript"/>
        </w:rPr>
        <w:t>______________________________________</w:t>
      </w:r>
    </w:p>
    <w:p w14:paraId="7AC0E92B" w14:textId="77777777" w:rsidR="00045CAE" w:rsidRDefault="00045CAE" w:rsidP="00045CAE">
      <w:pPr>
        <w:pStyle w:val="ad"/>
        <w:framePr w:w="9202" w:wrap="none" w:vAnchor="page" w:hAnchor="page" w:x="1320" w:y="15054"/>
        <w:shd w:val="clear" w:color="auto" w:fill="auto"/>
        <w:tabs>
          <w:tab w:val="left" w:pos="245"/>
        </w:tabs>
        <w:ind w:left="280" w:hanging="280"/>
        <w:jc w:val="both"/>
      </w:pPr>
      <w:r>
        <w:rPr>
          <w:vertAlign w:val="superscript"/>
        </w:rPr>
        <w:t>1</w:t>
      </w:r>
      <w:r>
        <w:tab/>
        <w:t>Вихідна Стратегія боротьби з ТБ передбачала тестування всіх людей з Риф-ТБ на чутливість до ін’єкційних препаратів другої лінії (канаміцин, капреоміцин та амікацин). Однак наразі ВООЗ рекомендує поступово виключити ін’єкційні препарати з усіх схем лікування та замінити їх на BDQ; це робить швидке ТМЧ амікацину непотрібним.</w:t>
      </w:r>
    </w:p>
    <w:p w14:paraId="76D14771" w14:textId="77777777" w:rsidR="00366CB9" w:rsidRPr="006E22E5" w:rsidRDefault="00366CB9" w:rsidP="0061381C">
      <w:pPr>
        <w:pStyle w:val="1"/>
        <w:shd w:val="clear" w:color="auto" w:fill="auto"/>
        <w:spacing w:line="324" w:lineRule="auto"/>
        <w:jc w:val="both"/>
        <w:rPr>
          <w:sz w:val="18"/>
          <w:szCs w:val="18"/>
        </w:rPr>
      </w:pPr>
      <w:r w:rsidRPr="006E22E5">
        <w:rPr>
          <w:sz w:val="18"/>
          <w:szCs w:val="18"/>
        </w:rPr>
        <w:t xml:space="preserve">У </w:t>
      </w:r>
      <w:hyperlink w:anchor="bookmark24" w:tooltip="Поточний документ">
        <w:r w:rsidRPr="006E22E5">
          <w:rPr>
            <w:b/>
            <w:sz w:val="18"/>
            <w:szCs w:val="18"/>
          </w:rPr>
          <w:t>розділі 2</w:t>
        </w:r>
      </w:hyperlink>
      <w:r w:rsidRPr="006E22E5">
        <w:rPr>
          <w:sz w:val="18"/>
          <w:szCs w:val="18"/>
        </w:rPr>
        <w:t xml:space="preserve"> цього довідника узагальнено тести на ТБ з рекомендаціями ВООЗ для виявлення туберкульозної інфекції, ТБ та медикаментозної резистентності; у </w:t>
      </w:r>
      <w:hyperlink w:anchor="bookmark71" w:tooltip="Поточний документ">
        <w:r w:rsidRPr="006E22E5">
          <w:rPr>
            <w:b/>
            <w:sz w:val="18"/>
            <w:szCs w:val="18"/>
          </w:rPr>
          <w:t>розділі 3</w:t>
        </w:r>
      </w:hyperlink>
      <w:r w:rsidRPr="006E22E5">
        <w:rPr>
          <w:b/>
          <w:sz w:val="18"/>
          <w:szCs w:val="18"/>
        </w:rPr>
        <w:t xml:space="preserve"> </w:t>
      </w:r>
      <w:r w:rsidRPr="006E22E5">
        <w:rPr>
          <w:sz w:val="18"/>
          <w:szCs w:val="18"/>
        </w:rPr>
        <w:t>узагальнено міркування щодо впровадження цих тестів.</w:t>
      </w:r>
    </w:p>
    <w:p w14:paraId="734079EE" w14:textId="77777777" w:rsidR="00366CB9" w:rsidRDefault="009D0C1D" w:rsidP="00425523">
      <w:pPr>
        <w:spacing w:line="1" w:lineRule="exact"/>
        <w:sectPr w:rsidR="00366CB9" w:rsidSect="00BD21B8">
          <w:footerReference w:type="default" r:id="rId32"/>
          <w:type w:val="nextColumn"/>
          <w:pgSz w:w="11913" w:h="16840"/>
          <w:pgMar w:top="2325" w:right="1378" w:bottom="851" w:left="1372" w:header="0" w:footer="6" w:gutter="0"/>
          <w:paperSrc w:first="15" w:other="15"/>
          <w:pgNumType w:start="1"/>
          <w:cols w:space="720"/>
          <w:noEndnote/>
          <w:docGrid w:linePitch="360"/>
        </w:sectPr>
      </w:pPr>
      <w:r>
        <w:rPr>
          <w:noProof/>
        </w:rPr>
        <w:drawing>
          <wp:anchor distT="0" distB="0" distL="0" distR="0" simplePos="0" relativeHeight="251421696" behindDoc="1" locked="0" layoutInCell="1" allowOverlap="1" wp14:anchorId="03EE3CEB" wp14:editId="6DD02A27">
            <wp:simplePos x="0" y="0"/>
            <wp:positionH relativeFrom="page">
              <wp:align>left</wp:align>
            </wp:positionH>
            <wp:positionV relativeFrom="page">
              <wp:align>top</wp:align>
            </wp:positionV>
            <wp:extent cx="7560000" cy="1472400"/>
            <wp:effectExtent l="0" t="0" r="3175" b="0"/>
            <wp:wrapNone/>
            <wp:docPr id="12" name="Shape 12"/>
            <wp:cNvGraphicFramePr/>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33"/>
                    <a:stretch/>
                  </pic:blipFill>
                  <pic:spPr>
                    <a:xfrm>
                      <a:off x="0" y="0"/>
                      <a:ext cx="7560000" cy="1472400"/>
                    </a:xfrm>
                    <a:prstGeom prst="rect">
                      <a:avLst/>
                    </a:prstGeom>
                  </pic:spPr>
                </pic:pic>
              </a:graphicData>
            </a:graphic>
            <wp14:sizeRelH relativeFrom="margin">
              <wp14:pctWidth>0</wp14:pctWidth>
            </wp14:sizeRelH>
            <wp14:sizeRelV relativeFrom="margin">
              <wp14:pctHeight>0</wp14:pctHeight>
            </wp14:sizeRelV>
          </wp:anchor>
        </w:drawing>
      </w:r>
    </w:p>
    <w:p w14:paraId="0B92A583" w14:textId="77777777" w:rsidR="00366CB9" w:rsidRDefault="00366CB9" w:rsidP="00425523">
      <w:pPr>
        <w:spacing w:line="1" w:lineRule="exact"/>
      </w:pPr>
    </w:p>
    <w:p w14:paraId="13E4446C" w14:textId="77777777" w:rsidR="00366CB9" w:rsidRPr="006E22E5" w:rsidRDefault="009D0C1D" w:rsidP="0061381C">
      <w:pPr>
        <w:pStyle w:val="1"/>
        <w:shd w:val="clear" w:color="auto" w:fill="auto"/>
        <w:spacing w:after="140" w:line="324" w:lineRule="auto"/>
        <w:jc w:val="both"/>
        <w:rPr>
          <w:sz w:val="18"/>
          <w:szCs w:val="18"/>
        </w:rPr>
      </w:pPr>
      <w:bookmarkStart w:id="11" w:name="bookmark10"/>
      <w:r w:rsidRPr="006E22E5">
        <w:rPr>
          <w:sz w:val="18"/>
          <w:szCs w:val="18"/>
        </w:rPr>
        <w:t>Крім того, у 2023 році було опубліковано перший стандарт ВООЗ щодо універсального доступу до експрес-діагностики ТБ (</w:t>
      </w:r>
      <w:hyperlink w:anchor="bookmark193" w:tooltip="Поточний документ">
        <w:r w:rsidR="00366CB9" w:rsidRPr="006E22E5">
          <w:rPr>
            <w:sz w:val="18"/>
            <w:szCs w:val="18"/>
          </w:rPr>
          <w:t>3</w:t>
        </w:r>
      </w:hyperlink>
      <w:r w:rsidRPr="006E22E5">
        <w:rPr>
          <w:sz w:val="18"/>
          <w:szCs w:val="18"/>
        </w:rPr>
        <w:t>). У стандарті наголошено на необхідності комплексного підходу до діагностики з дотриманням принципів каскадної допомоги та заповненням усіх прогалин; наприклад, наявність та доступ до якісного тестування та ТМЧ, можливість тестування, швидкий час обробки результатів та моніторинг показників. Крім того, структура показників та цілей щодо зміцнення лабораторій відповідно до Стратегії боротьби з ТБ (</w:t>
      </w:r>
      <w:hyperlink w:anchor="bookmark193" w:tooltip="Поточний документ">
        <w:r w:rsidR="00366CB9" w:rsidRPr="006E22E5">
          <w:rPr>
            <w:sz w:val="18"/>
            <w:szCs w:val="18"/>
          </w:rPr>
          <w:t>4</w:t>
        </w:r>
      </w:hyperlink>
      <w:r w:rsidRPr="006E22E5">
        <w:rPr>
          <w:sz w:val="18"/>
          <w:szCs w:val="18"/>
        </w:rPr>
        <w:t xml:space="preserve">) демонструє, що всі національні програми боротьби з ТБ (НПБТ) повинні ставити у пріоритет розвиток мережі лабораторій діагностики ТБ, що застосовують сучасні методи діагностики (наприклад, молекулярні методи та рідкі культури), включають ефективні довідкові системи, використовують електронні дані та підключення до діагностики, застосовують стандартні операційні процедури (СОП) та відповідні процеси забезпечення якості (ЗЯ), дотримуються принципів біологічної безпеки для всіх тестів та мають достатньо людських ресурсів. Ці пріоритети мають бути всебічно представлені у національних стратегічних планах та належно фінансуватися. Практичні міркування щодо впровадження та зміцнення цих необхідних елементів програми тестування детально описано у </w:t>
      </w:r>
      <w:r w:rsidRPr="006E22E5">
        <w:rPr>
          <w:b/>
          <w:bCs/>
          <w:sz w:val="18"/>
          <w:szCs w:val="18"/>
        </w:rPr>
        <w:t>розділі 3</w:t>
      </w:r>
      <w:r w:rsidRPr="006E22E5">
        <w:rPr>
          <w:sz w:val="18"/>
          <w:szCs w:val="18"/>
        </w:rPr>
        <w:t xml:space="preserve"> та </w:t>
      </w:r>
      <w:r w:rsidRPr="006E22E5">
        <w:rPr>
          <w:b/>
          <w:bCs/>
          <w:sz w:val="18"/>
          <w:szCs w:val="18"/>
        </w:rPr>
        <w:t>розділі 4</w:t>
      </w:r>
      <w:r w:rsidRPr="006E22E5">
        <w:rPr>
          <w:sz w:val="18"/>
          <w:szCs w:val="18"/>
        </w:rPr>
        <w:t xml:space="preserve"> відповідно.</w:t>
      </w:r>
      <w:bookmarkEnd w:id="11"/>
    </w:p>
    <w:p w14:paraId="37218EB2" w14:textId="77777777" w:rsidR="00366CB9" w:rsidRPr="006E22E5" w:rsidRDefault="009D0C1D" w:rsidP="0061381C">
      <w:pPr>
        <w:pStyle w:val="1"/>
        <w:shd w:val="clear" w:color="auto" w:fill="auto"/>
        <w:spacing w:after="240" w:line="324" w:lineRule="auto"/>
        <w:jc w:val="both"/>
        <w:rPr>
          <w:sz w:val="18"/>
          <w:szCs w:val="18"/>
        </w:rPr>
      </w:pPr>
      <w:r w:rsidRPr="006E22E5">
        <w:rPr>
          <w:sz w:val="18"/>
          <w:szCs w:val="18"/>
        </w:rPr>
        <w:t>Крім універсального доступу до послуг з тестування на виявлення ТБ, як у стандарті ВООЗ, так і к нещодавніх керівних принципах щодо діагностики ТБ підкреслюється необхідність універсального ТМЧ, особливо для лікарських засобів, для яких доступні mWRD (в ідеалі, до початку лікування, без відкладання початку лікування в очікуванні результатів) (</w:t>
      </w:r>
      <w:hyperlink w:anchor="bookmark193" w:tooltip="Поточний документ">
        <w:r w:rsidR="00366CB9" w:rsidRPr="006E22E5">
          <w:rPr>
            <w:sz w:val="18"/>
            <w:szCs w:val="18"/>
          </w:rPr>
          <w:t>5</w:t>
        </w:r>
      </w:hyperlink>
      <w:r w:rsidRPr="006E22E5">
        <w:rPr>
          <w:sz w:val="18"/>
          <w:szCs w:val="18"/>
        </w:rPr>
        <w:t>). ВООЗ нещодавно затвердила застосування методу цільового секвенування наступного покоління (СНП) як перспективної технології для виявлення медикаментозної резистентності (</w:t>
      </w:r>
      <w:hyperlink w:anchor="bookmark24" w:tooltip="Поточний документ">
        <w:r w:rsidR="00366CB9" w:rsidRPr="006E22E5">
          <w:rPr>
            <w:b/>
            <w:sz w:val="18"/>
            <w:szCs w:val="18"/>
          </w:rPr>
          <w:t>розділ 2</w:t>
        </w:r>
      </w:hyperlink>
      <w:r w:rsidRPr="006E22E5">
        <w:rPr>
          <w:sz w:val="18"/>
          <w:szCs w:val="18"/>
        </w:rPr>
        <w:t>) (</w:t>
      </w:r>
      <w:hyperlink w:anchor="bookmark193" w:tooltip="Поточний документ">
        <w:r w:rsidR="00366CB9" w:rsidRPr="006E22E5">
          <w:rPr>
            <w:sz w:val="18"/>
            <w:szCs w:val="18"/>
          </w:rPr>
          <w:t>6</w:t>
        </w:r>
      </w:hyperlink>
      <w:r w:rsidRPr="006E22E5">
        <w:rPr>
          <w:sz w:val="18"/>
          <w:szCs w:val="18"/>
        </w:rPr>
        <w:t>). Цільові рішення в рамках СНП поєднують ампліфікацію обраних генів з технологією СНП та можуть виявляти резистентність до багатьох лікарських засобів за допомогою одного обробленого зразка мокротиння (</w:t>
      </w:r>
      <w:hyperlink w:anchor="bookmark193" w:tooltip="Поточний документ">
        <w:r w:rsidR="00366CB9" w:rsidRPr="006E22E5">
          <w:rPr>
            <w:sz w:val="18"/>
            <w:szCs w:val="18"/>
          </w:rPr>
          <w:t>6</w:t>
        </w:r>
      </w:hyperlink>
      <w:r w:rsidRPr="006E22E5">
        <w:rPr>
          <w:sz w:val="18"/>
          <w:szCs w:val="18"/>
        </w:rPr>
        <w:t>). Так як ці тести можуть досліджувати цілі гени для виявлення специфічних мутацій, пов’язаних з резистентністю, метод цільового СНП може бути більш точним, ніж інші mWRD. Крім виявлення резистентності до протитуберкульозних препаратів першої лінії, поточні рекомендації підтримують застосування цієї технології для швидкого виявлення резистентності до трьох лікарських засобів в рамках схеми BPaLM (тобто BDQ, LZD та моксифлоксацин [MFX]); тому у цьому довіднику описані подальші міркування щодо впровадження та алгоритми застосування цієї технології. Слід відмітити, що для четвертого препарату в рамках схеми BPaL/M (претоманіду (Pa)) нещодавно було встановлено критерії для ТМЧ, і ця інформація також описана у цьому документі (</w:t>
      </w:r>
      <w:r w:rsidRPr="006E22E5">
        <w:rPr>
          <w:b/>
          <w:bCs/>
          <w:sz w:val="18"/>
          <w:szCs w:val="18"/>
        </w:rPr>
        <w:t>Вебдодаток B</w:t>
      </w:r>
      <w:r w:rsidRPr="006E22E5">
        <w:rPr>
          <w:sz w:val="18"/>
          <w:szCs w:val="18"/>
        </w:rPr>
        <w:t>). Відповідно до поточних рекомендацій щодо лікування, країни, що розпочинають методи втручання для виявлення та лікування ЛС-ТБ, мають також створити лабораторний потенціал для проведення фенотипового культурального ТМЧ для лікарських засобів в рамках схем лікування МЛС-ТБ (</w:t>
      </w:r>
      <w:hyperlink w:anchor="bookmark193" w:tooltip="Поточний документ">
        <w:r w:rsidR="00366CB9" w:rsidRPr="006E22E5">
          <w:rPr>
            <w:sz w:val="18"/>
            <w:szCs w:val="18"/>
          </w:rPr>
          <w:t>7</w:t>
        </w:r>
      </w:hyperlink>
      <w:r w:rsidRPr="006E22E5">
        <w:rPr>
          <w:sz w:val="18"/>
          <w:szCs w:val="18"/>
        </w:rPr>
        <w:t>) та для яких існують надійні методи фенотипового ТМЧ (наприклад, BDQ, LZD, Pa, циклосерин [Cs], клофазимін [CFZ] та деламанід [DLM]). Таким чином, країнам необхідно розширити свої можливості щодо моніторингу конверсії посіву людей, які отримують лікування ЛС-ТБ.</w:t>
      </w:r>
    </w:p>
    <w:p w14:paraId="1D6C03A1" w14:textId="77777777" w:rsidR="00366CB9" w:rsidRDefault="009D0C1D" w:rsidP="00045CAE">
      <w:pPr>
        <w:pStyle w:val="22"/>
        <w:numPr>
          <w:ilvl w:val="1"/>
          <w:numId w:val="63"/>
        </w:numPr>
        <w:shd w:val="clear" w:color="auto" w:fill="auto"/>
        <w:tabs>
          <w:tab w:val="left" w:pos="678"/>
        </w:tabs>
        <w:spacing w:after="0" w:line="240" w:lineRule="auto"/>
      </w:pPr>
      <w:bookmarkStart w:id="12" w:name="bookmark11"/>
      <w:bookmarkStart w:id="13" w:name="bookmark12"/>
      <w:r>
        <w:t>Досягнення в розробці, оцінці діагностичних тестів на ТБ та рекомендації ВООЗ</w:t>
      </w:r>
      <w:bookmarkEnd w:id="12"/>
      <w:bookmarkEnd w:id="13"/>
    </w:p>
    <w:p w14:paraId="53D3FD78" w14:textId="77777777" w:rsidR="00366CB9" w:rsidRPr="006E22E5" w:rsidRDefault="009D0C1D" w:rsidP="0061381C">
      <w:pPr>
        <w:pStyle w:val="1"/>
        <w:shd w:val="clear" w:color="auto" w:fill="auto"/>
        <w:spacing w:line="324" w:lineRule="auto"/>
        <w:jc w:val="both"/>
        <w:rPr>
          <w:sz w:val="18"/>
          <w:szCs w:val="18"/>
        </w:rPr>
      </w:pPr>
      <w:r w:rsidRPr="006E22E5">
        <w:rPr>
          <w:sz w:val="18"/>
          <w:szCs w:val="18"/>
        </w:rPr>
        <w:t>Протягом останніх десятиліть було здійснено зусилля на розбудову лабораторного, клінічного та програмного потенціалу для профілактики, виявлення та лікування туберкульозної інфекції, ТБ та ЛС-ТБ. Було розроблено інструменти та вказівки, включаючи нещодавно зведені та оновлені керівні принципи щодо лікування ТБ (</w:t>
      </w:r>
      <w:hyperlink w:anchor="bookmark193" w:tooltip="Поточний документ">
        <w:r w:rsidR="00366CB9" w:rsidRPr="006E22E5">
          <w:rPr>
            <w:sz w:val="18"/>
            <w:szCs w:val="18"/>
          </w:rPr>
          <w:t>8</w:t>
        </w:r>
      </w:hyperlink>
      <w:r w:rsidRPr="006E22E5">
        <w:rPr>
          <w:sz w:val="18"/>
          <w:szCs w:val="18"/>
        </w:rPr>
        <w:t>); аналізи крові на виявлення туберкульозної інфекції, що включають хемілюмінесцентні методи для виявлення результатів; експрес-тести (ЕТ) сечі</w:t>
      </w:r>
    </w:p>
    <w:p w14:paraId="3B704F7E" w14:textId="77777777" w:rsidR="00366CB9" w:rsidRDefault="00366CB9" w:rsidP="00425523">
      <w:pPr>
        <w:spacing w:line="1" w:lineRule="exact"/>
        <w:sectPr w:rsidR="00366CB9" w:rsidSect="00045CAE">
          <w:footerReference w:type="even" r:id="rId34"/>
          <w:type w:val="nextColumn"/>
          <w:pgSz w:w="11913" w:h="16840"/>
          <w:pgMar w:top="1469" w:right="1378" w:bottom="284" w:left="1372" w:header="0" w:footer="6" w:gutter="0"/>
          <w:paperSrc w:first="15" w:other="15"/>
          <w:cols w:space="720"/>
          <w:noEndnote/>
          <w:docGrid w:linePitch="360"/>
        </w:sectPr>
      </w:pPr>
    </w:p>
    <w:p w14:paraId="5EA66DB6" w14:textId="77777777" w:rsidR="00366CB9" w:rsidRDefault="00366CB9" w:rsidP="00425523">
      <w:pPr>
        <w:spacing w:line="1" w:lineRule="exact"/>
      </w:pPr>
    </w:p>
    <w:p w14:paraId="31CBD043" w14:textId="77777777" w:rsidR="00366CB9" w:rsidRPr="006E22E5" w:rsidRDefault="009D0C1D" w:rsidP="0061381C">
      <w:pPr>
        <w:pStyle w:val="1"/>
        <w:shd w:val="clear" w:color="auto" w:fill="auto"/>
        <w:spacing w:after="140" w:line="324" w:lineRule="auto"/>
        <w:jc w:val="both"/>
        <w:rPr>
          <w:sz w:val="18"/>
          <w:szCs w:val="18"/>
        </w:rPr>
      </w:pPr>
      <w:r w:rsidRPr="006E22E5">
        <w:rPr>
          <w:sz w:val="18"/>
          <w:szCs w:val="18"/>
        </w:rPr>
        <w:t>на біомаркери для виявлення ТБ у людей, які живуть з ВІЛ; тести низької складності з використанням зразків калу дітей для виявлення ТБ та резистентності до RIF; тести низької складності, що лабораторії з основними виробничими потужностями можуть використовувати для виявлення резистентності до RIF, INH, FQ, етіонаміду (ETO) та амікацину (AMK); технології геномного секвенування, що включають аналізи тлумачення резистентності, що враховують покращення нашого розуміння механізмів медикаментозної резистентності; та зведені алгоритми модельного діагностичного тестування та вказівки щодо впровадження програм тестування, адаптованих до мети тестування та характеристик популяції пацієнтів (наприклад, віку, ВІЛ-статусу та ризику медикаментозної резистентності).</w:t>
      </w:r>
    </w:p>
    <w:p w14:paraId="73015874" w14:textId="77777777" w:rsidR="00366CB9" w:rsidRPr="006E22E5" w:rsidRDefault="009D0C1D" w:rsidP="0061381C">
      <w:pPr>
        <w:pStyle w:val="1"/>
        <w:shd w:val="clear" w:color="auto" w:fill="auto"/>
        <w:spacing w:after="140" w:line="324" w:lineRule="auto"/>
        <w:jc w:val="both"/>
        <w:rPr>
          <w:sz w:val="18"/>
          <w:szCs w:val="18"/>
        </w:rPr>
      </w:pPr>
      <w:r w:rsidRPr="006E22E5">
        <w:rPr>
          <w:sz w:val="18"/>
          <w:szCs w:val="18"/>
        </w:rPr>
        <w:t xml:space="preserve">До 2024 року оперативні вказівки, що підтримували просування політики ВООЗ щодо тестування на виявлення туберкульозної інфекції, діагностики та медикаментозної резистентності, було представлено окремо (в оперативних довідниках щодо тестів на виявлення туберкульозної інфекції та тестів щодо діагностики ТБ та медикаментозної резистентності). У цьому довіднику вперше об’єднуються та оновлюються ці оперативні вказівки в єдиний довідковий документ. Крім того, для цілей вище може використовуватися все більше нових тестів на ТБ; тому Глобальна програма ВООЗ із боротьби з туберкульозом та ТБ легень (ВООЗ/GTB) прийняла «рекомендації на основі класів», що застосовуються до продуктів для тестування на виявлення ТБ з подібними характеристиками та технічними характеристиками. Крім того, було впроваджено попередню кваліфікацію ВООЗ (ПК) для оцінки відповідності кожного продукту для тестування класу, а процесу виробництва цього продукту стандартам технічних характеристик та якості </w:t>
      </w:r>
      <w:hyperlink w:anchor="bookmark193" w:tooltip="Поточний документ">
        <w:r w:rsidR="00366CB9" w:rsidRPr="006E22E5">
          <w:rPr>
            <w:sz w:val="18"/>
            <w:szCs w:val="18"/>
          </w:rPr>
          <w:t>(9</w:t>
        </w:r>
      </w:hyperlink>
      <w:r w:rsidRPr="006E22E5">
        <w:rPr>
          <w:sz w:val="18"/>
          <w:szCs w:val="18"/>
        </w:rPr>
        <w:t>). Такий підхід до оцінки, рекомендацій та ПК щодо тестування на виявлення ТБ підвищить конкурентоспроможність за ціною, якістю та послугами.</w:t>
      </w:r>
    </w:p>
    <w:p w14:paraId="15AB4A3C" w14:textId="77777777" w:rsidR="00366CB9" w:rsidRPr="006E22E5" w:rsidRDefault="009D0C1D" w:rsidP="0061381C">
      <w:pPr>
        <w:pStyle w:val="1"/>
        <w:shd w:val="clear" w:color="auto" w:fill="auto"/>
        <w:spacing w:after="140" w:line="324" w:lineRule="auto"/>
        <w:jc w:val="both"/>
        <w:rPr>
          <w:i/>
          <w:iCs/>
          <w:sz w:val="18"/>
          <w:szCs w:val="18"/>
        </w:rPr>
      </w:pPr>
      <w:r w:rsidRPr="006E22E5">
        <w:rPr>
          <w:sz w:val="18"/>
          <w:szCs w:val="18"/>
        </w:rPr>
        <w:t xml:space="preserve">ВООЗ/GTB продовжує переглядати нові продукти для тестування на виявлення ТБ на предмет визначення класу шляхом порівняння їхніх характеристик з характеристиками існуючих діагностичних класів. Якщо характеристики нового класу суттєво відрізняються, продукт буде оцінено як «перший за класом» за допомогою стандартизованого процесу розробки керівництва ВООЗ/GTB за механізмом А, за підтримки групи з розробки керівництва (ГРК). Якщо характеристики досить схожі на існуючий клас, продукт знаходитиметься «у межах класу» та може бути передано на ПК. Якщо для конкретного класу ще не встановлено процес ПК ВООЗ, то ВООЗ/GTB контролюватиме проміжну оцінку доказів у межах класу за підтримки технічної консультативної групи (ТКГ) з діагностики ТБ та зміцнення лабораторій. Детальна інформація про визначення класу та оцінку продуктів представлена у публікації 2025 року </w:t>
      </w:r>
      <w:r w:rsidRPr="006E22E5">
        <w:rPr>
          <w:i/>
          <w:sz w:val="18"/>
          <w:szCs w:val="18"/>
        </w:rPr>
        <w:t>«Консолідовані настанови ВООЗ з туберкульозу: модуль 3: діагностика» (</w:t>
      </w:r>
      <w:hyperlink w:anchor="bookmark193" w:tooltip="Поточний документ">
        <w:r w:rsidR="00366CB9" w:rsidRPr="006E22E5">
          <w:rPr>
            <w:i/>
            <w:sz w:val="18"/>
            <w:szCs w:val="18"/>
          </w:rPr>
          <w:t>5</w:t>
        </w:r>
      </w:hyperlink>
      <w:r w:rsidRPr="006E22E5">
        <w:rPr>
          <w:i/>
          <w:sz w:val="18"/>
          <w:szCs w:val="18"/>
        </w:rPr>
        <w:t>).</w:t>
      </w:r>
    </w:p>
    <w:p w14:paraId="674BAF72" w14:textId="77777777" w:rsidR="00366CB9" w:rsidRPr="006E22E5" w:rsidRDefault="009D0C1D" w:rsidP="0061381C">
      <w:pPr>
        <w:pStyle w:val="1"/>
        <w:shd w:val="clear" w:color="auto" w:fill="auto"/>
        <w:spacing w:line="324" w:lineRule="auto"/>
        <w:jc w:val="both"/>
        <w:rPr>
          <w:sz w:val="18"/>
          <w:szCs w:val="18"/>
        </w:rPr>
      </w:pPr>
      <w:r w:rsidRPr="006E22E5">
        <w:rPr>
          <w:sz w:val="18"/>
          <w:szCs w:val="18"/>
        </w:rPr>
        <w:t>У 2024 році та на початку 2025 року ВООЗ контролювала оцінки «перших за класом» продуктів та продуктів «у межах класу». Завдяки оцінці «першого за класом» продукту було створено два нові класи аналізів ампліфікації нуклеїнових кислот низької складності. Обидва класи включають продукти для тестування, попередньо схвалені ВООЗ для виявлення ТБ з резистентністю до RIF та без неї (тобто Xpert® MTB/RIF Ultra, Molbio Truenat® MTB Plus та MTB-RIF Dx, а також TB-LAMP) (</w:t>
      </w:r>
      <w:hyperlink w:anchor="bookmark24" w:tooltip="Поточний документ">
        <w:r w:rsidR="00366CB9" w:rsidRPr="006E22E5">
          <w:rPr>
            <w:b/>
            <w:sz w:val="18"/>
            <w:szCs w:val="18"/>
          </w:rPr>
          <w:t>розділ 2</w:t>
        </w:r>
      </w:hyperlink>
      <w:r w:rsidRPr="006E22E5">
        <w:rPr>
          <w:sz w:val="18"/>
          <w:szCs w:val="18"/>
        </w:rPr>
        <w:t>). Також існують нові рекомендації щодо одночасного тестування на зразках з дихальних та інших шляхів у дорослих та підлітків із ВІЛ, дітей із ВІЛ та дітей з негативним або невідомим ВІЛ-статусом. Ці популяції спостерігають суттєвий тягар ТБ, підвищений ризик захворюваності та смертності від ТБ та проблеми з виробленням мокротиння; крім того, у них може вироблятись мокротиння з низьким та змінним числом бактерій. Отже, супутнє тестування може розширити доступ пацієнтів до послуг з тестування за допомогою легких для забору зразків сечі та калу з підвищенням точності виявлення ТБ за рахунок використанню більше одного зразка та тесту.</w:t>
      </w:r>
    </w:p>
    <w:p w14:paraId="35450797" w14:textId="77777777" w:rsidR="00366CB9" w:rsidRDefault="00366CB9" w:rsidP="00425523">
      <w:pPr>
        <w:spacing w:line="1" w:lineRule="exact"/>
        <w:sectPr w:rsidR="00366CB9" w:rsidSect="00F03360">
          <w:footerReference w:type="default" r:id="rId35"/>
          <w:type w:val="nextColumn"/>
          <w:pgSz w:w="11913" w:h="16840"/>
          <w:pgMar w:top="1469" w:right="1378" w:bottom="851" w:left="1372" w:header="0" w:footer="6" w:gutter="0"/>
          <w:paperSrc w:first="15" w:other="15"/>
          <w:cols w:space="720"/>
          <w:noEndnote/>
          <w:docGrid w:linePitch="360"/>
        </w:sectPr>
      </w:pPr>
    </w:p>
    <w:p w14:paraId="3440F9A2" w14:textId="77777777" w:rsidR="00366CB9" w:rsidRDefault="00366CB9" w:rsidP="00425523">
      <w:pPr>
        <w:spacing w:line="1" w:lineRule="exact"/>
      </w:pPr>
    </w:p>
    <w:p w14:paraId="3BB58428" w14:textId="77777777" w:rsidR="00366CB9" w:rsidRPr="006E22E5" w:rsidRDefault="009D0C1D" w:rsidP="0061381C">
      <w:pPr>
        <w:pStyle w:val="1"/>
        <w:shd w:val="clear" w:color="auto" w:fill="auto"/>
        <w:spacing w:after="140" w:line="324" w:lineRule="auto"/>
        <w:jc w:val="both"/>
        <w:rPr>
          <w:sz w:val="18"/>
          <w:szCs w:val="18"/>
        </w:rPr>
      </w:pPr>
      <w:r w:rsidRPr="006E22E5">
        <w:rPr>
          <w:sz w:val="18"/>
          <w:szCs w:val="18"/>
        </w:rPr>
        <w:t xml:space="preserve">Практичні міркування щодо впровадження рекомендацій щодо супутнього тестування представлено у </w:t>
      </w:r>
      <w:r w:rsidRPr="006E22E5">
        <w:rPr>
          <w:b/>
          <w:bCs/>
          <w:sz w:val="18"/>
          <w:szCs w:val="18"/>
        </w:rPr>
        <w:t>розділі 3</w:t>
      </w:r>
      <w:r w:rsidRPr="006E22E5">
        <w:rPr>
          <w:sz w:val="18"/>
          <w:szCs w:val="18"/>
        </w:rPr>
        <w:t xml:space="preserve"> та відображено у переглянутих модельних діагностичних алгоритмах та методах прийняття рішень, наведених у </w:t>
      </w:r>
      <w:r w:rsidRPr="006E22E5">
        <w:rPr>
          <w:b/>
          <w:bCs/>
          <w:sz w:val="18"/>
          <w:szCs w:val="18"/>
        </w:rPr>
        <w:t>розділі 6</w:t>
      </w:r>
      <w:r w:rsidRPr="006E22E5">
        <w:rPr>
          <w:sz w:val="18"/>
          <w:szCs w:val="18"/>
        </w:rPr>
        <w:t>.</w:t>
      </w:r>
    </w:p>
    <w:p w14:paraId="3D9BD73C" w14:textId="77777777" w:rsidR="00366CB9" w:rsidRPr="006E22E5" w:rsidRDefault="009D0C1D" w:rsidP="0061381C">
      <w:pPr>
        <w:pStyle w:val="1"/>
        <w:shd w:val="clear" w:color="auto" w:fill="auto"/>
        <w:spacing w:after="140" w:line="324" w:lineRule="auto"/>
        <w:jc w:val="both"/>
        <w:rPr>
          <w:sz w:val="18"/>
          <w:szCs w:val="18"/>
        </w:rPr>
      </w:pPr>
      <w:r w:rsidRPr="006E22E5">
        <w:rPr>
          <w:sz w:val="18"/>
          <w:szCs w:val="18"/>
        </w:rPr>
        <w:t xml:space="preserve">Крім того, в рамках оцінки продукту «у межах класу» 2025 року було проведено оцінку нових аналізів на вивільнення гамма-інтерферону (IGRA) для виявлення туберкульозної інфекції, а також нових та оновлених рішень в рамках цільового СНП для виявлення ЛС-ТБ. Рекомендації ВООЗ щодо класу IGRA відтепер застосовуються до двох нових тестів (SD Biosensor STANDARD E TB-Feron ELISA та Diasorin/QIAGEN LIAISON QFT-PLUS CLIA), що розширюють перелік рекомендованих ВООЗ тестів на виявлення туберкульозної інфекції та вперше впроваджують метод хемілюмінесцентного детектування для тестування в рамках IGRA. Рекомендації щодо класу цільового СНП застосовуються до одного оновленого рішення (Oxford Nanopore Technologies AmPORE-TB), що відтепер можна застосовувати для виявлення резистентності до багатьох протитуберкульозних препаратів. Програмні заяви щодо ефективності нових технологій узагальнено у відповідних частинах </w:t>
      </w:r>
      <w:r w:rsidRPr="006E22E5">
        <w:rPr>
          <w:b/>
          <w:bCs/>
          <w:sz w:val="18"/>
          <w:szCs w:val="18"/>
        </w:rPr>
        <w:t>розділу 2</w:t>
      </w:r>
      <w:r w:rsidRPr="006E22E5">
        <w:rPr>
          <w:sz w:val="18"/>
          <w:szCs w:val="18"/>
        </w:rPr>
        <w:t xml:space="preserve">, нові продукти «у межах класу» виділено у повному переліку діагностичних класів щодо ТБ та технологій тестування у </w:t>
      </w:r>
      <w:r w:rsidRPr="006E22E5">
        <w:rPr>
          <w:b/>
          <w:bCs/>
          <w:sz w:val="18"/>
          <w:szCs w:val="18"/>
        </w:rPr>
        <w:t>Таблиці 2.1</w:t>
      </w:r>
      <w:r w:rsidRPr="006E22E5">
        <w:rPr>
          <w:sz w:val="18"/>
          <w:szCs w:val="18"/>
        </w:rPr>
        <w:t xml:space="preserve">, а звіти про зустрічі ТКГ та огляд доказів наведено у </w:t>
      </w:r>
      <w:r w:rsidRPr="006E22E5">
        <w:rPr>
          <w:b/>
          <w:bCs/>
          <w:sz w:val="18"/>
          <w:szCs w:val="18"/>
        </w:rPr>
        <w:t>Вебдодатку D</w:t>
      </w:r>
      <w:r w:rsidRPr="006E22E5">
        <w:rPr>
          <w:sz w:val="18"/>
          <w:szCs w:val="18"/>
        </w:rPr>
        <w:t>.</w:t>
      </w:r>
    </w:p>
    <w:p w14:paraId="1E9CF76F" w14:textId="77777777" w:rsidR="00366CB9" w:rsidRPr="006E22E5" w:rsidRDefault="009D0C1D" w:rsidP="0061381C">
      <w:pPr>
        <w:pStyle w:val="1"/>
        <w:shd w:val="clear" w:color="auto" w:fill="auto"/>
        <w:spacing w:after="240" w:line="324" w:lineRule="auto"/>
        <w:jc w:val="both"/>
        <w:rPr>
          <w:sz w:val="18"/>
          <w:szCs w:val="18"/>
        </w:rPr>
      </w:pPr>
      <w:r w:rsidRPr="006E22E5">
        <w:rPr>
          <w:sz w:val="18"/>
          <w:szCs w:val="18"/>
        </w:rPr>
        <w:t xml:space="preserve">Повний перелік поточних рекомендацій щодо тестування на виявлення ТБ з детальною інформацією про політику представлено у публікації 2025 року </w:t>
      </w:r>
      <w:r w:rsidRPr="006E22E5">
        <w:rPr>
          <w:i/>
          <w:sz w:val="18"/>
          <w:szCs w:val="18"/>
        </w:rPr>
        <w:t>«Консолідовані настанови ВООЗ з туберкульозу: модуль 3: діагностика» (</w:t>
      </w:r>
      <w:hyperlink w:anchor="bookmark193" w:tooltip="Поточний документ">
        <w:r w:rsidR="00366CB9" w:rsidRPr="006E22E5">
          <w:rPr>
            <w:i/>
            <w:sz w:val="18"/>
            <w:szCs w:val="18"/>
          </w:rPr>
          <w:t>5</w:t>
        </w:r>
      </w:hyperlink>
      <w:r w:rsidRPr="006E22E5">
        <w:rPr>
          <w:i/>
          <w:sz w:val="18"/>
          <w:szCs w:val="18"/>
        </w:rPr>
        <w:t>) та</w:t>
      </w:r>
      <w:r w:rsidRPr="006E22E5">
        <w:rPr>
          <w:sz w:val="18"/>
          <w:szCs w:val="18"/>
        </w:rPr>
        <w:t xml:space="preserve"> у </w:t>
      </w:r>
      <w:r w:rsidRPr="006E22E5">
        <w:rPr>
          <w:b/>
          <w:sz w:val="18"/>
          <w:szCs w:val="18"/>
        </w:rPr>
        <w:t>Таблиці 1.1</w:t>
      </w:r>
      <w:r w:rsidRPr="006E22E5">
        <w:rPr>
          <w:sz w:val="18"/>
          <w:szCs w:val="18"/>
        </w:rPr>
        <w:t>.</w:t>
      </w:r>
    </w:p>
    <w:tbl>
      <w:tblPr>
        <w:tblOverlap w:val="never"/>
        <w:tblW w:w="0" w:type="auto"/>
        <w:tblLayout w:type="fixed"/>
        <w:tblCellMar>
          <w:left w:w="10" w:type="dxa"/>
          <w:right w:w="10" w:type="dxa"/>
        </w:tblCellMar>
        <w:tblLook w:val="0000" w:firstRow="0" w:lastRow="0" w:firstColumn="0" w:lastColumn="0" w:noHBand="0" w:noVBand="0"/>
      </w:tblPr>
      <w:tblGrid>
        <w:gridCol w:w="514"/>
        <w:gridCol w:w="8582"/>
      </w:tblGrid>
      <w:tr w:rsidR="00366CB9" w14:paraId="0668DEDC" w14:textId="77777777" w:rsidTr="00473B26">
        <w:trPr>
          <w:trHeight w:hRule="exact" w:val="504"/>
        </w:trPr>
        <w:tc>
          <w:tcPr>
            <w:tcW w:w="9096" w:type="dxa"/>
            <w:gridSpan w:val="2"/>
            <w:tcBorders>
              <w:bottom w:val="single" w:sz="8" w:space="0" w:color="00B050"/>
            </w:tcBorders>
            <w:shd w:val="clear" w:color="auto" w:fill="FFFFFF"/>
            <w:vAlign w:val="center"/>
          </w:tcPr>
          <w:p w14:paraId="06CD209D" w14:textId="77777777" w:rsidR="00366CB9" w:rsidRPr="00156AC1" w:rsidRDefault="009D0C1D" w:rsidP="0061381C">
            <w:pPr>
              <w:pStyle w:val="a6"/>
              <w:shd w:val="clear" w:color="auto" w:fill="auto"/>
              <w:rPr>
                <w:sz w:val="24"/>
                <w:szCs w:val="24"/>
              </w:rPr>
            </w:pPr>
            <w:bookmarkStart w:id="14" w:name="bookmark13"/>
            <w:r>
              <w:rPr>
                <w:color w:val="636466"/>
                <w:sz w:val="24"/>
              </w:rPr>
              <w:t>Таблиця 1.1. Зведений перелік рекомендацій щодо діагностики ТБ</w:t>
            </w:r>
            <w:bookmarkEnd w:id="14"/>
          </w:p>
        </w:tc>
      </w:tr>
      <w:tr w:rsidR="00366CB9" w14:paraId="5E3303EB" w14:textId="77777777" w:rsidTr="00473B26">
        <w:trPr>
          <w:trHeight w:hRule="exact" w:val="432"/>
        </w:trPr>
        <w:tc>
          <w:tcPr>
            <w:tcW w:w="514" w:type="dxa"/>
            <w:tcBorders>
              <w:top w:val="single" w:sz="8" w:space="0" w:color="00B050"/>
            </w:tcBorders>
            <w:shd w:val="clear" w:color="auto" w:fill="FFFFFF"/>
          </w:tcPr>
          <w:p w14:paraId="003A5DC4" w14:textId="7A04413E" w:rsidR="00366CB9" w:rsidRDefault="00366CB9" w:rsidP="0061381C">
            <w:pPr>
              <w:rPr>
                <w:sz w:val="2"/>
                <w:szCs w:val="2"/>
              </w:rPr>
            </w:pPr>
          </w:p>
        </w:tc>
        <w:tc>
          <w:tcPr>
            <w:tcW w:w="8582" w:type="dxa"/>
            <w:tcBorders>
              <w:top w:val="single" w:sz="8" w:space="0" w:color="00B050"/>
            </w:tcBorders>
            <w:shd w:val="clear" w:color="auto" w:fill="FFFFFF"/>
          </w:tcPr>
          <w:p w14:paraId="5A2BD263" w14:textId="04A99CD9" w:rsidR="00366CB9" w:rsidRDefault="0061381C" w:rsidP="0061381C">
            <w:pPr>
              <w:jc w:val="right"/>
              <w:rPr>
                <w:sz w:val="2"/>
                <w:szCs w:val="2"/>
              </w:rPr>
            </w:pPr>
            <w:r>
              <w:rPr>
                <w:noProof/>
              </w:rPr>
              <mc:AlternateContent>
                <mc:Choice Requires="wpg">
                  <w:drawing>
                    <wp:inline distT="0" distB="0" distL="0" distR="0" wp14:anchorId="79F2DC70" wp14:editId="55050664">
                      <wp:extent cx="710353" cy="338667"/>
                      <wp:effectExtent l="0" t="0" r="0" b="0"/>
                      <wp:docPr id="13" name="Групувати 12">
                        <a:extLst xmlns:a="http://schemas.openxmlformats.org/drawingml/2006/main">
                          <a:ext uri="{FF2B5EF4-FFF2-40B4-BE49-F238E27FC236}">
                            <a16:creationId xmlns:a16="http://schemas.microsoft.com/office/drawing/2014/main" id="{33EBA0F1-11BA-36A7-501A-4F4560737DB0}"/>
                          </a:ext>
                        </a:extLst>
                      </wp:docPr>
                      <wp:cNvGraphicFramePr/>
                      <a:graphic xmlns:a="http://schemas.openxmlformats.org/drawingml/2006/main">
                        <a:graphicData uri="http://schemas.microsoft.com/office/word/2010/wordprocessingGroup">
                          <wpg:wgp>
                            <wpg:cNvGrpSpPr/>
                            <wpg:grpSpPr>
                              <a:xfrm>
                                <a:off x="0" y="0"/>
                                <a:ext cx="710353" cy="338667"/>
                                <a:chOff x="0" y="0"/>
                                <a:chExt cx="515620" cy="338667"/>
                              </a:xfrm>
                            </wpg:grpSpPr>
                            <wps:wsp>
                              <wps:cNvPr id="1748670589" name="object 6"/>
                              <wps:cNvSpPr/>
                              <wps:spPr>
                                <a:xfrm>
                                  <a:off x="0" y="0"/>
                                  <a:ext cx="515620" cy="245745"/>
                                </a:xfrm>
                                <a:custGeom>
                                  <a:avLst/>
                                  <a:gdLst/>
                                  <a:ahLst/>
                                  <a:cxnLst/>
                                  <a:rect l="l" t="t" r="r" b="b"/>
                                  <a:pathLst>
                                    <a:path w="515620" h="245744">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wps:wsp>
                            <wps:wsp>
                              <wps:cNvPr id="1637058698" name="object 7"/>
                              <wps:cNvSpPr txBox="1"/>
                              <wps:spPr>
                                <a:xfrm>
                                  <a:off x="94798" y="33867"/>
                                  <a:ext cx="323215" cy="304800"/>
                                </a:xfrm>
                                <a:prstGeom prst="rect">
                                  <a:avLst/>
                                </a:prstGeom>
                              </wps:spPr>
                              <wps:txbx>
                                <w:txbxContent>
                                  <w:p w14:paraId="380ECD50" w14:textId="77777777" w:rsidR="009D0C1D" w:rsidRPr="0061381C" w:rsidRDefault="009D0C1D" w:rsidP="0061381C">
                                    <w:pPr>
                                      <w:ind w:left="14"/>
                                      <w:rPr>
                                        <w:color w:val="FFFFFF"/>
                                        <w:spacing w:val="-5"/>
                                        <w:sz w:val="20"/>
                                        <w:szCs w:val="20"/>
                                      </w:rPr>
                                    </w:pPr>
                                    <w:r>
                                      <w:rPr>
                                        <w:color w:val="FFFFFF"/>
                                        <w:sz w:val="20"/>
                                      </w:rPr>
                                      <w:t>НОВЕ</w:t>
                                    </w:r>
                                  </w:p>
                                </w:txbxContent>
                              </wps:txbx>
                              <wps:bodyPr vert="horz" wrap="square" lIns="0" tIns="12700" rIns="0" bIns="0" rtlCol="0">
                                <a:noAutofit/>
                              </wps:bodyPr>
                            </wps:wsp>
                          </wpg:wgp>
                        </a:graphicData>
                      </a:graphic>
                    </wp:inline>
                  </w:drawing>
                </mc:Choice>
                <mc:Fallback>
                  <w:pict>
                    <v:group w14:anchorId="79F2DC70" id="_x0000_s1029" style="width:55.95pt;height:26.65pt;mso-position-horizontal-relative:char;mso-position-vertical-relative:line" coordsize="515620,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">
                      <v:shape id="object 6" o:spid="_x0000_s1030" style="position:absolute;width:515620;height:245745;visibility:visible;mso-wrap-style:square;v-text-anchor:top" coordsize="515620,24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" path="m515543,l,,,122796r9650,47797l35966,209626r39032,26316l122796,245592r269951,l440545,235942r39032,-26316l505893,170593r9650,-47797l515543,xe" fillcolor="#0c8140" stroked="f">
                        <v:path arrowok="t"/>
                      </v:shape>
                      <v:shape id="object 7" o:spid="_x0000_s1031" type="#_x0000_t202" style="position:absolute;left:94798;top:33867;width:323215;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" filled="f" stroked="f">
                        <v:textbox inset="0,1pt,0,0">
                          <w:txbxContent>
                            <w:p w14:paraId="380ECD50" w14:textId="77777777" w:rsidR="009D0C1D" w:rsidRPr="0061381C" w:rsidRDefault="009D0C1D" w:rsidP="0061381C">
                              <w:pPr>
                                <w:ind w:left="14"/>
                                <w:rPr>
                                  <w:color w:val="FFFFFF"/>
                                  <w:spacing w:val="-5"/>
                                  <w:sz w:val="20"/>
                                  <w:szCs w:val="20"/>
                                </w:rPr>
                              </w:pPr>
                              <w:r>
                                <w:rPr>
                                  <w:color w:val="FFFFFF"/>
                                  <w:sz w:val="20"/>
                                </w:rPr>
                                <w:t>НОВЕ</w:t>
                              </w:r>
                            </w:p>
                          </w:txbxContent>
                        </v:textbox>
                      </v:shape>
                      <w10:anchorlock/>
                    </v:group>
                  </w:pict>
                </mc:Fallback>
              </mc:AlternateContent>
            </w:r>
          </w:p>
        </w:tc>
      </w:tr>
      <w:tr w:rsidR="00366CB9" w14:paraId="7F2CC300" w14:textId="77777777" w:rsidTr="00473B26">
        <w:trPr>
          <w:trHeight w:hRule="exact" w:val="1200"/>
        </w:trPr>
        <w:tc>
          <w:tcPr>
            <w:tcW w:w="514" w:type="dxa"/>
            <w:tcBorders>
              <w:bottom w:val="single" w:sz="8" w:space="0" w:color="00B050"/>
            </w:tcBorders>
            <w:shd w:val="clear" w:color="auto" w:fill="FFFFFF"/>
          </w:tcPr>
          <w:p w14:paraId="662A426F" w14:textId="77777777" w:rsidR="00366CB9" w:rsidRDefault="009D0C1D" w:rsidP="0061381C">
            <w:pPr>
              <w:pStyle w:val="a6"/>
              <w:shd w:val="clear" w:color="auto" w:fill="auto"/>
              <w:rPr>
                <w:sz w:val="20"/>
                <w:szCs w:val="20"/>
              </w:rPr>
            </w:pPr>
            <w:r>
              <w:rPr>
                <w:b w:val="0"/>
                <w:color w:val="000000"/>
                <w:sz w:val="20"/>
              </w:rPr>
              <w:t>1.</w:t>
            </w:r>
          </w:p>
        </w:tc>
        <w:tc>
          <w:tcPr>
            <w:tcW w:w="8582" w:type="dxa"/>
            <w:tcBorders>
              <w:bottom w:val="single" w:sz="8" w:space="0" w:color="00B050"/>
            </w:tcBorders>
            <w:shd w:val="clear" w:color="auto" w:fill="FFFFFF"/>
            <w:vAlign w:val="bottom"/>
          </w:tcPr>
          <w:p w14:paraId="7E438406" w14:textId="77777777" w:rsidR="00366CB9" w:rsidRPr="006E22E5" w:rsidRDefault="009D0C1D" w:rsidP="0061381C">
            <w:pPr>
              <w:pStyle w:val="a6"/>
              <w:shd w:val="clear" w:color="auto" w:fill="auto"/>
              <w:spacing w:line="305" w:lineRule="auto"/>
              <w:rPr>
                <w:sz w:val="18"/>
                <w:szCs w:val="24"/>
              </w:rPr>
            </w:pPr>
            <w:r w:rsidRPr="006E22E5">
              <w:rPr>
                <w:b w:val="0"/>
                <w:color w:val="000000"/>
                <w:sz w:val="18"/>
                <w:szCs w:val="24"/>
              </w:rPr>
              <w:t>Для дорослих та підлітків з ознаками або симптомами ТБ, або позитивним результатом скринінг-тесту на ТБ легень,</w:t>
            </w:r>
            <w:r w:rsidRPr="006E22E5">
              <w:rPr>
                <w:b w:val="0"/>
                <w:color w:val="000000"/>
                <w:sz w:val="18"/>
                <w:szCs w:val="24"/>
                <w:vertAlign w:val="superscript"/>
              </w:rPr>
              <w:t xml:space="preserve">2 </w:t>
            </w:r>
            <w:r w:rsidRPr="006E22E5">
              <w:rPr>
                <w:b w:val="0"/>
                <w:color w:val="000000"/>
                <w:sz w:val="18"/>
                <w:szCs w:val="24"/>
              </w:rPr>
              <w:t xml:space="preserve">початковими діагностичними тестами на ТБ мають бути </w:t>
            </w:r>
            <w:r w:rsidRPr="006E22E5">
              <w:rPr>
                <w:color w:val="000000"/>
                <w:sz w:val="18"/>
                <w:szCs w:val="24"/>
              </w:rPr>
              <w:t>автоматизовані</w:t>
            </w:r>
            <w:r w:rsidRPr="006E22E5">
              <w:rPr>
                <w:b w:val="0"/>
                <w:color w:val="000000"/>
                <w:sz w:val="18"/>
                <w:szCs w:val="24"/>
              </w:rPr>
              <w:t xml:space="preserve"> NAAT низької складності на зразках з дихальних шляхів, а не мікроскопія мазка або посів. </w:t>
            </w:r>
            <w:r w:rsidRPr="006E22E5">
              <w:rPr>
                <w:b w:val="0"/>
                <w:i/>
                <w:color w:val="000000"/>
                <w:sz w:val="18"/>
                <w:szCs w:val="24"/>
              </w:rPr>
              <w:t>(Сильна рекомендація, високий рівень достовірності доказів)</w:t>
            </w:r>
          </w:p>
        </w:tc>
      </w:tr>
      <w:tr w:rsidR="00366CB9" w14:paraId="5CB79A16" w14:textId="77777777" w:rsidTr="00473B26">
        <w:trPr>
          <w:trHeight w:hRule="exact" w:val="456"/>
        </w:trPr>
        <w:tc>
          <w:tcPr>
            <w:tcW w:w="514" w:type="dxa"/>
            <w:tcBorders>
              <w:top w:val="single" w:sz="8" w:space="0" w:color="00B050"/>
            </w:tcBorders>
            <w:shd w:val="clear" w:color="auto" w:fill="FFFFFF"/>
          </w:tcPr>
          <w:p w14:paraId="7341DBB2" w14:textId="687F62F5" w:rsidR="00366CB9" w:rsidRDefault="00366CB9" w:rsidP="0061381C">
            <w:pPr>
              <w:rPr>
                <w:sz w:val="2"/>
                <w:szCs w:val="2"/>
              </w:rPr>
            </w:pPr>
          </w:p>
        </w:tc>
        <w:tc>
          <w:tcPr>
            <w:tcW w:w="8582" w:type="dxa"/>
            <w:tcBorders>
              <w:top w:val="single" w:sz="8" w:space="0" w:color="00B050"/>
            </w:tcBorders>
            <w:shd w:val="clear" w:color="auto" w:fill="FFFFFF"/>
          </w:tcPr>
          <w:p w14:paraId="40962FE1" w14:textId="3E9FEFBA" w:rsidR="00366CB9" w:rsidRDefault="0061381C" w:rsidP="0061381C">
            <w:pPr>
              <w:jc w:val="right"/>
              <w:rPr>
                <w:sz w:val="2"/>
                <w:szCs w:val="2"/>
              </w:rPr>
            </w:pPr>
            <w:r>
              <w:rPr>
                <w:noProof/>
              </w:rPr>
              <mc:AlternateContent>
                <mc:Choice Requires="wpg">
                  <w:drawing>
                    <wp:inline distT="0" distB="0" distL="0" distR="0" wp14:anchorId="18BC96AD" wp14:editId="27C7FE93">
                      <wp:extent cx="701887" cy="338667"/>
                      <wp:effectExtent l="0" t="0" r="3175" b="0"/>
                      <wp:docPr id="1800651618" name="Групувати 12"/>
                      <wp:cNvGraphicFramePr/>
                      <a:graphic xmlns:a="http://schemas.openxmlformats.org/drawingml/2006/main">
                        <a:graphicData uri="http://schemas.microsoft.com/office/word/2010/wordprocessingGroup">
                          <wpg:wgp>
                            <wpg:cNvGrpSpPr/>
                            <wpg:grpSpPr>
                              <a:xfrm>
                                <a:off x="0" y="0"/>
                                <a:ext cx="701887" cy="338667"/>
                                <a:chOff x="0" y="0"/>
                                <a:chExt cx="515620" cy="338667"/>
                              </a:xfrm>
                            </wpg:grpSpPr>
                            <wps:wsp>
                              <wps:cNvPr id="1837386841" name="object 6"/>
                              <wps:cNvSpPr/>
                              <wps:spPr>
                                <a:xfrm>
                                  <a:off x="0" y="0"/>
                                  <a:ext cx="515620" cy="245745"/>
                                </a:xfrm>
                                <a:custGeom>
                                  <a:avLst/>
                                  <a:gdLst/>
                                  <a:ahLst/>
                                  <a:cxnLst/>
                                  <a:rect l="l" t="t" r="r" b="b"/>
                                  <a:pathLst>
                                    <a:path w="515620" h="245744">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wps:wsp>
                            <wps:wsp>
                              <wps:cNvPr id="985386464" name="object 7"/>
                              <wps:cNvSpPr txBox="1"/>
                              <wps:spPr>
                                <a:xfrm>
                                  <a:off x="94798" y="33867"/>
                                  <a:ext cx="323215" cy="304800"/>
                                </a:xfrm>
                                <a:prstGeom prst="rect">
                                  <a:avLst/>
                                </a:prstGeom>
                              </wps:spPr>
                              <wps:txbx>
                                <w:txbxContent>
                                  <w:p w14:paraId="58F40BE6" w14:textId="77777777" w:rsidR="009D0C1D" w:rsidRPr="0061381C" w:rsidRDefault="009D0C1D" w:rsidP="0061381C">
                                    <w:pPr>
                                      <w:ind w:left="14"/>
                                      <w:rPr>
                                        <w:color w:val="FFFFFF"/>
                                        <w:spacing w:val="-5"/>
                                        <w:sz w:val="20"/>
                                        <w:szCs w:val="20"/>
                                      </w:rPr>
                                    </w:pPr>
                                    <w:r>
                                      <w:rPr>
                                        <w:color w:val="FFFFFF"/>
                                        <w:sz w:val="20"/>
                                      </w:rPr>
                                      <w:t>НОВЕ</w:t>
                                    </w:r>
                                  </w:p>
                                </w:txbxContent>
                              </wps:txbx>
                              <wps:bodyPr vert="horz" wrap="square" lIns="0" tIns="12700" rIns="0" bIns="0" rtlCol="0">
                                <a:noAutofit/>
                              </wps:bodyPr>
                            </wps:wsp>
                          </wpg:wgp>
                        </a:graphicData>
                      </a:graphic>
                    </wp:inline>
                  </w:drawing>
                </mc:Choice>
                <mc:Fallback>
                  <w:pict>
                    <v:group w14:anchorId="18BC96AD" id="_x0000_s1032" style="width:55.25pt;height:26.65pt;mso-position-horizontal-relative:char;mso-position-vertical-relative:line" coordsize="515620,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">
                      <v:shape id="object 6" o:spid="_x0000_s1033" style="position:absolute;width:515620;height:245745;visibility:visible;mso-wrap-style:square;v-text-anchor:top" coordsize="515620,24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" path="m515543,l,,,122796r9650,47797l35966,209626r39032,26316l122796,245592r269951,l440545,235942r39032,-26316l505893,170593r9650,-47797l515543,xe" fillcolor="#0c8140" stroked="f">
                        <v:path arrowok="t"/>
                      </v:shape>
                      <v:shape id="object 7" o:spid="_x0000_s1034" type="#_x0000_t202" style="position:absolute;left:94798;top:33867;width:323215;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" filled="f" stroked="f">
                        <v:textbox inset="0,1pt,0,0">
                          <w:txbxContent>
                            <w:p w14:paraId="58F40BE6" w14:textId="77777777" w:rsidR="009D0C1D" w:rsidRPr="0061381C" w:rsidRDefault="009D0C1D" w:rsidP="0061381C">
                              <w:pPr>
                                <w:ind w:left="14"/>
                                <w:rPr>
                                  <w:color w:val="FFFFFF"/>
                                  <w:spacing w:val="-5"/>
                                  <w:sz w:val="20"/>
                                  <w:szCs w:val="20"/>
                                </w:rPr>
                              </w:pPr>
                              <w:r>
                                <w:rPr>
                                  <w:color w:val="FFFFFF"/>
                                  <w:sz w:val="20"/>
                                </w:rPr>
                                <w:t>НОВЕ</w:t>
                              </w:r>
                            </w:p>
                          </w:txbxContent>
                        </v:textbox>
                      </v:shape>
                      <w10:anchorlock/>
                    </v:group>
                  </w:pict>
                </mc:Fallback>
              </mc:AlternateContent>
            </w:r>
          </w:p>
        </w:tc>
      </w:tr>
      <w:tr w:rsidR="00366CB9" w14:paraId="52036FDE" w14:textId="77777777" w:rsidTr="00473B26">
        <w:trPr>
          <w:trHeight w:hRule="exact" w:val="1176"/>
        </w:trPr>
        <w:tc>
          <w:tcPr>
            <w:tcW w:w="514" w:type="dxa"/>
            <w:tcBorders>
              <w:bottom w:val="single" w:sz="8" w:space="0" w:color="00B050"/>
            </w:tcBorders>
            <w:shd w:val="clear" w:color="auto" w:fill="FFFFFF"/>
          </w:tcPr>
          <w:p w14:paraId="0A9F258C" w14:textId="77777777" w:rsidR="00366CB9" w:rsidRDefault="009D0C1D" w:rsidP="0061381C">
            <w:pPr>
              <w:pStyle w:val="a6"/>
              <w:shd w:val="clear" w:color="auto" w:fill="auto"/>
              <w:rPr>
                <w:sz w:val="20"/>
                <w:szCs w:val="20"/>
              </w:rPr>
            </w:pPr>
            <w:r>
              <w:rPr>
                <w:b w:val="0"/>
                <w:color w:val="000000"/>
                <w:sz w:val="20"/>
              </w:rPr>
              <w:t>2.</w:t>
            </w:r>
          </w:p>
        </w:tc>
        <w:tc>
          <w:tcPr>
            <w:tcW w:w="8582" w:type="dxa"/>
            <w:tcBorders>
              <w:bottom w:val="single" w:sz="8" w:space="0" w:color="00B050"/>
            </w:tcBorders>
            <w:shd w:val="clear" w:color="auto" w:fill="FFFFFF"/>
            <w:vAlign w:val="center"/>
          </w:tcPr>
          <w:p w14:paraId="16702063" w14:textId="77777777" w:rsidR="00366CB9" w:rsidRPr="006E22E5" w:rsidRDefault="009D0C1D" w:rsidP="0061381C">
            <w:pPr>
              <w:pStyle w:val="a6"/>
              <w:shd w:val="clear" w:color="auto" w:fill="auto"/>
              <w:spacing w:after="60" w:line="271" w:lineRule="auto"/>
              <w:rPr>
                <w:sz w:val="18"/>
                <w:szCs w:val="24"/>
              </w:rPr>
            </w:pPr>
            <w:r w:rsidRPr="006E22E5">
              <w:rPr>
                <w:b w:val="0"/>
                <w:color w:val="000000"/>
                <w:sz w:val="18"/>
                <w:szCs w:val="24"/>
              </w:rPr>
              <w:t>Для осіб з бактеріологічно підтвердженим ТБ</w:t>
            </w:r>
            <w:r w:rsidRPr="006E22E5">
              <w:rPr>
                <w:b w:val="0"/>
                <w:color w:val="000000"/>
                <w:sz w:val="18"/>
                <w:szCs w:val="24"/>
                <w:vertAlign w:val="superscript"/>
              </w:rPr>
              <w:t>3</w:t>
            </w:r>
            <w:r w:rsidRPr="006E22E5">
              <w:rPr>
                <w:b w:val="0"/>
                <w:color w:val="000000"/>
                <w:sz w:val="18"/>
                <w:szCs w:val="24"/>
              </w:rPr>
              <w:t xml:space="preserve"> початковими тестами для виявлення резистентності до рифампіцину на зразках з дихальних шляхів мають бути </w:t>
            </w:r>
            <w:r w:rsidRPr="006E22E5">
              <w:rPr>
                <w:color w:val="000000"/>
                <w:sz w:val="18"/>
                <w:szCs w:val="24"/>
              </w:rPr>
              <w:t>автоматизовані</w:t>
            </w:r>
            <w:r w:rsidRPr="006E22E5">
              <w:rPr>
                <w:b w:val="0"/>
                <w:color w:val="000000"/>
                <w:sz w:val="18"/>
                <w:szCs w:val="24"/>
              </w:rPr>
              <w:t xml:space="preserve"> NAAT низької складності, а не культуральне ТМЧ.</w:t>
            </w:r>
          </w:p>
          <w:p w14:paraId="6697361A" w14:textId="77777777" w:rsidR="00366CB9" w:rsidRPr="006E22E5" w:rsidRDefault="009D0C1D" w:rsidP="0061381C">
            <w:pPr>
              <w:pStyle w:val="a6"/>
              <w:shd w:val="clear" w:color="auto" w:fill="auto"/>
              <w:spacing w:line="271" w:lineRule="auto"/>
              <w:rPr>
                <w:i/>
                <w:iCs/>
                <w:sz w:val="18"/>
                <w:szCs w:val="24"/>
              </w:rPr>
            </w:pPr>
            <w:r w:rsidRPr="006E22E5">
              <w:rPr>
                <w:b w:val="0"/>
                <w:i/>
                <w:color w:val="000000"/>
                <w:sz w:val="18"/>
                <w:szCs w:val="24"/>
              </w:rPr>
              <w:t>(Сильна рекомендація, високий рівень достовірності доказів)</w:t>
            </w:r>
          </w:p>
        </w:tc>
      </w:tr>
      <w:tr w:rsidR="0061381C" w14:paraId="1237C851" w14:textId="77777777" w:rsidTr="00473B26">
        <w:trPr>
          <w:trHeight w:hRule="exact" w:val="432"/>
        </w:trPr>
        <w:tc>
          <w:tcPr>
            <w:tcW w:w="514" w:type="dxa"/>
            <w:tcBorders>
              <w:top w:val="single" w:sz="8" w:space="0" w:color="00B050"/>
            </w:tcBorders>
            <w:shd w:val="clear" w:color="auto" w:fill="FFFFFF"/>
          </w:tcPr>
          <w:p w14:paraId="68E76B1E" w14:textId="47321C95" w:rsidR="0061381C" w:rsidRDefault="0061381C" w:rsidP="0061381C">
            <w:pPr>
              <w:rPr>
                <w:sz w:val="2"/>
                <w:szCs w:val="2"/>
              </w:rPr>
            </w:pPr>
          </w:p>
        </w:tc>
        <w:tc>
          <w:tcPr>
            <w:tcW w:w="8582" w:type="dxa"/>
            <w:tcBorders>
              <w:top w:val="single" w:sz="8" w:space="0" w:color="00B050"/>
            </w:tcBorders>
            <w:shd w:val="clear" w:color="auto" w:fill="FFFFFF"/>
          </w:tcPr>
          <w:p w14:paraId="11054514" w14:textId="3D1DDEBD" w:rsidR="0061381C" w:rsidRDefault="0061381C" w:rsidP="0061381C">
            <w:pPr>
              <w:jc w:val="right"/>
              <w:rPr>
                <w:sz w:val="2"/>
                <w:szCs w:val="2"/>
              </w:rPr>
            </w:pPr>
            <w:r>
              <w:rPr>
                <w:noProof/>
              </w:rPr>
              <mc:AlternateContent>
                <mc:Choice Requires="wpg">
                  <w:drawing>
                    <wp:inline distT="0" distB="0" distL="0" distR="0" wp14:anchorId="3DF6BC19" wp14:editId="5CE60E08">
                      <wp:extent cx="651087" cy="338667"/>
                      <wp:effectExtent l="0" t="0" r="0" b="0"/>
                      <wp:docPr id="659872948" name="Групувати 12"/>
                      <wp:cNvGraphicFramePr/>
                      <a:graphic xmlns:a="http://schemas.openxmlformats.org/drawingml/2006/main">
                        <a:graphicData uri="http://schemas.microsoft.com/office/word/2010/wordprocessingGroup">
                          <wpg:wgp>
                            <wpg:cNvGrpSpPr/>
                            <wpg:grpSpPr>
                              <a:xfrm>
                                <a:off x="0" y="0"/>
                                <a:ext cx="651087" cy="338667"/>
                                <a:chOff x="0" y="0"/>
                                <a:chExt cx="515620" cy="338667"/>
                              </a:xfrm>
                            </wpg:grpSpPr>
                            <wps:wsp>
                              <wps:cNvPr id="1741067783" name="object 6"/>
                              <wps:cNvSpPr/>
                              <wps:spPr>
                                <a:xfrm>
                                  <a:off x="0" y="0"/>
                                  <a:ext cx="515620" cy="245745"/>
                                </a:xfrm>
                                <a:custGeom>
                                  <a:avLst/>
                                  <a:gdLst/>
                                  <a:ahLst/>
                                  <a:cxnLst/>
                                  <a:rect l="l" t="t" r="r" b="b"/>
                                  <a:pathLst>
                                    <a:path w="515620" h="245744">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wps:wsp>
                            <wps:wsp>
                              <wps:cNvPr id="1865783031" name="object 7"/>
                              <wps:cNvSpPr txBox="1"/>
                              <wps:spPr>
                                <a:xfrm>
                                  <a:off x="94798" y="33867"/>
                                  <a:ext cx="323215" cy="304800"/>
                                </a:xfrm>
                                <a:prstGeom prst="rect">
                                  <a:avLst/>
                                </a:prstGeom>
                              </wps:spPr>
                              <wps:txbx>
                                <w:txbxContent>
                                  <w:p w14:paraId="4C91DAF3" w14:textId="77777777" w:rsidR="009D0C1D" w:rsidRPr="0061381C" w:rsidRDefault="009D0C1D" w:rsidP="0061381C">
                                    <w:pPr>
                                      <w:ind w:left="14"/>
                                      <w:rPr>
                                        <w:color w:val="FFFFFF"/>
                                        <w:spacing w:val="-5"/>
                                        <w:sz w:val="20"/>
                                        <w:szCs w:val="20"/>
                                      </w:rPr>
                                    </w:pPr>
                                    <w:r>
                                      <w:rPr>
                                        <w:color w:val="FFFFFF"/>
                                        <w:sz w:val="20"/>
                                      </w:rPr>
                                      <w:t>НОВЕ</w:t>
                                    </w:r>
                                  </w:p>
                                </w:txbxContent>
                              </wps:txbx>
                              <wps:bodyPr vert="horz" wrap="square" lIns="0" tIns="12700" rIns="0" bIns="0" rtlCol="0">
                                <a:noAutofit/>
                              </wps:bodyPr>
                            </wps:wsp>
                          </wpg:wgp>
                        </a:graphicData>
                      </a:graphic>
                    </wp:inline>
                  </w:drawing>
                </mc:Choice>
                <mc:Fallback>
                  <w:pict>
                    <v:group w14:anchorId="3DF6BC19" id="_x0000_s1035" style="width:51.25pt;height:26.65pt;mso-position-horizontal-relative:char;mso-position-vertical-relative:line" coordsize="515620,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">
                      <v:shape id="object 6" o:spid="_x0000_s1036" style="position:absolute;width:515620;height:245745;visibility:visible;mso-wrap-style:square;v-text-anchor:top" coordsize="515620,24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" path="m515543,l,,,122796r9650,47797l35966,209626r39032,26316l122796,245592r269951,l440545,235942r39032,-26316l505893,170593r9650,-47797l515543,xe" fillcolor="#0c8140" stroked="f">
                        <v:path arrowok="t"/>
                      </v:shape>
                      <v:shape id="object 7" o:spid="_x0000_s1037" type="#_x0000_t202" style="position:absolute;left:94798;top:33867;width:323215;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" filled="f" stroked="f">
                        <v:textbox inset="0,1pt,0,0">
                          <w:txbxContent>
                            <w:p w14:paraId="4C91DAF3" w14:textId="77777777" w:rsidR="009D0C1D" w:rsidRPr="0061381C" w:rsidRDefault="009D0C1D" w:rsidP="0061381C">
                              <w:pPr>
                                <w:ind w:left="14"/>
                                <w:rPr>
                                  <w:color w:val="FFFFFF"/>
                                  <w:spacing w:val="-5"/>
                                  <w:sz w:val="20"/>
                                  <w:szCs w:val="20"/>
                                </w:rPr>
                              </w:pPr>
                              <w:r>
                                <w:rPr>
                                  <w:color w:val="FFFFFF"/>
                                  <w:sz w:val="20"/>
                                </w:rPr>
                                <w:t>НОВЕ</w:t>
                              </w:r>
                            </w:p>
                          </w:txbxContent>
                        </v:textbox>
                      </v:shape>
                      <w10:anchorlock/>
                    </v:group>
                  </w:pict>
                </mc:Fallback>
              </mc:AlternateContent>
            </w:r>
          </w:p>
        </w:tc>
      </w:tr>
      <w:tr w:rsidR="00366CB9" w14:paraId="2AAFEBCA" w14:textId="77777777" w:rsidTr="00473B26">
        <w:trPr>
          <w:trHeight w:hRule="exact" w:val="1210"/>
        </w:trPr>
        <w:tc>
          <w:tcPr>
            <w:tcW w:w="514" w:type="dxa"/>
            <w:tcBorders>
              <w:bottom w:val="single" w:sz="8" w:space="0" w:color="00B050"/>
            </w:tcBorders>
            <w:shd w:val="clear" w:color="auto" w:fill="FFFFFF"/>
          </w:tcPr>
          <w:p w14:paraId="010C79D0" w14:textId="77777777" w:rsidR="00366CB9" w:rsidRDefault="009D0C1D" w:rsidP="0061381C">
            <w:pPr>
              <w:pStyle w:val="a6"/>
              <w:shd w:val="clear" w:color="auto" w:fill="auto"/>
              <w:rPr>
                <w:sz w:val="20"/>
                <w:szCs w:val="20"/>
              </w:rPr>
            </w:pPr>
            <w:r>
              <w:rPr>
                <w:b w:val="0"/>
                <w:color w:val="000000"/>
                <w:sz w:val="20"/>
              </w:rPr>
              <w:t>3.</w:t>
            </w:r>
          </w:p>
        </w:tc>
        <w:tc>
          <w:tcPr>
            <w:tcW w:w="8582" w:type="dxa"/>
            <w:tcBorders>
              <w:bottom w:val="single" w:sz="8" w:space="0" w:color="00B050"/>
            </w:tcBorders>
            <w:shd w:val="clear" w:color="auto" w:fill="FFFFFF"/>
            <w:vAlign w:val="center"/>
          </w:tcPr>
          <w:p w14:paraId="56A9BE62" w14:textId="77777777" w:rsidR="00366CB9" w:rsidRPr="006E22E5" w:rsidRDefault="009D0C1D" w:rsidP="0061381C">
            <w:pPr>
              <w:pStyle w:val="a6"/>
              <w:shd w:val="clear" w:color="auto" w:fill="auto"/>
              <w:spacing w:after="40" w:line="276" w:lineRule="auto"/>
              <w:rPr>
                <w:sz w:val="18"/>
                <w:szCs w:val="24"/>
              </w:rPr>
            </w:pPr>
            <w:r w:rsidRPr="006E22E5">
              <w:rPr>
                <w:b w:val="0"/>
                <w:color w:val="000000"/>
                <w:sz w:val="18"/>
                <w:szCs w:val="24"/>
              </w:rPr>
              <w:t xml:space="preserve">Для осіб з ознаками та симптомами туберкульозного менінгіту для первинної діагностики туберкульозного менінгіту необхідно застосовувати </w:t>
            </w:r>
            <w:r w:rsidRPr="006E22E5">
              <w:rPr>
                <w:color w:val="000000"/>
                <w:sz w:val="18"/>
                <w:szCs w:val="24"/>
              </w:rPr>
              <w:t xml:space="preserve">автоматизовані </w:t>
            </w:r>
            <w:r w:rsidRPr="006E22E5">
              <w:rPr>
                <w:b w:val="0"/>
                <w:color w:val="000000"/>
                <w:sz w:val="18"/>
                <w:szCs w:val="24"/>
              </w:rPr>
              <w:t>NAAT низької складності на спинномозкову рідину, а не мікроскопія мазка або посів.</w:t>
            </w:r>
          </w:p>
          <w:p w14:paraId="48F99AAE" w14:textId="77777777" w:rsidR="00366CB9" w:rsidRPr="006E22E5" w:rsidRDefault="009D0C1D" w:rsidP="0061381C">
            <w:pPr>
              <w:pStyle w:val="a6"/>
              <w:shd w:val="clear" w:color="auto" w:fill="auto"/>
              <w:spacing w:line="276" w:lineRule="auto"/>
              <w:rPr>
                <w:i/>
                <w:iCs/>
                <w:sz w:val="18"/>
                <w:szCs w:val="24"/>
              </w:rPr>
            </w:pPr>
            <w:r w:rsidRPr="006E22E5">
              <w:rPr>
                <w:b w:val="0"/>
                <w:i/>
                <w:color w:val="000000"/>
                <w:sz w:val="18"/>
                <w:szCs w:val="24"/>
              </w:rPr>
              <w:t>(Сильна рекомендація, середній рівень достовірності доказів)</w:t>
            </w:r>
          </w:p>
        </w:tc>
      </w:tr>
    </w:tbl>
    <w:p w14:paraId="2D1268EC" w14:textId="707C6326" w:rsidR="006E22E5" w:rsidRDefault="006E22E5" w:rsidP="006E22E5">
      <w:pPr>
        <w:pStyle w:val="ad"/>
        <w:framePr w:w="9149" w:wrap="none" w:vAnchor="page" w:hAnchor="page" w:x="1231" w:y="13996"/>
        <w:shd w:val="clear" w:color="auto" w:fill="auto"/>
        <w:tabs>
          <w:tab w:val="left" w:pos="221"/>
        </w:tabs>
        <w:spacing w:line="305" w:lineRule="auto"/>
        <w:jc w:val="both"/>
        <w:rPr>
          <w:vertAlign w:val="superscript"/>
        </w:rPr>
      </w:pPr>
      <w:r>
        <w:rPr>
          <w:vertAlign w:val="superscript"/>
        </w:rPr>
        <w:t>__________________________________________</w:t>
      </w:r>
    </w:p>
    <w:p w14:paraId="39F57169" w14:textId="2A662E7E" w:rsidR="00366CB9" w:rsidRDefault="009D0C1D" w:rsidP="006E22E5">
      <w:pPr>
        <w:pStyle w:val="ad"/>
        <w:framePr w:w="9149" w:wrap="none" w:vAnchor="page" w:hAnchor="page" w:x="1231" w:y="13996"/>
        <w:shd w:val="clear" w:color="auto" w:fill="auto"/>
        <w:tabs>
          <w:tab w:val="left" w:pos="221"/>
        </w:tabs>
        <w:spacing w:line="305" w:lineRule="auto"/>
        <w:jc w:val="both"/>
      </w:pPr>
      <w:r>
        <w:rPr>
          <w:vertAlign w:val="superscript"/>
        </w:rPr>
        <w:t>2</w:t>
      </w:r>
      <w:r w:rsidR="00045CAE">
        <w:tab/>
      </w:r>
      <w:r>
        <w:t>Позитивний результат тесту, обстеження або іншої процедури розрізняє осіб з високим ризиком ТБ від осіб з дуже низьким ризиком ТБ. Наразі ВООЗ рекомендує такі скринінг-тести: рентгенографію органів грудної клітини з системою комп’ютерного виявлення (СКВ) або без неї, С-реактивний білок у людей, які живуть з ВІЛ, та молекулярний експрес-тест на ТБ, рекомендований ВООЗ (mWRD).</w:t>
      </w:r>
    </w:p>
    <w:p w14:paraId="180C987F" w14:textId="2F55B31D" w:rsidR="00366CB9" w:rsidRDefault="009D0C1D" w:rsidP="006E22E5">
      <w:pPr>
        <w:pStyle w:val="ad"/>
        <w:framePr w:w="9149" w:wrap="none" w:vAnchor="page" w:hAnchor="page" w:x="1246" w:y="15166"/>
        <w:shd w:val="clear" w:color="auto" w:fill="auto"/>
        <w:tabs>
          <w:tab w:val="left" w:pos="221"/>
        </w:tabs>
      </w:pPr>
      <w:r>
        <w:rPr>
          <w:vertAlign w:val="superscript"/>
        </w:rPr>
        <w:t>3</w:t>
      </w:r>
      <w:r w:rsidR="00045CAE">
        <w:tab/>
      </w:r>
      <w:r>
        <w:t>Випадком бактеріологічно підтвердженого ТБ є випадок, при якому біологічний зразок є позитивним після мікроскопії мазка, посіву або WRD (наприклад, Xpert MTB/RIF). Про такі випадки необхідно повідомляти, незалежно від наявності або відсутності лікування ТБ</w:t>
      </w:r>
      <w:r w:rsidR="00045CAE">
        <w:rPr>
          <w:i/>
        </w:rPr>
        <w:t xml:space="preserve"> </w:t>
      </w:r>
      <w:r>
        <w:rPr>
          <w:i/>
        </w:rPr>
        <w:t>(</w:t>
      </w:r>
      <w:hyperlink w:anchor="bookmark193" w:tooltip="Поточний документ">
        <w:r w:rsidR="00366CB9">
          <w:rPr>
            <w:i/>
          </w:rPr>
          <w:t>10</w:t>
        </w:r>
      </w:hyperlink>
      <w:r>
        <w:rPr>
          <w:i/>
        </w:rPr>
        <w:t>).</w:t>
      </w:r>
    </w:p>
    <w:p w14:paraId="36430153"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4396A80A"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523"/>
        <w:gridCol w:w="8582"/>
      </w:tblGrid>
      <w:tr w:rsidR="0061381C" w14:paraId="141B5167" w14:textId="77777777" w:rsidTr="00473B26">
        <w:trPr>
          <w:trHeight w:hRule="exact" w:val="461"/>
        </w:trPr>
        <w:tc>
          <w:tcPr>
            <w:tcW w:w="523" w:type="dxa"/>
            <w:tcBorders>
              <w:top w:val="single" w:sz="8" w:space="0" w:color="00B050"/>
            </w:tcBorders>
            <w:shd w:val="clear" w:color="auto" w:fill="FFFFFF"/>
          </w:tcPr>
          <w:p w14:paraId="05B96E23" w14:textId="46338DEF" w:rsidR="0061381C" w:rsidRDefault="0061381C" w:rsidP="0061381C">
            <w:pPr>
              <w:rPr>
                <w:sz w:val="2"/>
                <w:szCs w:val="2"/>
              </w:rPr>
            </w:pPr>
          </w:p>
        </w:tc>
        <w:tc>
          <w:tcPr>
            <w:tcW w:w="8582" w:type="dxa"/>
            <w:tcBorders>
              <w:top w:val="single" w:sz="8" w:space="0" w:color="00B050"/>
            </w:tcBorders>
            <w:shd w:val="clear" w:color="auto" w:fill="FFFFFF"/>
          </w:tcPr>
          <w:p w14:paraId="35C2FAC6" w14:textId="0281A1F0" w:rsidR="0061381C" w:rsidRDefault="0061381C" w:rsidP="0061381C">
            <w:pPr>
              <w:jc w:val="right"/>
              <w:rPr>
                <w:sz w:val="2"/>
                <w:szCs w:val="2"/>
              </w:rPr>
            </w:pPr>
            <w:r>
              <w:rPr>
                <w:noProof/>
              </w:rPr>
              <mc:AlternateContent>
                <mc:Choice Requires="wpg">
                  <w:drawing>
                    <wp:inline distT="0" distB="0" distL="0" distR="0" wp14:anchorId="422E29B0" wp14:editId="2C8EE240">
                      <wp:extent cx="634154" cy="338667"/>
                      <wp:effectExtent l="0" t="0" r="0" b="0"/>
                      <wp:docPr id="1209896381" name="Групувати 12"/>
                      <wp:cNvGraphicFramePr/>
                      <a:graphic xmlns:a="http://schemas.openxmlformats.org/drawingml/2006/main">
                        <a:graphicData uri="http://schemas.microsoft.com/office/word/2010/wordprocessingGroup">
                          <wpg:wgp>
                            <wpg:cNvGrpSpPr/>
                            <wpg:grpSpPr>
                              <a:xfrm>
                                <a:off x="0" y="0"/>
                                <a:ext cx="634154" cy="338667"/>
                                <a:chOff x="0" y="0"/>
                                <a:chExt cx="515620" cy="338667"/>
                              </a:xfrm>
                            </wpg:grpSpPr>
                            <wps:wsp>
                              <wps:cNvPr id="1134686311" name="object 6"/>
                              <wps:cNvSpPr/>
                              <wps:spPr>
                                <a:xfrm>
                                  <a:off x="0" y="0"/>
                                  <a:ext cx="515620" cy="245745"/>
                                </a:xfrm>
                                <a:custGeom>
                                  <a:avLst/>
                                  <a:gdLst/>
                                  <a:ahLst/>
                                  <a:cxnLst/>
                                  <a:rect l="l" t="t" r="r" b="b"/>
                                  <a:pathLst>
                                    <a:path w="515620" h="245744">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wps:wsp>
                            <wps:wsp>
                              <wps:cNvPr id="2075705029" name="object 7"/>
                              <wps:cNvSpPr txBox="1"/>
                              <wps:spPr>
                                <a:xfrm>
                                  <a:off x="94798" y="33867"/>
                                  <a:ext cx="323215" cy="304800"/>
                                </a:xfrm>
                                <a:prstGeom prst="rect">
                                  <a:avLst/>
                                </a:prstGeom>
                              </wps:spPr>
                              <wps:txbx>
                                <w:txbxContent>
                                  <w:p w14:paraId="50855A26" w14:textId="77777777" w:rsidR="009D0C1D" w:rsidRPr="0061381C" w:rsidRDefault="009D0C1D" w:rsidP="0061381C">
                                    <w:pPr>
                                      <w:ind w:left="14"/>
                                      <w:rPr>
                                        <w:color w:val="FFFFFF"/>
                                        <w:spacing w:val="-5"/>
                                        <w:sz w:val="20"/>
                                        <w:szCs w:val="20"/>
                                      </w:rPr>
                                    </w:pPr>
                                    <w:r>
                                      <w:rPr>
                                        <w:color w:val="FFFFFF"/>
                                        <w:sz w:val="20"/>
                                      </w:rPr>
                                      <w:t>НОВЕ</w:t>
                                    </w:r>
                                  </w:p>
                                </w:txbxContent>
                              </wps:txbx>
                              <wps:bodyPr vert="horz" wrap="square" lIns="0" tIns="12700" rIns="0" bIns="0" rtlCol="0">
                                <a:noAutofit/>
                              </wps:bodyPr>
                            </wps:wsp>
                          </wpg:wgp>
                        </a:graphicData>
                      </a:graphic>
                    </wp:inline>
                  </w:drawing>
                </mc:Choice>
                <mc:Fallback>
                  <w:pict>
                    <v:group w14:anchorId="422E29B0" id="_x0000_s1038" style="width:49.95pt;height:26.65pt;mso-position-horizontal-relative:char;mso-position-vertical-relative:line" coordsize="515620,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">
                      <v:shape id="object 6" o:spid="_x0000_s1039" style="position:absolute;width:515620;height:245745;visibility:visible;mso-wrap-style:square;v-text-anchor:top" coordsize="515620,24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" path="m515543,l,,,122796r9650,47797l35966,209626r39032,26316l122796,245592r269951,l440545,235942r39032,-26316l505893,170593r9650,-47797l515543,xe" fillcolor="#0c8140" stroked="f">
                        <v:path arrowok="t"/>
                      </v:shape>
                      <v:shape id="object 7" o:spid="_x0000_s1040" type="#_x0000_t202" style="position:absolute;left:94798;top:33867;width:323215;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" filled="f" stroked="f">
                        <v:textbox inset="0,1pt,0,0">
                          <w:txbxContent>
                            <w:p w14:paraId="50855A26" w14:textId="77777777" w:rsidR="009D0C1D" w:rsidRPr="0061381C" w:rsidRDefault="009D0C1D" w:rsidP="0061381C">
                              <w:pPr>
                                <w:ind w:left="14"/>
                                <w:rPr>
                                  <w:color w:val="FFFFFF"/>
                                  <w:spacing w:val="-5"/>
                                  <w:sz w:val="20"/>
                                  <w:szCs w:val="20"/>
                                </w:rPr>
                              </w:pPr>
                              <w:r>
                                <w:rPr>
                                  <w:color w:val="FFFFFF"/>
                                  <w:sz w:val="20"/>
                                </w:rPr>
                                <w:t>НОВЕ</w:t>
                              </w:r>
                            </w:p>
                          </w:txbxContent>
                        </v:textbox>
                      </v:shape>
                      <w10:anchorlock/>
                    </v:group>
                  </w:pict>
                </mc:Fallback>
              </mc:AlternateContent>
            </w:r>
          </w:p>
        </w:tc>
      </w:tr>
      <w:tr w:rsidR="00366CB9" w14:paraId="2AAFB72B" w14:textId="77777777" w:rsidTr="00473B26">
        <w:trPr>
          <w:trHeight w:hRule="exact" w:val="2232"/>
        </w:trPr>
        <w:tc>
          <w:tcPr>
            <w:tcW w:w="523" w:type="dxa"/>
            <w:tcBorders>
              <w:bottom w:val="single" w:sz="8" w:space="0" w:color="00B050"/>
            </w:tcBorders>
            <w:shd w:val="clear" w:color="auto" w:fill="FFFFFF"/>
          </w:tcPr>
          <w:p w14:paraId="770E9D3A" w14:textId="77777777" w:rsidR="00366CB9" w:rsidRDefault="009D0C1D" w:rsidP="0061381C">
            <w:pPr>
              <w:pStyle w:val="a6"/>
              <w:shd w:val="clear" w:color="auto" w:fill="auto"/>
              <w:jc w:val="both"/>
              <w:rPr>
                <w:sz w:val="20"/>
                <w:szCs w:val="20"/>
              </w:rPr>
            </w:pPr>
            <w:r>
              <w:rPr>
                <w:b w:val="0"/>
                <w:color w:val="000000"/>
                <w:sz w:val="20"/>
              </w:rPr>
              <w:t>4.</w:t>
            </w:r>
          </w:p>
        </w:tc>
        <w:tc>
          <w:tcPr>
            <w:tcW w:w="8582" w:type="dxa"/>
            <w:tcBorders>
              <w:bottom w:val="single" w:sz="8" w:space="0" w:color="00B050"/>
            </w:tcBorders>
            <w:shd w:val="clear" w:color="auto" w:fill="FFFFFF"/>
          </w:tcPr>
          <w:p w14:paraId="06B2BED9" w14:textId="77777777" w:rsidR="00366CB9" w:rsidRPr="006E22E5" w:rsidRDefault="009D0C1D" w:rsidP="0061381C">
            <w:pPr>
              <w:pStyle w:val="a6"/>
              <w:shd w:val="clear" w:color="auto" w:fill="auto"/>
              <w:spacing w:after="60" w:line="271" w:lineRule="auto"/>
              <w:rPr>
                <w:sz w:val="18"/>
                <w:szCs w:val="24"/>
              </w:rPr>
            </w:pPr>
            <w:r w:rsidRPr="006E22E5">
              <w:rPr>
                <w:b w:val="0"/>
                <w:color w:val="000000"/>
                <w:sz w:val="18"/>
                <w:szCs w:val="24"/>
              </w:rPr>
              <w:t xml:space="preserve">Для осіб з ознаками та симптомами позалегеневого ТБ для початкової діагностики ТБ необхідно застосовувати </w:t>
            </w:r>
            <w:r w:rsidRPr="006E22E5">
              <w:rPr>
                <w:color w:val="000000"/>
                <w:sz w:val="18"/>
                <w:szCs w:val="24"/>
              </w:rPr>
              <w:t>автоматизовані</w:t>
            </w:r>
            <w:r w:rsidRPr="006E22E5">
              <w:rPr>
                <w:b w:val="0"/>
                <w:color w:val="000000"/>
                <w:sz w:val="18"/>
                <w:szCs w:val="24"/>
              </w:rPr>
              <w:t xml:space="preserve"> NAAT низької складності на матеріалі тканини лімфатичних вузлів, плевральній тканині, плевральній, синовіальній, перитонеальній або перикардіальній рідині, а не мікроскопію мазка або посів.</w:t>
            </w:r>
          </w:p>
          <w:p w14:paraId="12503937" w14:textId="77777777" w:rsidR="00366CB9" w:rsidRPr="006E22E5" w:rsidRDefault="009D0C1D" w:rsidP="0061381C">
            <w:pPr>
              <w:pStyle w:val="a6"/>
              <w:shd w:val="clear" w:color="auto" w:fill="auto"/>
              <w:spacing w:line="271" w:lineRule="auto"/>
              <w:rPr>
                <w:i/>
                <w:iCs/>
                <w:sz w:val="18"/>
                <w:szCs w:val="24"/>
              </w:rPr>
            </w:pPr>
            <w:r w:rsidRPr="006E22E5">
              <w:rPr>
                <w:b w:val="0"/>
                <w:i/>
                <w:color w:val="000000"/>
                <w:sz w:val="18"/>
                <w:szCs w:val="24"/>
              </w:rPr>
              <w:t>(Сильна рекомендація, низький рівень достовірності доказів для синовіальної та перикардіальної рідини; дуже низький рівень достовірності доказів для матеріалу тканини лімфатичних вузлів, плевральної тканини, плевральної рідини та перитонеальної рідини)</w:t>
            </w:r>
          </w:p>
        </w:tc>
      </w:tr>
      <w:tr w:rsidR="0061381C" w14:paraId="738FC119" w14:textId="77777777" w:rsidTr="00473B26">
        <w:trPr>
          <w:trHeight w:hRule="exact" w:val="446"/>
        </w:trPr>
        <w:tc>
          <w:tcPr>
            <w:tcW w:w="523" w:type="dxa"/>
            <w:tcBorders>
              <w:top w:val="single" w:sz="8" w:space="0" w:color="00B050"/>
            </w:tcBorders>
            <w:shd w:val="clear" w:color="auto" w:fill="FFFFFF"/>
          </w:tcPr>
          <w:p w14:paraId="3212AB56" w14:textId="42D8E277" w:rsidR="0061381C" w:rsidRDefault="0061381C" w:rsidP="0061381C">
            <w:pPr>
              <w:rPr>
                <w:sz w:val="2"/>
                <w:szCs w:val="2"/>
              </w:rPr>
            </w:pPr>
          </w:p>
        </w:tc>
        <w:tc>
          <w:tcPr>
            <w:tcW w:w="8582" w:type="dxa"/>
            <w:tcBorders>
              <w:top w:val="single" w:sz="8" w:space="0" w:color="00B050"/>
            </w:tcBorders>
            <w:shd w:val="clear" w:color="auto" w:fill="FFFFFF"/>
          </w:tcPr>
          <w:p w14:paraId="1143DD5C" w14:textId="751A0D36" w:rsidR="0061381C" w:rsidRDefault="0061381C" w:rsidP="0061381C">
            <w:pPr>
              <w:jc w:val="right"/>
              <w:rPr>
                <w:sz w:val="2"/>
                <w:szCs w:val="2"/>
              </w:rPr>
            </w:pPr>
            <w:r>
              <w:rPr>
                <w:noProof/>
              </w:rPr>
              <mc:AlternateContent>
                <mc:Choice Requires="wpg">
                  <w:drawing>
                    <wp:inline distT="0" distB="0" distL="0" distR="0" wp14:anchorId="0379B879" wp14:editId="222BE4A3">
                      <wp:extent cx="634154" cy="338667"/>
                      <wp:effectExtent l="0" t="0" r="0" b="0"/>
                      <wp:docPr id="1232455652" name="Групувати 12"/>
                      <wp:cNvGraphicFramePr/>
                      <a:graphic xmlns:a="http://schemas.openxmlformats.org/drawingml/2006/main">
                        <a:graphicData uri="http://schemas.microsoft.com/office/word/2010/wordprocessingGroup">
                          <wpg:wgp>
                            <wpg:cNvGrpSpPr/>
                            <wpg:grpSpPr>
                              <a:xfrm>
                                <a:off x="0" y="0"/>
                                <a:ext cx="634154" cy="338667"/>
                                <a:chOff x="0" y="0"/>
                                <a:chExt cx="515620" cy="338667"/>
                              </a:xfrm>
                            </wpg:grpSpPr>
                            <wps:wsp>
                              <wps:cNvPr id="1247858366" name="object 6"/>
                              <wps:cNvSpPr/>
                              <wps:spPr>
                                <a:xfrm>
                                  <a:off x="0" y="0"/>
                                  <a:ext cx="515620" cy="245745"/>
                                </a:xfrm>
                                <a:custGeom>
                                  <a:avLst/>
                                  <a:gdLst/>
                                  <a:ahLst/>
                                  <a:cxnLst/>
                                  <a:rect l="l" t="t" r="r" b="b"/>
                                  <a:pathLst>
                                    <a:path w="515620" h="245744">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wps:wsp>
                            <wps:wsp>
                              <wps:cNvPr id="841137194" name="object 7"/>
                              <wps:cNvSpPr txBox="1"/>
                              <wps:spPr>
                                <a:xfrm>
                                  <a:off x="94798" y="33867"/>
                                  <a:ext cx="323215" cy="304800"/>
                                </a:xfrm>
                                <a:prstGeom prst="rect">
                                  <a:avLst/>
                                </a:prstGeom>
                              </wps:spPr>
                              <wps:txbx>
                                <w:txbxContent>
                                  <w:p w14:paraId="51E3EC9A" w14:textId="77777777" w:rsidR="009D0C1D" w:rsidRPr="0061381C" w:rsidRDefault="009D0C1D" w:rsidP="0061381C">
                                    <w:pPr>
                                      <w:ind w:left="14"/>
                                      <w:rPr>
                                        <w:color w:val="FFFFFF"/>
                                        <w:spacing w:val="-5"/>
                                        <w:sz w:val="20"/>
                                        <w:szCs w:val="20"/>
                                      </w:rPr>
                                    </w:pPr>
                                    <w:r>
                                      <w:rPr>
                                        <w:color w:val="FFFFFF"/>
                                        <w:sz w:val="20"/>
                                      </w:rPr>
                                      <w:t>НОВЕ</w:t>
                                    </w:r>
                                  </w:p>
                                </w:txbxContent>
                              </wps:txbx>
                              <wps:bodyPr vert="horz" wrap="square" lIns="0" tIns="12700" rIns="0" bIns="0" rtlCol="0">
                                <a:noAutofit/>
                              </wps:bodyPr>
                            </wps:wsp>
                          </wpg:wgp>
                        </a:graphicData>
                      </a:graphic>
                    </wp:inline>
                  </w:drawing>
                </mc:Choice>
                <mc:Fallback>
                  <w:pict>
                    <v:group w14:anchorId="0379B879" id="_x0000_s1041" style="width:49.95pt;height:26.65pt;mso-position-horizontal-relative:char;mso-position-vertical-relative:line" coordsize="515620,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">
                      <v:shape id="object 6" o:spid="_x0000_s1042" style="position:absolute;width:515620;height:245745;visibility:visible;mso-wrap-style:square;v-text-anchor:top" coordsize="515620,24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" path="m515543,l,,,122796r9650,47797l35966,209626r39032,26316l122796,245592r269951,l440545,235942r39032,-26316l505893,170593r9650,-47797l515543,xe" fillcolor="#0c8140" stroked="f">
                        <v:path arrowok="t"/>
                      </v:shape>
                      <v:shape id="object 7" o:spid="_x0000_s1043" type="#_x0000_t202" style="position:absolute;left:94798;top:33867;width:323215;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" filled="f" stroked="f">
                        <v:textbox inset="0,1pt,0,0">
                          <w:txbxContent>
                            <w:p w14:paraId="51E3EC9A" w14:textId="77777777" w:rsidR="009D0C1D" w:rsidRPr="0061381C" w:rsidRDefault="009D0C1D" w:rsidP="0061381C">
                              <w:pPr>
                                <w:ind w:left="14"/>
                                <w:rPr>
                                  <w:color w:val="FFFFFF"/>
                                  <w:spacing w:val="-5"/>
                                  <w:sz w:val="20"/>
                                  <w:szCs w:val="20"/>
                                </w:rPr>
                              </w:pPr>
                              <w:r>
                                <w:rPr>
                                  <w:color w:val="FFFFFF"/>
                                  <w:sz w:val="20"/>
                                </w:rPr>
                                <w:t>НОВЕ</w:t>
                              </w:r>
                            </w:p>
                          </w:txbxContent>
                        </v:textbox>
                      </v:shape>
                      <w10:anchorlock/>
                    </v:group>
                  </w:pict>
                </mc:Fallback>
              </mc:AlternateContent>
            </w:r>
          </w:p>
        </w:tc>
      </w:tr>
      <w:tr w:rsidR="00366CB9" w14:paraId="7C1B7BEE" w14:textId="77777777" w:rsidTr="00473B26">
        <w:trPr>
          <w:trHeight w:hRule="exact" w:val="1403"/>
        </w:trPr>
        <w:tc>
          <w:tcPr>
            <w:tcW w:w="523" w:type="dxa"/>
            <w:tcBorders>
              <w:bottom w:val="single" w:sz="8" w:space="0" w:color="00B050"/>
            </w:tcBorders>
            <w:shd w:val="clear" w:color="auto" w:fill="FFFFFF"/>
          </w:tcPr>
          <w:p w14:paraId="6CEFE280" w14:textId="77777777" w:rsidR="00366CB9" w:rsidRDefault="009D0C1D" w:rsidP="0061381C">
            <w:pPr>
              <w:pStyle w:val="a6"/>
              <w:shd w:val="clear" w:color="auto" w:fill="auto"/>
              <w:jc w:val="both"/>
              <w:rPr>
                <w:sz w:val="20"/>
                <w:szCs w:val="20"/>
              </w:rPr>
            </w:pPr>
            <w:r>
              <w:rPr>
                <w:b w:val="0"/>
                <w:color w:val="000000"/>
                <w:sz w:val="20"/>
              </w:rPr>
              <w:t>5.</w:t>
            </w:r>
          </w:p>
        </w:tc>
        <w:tc>
          <w:tcPr>
            <w:tcW w:w="8582" w:type="dxa"/>
            <w:tcBorders>
              <w:bottom w:val="single" w:sz="8" w:space="0" w:color="00B050"/>
            </w:tcBorders>
            <w:shd w:val="clear" w:color="auto" w:fill="FFFFFF"/>
          </w:tcPr>
          <w:p w14:paraId="12C79250" w14:textId="77777777" w:rsidR="004B7924" w:rsidRPr="0014192D" w:rsidRDefault="009D0C1D" w:rsidP="0061381C">
            <w:pPr>
              <w:pStyle w:val="a6"/>
              <w:shd w:val="clear" w:color="auto" w:fill="auto"/>
              <w:spacing w:line="300" w:lineRule="auto"/>
              <w:rPr>
                <w:b w:val="0"/>
                <w:color w:val="000000"/>
                <w:sz w:val="18"/>
                <w:szCs w:val="24"/>
              </w:rPr>
            </w:pPr>
            <w:r w:rsidRPr="006E22E5">
              <w:rPr>
                <w:b w:val="0"/>
                <w:color w:val="000000"/>
                <w:sz w:val="18"/>
                <w:szCs w:val="24"/>
              </w:rPr>
              <w:t xml:space="preserve">Для осіб з ознаками та симптомами позалегеневого ТБ для виявлення ТБ легень та резистентності до рифампіцину та ізоніазиду на зразках з дихальних проб необхідно застосовувати </w:t>
            </w:r>
            <w:r w:rsidRPr="006E22E5">
              <w:rPr>
                <w:color w:val="000000"/>
                <w:sz w:val="18"/>
                <w:szCs w:val="24"/>
              </w:rPr>
              <w:t>автоматизовані</w:t>
            </w:r>
            <w:r w:rsidRPr="006E22E5">
              <w:rPr>
                <w:b w:val="0"/>
                <w:color w:val="000000"/>
                <w:sz w:val="18"/>
                <w:szCs w:val="24"/>
              </w:rPr>
              <w:t xml:space="preserve"> NAAT середньої складності, а не посіви та фенотипове ТМЧ. </w:t>
            </w:r>
          </w:p>
          <w:p w14:paraId="49D1439B" w14:textId="23371258" w:rsidR="00366CB9" w:rsidRPr="006E22E5" w:rsidRDefault="009D0C1D" w:rsidP="0061381C">
            <w:pPr>
              <w:pStyle w:val="a6"/>
              <w:shd w:val="clear" w:color="auto" w:fill="auto"/>
              <w:spacing w:line="300" w:lineRule="auto"/>
              <w:rPr>
                <w:sz w:val="18"/>
                <w:szCs w:val="24"/>
              </w:rPr>
            </w:pPr>
            <w:r w:rsidRPr="006E22E5">
              <w:rPr>
                <w:b w:val="0"/>
                <w:i/>
                <w:color w:val="000000"/>
                <w:sz w:val="18"/>
                <w:szCs w:val="24"/>
              </w:rPr>
              <w:t>(Умовна рекомендація, середній рівень достовірності доказів)</w:t>
            </w:r>
          </w:p>
        </w:tc>
      </w:tr>
      <w:tr w:rsidR="0061381C" w14:paraId="2989F081" w14:textId="77777777" w:rsidTr="00473B26">
        <w:trPr>
          <w:trHeight w:hRule="exact" w:val="432"/>
        </w:trPr>
        <w:tc>
          <w:tcPr>
            <w:tcW w:w="523" w:type="dxa"/>
            <w:tcBorders>
              <w:top w:val="single" w:sz="8" w:space="0" w:color="00B050"/>
            </w:tcBorders>
            <w:shd w:val="clear" w:color="auto" w:fill="FFFFFF"/>
          </w:tcPr>
          <w:p w14:paraId="456E4582" w14:textId="1574C480" w:rsidR="0061381C" w:rsidRDefault="0061381C" w:rsidP="0061381C">
            <w:pPr>
              <w:rPr>
                <w:sz w:val="2"/>
                <w:szCs w:val="2"/>
              </w:rPr>
            </w:pPr>
          </w:p>
        </w:tc>
        <w:tc>
          <w:tcPr>
            <w:tcW w:w="8582" w:type="dxa"/>
            <w:tcBorders>
              <w:top w:val="single" w:sz="8" w:space="0" w:color="00B050"/>
            </w:tcBorders>
            <w:shd w:val="clear" w:color="auto" w:fill="FFFFFF"/>
          </w:tcPr>
          <w:p w14:paraId="326D635F" w14:textId="41F04CFB" w:rsidR="0061381C" w:rsidRDefault="0061381C" w:rsidP="0061381C">
            <w:pPr>
              <w:jc w:val="right"/>
              <w:rPr>
                <w:sz w:val="2"/>
                <w:szCs w:val="2"/>
              </w:rPr>
            </w:pPr>
            <w:r>
              <w:rPr>
                <w:noProof/>
              </w:rPr>
              <mc:AlternateContent>
                <mc:Choice Requires="wpg">
                  <w:drawing>
                    <wp:inline distT="0" distB="0" distL="0" distR="0" wp14:anchorId="3AC60769" wp14:editId="38C74197">
                      <wp:extent cx="634154" cy="338667"/>
                      <wp:effectExtent l="0" t="0" r="0" b="0"/>
                      <wp:docPr id="1302605130" name="Групувати 12"/>
                      <wp:cNvGraphicFramePr/>
                      <a:graphic xmlns:a="http://schemas.openxmlformats.org/drawingml/2006/main">
                        <a:graphicData uri="http://schemas.microsoft.com/office/word/2010/wordprocessingGroup">
                          <wpg:wgp>
                            <wpg:cNvGrpSpPr/>
                            <wpg:grpSpPr>
                              <a:xfrm>
                                <a:off x="0" y="0"/>
                                <a:ext cx="634154" cy="338667"/>
                                <a:chOff x="0" y="0"/>
                                <a:chExt cx="515620" cy="338667"/>
                              </a:xfrm>
                            </wpg:grpSpPr>
                            <wps:wsp>
                              <wps:cNvPr id="590995238" name="object 6"/>
                              <wps:cNvSpPr/>
                              <wps:spPr>
                                <a:xfrm>
                                  <a:off x="0" y="0"/>
                                  <a:ext cx="515620" cy="245745"/>
                                </a:xfrm>
                                <a:custGeom>
                                  <a:avLst/>
                                  <a:gdLst/>
                                  <a:ahLst/>
                                  <a:cxnLst/>
                                  <a:rect l="l" t="t" r="r" b="b"/>
                                  <a:pathLst>
                                    <a:path w="515620" h="245744">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wps:wsp>
                            <wps:wsp>
                              <wps:cNvPr id="1841813240" name="object 7"/>
                              <wps:cNvSpPr txBox="1"/>
                              <wps:spPr>
                                <a:xfrm>
                                  <a:off x="94798" y="33867"/>
                                  <a:ext cx="323215" cy="304800"/>
                                </a:xfrm>
                                <a:prstGeom prst="rect">
                                  <a:avLst/>
                                </a:prstGeom>
                              </wps:spPr>
                              <wps:txbx>
                                <w:txbxContent>
                                  <w:p w14:paraId="2DF4B0C3" w14:textId="77777777" w:rsidR="009D0C1D" w:rsidRPr="0061381C" w:rsidRDefault="009D0C1D" w:rsidP="0061381C">
                                    <w:pPr>
                                      <w:ind w:left="14"/>
                                      <w:rPr>
                                        <w:color w:val="FFFFFF"/>
                                        <w:spacing w:val="-5"/>
                                        <w:sz w:val="20"/>
                                        <w:szCs w:val="20"/>
                                      </w:rPr>
                                    </w:pPr>
                                    <w:r>
                                      <w:rPr>
                                        <w:color w:val="FFFFFF"/>
                                        <w:sz w:val="20"/>
                                      </w:rPr>
                                      <w:t>НОВЕ</w:t>
                                    </w:r>
                                  </w:p>
                                </w:txbxContent>
                              </wps:txbx>
                              <wps:bodyPr vert="horz" wrap="square" lIns="0" tIns="12700" rIns="0" bIns="0" rtlCol="0">
                                <a:noAutofit/>
                              </wps:bodyPr>
                            </wps:wsp>
                          </wpg:wgp>
                        </a:graphicData>
                      </a:graphic>
                    </wp:inline>
                  </w:drawing>
                </mc:Choice>
                <mc:Fallback>
                  <w:pict>
                    <v:group w14:anchorId="3AC60769" id="_x0000_s1044" style="width:49.95pt;height:26.65pt;mso-position-horizontal-relative:char;mso-position-vertical-relative:line" coordsize="515620,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">
                      <v:shape id="object 6" o:spid="_x0000_s1045" style="position:absolute;width:515620;height:245745;visibility:visible;mso-wrap-style:square;v-text-anchor:top" coordsize="515620,24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" path="m515543,l,,,122796r9650,47797l35966,209626r39032,26316l122796,245592r269951,l440545,235942r39032,-26316l505893,170593r9650,-47797l515543,xe" fillcolor="#0c8140" stroked="f">
                        <v:path arrowok="t"/>
                      </v:shape>
                      <v:shape id="object 7" o:spid="_x0000_s1046" type="#_x0000_t202" style="position:absolute;left:94798;top:33867;width:323215;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" filled="f" stroked="f">
                        <v:textbox inset="0,1pt,0,0">
                          <w:txbxContent>
                            <w:p w14:paraId="2DF4B0C3" w14:textId="77777777" w:rsidR="009D0C1D" w:rsidRPr="0061381C" w:rsidRDefault="009D0C1D" w:rsidP="0061381C">
                              <w:pPr>
                                <w:ind w:left="14"/>
                                <w:rPr>
                                  <w:color w:val="FFFFFF"/>
                                  <w:spacing w:val="-5"/>
                                  <w:sz w:val="20"/>
                                  <w:szCs w:val="20"/>
                                </w:rPr>
                              </w:pPr>
                              <w:r>
                                <w:rPr>
                                  <w:color w:val="FFFFFF"/>
                                  <w:sz w:val="20"/>
                                </w:rPr>
                                <w:t>НОВЕ</w:t>
                              </w:r>
                            </w:p>
                          </w:txbxContent>
                        </v:textbox>
                      </v:shape>
                      <w10:anchorlock/>
                    </v:group>
                  </w:pict>
                </mc:Fallback>
              </mc:AlternateContent>
            </w:r>
          </w:p>
        </w:tc>
      </w:tr>
      <w:tr w:rsidR="00366CB9" w14:paraId="65C4861C" w14:textId="77777777" w:rsidTr="00473B26">
        <w:trPr>
          <w:trHeight w:hRule="exact" w:val="1195"/>
        </w:trPr>
        <w:tc>
          <w:tcPr>
            <w:tcW w:w="523" w:type="dxa"/>
            <w:tcBorders>
              <w:bottom w:val="single" w:sz="8" w:space="0" w:color="00B050"/>
            </w:tcBorders>
            <w:shd w:val="clear" w:color="auto" w:fill="FFFFFF"/>
          </w:tcPr>
          <w:p w14:paraId="2BDC5929" w14:textId="77777777" w:rsidR="00366CB9" w:rsidRDefault="009D0C1D" w:rsidP="0061381C">
            <w:pPr>
              <w:pStyle w:val="a6"/>
              <w:shd w:val="clear" w:color="auto" w:fill="auto"/>
              <w:jc w:val="both"/>
              <w:rPr>
                <w:sz w:val="20"/>
                <w:szCs w:val="20"/>
              </w:rPr>
            </w:pPr>
            <w:r>
              <w:rPr>
                <w:b w:val="0"/>
                <w:color w:val="000000"/>
                <w:sz w:val="20"/>
              </w:rPr>
              <w:t>6.</w:t>
            </w:r>
          </w:p>
        </w:tc>
        <w:tc>
          <w:tcPr>
            <w:tcW w:w="8582" w:type="dxa"/>
            <w:tcBorders>
              <w:bottom w:val="single" w:sz="8" w:space="0" w:color="00B050"/>
            </w:tcBorders>
            <w:shd w:val="clear" w:color="auto" w:fill="FFFFFF"/>
          </w:tcPr>
          <w:p w14:paraId="3F553AA2" w14:textId="77777777" w:rsidR="00366CB9" w:rsidRPr="006E22E5" w:rsidRDefault="009D0C1D" w:rsidP="0061381C">
            <w:pPr>
              <w:pStyle w:val="a6"/>
              <w:shd w:val="clear" w:color="auto" w:fill="auto"/>
              <w:spacing w:after="60" w:line="276" w:lineRule="auto"/>
              <w:rPr>
                <w:sz w:val="18"/>
                <w:szCs w:val="24"/>
              </w:rPr>
            </w:pPr>
            <w:r w:rsidRPr="006E22E5">
              <w:rPr>
                <w:b w:val="0"/>
                <w:color w:val="000000"/>
                <w:sz w:val="18"/>
                <w:szCs w:val="24"/>
              </w:rPr>
              <w:t xml:space="preserve">Для дорослих та підлітків з ознаками або симптомами ТБ, або позитивним результатом тесту на ТБ легень, початковими діагностичними тестами на ТБ мають бути </w:t>
            </w:r>
            <w:r w:rsidRPr="006E22E5">
              <w:rPr>
                <w:color w:val="000000"/>
                <w:sz w:val="18"/>
                <w:szCs w:val="24"/>
              </w:rPr>
              <w:t>ручні</w:t>
            </w:r>
            <w:r w:rsidRPr="006E22E5">
              <w:rPr>
                <w:b w:val="0"/>
                <w:color w:val="000000"/>
                <w:sz w:val="18"/>
                <w:szCs w:val="24"/>
              </w:rPr>
              <w:t xml:space="preserve"> NAAT низької складності на зразках з дихальних шляхів, а не мікроскопія мазка або посів.</w:t>
            </w:r>
          </w:p>
          <w:p w14:paraId="43B7304B" w14:textId="77777777" w:rsidR="00366CB9" w:rsidRPr="006E22E5" w:rsidRDefault="009D0C1D" w:rsidP="0061381C">
            <w:pPr>
              <w:pStyle w:val="a6"/>
              <w:shd w:val="clear" w:color="auto" w:fill="auto"/>
              <w:spacing w:line="276" w:lineRule="auto"/>
              <w:rPr>
                <w:sz w:val="18"/>
                <w:szCs w:val="24"/>
              </w:rPr>
            </w:pPr>
            <w:r w:rsidRPr="006E22E5">
              <w:rPr>
                <w:b w:val="0"/>
                <w:color w:val="000000"/>
                <w:sz w:val="18"/>
                <w:szCs w:val="24"/>
              </w:rPr>
              <w:t>(Сильна рекомендація, високий рівень достовірності доказів)</w:t>
            </w:r>
          </w:p>
        </w:tc>
      </w:tr>
      <w:tr w:rsidR="00366CB9" w14:paraId="6FB581EF" w14:textId="77777777" w:rsidTr="00473B26">
        <w:trPr>
          <w:trHeight w:hRule="exact" w:val="1652"/>
        </w:trPr>
        <w:tc>
          <w:tcPr>
            <w:tcW w:w="523" w:type="dxa"/>
            <w:tcBorders>
              <w:top w:val="single" w:sz="8" w:space="0" w:color="00B050"/>
              <w:bottom w:val="single" w:sz="8" w:space="0" w:color="00B050"/>
            </w:tcBorders>
            <w:shd w:val="clear" w:color="auto" w:fill="FFFFFF"/>
          </w:tcPr>
          <w:p w14:paraId="3F59CA58" w14:textId="77777777" w:rsidR="00366CB9" w:rsidRDefault="009D0C1D" w:rsidP="0061381C">
            <w:pPr>
              <w:pStyle w:val="a6"/>
              <w:shd w:val="clear" w:color="auto" w:fill="auto"/>
              <w:spacing w:before="100"/>
              <w:jc w:val="both"/>
              <w:rPr>
                <w:sz w:val="20"/>
                <w:szCs w:val="20"/>
              </w:rPr>
            </w:pPr>
            <w:r>
              <w:rPr>
                <w:b w:val="0"/>
                <w:color w:val="000000"/>
                <w:sz w:val="20"/>
              </w:rPr>
              <w:t>7.</w:t>
            </w:r>
          </w:p>
        </w:tc>
        <w:tc>
          <w:tcPr>
            <w:tcW w:w="8582" w:type="dxa"/>
            <w:tcBorders>
              <w:top w:val="single" w:sz="8" w:space="0" w:color="00B050"/>
              <w:bottom w:val="single" w:sz="8" w:space="0" w:color="00B050"/>
            </w:tcBorders>
            <w:shd w:val="clear" w:color="auto" w:fill="FFFFFF"/>
          </w:tcPr>
          <w:p w14:paraId="72B47A91" w14:textId="77777777" w:rsidR="00366CB9" w:rsidRPr="006E22E5" w:rsidRDefault="009D0C1D" w:rsidP="0061381C">
            <w:pPr>
              <w:pStyle w:val="a6"/>
              <w:shd w:val="clear" w:color="auto" w:fill="auto"/>
              <w:spacing w:after="60" w:line="271" w:lineRule="auto"/>
              <w:rPr>
                <w:sz w:val="18"/>
                <w:szCs w:val="24"/>
              </w:rPr>
            </w:pPr>
            <w:r w:rsidRPr="006E22E5">
              <w:rPr>
                <w:b w:val="0"/>
                <w:color w:val="000000"/>
                <w:sz w:val="18"/>
                <w:szCs w:val="24"/>
              </w:rPr>
              <w:t>Для дорослих та підлітків з ВІЛ, у яких спостерігаються ознаки або симптоми ТБ, позитивний результат тесту на ТБ, тяжка або запущена форму ВІЛ-інфекції, початковою діагностичною стратегією для діагностики ТБ мають бути одночасні автоматизовані NAAT низької складності на зразках з дихальних шляхів та LF-LAM на зразках сечі, а не лише автоматизовані NAAT низької складності на зразках з дихальних шляхів.</w:t>
            </w:r>
          </w:p>
          <w:p w14:paraId="10CEFC66" w14:textId="77777777" w:rsidR="00366CB9" w:rsidRPr="006E22E5" w:rsidRDefault="009D0C1D" w:rsidP="0061381C">
            <w:pPr>
              <w:pStyle w:val="a6"/>
              <w:shd w:val="clear" w:color="auto" w:fill="auto"/>
              <w:spacing w:line="271" w:lineRule="auto"/>
              <w:rPr>
                <w:i/>
                <w:iCs/>
                <w:sz w:val="18"/>
                <w:szCs w:val="24"/>
              </w:rPr>
            </w:pPr>
            <w:r w:rsidRPr="006E22E5">
              <w:rPr>
                <w:b w:val="0"/>
                <w:i/>
                <w:color w:val="000000"/>
                <w:sz w:val="18"/>
                <w:szCs w:val="24"/>
              </w:rPr>
              <w:t>(Сильна рекомендація, низький рівень достовірності доказів)</w:t>
            </w:r>
          </w:p>
        </w:tc>
      </w:tr>
      <w:tr w:rsidR="0061381C" w14:paraId="1D455428" w14:textId="77777777" w:rsidTr="00473B26">
        <w:trPr>
          <w:trHeight w:hRule="exact" w:val="437"/>
        </w:trPr>
        <w:tc>
          <w:tcPr>
            <w:tcW w:w="523" w:type="dxa"/>
            <w:tcBorders>
              <w:top w:val="single" w:sz="8" w:space="0" w:color="00B050"/>
            </w:tcBorders>
            <w:shd w:val="clear" w:color="auto" w:fill="FFFFFF"/>
          </w:tcPr>
          <w:p w14:paraId="2146A676" w14:textId="3BA3311A" w:rsidR="0061381C" w:rsidRDefault="0061381C" w:rsidP="0061381C">
            <w:pPr>
              <w:rPr>
                <w:sz w:val="2"/>
                <w:szCs w:val="2"/>
              </w:rPr>
            </w:pPr>
          </w:p>
        </w:tc>
        <w:tc>
          <w:tcPr>
            <w:tcW w:w="8582" w:type="dxa"/>
            <w:tcBorders>
              <w:top w:val="single" w:sz="8" w:space="0" w:color="00B050"/>
            </w:tcBorders>
            <w:shd w:val="clear" w:color="auto" w:fill="FFFFFF"/>
          </w:tcPr>
          <w:p w14:paraId="2E6CC16E" w14:textId="37A5F93F" w:rsidR="0061381C" w:rsidRDefault="0061381C" w:rsidP="0061381C">
            <w:pPr>
              <w:jc w:val="right"/>
              <w:rPr>
                <w:sz w:val="2"/>
                <w:szCs w:val="2"/>
              </w:rPr>
            </w:pPr>
            <w:r>
              <w:rPr>
                <w:noProof/>
              </w:rPr>
              <mc:AlternateContent>
                <mc:Choice Requires="wpg">
                  <w:drawing>
                    <wp:inline distT="0" distB="0" distL="0" distR="0" wp14:anchorId="7557AB7E" wp14:editId="4E455A2C">
                      <wp:extent cx="625687" cy="338667"/>
                      <wp:effectExtent l="0" t="0" r="3175" b="0"/>
                      <wp:docPr id="871816220" name="Групувати 12"/>
                      <wp:cNvGraphicFramePr/>
                      <a:graphic xmlns:a="http://schemas.openxmlformats.org/drawingml/2006/main">
                        <a:graphicData uri="http://schemas.microsoft.com/office/word/2010/wordprocessingGroup">
                          <wpg:wgp>
                            <wpg:cNvGrpSpPr/>
                            <wpg:grpSpPr>
                              <a:xfrm>
                                <a:off x="0" y="0"/>
                                <a:ext cx="625687" cy="338667"/>
                                <a:chOff x="0" y="0"/>
                                <a:chExt cx="515620" cy="338667"/>
                              </a:xfrm>
                            </wpg:grpSpPr>
                            <wps:wsp>
                              <wps:cNvPr id="1168460235" name="object 6"/>
                              <wps:cNvSpPr/>
                              <wps:spPr>
                                <a:xfrm>
                                  <a:off x="0" y="0"/>
                                  <a:ext cx="515620" cy="245745"/>
                                </a:xfrm>
                                <a:custGeom>
                                  <a:avLst/>
                                  <a:gdLst/>
                                  <a:ahLst/>
                                  <a:cxnLst/>
                                  <a:rect l="l" t="t" r="r" b="b"/>
                                  <a:pathLst>
                                    <a:path w="515620" h="245744">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wps:wsp>
                            <wps:wsp>
                              <wps:cNvPr id="1154066750" name="object 7"/>
                              <wps:cNvSpPr txBox="1"/>
                              <wps:spPr>
                                <a:xfrm>
                                  <a:off x="94798" y="33867"/>
                                  <a:ext cx="323215" cy="304800"/>
                                </a:xfrm>
                                <a:prstGeom prst="rect">
                                  <a:avLst/>
                                </a:prstGeom>
                              </wps:spPr>
                              <wps:txbx>
                                <w:txbxContent>
                                  <w:p w14:paraId="31D140CA" w14:textId="77777777" w:rsidR="009D0C1D" w:rsidRPr="0061381C" w:rsidRDefault="009D0C1D" w:rsidP="0061381C">
                                    <w:pPr>
                                      <w:ind w:left="14"/>
                                      <w:rPr>
                                        <w:color w:val="FFFFFF"/>
                                        <w:spacing w:val="-5"/>
                                        <w:sz w:val="20"/>
                                        <w:szCs w:val="20"/>
                                      </w:rPr>
                                    </w:pPr>
                                    <w:r>
                                      <w:rPr>
                                        <w:color w:val="FFFFFF"/>
                                        <w:sz w:val="20"/>
                                      </w:rPr>
                                      <w:t>НОВЕ</w:t>
                                    </w:r>
                                  </w:p>
                                </w:txbxContent>
                              </wps:txbx>
                              <wps:bodyPr vert="horz" wrap="square" lIns="0" tIns="12700" rIns="0" bIns="0" rtlCol="0">
                                <a:noAutofit/>
                              </wps:bodyPr>
                            </wps:wsp>
                          </wpg:wgp>
                        </a:graphicData>
                      </a:graphic>
                    </wp:inline>
                  </w:drawing>
                </mc:Choice>
                <mc:Fallback>
                  <w:pict>
                    <v:group w14:anchorId="7557AB7E" id="_x0000_s1047" style="width:49.25pt;height:26.65pt;mso-position-horizontal-relative:char;mso-position-vertical-relative:line" coordsize="515620,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">
                      <v:shape id="object 6" o:spid="_x0000_s1048" style="position:absolute;width:515620;height:245745;visibility:visible;mso-wrap-style:square;v-text-anchor:top" coordsize="515620,24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" path="m515543,l,,,122796r9650,47797l35966,209626r39032,26316l122796,245592r269951,l440545,235942r39032,-26316l505893,170593r9650,-47797l515543,xe" fillcolor="#0c8140" stroked="f">
                        <v:path arrowok="t"/>
                      </v:shape>
                      <v:shape id="object 7" o:spid="_x0000_s1049" type="#_x0000_t202" style="position:absolute;left:94798;top:33867;width:323215;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" filled="f" stroked="f">
                        <v:textbox inset="0,1pt,0,0">
                          <w:txbxContent>
                            <w:p w14:paraId="31D140CA" w14:textId="77777777" w:rsidR="009D0C1D" w:rsidRPr="0061381C" w:rsidRDefault="009D0C1D" w:rsidP="0061381C">
                              <w:pPr>
                                <w:ind w:left="14"/>
                                <w:rPr>
                                  <w:color w:val="FFFFFF"/>
                                  <w:spacing w:val="-5"/>
                                  <w:sz w:val="20"/>
                                  <w:szCs w:val="20"/>
                                </w:rPr>
                              </w:pPr>
                              <w:r>
                                <w:rPr>
                                  <w:color w:val="FFFFFF"/>
                                  <w:sz w:val="20"/>
                                </w:rPr>
                                <w:t>НОВЕ</w:t>
                              </w:r>
                            </w:p>
                          </w:txbxContent>
                        </v:textbox>
                      </v:shape>
                      <w10:anchorlock/>
                    </v:group>
                  </w:pict>
                </mc:Fallback>
              </mc:AlternateContent>
            </w:r>
          </w:p>
        </w:tc>
      </w:tr>
      <w:tr w:rsidR="00366CB9" w14:paraId="585F6D24" w14:textId="77777777" w:rsidTr="00473B26">
        <w:trPr>
          <w:trHeight w:hRule="exact" w:val="1519"/>
        </w:trPr>
        <w:tc>
          <w:tcPr>
            <w:tcW w:w="523" w:type="dxa"/>
            <w:tcBorders>
              <w:bottom w:val="single" w:sz="8" w:space="0" w:color="00B050"/>
            </w:tcBorders>
            <w:shd w:val="clear" w:color="auto" w:fill="FFFFFF"/>
          </w:tcPr>
          <w:p w14:paraId="07BA490B" w14:textId="77777777" w:rsidR="00366CB9" w:rsidRDefault="009D0C1D" w:rsidP="0061381C">
            <w:pPr>
              <w:pStyle w:val="a6"/>
              <w:shd w:val="clear" w:color="auto" w:fill="auto"/>
              <w:jc w:val="both"/>
              <w:rPr>
                <w:sz w:val="20"/>
                <w:szCs w:val="20"/>
              </w:rPr>
            </w:pPr>
            <w:r>
              <w:rPr>
                <w:b w:val="0"/>
                <w:color w:val="000000"/>
                <w:sz w:val="20"/>
              </w:rPr>
              <w:t>8.</w:t>
            </w:r>
          </w:p>
        </w:tc>
        <w:tc>
          <w:tcPr>
            <w:tcW w:w="8582" w:type="dxa"/>
            <w:tcBorders>
              <w:bottom w:val="single" w:sz="8" w:space="0" w:color="00B050"/>
            </w:tcBorders>
            <w:shd w:val="clear" w:color="auto" w:fill="FFFFFF"/>
          </w:tcPr>
          <w:p w14:paraId="1090DB8E" w14:textId="77777777" w:rsidR="00366CB9" w:rsidRPr="006E22E5" w:rsidRDefault="009D0C1D" w:rsidP="0061381C">
            <w:pPr>
              <w:pStyle w:val="a6"/>
              <w:shd w:val="clear" w:color="auto" w:fill="auto"/>
              <w:spacing w:after="60" w:line="271" w:lineRule="auto"/>
              <w:rPr>
                <w:sz w:val="18"/>
                <w:szCs w:val="24"/>
              </w:rPr>
            </w:pPr>
            <w:r w:rsidRPr="006E22E5">
              <w:rPr>
                <w:b w:val="0"/>
                <w:color w:val="000000"/>
                <w:sz w:val="18"/>
                <w:szCs w:val="24"/>
              </w:rPr>
              <w:t xml:space="preserve">Для дітей з негативним або невідомим ВІЛ-статусом, ознаками або симптомами, або позитивним результатом тесту на ТБ легень, початковою діагностичною стратегією для діагностики ТБ мають бути одночасні </w:t>
            </w:r>
            <w:r w:rsidRPr="006E22E5">
              <w:rPr>
                <w:color w:val="000000"/>
                <w:sz w:val="18"/>
                <w:szCs w:val="24"/>
              </w:rPr>
              <w:t>автоматизовані</w:t>
            </w:r>
            <w:r w:rsidRPr="006E22E5">
              <w:rPr>
                <w:b w:val="0"/>
                <w:color w:val="000000"/>
                <w:sz w:val="18"/>
                <w:szCs w:val="24"/>
              </w:rPr>
              <w:t xml:space="preserve"> NAAT низької складності на дихальних пробах та зразках калу, а не лише </w:t>
            </w:r>
            <w:r w:rsidRPr="006E22E5">
              <w:rPr>
                <w:color w:val="000000"/>
                <w:sz w:val="18"/>
                <w:szCs w:val="24"/>
              </w:rPr>
              <w:t xml:space="preserve">автоматизовані </w:t>
            </w:r>
            <w:r w:rsidRPr="006E22E5">
              <w:rPr>
                <w:b w:val="0"/>
                <w:color w:val="000000"/>
                <w:sz w:val="18"/>
                <w:szCs w:val="24"/>
              </w:rPr>
              <w:t>NAAT низької складності на дихальних пробах або зразках калу.</w:t>
            </w:r>
          </w:p>
          <w:p w14:paraId="20437EAD" w14:textId="77777777" w:rsidR="00366CB9" w:rsidRPr="006E22E5" w:rsidRDefault="009D0C1D" w:rsidP="0061381C">
            <w:pPr>
              <w:pStyle w:val="a6"/>
              <w:shd w:val="clear" w:color="auto" w:fill="auto"/>
              <w:spacing w:line="271" w:lineRule="auto"/>
              <w:rPr>
                <w:sz w:val="18"/>
                <w:szCs w:val="24"/>
              </w:rPr>
            </w:pPr>
            <w:r w:rsidRPr="006E22E5">
              <w:rPr>
                <w:b w:val="0"/>
                <w:color w:val="000000"/>
                <w:sz w:val="18"/>
                <w:szCs w:val="24"/>
              </w:rPr>
              <w:t>(Сильна рекомендація, низький рівень достовірності доказів)</w:t>
            </w:r>
          </w:p>
        </w:tc>
      </w:tr>
      <w:tr w:rsidR="0061381C" w14:paraId="7E8495AB" w14:textId="77777777" w:rsidTr="00473B26">
        <w:trPr>
          <w:trHeight w:hRule="exact" w:val="451"/>
        </w:trPr>
        <w:tc>
          <w:tcPr>
            <w:tcW w:w="523" w:type="dxa"/>
            <w:tcBorders>
              <w:top w:val="single" w:sz="8" w:space="0" w:color="00B050"/>
            </w:tcBorders>
            <w:shd w:val="clear" w:color="auto" w:fill="FFFFFF"/>
          </w:tcPr>
          <w:p w14:paraId="5FEAE40E" w14:textId="7E9F7AAC" w:rsidR="0061381C" w:rsidRDefault="0061381C" w:rsidP="0061381C">
            <w:pPr>
              <w:rPr>
                <w:sz w:val="2"/>
                <w:szCs w:val="2"/>
              </w:rPr>
            </w:pPr>
          </w:p>
        </w:tc>
        <w:tc>
          <w:tcPr>
            <w:tcW w:w="8582" w:type="dxa"/>
            <w:tcBorders>
              <w:top w:val="single" w:sz="8" w:space="0" w:color="00B050"/>
            </w:tcBorders>
            <w:shd w:val="clear" w:color="auto" w:fill="FFFFFF"/>
          </w:tcPr>
          <w:p w14:paraId="513BCF17" w14:textId="58E38474" w:rsidR="0061381C" w:rsidRDefault="0061381C" w:rsidP="0061381C">
            <w:pPr>
              <w:jc w:val="right"/>
              <w:rPr>
                <w:sz w:val="2"/>
                <w:szCs w:val="2"/>
              </w:rPr>
            </w:pPr>
            <w:r>
              <w:rPr>
                <w:noProof/>
              </w:rPr>
              <mc:AlternateContent>
                <mc:Choice Requires="wpg">
                  <w:drawing>
                    <wp:inline distT="0" distB="0" distL="0" distR="0" wp14:anchorId="2B5D30CE" wp14:editId="113E15BC">
                      <wp:extent cx="625687" cy="338667"/>
                      <wp:effectExtent l="0" t="0" r="3175" b="0"/>
                      <wp:docPr id="1129161797" name="Групувати 12"/>
                      <wp:cNvGraphicFramePr/>
                      <a:graphic xmlns:a="http://schemas.openxmlformats.org/drawingml/2006/main">
                        <a:graphicData uri="http://schemas.microsoft.com/office/word/2010/wordprocessingGroup">
                          <wpg:wgp>
                            <wpg:cNvGrpSpPr/>
                            <wpg:grpSpPr>
                              <a:xfrm>
                                <a:off x="0" y="0"/>
                                <a:ext cx="625687" cy="338667"/>
                                <a:chOff x="0" y="0"/>
                                <a:chExt cx="515620" cy="338667"/>
                              </a:xfrm>
                            </wpg:grpSpPr>
                            <wps:wsp>
                              <wps:cNvPr id="2140261483" name="object 6"/>
                              <wps:cNvSpPr/>
                              <wps:spPr>
                                <a:xfrm>
                                  <a:off x="0" y="0"/>
                                  <a:ext cx="515620" cy="245745"/>
                                </a:xfrm>
                                <a:custGeom>
                                  <a:avLst/>
                                  <a:gdLst/>
                                  <a:ahLst/>
                                  <a:cxnLst/>
                                  <a:rect l="l" t="t" r="r" b="b"/>
                                  <a:pathLst>
                                    <a:path w="515620" h="245744">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wps:wsp>
                            <wps:wsp>
                              <wps:cNvPr id="1941349331" name="object 7"/>
                              <wps:cNvSpPr txBox="1"/>
                              <wps:spPr>
                                <a:xfrm>
                                  <a:off x="94798" y="33867"/>
                                  <a:ext cx="323215" cy="304800"/>
                                </a:xfrm>
                                <a:prstGeom prst="rect">
                                  <a:avLst/>
                                </a:prstGeom>
                              </wps:spPr>
                              <wps:txbx>
                                <w:txbxContent>
                                  <w:p w14:paraId="79914DC0" w14:textId="77777777" w:rsidR="009D0C1D" w:rsidRPr="0061381C" w:rsidRDefault="009D0C1D" w:rsidP="0061381C">
                                    <w:pPr>
                                      <w:ind w:left="14"/>
                                      <w:rPr>
                                        <w:color w:val="FFFFFF"/>
                                        <w:spacing w:val="-5"/>
                                        <w:sz w:val="20"/>
                                        <w:szCs w:val="20"/>
                                      </w:rPr>
                                    </w:pPr>
                                    <w:r>
                                      <w:rPr>
                                        <w:color w:val="FFFFFF"/>
                                        <w:sz w:val="20"/>
                                      </w:rPr>
                                      <w:t>НОВЕ</w:t>
                                    </w:r>
                                  </w:p>
                                </w:txbxContent>
                              </wps:txbx>
                              <wps:bodyPr vert="horz" wrap="square" lIns="0" tIns="12700" rIns="0" bIns="0" rtlCol="0">
                                <a:noAutofit/>
                              </wps:bodyPr>
                            </wps:wsp>
                          </wpg:wgp>
                        </a:graphicData>
                      </a:graphic>
                    </wp:inline>
                  </w:drawing>
                </mc:Choice>
                <mc:Fallback>
                  <w:pict>
                    <v:group w14:anchorId="2B5D30CE" id="_x0000_s1050" style="width:49.25pt;height:26.65pt;mso-position-horizontal-relative:char;mso-position-vertical-relative:line" coordsize="515620,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">
                      <v:shape id="object 6" o:spid="_x0000_s1051" style="position:absolute;width:515620;height:245745;visibility:visible;mso-wrap-style:square;v-text-anchor:top" coordsize="515620,24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" path="m515543,l,,,122796r9650,47797l35966,209626r39032,26316l122796,245592r269951,l440545,235942r39032,-26316l505893,170593r9650,-47797l515543,xe" fillcolor="#0c8140" stroked="f">
                        <v:path arrowok="t"/>
                      </v:shape>
                      <v:shape id="object 7" o:spid="_x0000_s1052" type="#_x0000_t202" style="position:absolute;left:94798;top:33867;width:323215;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" filled="f" stroked="f">
                        <v:textbox inset="0,1pt,0,0">
                          <w:txbxContent>
                            <w:p w14:paraId="79914DC0" w14:textId="77777777" w:rsidR="009D0C1D" w:rsidRPr="0061381C" w:rsidRDefault="009D0C1D" w:rsidP="0061381C">
                              <w:pPr>
                                <w:ind w:left="14"/>
                                <w:rPr>
                                  <w:color w:val="FFFFFF"/>
                                  <w:spacing w:val="-5"/>
                                  <w:sz w:val="20"/>
                                  <w:szCs w:val="20"/>
                                </w:rPr>
                              </w:pPr>
                              <w:r>
                                <w:rPr>
                                  <w:color w:val="FFFFFF"/>
                                  <w:sz w:val="20"/>
                                </w:rPr>
                                <w:t>НОВЕ</w:t>
                              </w:r>
                            </w:p>
                          </w:txbxContent>
                        </v:textbox>
                      </v:shape>
                      <w10:anchorlock/>
                    </v:group>
                  </w:pict>
                </mc:Fallback>
              </mc:AlternateContent>
            </w:r>
          </w:p>
        </w:tc>
      </w:tr>
      <w:tr w:rsidR="00366CB9" w14:paraId="09F67B00" w14:textId="77777777" w:rsidTr="00473B26">
        <w:trPr>
          <w:trHeight w:hRule="exact" w:val="1392"/>
        </w:trPr>
        <w:tc>
          <w:tcPr>
            <w:tcW w:w="523" w:type="dxa"/>
            <w:tcBorders>
              <w:bottom w:val="single" w:sz="8" w:space="0" w:color="00B050"/>
            </w:tcBorders>
            <w:shd w:val="clear" w:color="auto" w:fill="FFFFFF"/>
          </w:tcPr>
          <w:p w14:paraId="3F6ECC0A" w14:textId="77777777" w:rsidR="00366CB9" w:rsidRDefault="009D0C1D" w:rsidP="0061381C">
            <w:pPr>
              <w:pStyle w:val="a6"/>
              <w:shd w:val="clear" w:color="auto" w:fill="auto"/>
              <w:jc w:val="both"/>
              <w:rPr>
                <w:sz w:val="20"/>
                <w:szCs w:val="20"/>
              </w:rPr>
            </w:pPr>
            <w:r>
              <w:rPr>
                <w:b w:val="0"/>
                <w:color w:val="000000"/>
                <w:sz w:val="20"/>
              </w:rPr>
              <w:t>9.</w:t>
            </w:r>
          </w:p>
        </w:tc>
        <w:tc>
          <w:tcPr>
            <w:tcW w:w="8582" w:type="dxa"/>
            <w:tcBorders>
              <w:bottom w:val="single" w:sz="8" w:space="0" w:color="00B050"/>
            </w:tcBorders>
            <w:shd w:val="clear" w:color="auto" w:fill="FFFFFF"/>
          </w:tcPr>
          <w:p w14:paraId="18966C7C" w14:textId="77777777" w:rsidR="00366CB9" w:rsidRPr="006E22E5" w:rsidRDefault="009D0C1D" w:rsidP="0061381C">
            <w:pPr>
              <w:pStyle w:val="a6"/>
              <w:shd w:val="clear" w:color="auto" w:fill="auto"/>
              <w:spacing w:after="60" w:line="271" w:lineRule="auto"/>
              <w:rPr>
                <w:sz w:val="18"/>
                <w:szCs w:val="24"/>
              </w:rPr>
            </w:pPr>
            <w:r w:rsidRPr="006E22E5">
              <w:rPr>
                <w:b w:val="0"/>
                <w:color w:val="000000"/>
                <w:sz w:val="18"/>
                <w:szCs w:val="24"/>
              </w:rPr>
              <w:t xml:space="preserve">Для дітей з ВІЛ, у яких спостерігаються ознаки або симптоми ТБ, або позитивний результат тесту на ТБ легень, початковою діагностичною стратегією для діагностики ТБ мають бути одночасні </w:t>
            </w:r>
            <w:r w:rsidRPr="006E22E5">
              <w:rPr>
                <w:color w:val="000000"/>
                <w:sz w:val="18"/>
                <w:szCs w:val="24"/>
              </w:rPr>
              <w:t xml:space="preserve">автоматизовані </w:t>
            </w:r>
            <w:r w:rsidRPr="006E22E5">
              <w:rPr>
                <w:b w:val="0"/>
                <w:color w:val="000000"/>
                <w:sz w:val="18"/>
                <w:szCs w:val="24"/>
              </w:rPr>
              <w:t xml:space="preserve">NAAT низької складності на дихальних пробах та LF-LAM на зразках сечі, а не лише </w:t>
            </w:r>
            <w:r w:rsidRPr="006E22E5">
              <w:rPr>
                <w:color w:val="000000"/>
                <w:sz w:val="18"/>
                <w:szCs w:val="24"/>
              </w:rPr>
              <w:t>автоматизовані</w:t>
            </w:r>
            <w:r w:rsidRPr="006E22E5">
              <w:rPr>
                <w:b w:val="0"/>
                <w:color w:val="000000"/>
                <w:sz w:val="18"/>
                <w:szCs w:val="24"/>
              </w:rPr>
              <w:t xml:space="preserve"> NAAT низької складності тільки на дихальних пробах або зразках калу.</w:t>
            </w:r>
          </w:p>
          <w:p w14:paraId="5DCC8425" w14:textId="77777777" w:rsidR="00366CB9" w:rsidRPr="006E22E5" w:rsidRDefault="009D0C1D" w:rsidP="0061381C">
            <w:pPr>
              <w:pStyle w:val="a6"/>
              <w:shd w:val="clear" w:color="auto" w:fill="auto"/>
              <w:spacing w:line="271" w:lineRule="auto"/>
              <w:rPr>
                <w:i/>
                <w:iCs/>
                <w:sz w:val="18"/>
                <w:szCs w:val="24"/>
              </w:rPr>
            </w:pPr>
            <w:r w:rsidRPr="006E22E5">
              <w:rPr>
                <w:b w:val="0"/>
                <w:i/>
                <w:color w:val="000000"/>
                <w:sz w:val="18"/>
                <w:szCs w:val="24"/>
              </w:rPr>
              <w:t>(Умовна рекомендація, низький рівень достовірності доказів)</w:t>
            </w:r>
          </w:p>
        </w:tc>
      </w:tr>
      <w:tr w:rsidR="00366CB9" w14:paraId="403A3540" w14:textId="77777777" w:rsidTr="00473B26">
        <w:trPr>
          <w:trHeight w:hRule="exact" w:val="1310"/>
        </w:trPr>
        <w:tc>
          <w:tcPr>
            <w:tcW w:w="523" w:type="dxa"/>
            <w:tcBorders>
              <w:top w:val="single" w:sz="8" w:space="0" w:color="00B050"/>
              <w:bottom w:val="single" w:sz="8" w:space="0" w:color="00B050"/>
            </w:tcBorders>
            <w:shd w:val="clear" w:color="auto" w:fill="FFFFFF"/>
          </w:tcPr>
          <w:p w14:paraId="4FD976A1" w14:textId="77777777" w:rsidR="00366CB9" w:rsidRDefault="009D0C1D" w:rsidP="0061381C">
            <w:pPr>
              <w:pStyle w:val="a6"/>
              <w:shd w:val="clear" w:color="auto" w:fill="auto"/>
              <w:spacing w:before="80"/>
              <w:rPr>
                <w:sz w:val="20"/>
                <w:szCs w:val="20"/>
              </w:rPr>
            </w:pPr>
            <w:r>
              <w:rPr>
                <w:b w:val="0"/>
                <w:color w:val="000000"/>
                <w:sz w:val="20"/>
              </w:rPr>
              <w:t>10.</w:t>
            </w:r>
          </w:p>
        </w:tc>
        <w:tc>
          <w:tcPr>
            <w:tcW w:w="8582" w:type="dxa"/>
            <w:tcBorders>
              <w:top w:val="single" w:sz="8" w:space="0" w:color="00B050"/>
              <w:bottom w:val="single" w:sz="8" w:space="0" w:color="00B050"/>
            </w:tcBorders>
            <w:shd w:val="clear" w:color="auto" w:fill="FFFFFF"/>
          </w:tcPr>
          <w:p w14:paraId="095167A9" w14:textId="77777777" w:rsidR="004B7924" w:rsidRPr="0014192D" w:rsidRDefault="009D0C1D" w:rsidP="0061381C">
            <w:pPr>
              <w:pStyle w:val="a6"/>
              <w:shd w:val="clear" w:color="auto" w:fill="auto"/>
              <w:spacing w:line="300" w:lineRule="auto"/>
              <w:rPr>
                <w:b w:val="0"/>
                <w:i/>
                <w:color w:val="000000"/>
                <w:sz w:val="18"/>
                <w:szCs w:val="24"/>
              </w:rPr>
            </w:pPr>
            <w:r w:rsidRPr="006E22E5">
              <w:rPr>
                <w:b w:val="0"/>
                <w:color w:val="000000"/>
                <w:sz w:val="18"/>
                <w:szCs w:val="24"/>
              </w:rPr>
              <w:t>Для осіб з бактеріологічно підтвердженим ТБ легень для початкового виявлення резистентності до ізоніазиду та фторхінолонів на мокротинні мають застосовуватись автоматизовані NAAT низької складності, а не культуральне фенотипове ТМЧ.</w:t>
            </w:r>
            <w:r w:rsidRPr="006E22E5">
              <w:rPr>
                <w:b w:val="0"/>
                <w:i/>
                <w:color w:val="000000"/>
                <w:sz w:val="18"/>
                <w:szCs w:val="24"/>
              </w:rPr>
              <w:t xml:space="preserve"> </w:t>
            </w:r>
          </w:p>
          <w:p w14:paraId="64A8F134" w14:textId="3E16BCAF" w:rsidR="00366CB9" w:rsidRPr="006E22E5" w:rsidRDefault="009D0C1D" w:rsidP="0061381C">
            <w:pPr>
              <w:pStyle w:val="a6"/>
              <w:shd w:val="clear" w:color="auto" w:fill="auto"/>
              <w:spacing w:line="300" w:lineRule="auto"/>
              <w:rPr>
                <w:sz w:val="18"/>
                <w:szCs w:val="24"/>
              </w:rPr>
            </w:pPr>
            <w:r w:rsidRPr="006E22E5">
              <w:rPr>
                <w:b w:val="0"/>
                <w:i/>
                <w:color w:val="000000"/>
                <w:sz w:val="18"/>
                <w:szCs w:val="24"/>
              </w:rPr>
              <w:t>(Умовна рекомендація, середній рівень достовірності доказів)</w:t>
            </w:r>
          </w:p>
        </w:tc>
      </w:tr>
    </w:tbl>
    <w:p w14:paraId="1419BE88"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3AAF188F"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547"/>
        <w:gridCol w:w="8558"/>
      </w:tblGrid>
      <w:tr w:rsidR="00366CB9" w14:paraId="22A19BBB" w14:textId="77777777" w:rsidTr="00546B4F">
        <w:trPr>
          <w:trHeight w:hRule="exact" w:val="1569"/>
        </w:trPr>
        <w:tc>
          <w:tcPr>
            <w:tcW w:w="547" w:type="dxa"/>
            <w:tcBorders>
              <w:top w:val="single" w:sz="8" w:space="0" w:color="00B050"/>
            </w:tcBorders>
            <w:shd w:val="clear" w:color="auto" w:fill="FFFFFF"/>
          </w:tcPr>
          <w:p w14:paraId="6A4E05C8" w14:textId="77777777" w:rsidR="00366CB9" w:rsidRDefault="009D0C1D" w:rsidP="00457B0A">
            <w:pPr>
              <w:pStyle w:val="a6"/>
              <w:shd w:val="clear" w:color="auto" w:fill="auto"/>
              <w:spacing w:before="100"/>
              <w:rPr>
                <w:sz w:val="20"/>
                <w:szCs w:val="20"/>
              </w:rPr>
            </w:pPr>
            <w:r>
              <w:rPr>
                <w:b w:val="0"/>
                <w:color w:val="000000"/>
                <w:sz w:val="20"/>
              </w:rPr>
              <w:t>11.</w:t>
            </w:r>
          </w:p>
        </w:tc>
        <w:tc>
          <w:tcPr>
            <w:tcW w:w="8558" w:type="dxa"/>
            <w:tcBorders>
              <w:top w:val="single" w:sz="8" w:space="0" w:color="00B050"/>
            </w:tcBorders>
            <w:shd w:val="clear" w:color="auto" w:fill="FFFFFF"/>
          </w:tcPr>
          <w:p w14:paraId="5E813912" w14:textId="77777777" w:rsidR="004B7924" w:rsidRPr="0014192D" w:rsidRDefault="009D0C1D" w:rsidP="00457B0A">
            <w:pPr>
              <w:pStyle w:val="a6"/>
              <w:shd w:val="clear" w:color="auto" w:fill="auto"/>
              <w:spacing w:line="302" w:lineRule="auto"/>
              <w:rPr>
                <w:b w:val="0"/>
                <w:color w:val="000000"/>
                <w:sz w:val="18"/>
                <w:szCs w:val="24"/>
              </w:rPr>
            </w:pPr>
            <w:r w:rsidRPr="006E22E5">
              <w:rPr>
                <w:b w:val="0"/>
                <w:color w:val="000000"/>
                <w:sz w:val="18"/>
                <w:szCs w:val="24"/>
              </w:rPr>
              <w:t xml:space="preserve">Для осіб з бактеріологічно підтвердженим ТБ легень та резистентністю до рифампіцину для початкового виявлення резистентності до етіонаміду на мокротинні мають застосовуватись автоматизовані NAAT низької складності, а не секвенування ДНК промотора </w:t>
            </w:r>
            <w:r w:rsidRPr="006E22E5">
              <w:rPr>
                <w:b w:val="0"/>
                <w:i/>
                <w:iCs/>
                <w:color w:val="000000"/>
                <w:sz w:val="18"/>
                <w:szCs w:val="24"/>
              </w:rPr>
              <w:t>inhA</w:t>
            </w:r>
            <w:r w:rsidRPr="006E22E5">
              <w:rPr>
                <w:b w:val="0"/>
                <w:color w:val="000000"/>
                <w:sz w:val="18"/>
                <w:szCs w:val="24"/>
              </w:rPr>
              <w:t xml:space="preserve">. </w:t>
            </w:r>
          </w:p>
          <w:p w14:paraId="4E40AFB5" w14:textId="130268F5" w:rsidR="00366CB9" w:rsidRPr="006E22E5" w:rsidRDefault="009D0C1D" w:rsidP="004B7924">
            <w:pPr>
              <w:pStyle w:val="a6"/>
              <w:shd w:val="clear" w:color="auto" w:fill="auto"/>
              <w:spacing w:before="60" w:line="302" w:lineRule="auto"/>
              <w:rPr>
                <w:sz w:val="18"/>
                <w:szCs w:val="24"/>
              </w:rPr>
            </w:pPr>
            <w:r w:rsidRPr="006E22E5">
              <w:rPr>
                <w:b w:val="0"/>
                <w:i/>
                <w:color w:val="000000"/>
                <w:sz w:val="18"/>
                <w:szCs w:val="24"/>
              </w:rPr>
              <w:t>(Умовна рекомендація, дуже низький рівень достовірності доказів)</w:t>
            </w:r>
          </w:p>
        </w:tc>
      </w:tr>
      <w:tr w:rsidR="00366CB9" w14:paraId="54AB0387" w14:textId="77777777" w:rsidTr="00546B4F">
        <w:trPr>
          <w:trHeight w:hRule="exact" w:val="1560"/>
        </w:trPr>
        <w:tc>
          <w:tcPr>
            <w:tcW w:w="547" w:type="dxa"/>
            <w:tcBorders>
              <w:bottom w:val="single" w:sz="8" w:space="0" w:color="00B050"/>
            </w:tcBorders>
            <w:shd w:val="clear" w:color="auto" w:fill="FFFFFF"/>
          </w:tcPr>
          <w:p w14:paraId="2CE01AC5" w14:textId="77777777" w:rsidR="00366CB9" w:rsidRDefault="009D0C1D" w:rsidP="00457B0A">
            <w:pPr>
              <w:pStyle w:val="a6"/>
              <w:shd w:val="clear" w:color="auto" w:fill="auto"/>
              <w:spacing w:before="100"/>
              <w:rPr>
                <w:sz w:val="20"/>
                <w:szCs w:val="20"/>
              </w:rPr>
            </w:pPr>
            <w:r>
              <w:rPr>
                <w:b w:val="0"/>
                <w:color w:val="000000"/>
                <w:sz w:val="20"/>
              </w:rPr>
              <w:t>12.</w:t>
            </w:r>
          </w:p>
        </w:tc>
        <w:tc>
          <w:tcPr>
            <w:tcW w:w="8558" w:type="dxa"/>
            <w:tcBorders>
              <w:bottom w:val="single" w:sz="8" w:space="0" w:color="00B050"/>
            </w:tcBorders>
            <w:shd w:val="clear" w:color="auto" w:fill="FFFFFF"/>
          </w:tcPr>
          <w:p w14:paraId="319549FD" w14:textId="77777777" w:rsidR="004B7924" w:rsidRPr="0014192D" w:rsidRDefault="009D0C1D" w:rsidP="00457B0A">
            <w:pPr>
              <w:pStyle w:val="a6"/>
              <w:shd w:val="clear" w:color="auto" w:fill="auto"/>
              <w:spacing w:line="300" w:lineRule="auto"/>
              <w:rPr>
                <w:b w:val="0"/>
                <w:color w:val="000000"/>
                <w:sz w:val="18"/>
                <w:szCs w:val="24"/>
              </w:rPr>
            </w:pPr>
            <w:r w:rsidRPr="006E22E5">
              <w:rPr>
                <w:b w:val="0"/>
                <w:color w:val="000000"/>
                <w:sz w:val="18"/>
                <w:szCs w:val="24"/>
              </w:rPr>
              <w:t xml:space="preserve">Для осіб з бактеріологічно підтвердженим ТБ легень та резистентністю до рифампіцину для початкового виявлення резистентності до амікацину на мокротинні мають застосовуватись автоматизовані NAAT низької складності, а не культуральне фенотипове ТМЧ. </w:t>
            </w:r>
          </w:p>
          <w:p w14:paraId="2C6FB622" w14:textId="3700B7BB" w:rsidR="00366CB9" w:rsidRPr="006E22E5" w:rsidRDefault="009D0C1D" w:rsidP="00457B0A">
            <w:pPr>
              <w:pStyle w:val="a6"/>
              <w:shd w:val="clear" w:color="auto" w:fill="auto"/>
              <w:spacing w:line="300" w:lineRule="auto"/>
              <w:rPr>
                <w:sz w:val="18"/>
                <w:szCs w:val="24"/>
              </w:rPr>
            </w:pPr>
            <w:r w:rsidRPr="006E22E5">
              <w:rPr>
                <w:b w:val="0"/>
                <w:i/>
                <w:color w:val="000000"/>
                <w:sz w:val="18"/>
                <w:szCs w:val="24"/>
              </w:rPr>
              <w:t>(Умовна рекомендація, низький рівень достовірності доказів)</w:t>
            </w:r>
          </w:p>
        </w:tc>
      </w:tr>
      <w:tr w:rsidR="00366CB9" w14:paraId="69F21057" w14:textId="77777777" w:rsidTr="00546B4F">
        <w:trPr>
          <w:trHeight w:hRule="exact" w:val="1414"/>
        </w:trPr>
        <w:tc>
          <w:tcPr>
            <w:tcW w:w="547" w:type="dxa"/>
            <w:tcBorders>
              <w:top w:val="single" w:sz="8" w:space="0" w:color="00B050"/>
              <w:bottom w:val="single" w:sz="8" w:space="0" w:color="00B050"/>
            </w:tcBorders>
            <w:shd w:val="clear" w:color="auto" w:fill="FFFFFF"/>
          </w:tcPr>
          <w:p w14:paraId="3FB32F54" w14:textId="77777777" w:rsidR="00366CB9" w:rsidRDefault="009D0C1D" w:rsidP="00457B0A">
            <w:pPr>
              <w:pStyle w:val="a6"/>
              <w:shd w:val="clear" w:color="auto" w:fill="auto"/>
              <w:spacing w:before="100"/>
              <w:rPr>
                <w:sz w:val="20"/>
                <w:szCs w:val="20"/>
              </w:rPr>
            </w:pPr>
            <w:r>
              <w:rPr>
                <w:b w:val="0"/>
                <w:color w:val="000000"/>
                <w:sz w:val="20"/>
              </w:rPr>
              <w:t>13.</w:t>
            </w:r>
          </w:p>
        </w:tc>
        <w:tc>
          <w:tcPr>
            <w:tcW w:w="8558" w:type="dxa"/>
            <w:tcBorders>
              <w:top w:val="single" w:sz="8" w:space="0" w:color="00B050"/>
              <w:bottom w:val="single" w:sz="8" w:space="0" w:color="00B050"/>
            </w:tcBorders>
            <w:shd w:val="clear" w:color="auto" w:fill="FFFFFF"/>
          </w:tcPr>
          <w:p w14:paraId="582B88D3" w14:textId="77777777" w:rsidR="00366CB9" w:rsidRPr="006E22E5" w:rsidRDefault="009D0C1D" w:rsidP="00457B0A">
            <w:pPr>
              <w:pStyle w:val="a6"/>
              <w:shd w:val="clear" w:color="auto" w:fill="auto"/>
              <w:spacing w:after="60" w:line="271" w:lineRule="auto"/>
              <w:rPr>
                <w:sz w:val="18"/>
                <w:szCs w:val="24"/>
              </w:rPr>
            </w:pPr>
            <w:r w:rsidRPr="006E22E5">
              <w:rPr>
                <w:b w:val="0"/>
                <w:color w:val="000000"/>
                <w:sz w:val="18"/>
                <w:szCs w:val="24"/>
              </w:rPr>
              <w:t>Для осіб з позитивним мазком мокротиння або культивованим ізолятом MTBC початковими тестами замість фенотипового культурального ТМЧ для виявлення резистентності до рифампіцину та ізоніазиду можуть бути доступні у продажу молекулярні LPA.</w:t>
            </w:r>
          </w:p>
          <w:p w14:paraId="192CE24B" w14:textId="77777777" w:rsidR="00366CB9" w:rsidRPr="006E22E5" w:rsidRDefault="009D0C1D" w:rsidP="00457B0A">
            <w:pPr>
              <w:pStyle w:val="a6"/>
              <w:shd w:val="clear" w:color="auto" w:fill="auto"/>
              <w:spacing w:line="271" w:lineRule="auto"/>
              <w:rPr>
                <w:i/>
                <w:iCs/>
                <w:sz w:val="18"/>
                <w:szCs w:val="24"/>
              </w:rPr>
            </w:pPr>
            <w:r w:rsidRPr="006E22E5">
              <w:rPr>
                <w:b w:val="0"/>
                <w:i/>
                <w:color w:val="000000"/>
                <w:sz w:val="18"/>
                <w:szCs w:val="24"/>
              </w:rPr>
              <w:t>(Умовна рекомендація, середній рівень достовірності доказів)</w:t>
            </w:r>
          </w:p>
        </w:tc>
      </w:tr>
      <w:tr w:rsidR="00366CB9" w14:paraId="7DFE9767" w14:textId="77777777" w:rsidTr="00546B4F">
        <w:trPr>
          <w:trHeight w:hRule="exact" w:val="1056"/>
        </w:trPr>
        <w:tc>
          <w:tcPr>
            <w:tcW w:w="547" w:type="dxa"/>
            <w:tcBorders>
              <w:top w:val="single" w:sz="8" w:space="0" w:color="00B050"/>
              <w:bottom w:val="single" w:sz="8" w:space="0" w:color="00B050"/>
            </w:tcBorders>
            <w:shd w:val="clear" w:color="auto" w:fill="FFFFFF"/>
          </w:tcPr>
          <w:p w14:paraId="0669C32F" w14:textId="77777777" w:rsidR="00366CB9" w:rsidRDefault="009D0C1D" w:rsidP="00457B0A">
            <w:pPr>
              <w:pStyle w:val="a6"/>
              <w:shd w:val="clear" w:color="auto" w:fill="auto"/>
              <w:spacing w:before="100"/>
              <w:rPr>
                <w:sz w:val="20"/>
                <w:szCs w:val="20"/>
              </w:rPr>
            </w:pPr>
            <w:r>
              <w:rPr>
                <w:b w:val="0"/>
                <w:color w:val="000000"/>
                <w:sz w:val="20"/>
              </w:rPr>
              <w:t>14.</w:t>
            </w:r>
          </w:p>
        </w:tc>
        <w:tc>
          <w:tcPr>
            <w:tcW w:w="8558" w:type="dxa"/>
            <w:tcBorders>
              <w:top w:val="single" w:sz="8" w:space="0" w:color="00B050"/>
              <w:bottom w:val="single" w:sz="8" w:space="0" w:color="00B050"/>
            </w:tcBorders>
            <w:shd w:val="clear" w:color="auto" w:fill="FFFFFF"/>
          </w:tcPr>
          <w:p w14:paraId="227192EE" w14:textId="77777777" w:rsidR="00366CB9" w:rsidRPr="006E22E5" w:rsidRDefault="009D0C1D" w:rsidP="00457B0A">
            <w:pPr>
              <w:pStyle w:val="a6"/>
              <w:shd w:val="clear" w:color="auto" w:fill="auto"/>
              <w:spacing w:after="60" w:line="271" w:lineRule="auto"/>
              <w:rPr>
                <w:sz w:val="18"/>
                <w:szCs w:val="24"/>
              </w:rPr>
            </w:pPr>
            <w:r w:rsidRPr="006E22E5">
              <w:rPr>
                <w:b w:val="0"/>
                <w:color w:val="000000"/>
                <w:sz w:val="18"/>
                <w:szCs w:val="24"/>
              </w:rPr>
              <w:t>Для осіб з підтвердженим МЛС/Риф-ТБ початковим тестом замість фенотипового культурального ТМЧ для виявлення резистентності до фторхінолонів може бути SL-LPA.</w:t>
            </w:r>
          </w:p>
          <w:p w14:paraId="7A1E786B" w14:textId="77777777" w:rsidR="00366CB9" w:rsidRPr="006E22E5" w:rsidRDefault="009D0C1D" w:rsidP="00457B0A">
            <w:pPr>
              <w:pStyle w:val="a6"/>
              <w:shd w:val="clear" w:color="auto" w:fill="auto"/>
              <w:spacing w:line="271" w:lineRule="auto"/>
              <w:rPr>
                <w:i/>
                <w:iCs/>
                <w:sz w:val="18"/>
                <w:szCs w:val="24"/>
              </w:rPr>
            </w:pPr>
            <w:r w:rsidRPr="006E22E5">
              <w:rPr>
                <w:b w:val="0"/>
                <w:i/>
                <w:color w:val="000000"/>
                <w:sz w:val="18"/>
                <w:szCs w:val="24"/>
              </w:rPr>
              <w:t>(Умовна рекомендація, середній рівень достовірності доказів)</w:t>
            </w:r>
          </w:p>
        </w:tc>
      </w:tr>
      <w:tr w:rsidR="00366CB9" w14:paraId="01B6F7E9" w14:textId="77777777" w:rsidTr="00546B4F">
        <w:trPr>
          <w:trHeight w:hRule="exact" w:val="939"/>
        </w:trPr>
        <w:tc>
          <w:tcPr>
            <w:tcW w:w="547" w:type="dxa"/>
            <w:tcBorders>
              <w:top w:val="single" w:sz="8" w:space="0" w:color="00B050"/>
              <w:bottom w:val="single" w:sz="8" w:space="0" w:color="00B050"/>
            </w:tcBorders>
            <w:shd w:val="clear" w:color="auto" w:fill="FFFFFF"/>
          </w:tcPr>
          <w:p w14:paraId="2B035869" w14:textId="77777777" w:rsidR="00366CB9" w:rsidRDefault="009D0C1D" w:rsidP="00457B0A">
            <w:pPr>
              <w:pStyle w:val="a6"/>
              <w:shd w:val="clear" w:color="auto" w:fill="auto"/>
              <w:spacing w:before="100"/>
              <w:rPr>
                <w:sz w:val="20"/>
                <w:szCs w:val="20"/>
              </w:rPr>
            </w:pPr>
            <w:r>
              <w:rPr>
                <w:b w:val="0"/>
                <w:color w:val="000000"/>
                <w:sz w:val="20"/>
              </w:rPr>
              <w:t>15.</w:t>
            </w:r>
          </w:p>
        </w:tc>
        <w:tc>
          <w:tcPr>
            <w:tcW w:w="8558" w:type="dxa"/>
            <w:tcBorders>
              <w:top w:val="single" w:sz="8" w:space="0" w:color="00B050"/>
              <w:bottom w:val="single" w:sz="8" w:space="0" w:color="00B050"/>
            </w:tcBorders>
            <w:shd w:val="clear" w:color="auto" w:fill="FFFFFF"/>
          </w:tcPr>
          <w:p w14:paraId="3A636FB7" w14:textId="77777777" w:rsidR="00366CB9" w:rsidRPr="006E22E5" w:rsidRDefault="009D0C1D" w:rsidP="00457B0A">
            <w:pPr>
              <w:pStyle w:val="a6"/>
              <w:shd w:val="clear" w:color="auto" w:fill="auto"/>
              <w:spacing w:after="60" w:line="271" w:lineRule="auto"/>
              <w:rPr>
                <w:sz w:val="18"/>
                <w:szCs w:val="24"/>
              </w:rPr>
            </w:pPr>
            <w:r w:rsidRPr="006E22E5">
              <w:rPr>
                <w:b w:val="0"/>
                <w:color w:val="000000"/>
                <w:sz w:val="18"/>
                <w:szCs w:val="24"/>
              </w:rPr>
              <w:t>Для осіб з підтвердженим МЛС/Риф-ТБ початковим тестом замість фенотипового культурального ТМЧ для виявлення резистентності до ІПДЛ.</w:t>
            </w:r>
          </w:p>
          <w:p w14:paraId="13C18278" w14:textId="77777777" w:rsidR="00366CB9" w:rsidRPr="006E22E5" w:rsidRDefault="009D0C1D" w:rsidP="00457B0A">
            <w:pPr>
              <w:pStyle w:val="a6"/>
              <w:shd w:val="clear" w:color="auto" w:fill="auto"/>
              <w:spacing w:line="271" w:lineRule="auto"/>
              <w:rPr>
                <w:i/>
                <w:iCs/>
                <w:sz w:val="18"/>
                <w:szCs w:val="24"/>
              </w:rPr>
            </w:pPr>
            <w:r w:rsidRPr="006E22E5">
              <w:rPr>
                <w:b w:val="0"/>
                <w:i/>
                <w:color w:val="000000"/>
                <w:sz w:val="18"/>
                <w:szCs w:val="24"/>
              </w:rPr>
              <w:t>(Умовна рекомендація, низький рівень достовірності доказів)</w:t>
            </w:r>
          </w:p>
        </w:tc>
      </w:tr>
      <w:tr w:rsidR="00366CB9" w14:paraId="1D87DFC1" w14:textId="77777777" w:rsidTr="00546B4F">
        <w:trPr>
          <w:trHeight w:hRule="exact" w:val="1306"/>
        </w:trPr>
        <w:tc>
          <w:tcPr>
            <w:tcW w:w="547" w:type="dxa"/>
            <w:tcBorders>
              <w:top w:val="single" w:sz="8" w:space="0" w:color="00B050"/>
              <w:bottom w:val="single" w:sz="8" w:space="0" w:color="00B050"/>
            </w:tcBorders>
            <w:shd w:val="clear" w:color="auto" w:fill="FFFFFF"/>
          </w:tcPr>
          <w:p w14:paraId="63514F9A" w14:textId="77777777" w:rsidR="00366CB9" w:rsidRDefault="009D0C1D" w:rsidP="00457B0A">
            <w:pPr>
              <w:pStyle w:val="a6"/>
              <w:shd w:val="clear" w:color="auto" w:fill="auto"/>
              <w:spacing w:before="100"/>
              <w:rPr>
                <w:sz w:val="20"/>
                <w:szCs w:val="20"/>
              </w:rPr>
            </w:pPr>
            <w:r>
              <w:rPr>
                <w:b w:val="0"/>
                <w:color w:val="000000"/>
                <w:sz w:val="20"/>
              </w:rPr>
              <w:t>16.</w:t>
            </w:r>
          </w:p>
        </w:tc>
        <w:tc>
          <w:tcPr>
            <w:tcW w:w="8558" w:type="dxa"/>
            <w:tcBorders>
              <w:top w:val="single" w:sz="8" w:space="0" w:color="00B050"/>
              <w:bottom w:val="single" w:sz="8" w:space="0" w:color="00B050"/>
            </w:tcBorders>
            <w:shd w:val="clear" w:color="auto" w:fill="FFFFFF"/>
          </w:tcPr>
          <w:p w14:paraId="4167BC5C" w14:textId="77777777" w:rsidR="00366CB9" w:rsidRPr="006E22E5" w:rsidRDefault="009D0C1D" w:rsidP="00457B0A">
            <w:pPr>
              <w:pStyle w:val="a6"/>
              <w:shd w:val="clear" w:color="auto" w:fill="auto"/>
              <w:spacing w:after="60" w:line="271" w:lineRule="auto"/>
              <w:rPr>
                <w:sz w:val="18"/>
                <w:szCs w:val="24"/>
              </w:rPr>
            </w:pPr>
            <w:r w:rsidRPr="006E22E5">
              <w:rPr>
                <w:b w:val="0"/>
                <w:color w:val="000000"/>
                <w:sz w:val="18"/>
                <w:szCs w:val="24"/>
              </w:rPr>
              <w:t xml:space="preserve">Для осіб з бактеріологічно підтвердженим ТБ для виявлення резистентності до піразинаміду на ізолятах культури </w:t>
            </w:r>
            <w:r w:rsidRPr="006E22E5">
              <w:rPr>
                <w:b w:val="0"/>
                <w:i/>
                <w:iCs/>
                <w:color w:val="000000"/>
                <w:sz w:val="18"/>
                <w:szCs w:val="24"/>
              </w:rPr>
              <w:t>Mtb</w:t>
            </w:r>
            <w:r w:rsidRPr="006E22E5">
              <w:rPr>
                <w:b w:val="0"/>
                <w:color w:val="000000"/>
                <w:sz w:val="18"/>
                <w:szCs w:val="24"/>
              </w:rPr>
              <w:t xml:space="preserve"> можуть застосовуватись NAAT на основі зворотної гібридизації високої складності, а не фенотипове культуральне ТМЧ.</w:t>
            </w:r>
          </w:p>
          <w:p w14:paraId="43B1F81A" w14:textId="77777777" w:rsidR="00366CB9" w:rsidRPr="006E22E5" w:rsidRDefault="009D0C1D" w:rsidP="00457B0A">
            <w:pPr>
              <w:pStyle w:val="a6"/>
              <w:shd w:val="clear" w:color="auto" w:fill="auto"/>
              <w:spacing w:line="271" w:lineRule="auto"/>
              <w:rPr>
                <w:i/>
                <w:iCs/>
                <w:sz w:val="18"/>
                <w:szCs w:val="24"/>
              </w:rPr>
            </w:pPr>
            <w:r w:rsidRPr="006E22E5">
              <w:rPr>
                <w:b w:val="0"/>
                <w:i/>
                <w:color w:val="000000"/>
                <w:sz w:val="18"/>
                <w:szCs w:val="24"/>
              </w:rPr>
              <w:t>(Умовна рекомендація, дуже низький рівень достовірності доказів)</w:t>
            </w:r>
          </w:p>
        </w:tc>
      </w:tr>
      <w:tr w:rsidR="00366CB9" w14:paraId="36788C7F" w14:textId="77777777" w:rsidTr="00546B4F">
        <w:trPr>
          <w:trHeight w:hRule="exact" w:val="1824"/>
        </w:trPr>
        <w:tc>
          <w:tcPr>
            <w:tcW w:w="547" w:type="dxa"/>
            <w:tcBorders>
              <w:top w:val="single" w:sz="8" w:space="0" w:color="00B050"/>
              <w:bottom w:val="single" w:sz="8" w:space="0" w:color="00B050"/>
            </w:tcBorders>
            <w:shd w:val="clear" w:color="auto" w:fill="FFFFFF"/>
          </w:tcPr>
          <w:p w14:paraId="009FAE95" w14:textId="77777777" w:rsidR="00366CB9" w:rsidRDefault="009D0C1D" w:rsidP="00457B0A">
            <w:pPr>
              <w:pStyle w:val="a6"/>
              <w:shd w:val="clear" w:color="auto" w:fill="auto"/>
              <w:spacing w:before="100"/>
              <w:rPr>
                <w:sz w:val="20"/>
                <w:szCs w:val="20"/>
              </w:rPr>
            </w:pPr>
            <w:r>
              <w:rPr>
                <w:b w:val="0"/>
                <w:color w:val="000000"/>
                <w:sz w:val="20"/>
              </w:rPr>
              <w:t>17.</w:t>
            </w:r>
          </w:p>
        </w:tc>
        <w:tc>
          <w:tcPr>
            <w:tcW w:w="8558" w:type="dxa"/>
            <w:tcBorders>
              <w:top w:val="single" w:sz="8" w:space="0" w:color="00B050"/>
              <w:bottom w:val="single" w:sz="8" w:space="0" w:color="00B050"/>
            </w:tcBorders>
            <w:shd w:val="clear" w:color="auto" w:fill="FFFFFF"/>
          </w:tcPr>
          <w:p w14:paraId="08F937D7" w14:textId="77777777" w:rsidR="00366CB9" w:rsidRPr="006E22E5" w:rsidRDefault="009D0C1D" w:rsidP="00457B0A">
            <w:pPr>
              <w:pStyle w:val="a6"/>
              <w:shd w:val="clear" w:color="auto" w:fill="auto"/>
              <w:spacing w:after="60" w:line="276" w:lineRule="auto"/>
              <w:rPr>
                <w:sz w:val="18"/>
                <w:szCs w:val="24"/>
              </w:rPr>
            </w:pPr>
            <w:r w:rsidRPr="006E22E5">
              <w:rPr>
                <w:b w:val="0"/>
                <w:color w:val="000000"/>
                <w:sz w:val="18"/>
                <w:szCs w:val="24"/>
              </w:rPr>
              <w:t>Для осіб з бактеріологічно підтвердженим ТБ легень для діагностики резистентності до рифампіцину, ізоніазиду, фторхінолонів, піразинаміду та етамбутолу можуть застосовуватись технології цільового секвенування наступного покоління на зразках з дихальних шляхів, а не фенотипове культуральне ТМЧ.</w:t>
            </w:r>
          </w:p>
          <w:p w14:paraId="5BDFDEF0" w14:textId="77777777" w:rsidR="00366CB9" w:rsidRPr="006E22E5" w:rsidRDefault="009D0C1D" w:rsidP="00457B0A">
            <w:pPr>
              <w:pStyle w:val="a6"/>
              <w:shd w:val="clear" w:color="auto" w:fill="auto"/>
              <w:spacing w:line="271" w:lineRule="auto"/>
              <w:rPr>
                <w:i/>
                <w:iCs/>
                <w:sz w:val="18"/>
                <w:szCs w:val="24"/>
              </w:rPr>
            </w:pPr>
            <w:r w:rsidRPr="006E22E5">
              <w:rPr>
                <w:b w:val="0"/>
                <w:i/>
                <w:color w:val="000000"/>
                <w:sz w:val="18"/>
                <w:szCs w:val="24"/>
              </w:rPr>
              <w:t>(Умовна рекомендація, середній [ізоніазид та піразинамід] та низький [рифампіцин, фторхінолони та етамбутол] рівень достовірності доказів)</w:t>
            </w:r>
          </w:p>
        </w:tc>
      </w:tr>
      <w:tr w:rsidR="00366CB9" w14:paraId="732EBF7E" w14:textId="77777777" w:rsidTr="00546B4F">
        <w:trPr>
          <w:trHeight w:hRule="exact" w:val="2113"/>
        </w:trPr>
        <w:tc>
          <w:tcPr>
            <w:tcW w:w="547" w:type="dxa"/>
            <w:tcBorders>
              <w:top w:val="single" w:sz="8" w:space="0" w:color="00B050"/>
              <w:bottom w:val="single" w:sz="8" w:space="0" w:color="00B050"/>
            </w:tcBorders>
            <w:shd w:val="clear" w:color="auto" w:fill="FFFFFF"/>
          </w:tcPr>
          <w:p w14:paraId="49B2A420" w14:textId="77777777" w:rsidR="00366CB9" w:rsidRDefault="009D0C1D" w:rsidP="00457B0A">
            <w:pPr>
              <w:pStyle w:val="a6"/>
              <w:shd w:val="clear" w:color="auto" w:fill="auto"/>
              <w:spacing w:before="120"/>
              <w:rPr>
                <w:sz w:val="20"/>
                <w:szCs w:val="20"/>
              </w:rPr>
            </w:pPr>
            <w:r>
              <w:rPr>
                <w:b w:val="0"/>
                <w:color w:val="000000"/>
                <w:sz w:val="20"/>
              </w:rPr>
              <w:t>18.</w:t>
            </w:r>
          </w:p>
        </w:tc>
        <w:tc>
          <w:tcPr>
            <w:tcW w:w="8558" w:type="dxa"/>
            <w:tcBorders>
              <w:top w:val="single" w:sz="8" w:space="0" w:color="00B050"/>
              <w:bottom w:val="single" w:sz="8" w:space="0" w:color="00B050"/>
            </w:tcBorders>
            <w:shd w:val="clear" w:color="auto" w:fill="FFFFFF"/>
          </w:tcPr>
          <w:p w14:paraId="654F3E1C" w14:textId="77777777" w:rsidR="00366CB9" w:rsidRPr="006E22E5" w:rsidRDefault="009D0C1D" w:rsidP="00457B0A">
            <w:pPr>
              <w:pStyle w:val="a6"/>
              <w:shd w:val="clear" w:color="auto" w:fill="auto"/>
              <w:spacing w:line="271" w:lineRule="auto"/>
              <w:rPr>
                <w:sz w:val="18"/>
                <w:szCs w:val="24"/>
              </w:rPr>
            </w:pPr>
            <w:r w:rsidRPr="006E22E5">
              <w:rPr>
                <w:b w:val="0"/>
                <w:color w:val="000000"/>
                <w:sz w:val="18"/>
                <w:szCs w:val="24"/>
              </w:rPr>
              <w:t>Для осіб з бактеріологічно підтвердженим рифампіцин-резистентним ТБ</w:t>
            </w:r>
          </w:p>
          <w:p w14:paraId="2C0E93E3" w14:textId="77777777" w:rsidR="00366CB9" w:rsidRPr="006E22E5" w:rsidRDefault="009D0C1D" w:rsidP="00457B0A">
            <w:pPr>
              <w:pStyle w:val="a6"/>
              <w:shd w:val="clear" w:color="auto" w:fill="auto"/>
              <w:spacing w:after="60" w:line="271" w:lineRule="auto"/>
              <w:rPr>
                <w:sz w:val="18"/>
                <w:szCs w:val="24"/>
              </w:rPr>
            </w:pPr>
            <w:r w:rsidRPr="006E22E5">
              <w:rPr>
                <w:b w:val="0"/>
                <w:color w:val="000000"/>
                <w:sz w:val="18"/>
                <w:szCs w:val="24"/>
              </w:rPr>
              <w:t>легень для діагностики резистентності до ізоніазиду, фторхінолонів, бедаквіліну, лінезоліду, клофазиміну, піразинаміду, етамбутолу, амікацину та стрептоміцину можуть застосовуватись технології цільового секвенування наступного покоління на зразках з дихальних шляхів, а не фенотипове культуральне ТМЧ.</w:t>
            </w:r>
          </w:p>
          <w:p w14:paraId="464C2B87" w14:textId="77777777" w:rsidR="00366CB9" w:rsidRPr="006E22E5" w:rsidRDefault="009D0C1D" w:rsidP="00457B0A">
            <w:pPr>
              <w:pStyle w:val="a6"/>
              <w:shd w:val="clear" w:color="auto" w:fill="auto"/>
              <w:spacing w:line="271" w:lineRule="auto"/>
              <w:rPr>
                <w:i/>
                <w:iCs/>
                <w:sz w:val="18"/>
                <w:szCs w:val="24"/>
              </w:rPr>
            </w:pPr>
            <w:r w:rsidRPr="006E22E5">
              <w:rPr>
                <w:b w:val="0"/>
                <w:i/>
                <w:color w:val="000000"/>
                <w:sz w:val="18"/>
                <w:szCs w:val="24"/>
              </w:rPr>
              <w:t>(Умовна рекомендація, високий [ізоніазид, фторхінолони та піразинамід], середній [етамбутол], низький [бедаквілін, лінезолід, клофазимін та стрептоміцин] та дуже низький [амікацин] рівень достовірності доказів)</w:t>
            </w:r>
          </w:p>
        </w:tc>
      </w:tr>
      <w:tr w:rsidR="00366CB9" w14:paraId="02BDE84B" w14:textId="77777777" w:rsidTr="00546B4F">
        <w:trPr>
          <w:trHeight w:hRule="exact" w:val="1051"/>
        </w:trPr>
        <w:tc>
          <w:tcPr>
            <w:tcW w:w="547" w:type="dxa"/>
            <w:tcBorders>
              <w:top w:val="single" w:sz="8" w:space="0" w:color="00B050"/>
              <w:bottom w:val="single" w:sz="8" w:space="0" w:color="00B050"/>
            </w:tcBorders>
            <w:shd w:val="clear" w:color="auto" w:fill="FFFFFF"/>
          </w:tcPr>
          <w:p w14:paraId="637542BA" w14:textId="77777777" w:rsidR="00366CB9" w:rsidRDefault="009D0C1D" w:rsidP="00457B0A">
            <w:pPr>
              <w:pStyle w:val="a6"/>
              <w:shd w:val="clear" w:color="auto" w:fill="auto"/>
              <w:spacing w:before="100"/>
              <w:rPr>
                <w:sz w:val="20"/>
                <w:szCs w:val="20"/>
              </w:rPr>
            </w:pPr>
            <w:r>
              <w:rPr>
                <w:b w:val="0"/>
                <w:color w:val="000000"/>
                <w:sz w:val="20"/>
              </w:rPr>
              <w:t>19.</w:t>
            </w:r>
          </w:p>
        </w:tc>
        <w:tc>
          <w:tcPr>
            <w:tcW w:w="8558" w:type="dxa"/>
            <w:tcBorders>
              <w:top w:val="single" w:sz="8" w:space="0" w:color="00B050"/>
              <w:bottom w:val="single" w:sz="8" w:space="0" w:color="00B050"/>
            </w:tcBorders>
            <w:shd w:val="clear" w:color="auto" w:fill="FFFFFF"/>
          </w:tcPr>
          <w:p w14:paraId="248DC073" w14:textId="77777777" w:rsidR="00366CB9" w:rsidRPr="006E22E5" w:rsidRDefault="009D0C1D" w:rsidP="00457B0A">
            <w:pPr>
              <w:pStyle w:val="a6"/>
              <w:shd w:val="clear" w:color="auto" w:fill="auto"/>
              <w:spacing w:after="60" w:line="271" w:lineRule="auto"/>
              <w:rPr>
                <w:sz w:val="18"/>
                <w:szCs w:val="24"/>
              </w:rPr>
            </w:pPr>
            <w:r w:rsidRPr="006E22E5">
              <w:rPr>
                <w:b w:val="0"/>
                <w:color w:val="000000"/>
                <w:sz w:val="18"/>
                <w:szCs w:val="24"/>
              </w:rPr>
              <w:t xml:space="preserve">Шкірні тести на антигени </w:t>
            </w:r>
            <w:r w:rsidRPr="006E22E5">
              <w:rPr>
                <w:b w:val="0"/>
                <w:i/>
                <w:color w:val="000000"/>
                <w:sz w:val="18"/>
                <w:szCs w:val="24"/>
              </w:rPr>
              <w:t>Mycobacterium tuberculosis</w:t>
            </w:r>
            <w:r w:rsidRPr="006E22E5">
              <w:rPr>
                <w:b w:val="0"/>
                <w:color w:val="000000"/>
                <w:sz w:val="18"/>
                <w:szCs w:val="24"/>
              </w:rPr>
              <w:t xml:space="preserve"> можуть застосовуватись для виявлення туберкульозної інфекції.</w:t>
            </w:r>
          </w:p>
          <w:p w14:paraId="6D1CBE50" w14:textId="77777777" w:rsidR="00366CB9" w:rsidRPr="006E22E5" w:rsidRDefault="009D0C1D" w:rsidP="00457B0A">
            <w:pPr>
              <w:pStyle w:val="a6"/>
              <w:shd w:val="clear" w:color="auto" w:fill="auto"/>
              <w:spacing w:line="271" w:lineRule="auto"/>
              <w:rPr>
                <w:sz w:val="18"/>
                <w:szCs w:val="24"/>
              </w:rPr>
            </w:pPr>
            <w:r w:rsidRPr="006E22E5">
              <w:rPr>
                <w:b w:val="0"/>
                <w:i/>
                <w:color w:val="000000"/>
                <w:sz w:val="18"/>
                <w:szCs w:val="24"/>
              </w:rPr>
              <w:t>(Умовна рекомендація, дуже низький рівень достовірності доказів)</w:t>
            </w:r>
          </w:p>
        </w:tc>
      </w:tr>
      <w:tr w:rsidR="00366CB9" w14:paraId="6FD540DF" w14:textId="77777777" w:rsidTr="00546B4F">
        <w:trPr>
          <w:trHeight w:hRule="exact" w:val="961"/>
        </w:trPr>
        <w:tc>
          <w:tcPr>
            <w:tcW w:w="547" w:type="dxa"/>
            <w:tcBorders>
              <w:top w:val="single" w:sz="8" w:space="0" w:color="00B050"/>
              <w:bottom w:val="single" w:sz="8" w:space="0" w:color="00B050"/>
            </w:tcBorders>
            <w:shd w:val="clear" w:color="auto" w:fill="FFFFFF"/>
          </w:tcPr>
          <w:p w14:paraId="4A854802" w14:textId="77777777" w:rsidR="00366CB9" w:rsidRDefault="009D0C1D" w:rsidP="00457B0A">
            <w:pPr>
              <w:pStyle w:val="a6"/>
              <w:shd w:val="clear" w:color="auto" w:fill="auto"/>
              <w:spacing w:before="100"/>
              <w:rPr>
                <w:sz w:val="20"/>
                <w:szCs w:val="20"/>
              </w:rPr>
            </w:pPr>
            <w:r>
              <w:rPr>
                <w:b w:val="0"/>
                <w:color w:val="000000"/>
                <w:sz w:val="20"/>
              </w:rPr>
              <w:t>20.</w:t>
            </w:r>
          </w:p>
        </w:tc>
        <w:tc>
          <w:tcPr>
            <w:tcW w:w="8558" w:type="dxa"/>
            <w:tcBorders>
              <w:top w:val="single" w:sz="8" w:space="0" w:color="00B050"/>
              <w:bottom w:val="single" w:sz="8" w:space="0" w:color="00B050"/>
            </w:tcBorders>
            <w:shd w:val="clear" w:color="auto" w:fill="FFFFFF"/>
          </w:tcPr>
          <w:p w14:paraId="7628487F" w14:textId="77777777" w:rsidR="00366CB9" w:rsidRPr="006E22E5" w:rsidRDefault="009D0C1D" w:rsidP="00457B0A">
            <w:pPr>
              <w:pStyle w:val="a6"/>
              <w:shd w:val="clear" w:color="auto" w:fill="auto"/>
              <w:spacing w:after="60" w:line="271" w:lineRule="auto"/>
              <w:rPr>
                <w:sz w:val="18"/>
                <w:szCs w:val="24"/>
              </w:rPr>
            </w:pPr>
            <w:r w:rsidRPr="006E22E5">
              <w:rPr>
                <w:b w:val="0"/>
                <w:color w:val="000000"/>
                <w:sz w:val="18"/>
                <w:szCs w:val="24"/>
              </w:rPr>
              <w:t>Для тесту на виявлення туберкульозної інфекції можна застосовувати туберкуліновий шкірний тест або аналіз на вивільнення гамма-інтерферону.</w:t>
            </w:r>
          </w:p>
          <w:p w14:paraId="027223D5" w14:textId="77777777" w:rsidR="00366CB9" w:rsidRPr="006E22E5" w:rsidRDefault="009D0C1D" w:rsidP="00457B0A">
            <w:pPr>
              <w:pStyle w:val="a6"/>
              <w:shd w:val="clear" w:color="auto" w:fill="auto"/>
              <w:spacing w:line="271" w:lineRule="auto"/>
              <w:rPr>
                <w:i/>
                <w:iCs/>
                <w:sz w:val="18"/>
                <w:szCs w:val="24"/>
              </w:rPr>
            </w:pPr>
            <w:r w:rsidRPr="006E22E5">
              <w:rPr>
                <w:b w:val="0"/>
                <w:i/>
                <w:color w:val="000000"/>
                <w:sz w:val="18"/>
                <w:szCs w:val="24"/>
              </w:rPr>
              <w:t>(Сильна рекомендація, дуже низький рівень достовірності доказів)</w:t>
            </w:r>
          </w:p>
        </w:tc>
      </w:tr>
    </w:tbl>
    <w:p w14:paraId="6326A871"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5D18EA84"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542"/>
        <w:gridCol w:w="8563"/>
      </w:tblGrid>
      <w:tr w:rsidR="00366CB9" w14:paraId="67024D08" w14:textId="77777777" w:rsidTr="00546B4F">
        <w:trPr>
          <w:trHeight w:hRule="exact" w:val="1427"/>
        </w:trPr>
        <w:tc>
          <w:tcPr>
            <w:tcW w:w="542" w:type="dxa"/>
            <w:tcBorders>
              <w:top w:val="single" w:sz="8" w:space="0" w:color="00B050"/>
              <w:bottom w:val="single" w:sz="8" w:space="0" w:color="00B050"/>
            </w:tcBorders>
            <w:shd w:val="clear" w:color="auto" w:fill="FFFFFF"/>
          </w:tcPr>
          <w:p w14:paraId="1FE9A046" w14:textId="77777777" w:rsidR="00366CB9" w:rsidRDefault="009D0C1D" w:rsidP="00457B0A">
            <w:pPr>
              <w:pStyle w:val="a6"/>
              <w:shd w:val="clear" w:color="auto" w:fill="auto"/>
              <w:spacing w:before="100"/>
              <w:rPr>
                <w:sz w:val="20"/>
                <w:szCs w:val="20"/>
              </w:rPr>
            </w:pPr>
            <w:bookmarkStart w:id="15" w:name="bookmark14"/>
            <w:r>
              <w:rPr>
                <w:b w:val="0"/>
                <w:color w:val="000000"/>
                <w:sz w:val="20"/>
              </w:rPr>
              <w:t>21.</w:t>
            </w:r>
            <w:bookmarkEnd w:id="15"/>
          </w:p>
        </w:tc>
        <w:tc>
          <w:tcPr>
            <w:tcW w:w="8563" w:type="dxa"/>
            <w:tcBorders>
              <w:top w:val="single" w:sz="8" w:space="0" w:color="00B050"/>
              <w:bottom w:val="single" w:sz="8" w:space="0" w:color="00B050"/>
            </w:tcBorders>
            <w:shd w:val="clear" w:color="auto" w:fill="FFFFFF"/>
          </w:tcPr>
          <w:p w14:paraId="60B65A7F" w14:textId="77777777" w:rsidR="00366CB9" w:rsidRPr="006E22E5" w:rsidRDefault="009D0C1D" w:rsidP="00457B0A">
            <w:pPr>
              <w:pStyle w:val="a6"/>
              <w:shd w:val="clear" w:color="auto" w:fill="auto"/>
              <w:spacing w:after="60" w:line="276" w:lineRule="auto"/>
              <w:rPr>
                <w:i/>
                <w:iCs/>
                <w:sz w:val="18"/>
                <w:szCs w:val="24"/>
              </w:rPr>
            </w:pPr>
            <w:r w:rsidRPr="006E22E5">
              <w:rPr>
                <w:b w:val="0"/>
                <w:color w:val="000000"/>
                <w:sz w:val="18"/>
                <w:szCs w:val="24"/>
              </w:rPr>
              <w:t>Аналізи на вивільнення гамма-інтерферону (IGRA) та туберкулінові шкірні проби (TST) не слід застосовувати у країнах з низьким та середнім рівнем доходу для діагностики ТБ легень або позалегеневого ТБ або для діагностики дорослих (включаючи людей, які живуть з ВІЛ) з підозрою на активну форму ТБ.</w:t>
            </w:r>
          </w:p>
          <w:p w14:paraId="4EBA9566" w14:textId="77777777" w:rsidR="00366CB9" w:rsidRPr="006E22E5" w:rsidRDefault="009D0C1D" w:rsidP="00457B0A">
            <w:pPr>
              <w:pStyle w:val="a6"/>
              <w:shd w:val="clear" w:color="auto" w:fill="auto"/>
              <w:spacing w:line="276" w:lineRule="auto"/>
              <w:rPr>
                <w:sz w:val="18"/>
                <w:szCs w:val="24"/>
              </w:rPr>
            </w:pPr>
            <w:r w:rsidRPr="006E22E5">
              <w:rPr>
                <w:b w:val="0"/>
                <w:i/>
                <w:color w:val="000000"/>
                <w:sz w:val="18"/>
                <w:szCs w:val="24"/>
              </w:rPr>
              <w:t>(Сильна рекомендація)</w:t>
            </w:r>
          </w:p>
        </w:tc>
      </w:tr>
      <w:tr w:rsidR="00366CB9" w14:paraId="11256357" w14:textId="77777777" w:rsidTr="00546B4F">
        <w:trPr>
          <w:trHeight w:hRule="exact" w:val="1419"/>
        </w:trPr>
        <w:tc>
          <w:tcPr>
            <w:tcW w:w="9105" w:type="dxa"/>
            <w:gridSpan w:val="2"/>
            <w:tcBorders>
              <w:top w:val="single" w:sz="8" w:space="0" w:color="00B050"/>
            </w:tcBorders>
            <w:shd w:val="clear" w:color="auto" w:fill="FFFFFF"/>
          </w:tcPr>
          <w:p w14:paraId="5E522A15" w14:textId="77777777" w:rsidR="00366CB9" w:rsidRDefault="009D0C1D" w:rsidP="00457B0A">
            <w:pPr>
              <w:pStyle w:val="a6"/>
              <w:shd w:val="clear" w:color="auto" w:fill="auto"/>
              <w:spacing w:line="266" w:lineRule="auto"/>
              <w:jc w:val="both"/>
              <w:rPr>
                <w:sz w:val="17"/>
                <w:szCs w:val="17"/>
              </w:rPr>
            </w:pPr>
            <w:r>
              <w:rPr>
                <w:b w:val="0"/>
                <w:color w:val="000000"/>
                <w:sz w:val="17"/>
              </w:rPr>
              <w:t xml:space="preserve">ДНК: дезоксирибонуклеїнова кислота; ТМЧ: тестування медикаментозної чутливості; ВІЛ: вірус імунодефіциту людини; LF-LAM: ліпоарабіноманнановий тест бокового зсуву; LPA: аналіз олігонуклеотидними зондами; МЛС/Риф-ТБ: туберкульоз із множинною лікарською стійкістю або рифампіцин-резистентний туберкульоз; </w:t>
            </w:r>
            <w:r>
              <w:rPr>
                <w:b w:val="0"/>
                <w:i/>
                <w:color w:val="000000"/>
                <w:sz w:val="17"/>
              </w:rPr>
              <w:t>Mtb</w:t>
            </w:r>
            <w:r>
              <w:rPr>
                <w:b w:val="0"/>
                <w:color w:val="000000"/>
                <w:sz w:val="17"/>
              </w:rPr>
              <w:t xml:space="preserve">: </w:t>
            </w:r>
            <w:r>
              <w:rPr>
                <w:b w:val="0"/>
                <w:i/>
                <w:color w:val="000000"/>
                <w:sz w:val="17"/>
              </w:rPr>
              <w:t>Mycobacterium tuberculosis</w:t>
            </w:r>
            <w:r>
              <w:rPr>
                <w:b w:val="0"/>
                <w:color w:val="000000"/>
                <w:sz w:val="17"/>
              </w:rPr>
              <w:t xml:space="preserve">; MTBC: комплекс </w:t>
            </w:r>
            <w:r>
              <w:rPr>
                <w:b w:val="0"/>
                <w:i/>
                <w:color w:val="000000"/>
                <w:sz w:val="17"/>
              </w:rPr>
              <w:t>Mycobacterium tuberculosis</w:t>
            </w:r>
            <w:r>
              <w:rPr>
                <w:b w:val="0"/>
                <w:color w:val="000000"/>
                <w:sz w:val="17"/>
              </w:rPr>
              <w:t>; NAAT: аналіз ампліфікації нуклеїнових кислот; СНП: секвенування наступного покоління; SL-LPA: аналіз олігонуклеотидними зондами для препаратів другої лінії; ІПДЛ: ін’єкційний препарат другої лінії; ТБ: туберкульоз; ВООЗ: Всесвітня організація охорони здоров’я.</w:t>
            </w:r>
          </w:p>
        </w:tc>
      </w:tr>
    </w:tbl>
    <w:p w14:paraId="6260AFCF" w14:textId="3EE1C98C" w:rsidR="00366CB9" w:rsidRDefault="009D0C1D" w:rsidP="00457B0A">
      <w:pPr>
        <w:pStyle w:val="22"/>
        <w:numPr>
          <w:ilvl w:val="1"/>
          <w:numId w:val="62"/>
        </w:numPr>
        <w:shd w:val="clear" w:color="auto" w:fill="auto"/>
        <w:tabs>
          <w:tab w:val="left" w:pos="700"/>
        </w:tabs>
        <w:spacing w:before="360" w:line="240" w:lineRule="auto"/>
        <w:jc w:val="both"/>
      </w:pPr>
      <w:bookmarkStart w:id="16" w:name="bookmark15"/>
      <w:bookmarkStart w:id="17" w:name="bookmark16"/>
      <w:r>
        <w:t xml:space="preserve">Сфера застосування цього операційного </w:t>
      </w:r>
      <w:bookmarkEnd w:id="16"/>
      <w:bookmarkEnd w:id="17"/>
      <w:r>
        <w:t>керівництва</w:t>
      </w:r>
    </w:p>
    <w:p w14:paraId="324582AC" w14:textId="77777777" w:rsidR="00366CB9" w:rsidRPr="006E22E5" w:rsidRDefault="009D0C1D" w:rsidP="00457B0A">
      <w:pPr>
        <w:pStyle w:val="1"/>
        <w:shd w:val="clear" w:color="auto" w:fill="auto"/>
        <w:spacing w:after="160" w:line="322" w:lineRule="auto"/>
        <w:jc w:val="both"/>
        <w:rPr>
          <w:sz w:val="18"/>
          <w:szCs w:val="18"/>
        </w:rPr>
      </w:pPr>
      <w:r w:rsidRPr="006E22E5">
        <w:rPr>
          <w:sz w:val="18"/>
          <w:szCs w:val="18"/>
        </w:rPr>
        <w:t>Цей посібник було розроблено з метою надання практичних вказівок щодо впровадження політик ВООЗ щодо рекомендованих діагностичних тестів та алгоритмів щодо; у ньому описано:</w:t>
      </w:r>
    </w:p>
    <w:p w14:paraId="2FB2DE98" w14:textId="50920E12" w:rsidR="00366CB9" w:rsidRPr="006E22E5" w:rsidRDefault="009D0C1D" w:rsidP="00457B0A">
      <w:pPr>
        <w:pStyle w:val="1"/>
        <w:shd w:val="clear" w:color="auto" w:fill="auto"/>
        <w:spacing w:line="324" w:lineRule="auto"/>
        <w:ind w:left="280" w:hanging="280"/>
        <w:jc w:val="both"/>
        <w:rPr>
          <w:sz w:val="18"/>
          <w:szCs w:val="18"/>
        </w:rPr>
      </w:pPr>
      <w:r w:rsidRPr="006E22E5">
        <w:rPr>
          <w:color w:val="019648"/>
          <w:sz w:val="18"/>
          <w:szCs w:val="18"/>
        </w:rPr>
        <w:t xml:space="preserve">• </w:t>
      </w:r>
      <w:r w:rsidR="004B7924" w:rsidRPr="006E22E5">
        <w:rPr>
          <w:sz w:val="18"/>
          <w:szCs w:val="18"/>
        </w:rPr>
        <w:tab/>
      </w:r>
      <w:r w:rsidRPr="006E22E5">
        <w:rPr>
          <w:sz w:val="18"/>
          <w:szCs w:val="18"/>
        </w:rPr>
        <w:t xml:space="preserve">тести для виявлення ТБ та ЛС-ТБ, рекомендовані ВООЗ </w:t>
      </w:r>
      <w:hyperlink w:anchor="bookmark24" w:tooltip="Поточний документ">
        <w:r w:rsidR="00366CB9" w:rsidRPr="006E22E5">
          <w:rPr>
            <w:sz w:val="18"/>
            <w:szCs w:val="18"/>
          </w:rPr>
          <w:t>(</w:t>
        </w:r>
        <w:r w:rsidR="00366CB9" w:rsidRPr="006E22E5">
          <w:rPr>
            <w:b/>
            <w:sz w:val="18"/>
            <w:szCs w:val="18"/>
          </w:rPr>
          <w:t>розділ 2</w:t>
        </w:r>
      </w:hyperlink>
      <w:r w:rsidRPr="006E22E5">
        <w:rPr>
          <w:sz w:val="18"/>
          <w:szCs w:val="18"/>
        </w:rPr>
        <w:t>), актуальні керівні принципи ВООЗ щодо їхнього застосування, а також міркування щодо впровадження діагностики (</w:t>
      </w:r>
      <w:r w:rsidRPr="006E22E5">
        <w:rPr>
          <w:b/>
          <w:bCs/>
          <w:sz w:val="18"/>
          <w:szCs w:val="18"/>
        </w:rPr>
        <w:t>розділ 3</w:t>
      </w:r>
      <w:r w:rsidRPr="006E22E5">
        <w:rPr>
          <w:sz w:val="18"/>
          <w:szCs w:val="18"/>
        </w:rPr>
        <w:t>) та її роль у мережі (</w:t>
      </w:r>
      <w:r w:rsidRPr="006E22E5">
        <w:rPr>
          <w:b/>
          <w:bCs/>
          <w:sz w:val="18"/>
          <w:szCs w:val="18"/>
        </w:rPr>
        <w:t>розділ 4</w:t>
      </w:r>
      <w:r w:rsidRPr="006E22E5">
        <w:rPr>
          <w:sz w:val="18"/>
          <w:szCs w:val="18"/>
        </w:rPr>
        <w:t>);</w:t>
      </w:r>
    </w:p>
    <w:p w14:paraId="7C124C73" w14:textId="70ABA2DD" w:rsidR="00366CB9" w:rsidRPr="006E22E5" w:rsidRDefault="009D0C1D" w:rsidP="00457B0A">
      <w:pPr>
        <w:pStyle w:val="1"/>
        <w:shd w:val="clear" w:color="auto" w:fill="auto"/>
        <w:spacing w:line="324" w:lineRule="auto"/>
        <w:ind w:left="280" w:hanging="280"/>
        <w:jc w:val="both"/>
        <w:rPr>
          <w:sz w:val="18"/>
          <w:szCs w:val="18"/>
        </w:rPr>
      </w:pPr>
      <w:r w:rsidRPr="006E22E5">
        <w:rPr>
          <w:color w:val="019648"/>
          <w:sz w:val="18"/>
          <w:szCs w:val="18"/>
        </w:rPr>
        <w:t xml:space="preserve">• </w:t>
      </w:r>
      <w:r w:rsidR="004B7924" w:rsidRPr="006E22E5">
        <w:rPr>
          <w:sz w:val="18"/>
          <w:szCs w:val="18"/>
        </w:rPr>
        <w:tab/>
      </w:r>
      <w:r w:rsidRPr="006E22E5">
        <w:rPr>
          <w:sz w:val="18"/>
          <w:szCs w:val="18"/>
        </w:rPr>
        <w:t>тести на виявлення туберкульозної інфекції, рекомендовані ВООЗ, актуальні керівні принципи ВООЗ щодо їхнього застосування, а також міркування щодо популяції тестування, причини та способу тестування за програмних умов (</w:t>
      </w:r>
      <w:hyperlink w:anchor="bookmark24" w:tooltip="Поточний документ">
        <w:r w:rsidR="00366CB9" w:rsidRPr="006E22E5">
          <w:rPr>
            <w:b/>
            <w:sz w:val="18"/>
            <w:szCs w:val="18"/>
          </w:rPr>
          <w:t>розділ 2</w:t>
        </w:r>
      </w:hyperlink>
      <w:r w:rsidRPr="006E22E5">
        <w:rPr>
          <w:sz w:val="18"/>
          <w:szCs w:val="18"/>
        </w:rPr>
        <w:t xml:space="preserve"> та </w:t>
      </w:r>
      <w:hyperlink w:anchor="bookmark71" w:tooltip="Поточний документ">
        <w:r w:rsidR="00366CB9" w:rsidRPr="006E22E5">
          <w:rPr>
            <w:b/>
            <w:sz w:val="18"/>
            <w:szCs w:val="18"/>
          </w:rPr>
          <w:t>розділ 3</w:t>
        </w:r>
      </w:hyperlink>
      <w:r w:rsidRPr="006E22E5">
        <w:rPr>
          <w:sz w:val="18"/>
          <w:szCs w:val="18"/>
        </w:rPr>
        <w:t>);</w:t>
      </w:r>
    </w:p>
    <w:p w14:paraId="650BD2CF" w14:textId="1A48CA23" w:rsidR="00366CB9" w:rsidRPr="006E22E5" w:rsidRDefault="009D0C1D" w:rsidP="00457B0A">
      <w:pPr>
        <w:pStyle w:val="1"/>
        <w:shd w:val="clear" w:color="auto" w:fill="auto"/>
        <w:spacing w:line="324" w:lineRule="auto"/>
        <w:ind w:left="280" w:hanging="280"/>
        <w:jc w:val="both"/>
        <w:rPr>
          <w:sz w:val="18"/>
          <w:szCs w:val="18"/>
        </w:rPr>
      </w:pPr>
      <w:r w:rsidRPr="006E22E5">
        <w:rPr>
          <w:color w:val="019648"/>
          <w:sz w:val="18"/>
          <w:szCs w:val="18"/>
        </w:rPr>
        <w:t xml:space="preserve">• </w:t>
      </w:r>
      <w:r w:rsidR="004B7924" w:rsidRPr="006E22E5">
        <w:rPr>
          <w:sz w:val="18"/>
          <w:szCs w:val="18"/>
        </w:rPr>
        <w:tab/>
      </w:r>
      <w:r w:rsidRPr="006E22E5">
        <w:rPr>
          <w:sz w:val="18"/>
          <w:szCs w:val="18"/>
        </w:rPr>
        <w:t>програмні етапи, що необхідно здійснити з метою впровадження та масштабування нового діагностичного інструменту (</w:t>
      </w:r>
      <w:r w:rsidRPr="006E22E5">
        <w:rPr>
          <w:b/>
          <w:bCs/>
          <w:sz w:val="18"/>
          <w:szCs w:val="18"/>
        </w:rPr>
        <w:t>розділ 5</w:t>
      </w:r>
      <w:r w:rsidRPr="006E22E5">
        <w:rPr>
          <w:sz w:val="18"/>
          <w:szCs w:val="18"/>
        </w:rPr>
        <w:t>); та</w:t>
      </w:r>
    </w:p>
    <w:p w14:paraId="11A332EF" w14:textId="76073E4B" w:rsidR="00366CB9" w:rsidRPr="006E22E5" w:rsidRDefault="009D0C1D" w:rsidP="00457B0A">
      <w:pPr>
        <w:pStyle w:val="1"/>
        <w:shd w:val="clear" w:color="auto" w:fill="auto"/>
        <w:spacing w:after="160" w:line="324" w:lineRule="auto"/>
        <w:ind w:left="280" w:hanging="280"/>
        <w:jc w:val="both"/>
        <w:rPr>
          <w:sz w:val="18"/>
          <w:szCs w:val="18"/>
        </w:rPr>
      </w:pPr>
      <w:r w:rsidRPr="006E22E5">
        <w:rPr>
          <w:color w:val="019648"/>
          <w:sz w:val="18"/>
          <w:szCs w:val="18"/>
        </w:rPr>
        <w:t xml:space="preserve">• </w:t>
      </w:r>
      <w:r w:rsidR="004B7924" w:rsidRPr="006E22E5">
        <w:rPr>
          <w:sz w:val="18"/>
          <w:szCs w:val="18"/>
        </w:rPr>
        <w:tab/>
      </w:r>
      <w:r w:rsidRPr="006E22E5">
        <w:rPr>
          <w:sz w:val="18"/>
          <w:szCs w:val="18"/>
        </w:rPr>
        <w:t xml:space="preserve">діагностичні модельні алгоритми щодо ТБ, що враховують актуальні рекомендації ВООЗ щодо виявлення та лікування ТБ, ЛС-ТБ та туберкульозної інфекції, а також міркування щодо впровадження нового алгоритму </w:t>
      </w:r>
      <w:r w:rsidRPr="006E22E5">
        <w:rPr>
          <w:b/>
          <w:bCs/>
          <w:sz w:val="18"/>
          <w:szCs w:val="18"/>
        </w:rPr>
        <w:t>(</w:t>
      </w:r>
      <w:hyperlink w:anchor="bookmark153" w:tooltip="Поточний документ">
        <w:r w:rsidR="00366CB9" w:rsidRPr="006E22E5">
          <w:rPr>
            <w:b/>
            <w:bCs/>
            <w:sz w:val="18"/>
            <w:szCs w:val="18"/>
          </w:rPr>
          <w:t xml:space="preserve">розділ </w:t>
        </w:r>
      </w:hyperlink>
      <w:r w:rsidRPr="006E22E5">
        <w:rPr>
          <w:b/>
          <w:bCs/>
          <w:sz w:val="18"/>
          <w:szCs w:val="18"/>
        </w:rPr>
        <w:t>6).</w:t>
      </w:r>
    </w:p>
    <w:p w14:paraId="3CE5A53C" w14:textId="77777777" w:rsidR="00366CB9" w:rsidRPr="006E22E5" w:rsidRDefault="009D0C1D" w:rsidP="00457B0A">
      <w:pPr>
        <w:pStyle w:val="1"/>
        <w:shd w:val="clear" w:color="auto" w:fill="auto"/>
        <w:spacing w:after="240" w:line="324" w:lineRule="auto"/>
        <w:jc w:val="both"/>
        <w:rPr>
          <w:sz w:val="18"/>
          <w:szCs w:val="18"/>
        </w:rPr>
      </w:pPr>
      <w:r w:rsidRPr="006E22E5">
        <w:rPr>
          <w:sz w:val="18"/>
          <w:szCs w:val="18"/>
        </w:rPr>
        <w:t xml:space="preserve">Цей довідник не повинен бути вичерпним посібником або повторювати інформацію, вже надану іншими керівними документами. Для отримання додаткової інформації або перегляду діагностичної інформації щодо ТБ ВООЗ надає електронний курс дистанційної підготовки </w:t>
      </w:r>
      <w:r w:rsidRPr="006E22E5">
        <w:rPr>
          <w:i/>
          <w:sz w:val="18"/>
          <w:szCs w:val="18"/>
        </w:rPr>
        <w:t>(</w:t>
      </w:r>
      <w:hyperlink w:anchor="bookmark193" w:tooltip="Поточний документ">
        <w:r w:rsidR="00366CB9" w:rsidRPr="006E22E5">
          <w:rPr>
            <w:i/>
            <w:sz w:val="18"/>
            <w:szCs w:val="18"/>
          </w:rPr>
          <w:t>11</w:t>
        </w:r>
      </w:hyperlink>
      <w:r w:rsidRPr="006E22E5">
        <w:rPr>
          <w:i/>
          <w:sz w:val="18"/>
          <w:szCs w:val="18"/>
        </w:rPr>
        <w:t>)</w:t>
      </w:r>
      <w:r w:rsidRPr="006E22E5">
        <w:rPr>
          <w:sz w:val="18"/>
          <w:szCs w:val="18"/>
        </w:rPr>
        <w:t xml:space="preserve">, що доповнить зміст оперативного довідника. Курс підготовки з вільним графіком проведення охоплює всі основні теми цього довідника та відео, що охоплюють різні тести </w:t>
      </w:r>
      <w:r w:rsidRPr="006E22E5">
        <w:rPr>
          <w:i/>
          <w:sz w:val="18"/>
          <w:szCs w:val="18"/>
        </w:rPr>
        <w:t>(</w:t>
      </w:r>
      <w:hyperlink w:anchor="bookmark193" w:tooltip="Поточний документ">
        <w:r w:rsidR="00366CB9" w:rsidRPr="006E22E5">
          <w:rPr>
            <w:i/>
            <w:sz w:val="18"/>
            <w:szCs w:val="18"/>
          </w:rPr>
          <w:t>11</w:t>
        </w:r>
      </w:hyperlink>
      <w:r w:rsidRPr="006E22E5">
        <w:rPr>
          <w:i/>
          <w:sz w:val="18"/>
          <w:szCs w:val="18"/>
        </w:rPr>
        <w:t>)</w:t>
      </w:r>
      <w:r w:rsidRPr="006E22E5">
        <w:rPr>
          <w:sz w:val="18"/>
          <w:szCs w:val="18"/>
        </w:rPr>
        <w:t xml:space="preserve">. Вказівки щодо впровадження діагностичного тестування також доступні на веб-сайті Глобальної лабораторної ініціативи (ГЛІ) в рамках Партнерства «Зупинимо туберкульоз», секретаріатом якого є ВООЗ/GTB </w:t>
      </w:r>
      <w:r w:rsidRPr="006E22E5">
        <w:rPr>
          <w:i/>
          <w:sz w:val="18"/>
          <w:szCs w:val="18"/>
        </w:rPr>
        <w:t>(</w:t>
      </w:r>
      <w:hyperlink w:anchor="bookmark193" w:tooltip="Поточний документ">
        <w:r w:rsidR="00366CB9" w:rsidRPr="006E22E5">
          <w:rPr>
            <w:i/>
            <w:sz w:val="18"/>
            <w:szCs w:val="18"/>
          </w:rPr>
          <w:t>12</w:t>
        </w:r>
      </w:hyperlink>
      <w:r w:rsidRPr="006E22E5">
        <w:rPr>
          <w:i/>
          <w:sz w:val="18"/>
          <w:szCs w:val="18"/>
        </w:rPr>
        <w:t>)</w:t>
      </w:r>
      <w:r w:rsidRPr="006E22E5">
        <w:rPr>
          <w:sz w:val="18"/>
          <w:szCs w:val="18"/>
        </w:rPr>
        <w:t>.</w:t>
      </w:r>
    </w:p>
    <w:p w14:paraId="5100C14B" w14:textId="77777777" w:rsidR="00366CB9" w:rsidRDefault="009D0C1D" w:rsidP="00457B0A">
      <w:pPr>
        <w:pStyle w:val="22"/>
        <w:numPr>
          <w:ilvl w:val="1"/>
          <w:numId w:val="62"/>
        </w:numPr>
        <w:shd w:val="clear" w:color="auto" w:fill="auto"/>
        <w:tabs>
          <w:tab w:val="left" w:pos="691"/>
        </w:tabs>
        <w:spacing w:line="240" w:lineRule="auto"/>
        <w:jc w:val="both"/>
      </w:pPr>
      <w:bookmarkStart w:id="18" w:name="bookmark17"/>
      <w:bookmarkStart w:id="19" w:name="bookmark18"/>
      <w:r>
        <w:t>Цільова аудиторія</w:t>
      </w:r>
      <w:bookmarkEnd w:id="18"/>
      <w:bookmarkEnd w:id="19"/>
    </w:p>
    <w:p w14:paraId="25043390" w14:textId="77777777" w:rsidR="00366CB9" w:rsidRPr="006E22E5" w:rsidRDefault="009D0C1D" w:rsidP="00457B0A">
      <w:pPr>
        <w:pStyle w:val="1"/>
        <w:shd w:val="clear" w:color="auto" w:fill="auto"/>
        <w:spacing w:after="160" w:line="322" w:lineRule="auto"/>
        <w:jc w:val="both"/>
        <w:rPr>
          <w:sz w:val="18"/>
          <w:szCs w:val="18"/>
        </w:rPr>
      </w:pPr>
      <w:r w:rsidRPr="006E22E5">
        <w:rPr>
          <w:sz w:val="18"/>
          <w:szCs w:val="18"/>
        </w:rPr>
        <w:t>Цільовою аудиторією цього довідника є фахівці міністерств охорони здоров’я, донори, партнери з реалізації, керівники програм, керівники лабораторій, клініцисти, громадянське суспільство та громадські організації, а також інші ключові зацікавлені сторони, що беруть участь у зміцненні лабораторій з діагностики ТБ або підтримки програм.</w:t>
      </w:r>
    </w:p>
    <w:p w14:paraId="2D3AE292" w14:textId="77777777" w:rsidR="00366CB9" w:rsidRPr="006E22E5" w:rsidRDefault="009D0C1D" w:rsidP="00457B0A">
      <w:pPr>
        <w:pStyle w:val="1"/>
        <w:shd w:val="clear" w:color="auto" w:fill="auto"/>
        <w:spacing w:line="326" w:lineRule="auto"/>
        <w:jc w:val="both"/>
        <w:rPr>
          <w:sz w:val="18"/>
          <w:szCs w:val="18"/>
        </w:rPr>
      </w:pPr>
      <w:r w:rsidRPr="006E22E5">
        <w:rPr>
          <w:sz w:val="18"/>
          <w:szCs w:val="18"/>
        </w:rPr>
        <w:t>Цей довідник використовується в рамках програмам боротьби з ТБ та ВІЛ, а також іншими фахівцями, які беруть участь у плануванні та впровадженні нових або розширених програм виявлення ТБ або тестування на виявлення інфекції. Він також призначений для осіб, які беруть участь у навчанні, моніторингу та нагляді, а</w:t>
      </w:r>
    </w:p>
    <w:p w14:paraId="4712CAEA"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36FF3E9D" w14:textId="77777777" w:rsidR="00366CB9" w:rsidRDefault="00366CB9" w:rsidP="00425523">
      <w:pPr>
        <w:spacing w:line="1" w:lineRule="exact"/>
      </w:pPr>
    </w:p>
    <w:p w14:paraId="7911CB13" w14:textId="77777777" w:rsidR="00366CB9" w:rsidRPr="006E22E5" w:rsidRDefault="009D0C1D" w:rsidP="00457B0A">
      <w:pPr>
        <w:pStyle w:val="1"/>
        <w:shd w:val="clear" w:color="auto" w:fill="auto"/>
        <w:spacing w:after="240" w:line="326" w:lineRule="auto"/>
        <w:jc w:val="both"/>
        <w:rPr>
          <w:sz w:val="18"/>
          <w:szCs w:val="18"/>
        </w:rPr>
      </w:pPr>
      <w:bookmarkStart w:id="20" w:name="bookmark19"/>
      <w:r w:rsidRPr="006E22E5">
        <w:rPr>
          <w:sz w:val="18"/>
          <w:szCs w:val="18"/>
        </w:rPr>
        <w:t>також для лікарів, які проводять ці тести. У додатках міститься додаткова інформація, ресурси та навчальні матеріали для лікарів та пацієнтів.</w:t>
      </w:r>
      <w:bookmarkEnd w:id="20"/>
    </w:p>
    <w:p w14:paraId="3AA88107" w14:textId="77777777" w:rsidR="00366CB9" w:rsidRDefault="009D0C1D" w:rsidP="00457B0A">
      <w:pPr>
        <w:pStyle w:val="22"/>
        <w:numPr>
          <w:ilvl w:val="1"/>
          <w:numId w:val="62"/>
        </w:numPr>
        <w:shd w:val="clear" w:color="auto" w:fill="auto"/>
        <w:tabs>
          <w:tab w:val="left" w:pos="706"/>
        </w:tabs>
        <w:spacing w:after="180" w:line="240" w:lineRule="auto"/>
      </w:pPr>
      <w:bookmarkStart w:id="21" w:name="bookmark20"/>
      <w:bookmarkStart w:id="22" w:name="bookmark21"/>
      <w:r>
        <w:t>Що нового у цій версії: резюме змін</w:t>
      </w:r>
      <w:bookmarkEnd w:id="21"/>
      <w:bookmarkEnd w:id="22"/>
    </w:p>
    <w:p w14:paraId="6D6ABD63" w14:textId="77777777" w:rsidR="00366CB9" w:rsidRPr="006E22E5" w:rsidRDefault="009D0C1D" w:rsidP="00457B0A">
      <w:pPr>
        <w:pStyle w:val="1"/>
        <w:shd w:val="clear" w:color="auto" w:fill="auto"/>
        <w:spacing w:line="324" w:lineRule="auto"/>
        <w:jc w:val="both"/>
        <w:rPr>
          <w:sz w:val="18"/>
          <w:szCs w:val="18"/>
        </w:rPr>
      </w:pPr>
      <w:r w:rsidRPr="006E22E5">
        <w:rPr>
          <w:sz w:val="18"/>
          <w:szCs w:val="18"/>
        </w:rPr>
        <w:t xml:space="preserve">Цей оперативний довідник вперше об’єднує консолідовані настанови ВООЗ зі швидкої діагностики ТБ </w:t>
      </w:r>
      <w:r w:rsidRPr="006E22E5">
        <w:rPr>
          <w:i/>
          <w:sz w:val="18"/>
          <w:szCs w:val="18"/>
        </w:rPr>
        <w:t>(</w:t>
      </w:r>
      <w:hyperlink w:anchor="bookmark193" w:tooltip="Поточний документ">
        <w:r w:rsidR="00366CB9" w:rsidRPr="006E22E5">
          <w:rPr>
            <w:i/>
            <w:sz w:val="18"/>
            <w:szCs w:val="18"/>
          </w:rPr>
          <w:t>6</w:t>
        </w:r>
      </w:hyperlink>
      <w:r w:rsidRPr="006E22E5">
        <w:rPr>
          <w:i/>
          <w:sz w:val="18"/>
          <w:szCs w:val="18"/>
        </w:rPr>
        <w:t>)</w:t>
      </w:r>
      <w:r w:rsidRPr="006E22E5">
        <w:rPr>
          <w:sz w:val="18"/>
          <w:szCs w:val="18"/>
        </w:rPr>
        <w:t xml:space="preserve"> тестів на виявлення туберкульозної інфекції </w:t>
      </w:r>
      <w:r w:rsidRPr="006E22E5">
        <w:rPr>
          <w:i/>
          <w:sz w:val="18"/>
          <w:szCs w:val="18"/>
        </w:rPr>
        <w:t>(</w:t>
      </w:r>
      <w:hyperlink w:anchor="bookmark193" w:tooltip="Поточний документ">
        <w:r w:rsidR="00366CB9" w:rsidRPr="006E22E5">
          <w:rPr>
            <w:i/>
            <w:sz w:val="18"/>
            <w:szCs w:val="18"/>
          </w:rPr>
          <w:t>13</w:t>
        </w:r>
      </w:hyperlink>
      <w:r w:rsidRPr="006E22E5">
        <w:rPr>
          <w:i/>
          <w:sz w:val="18"/>
          <w:szCs w:val="18"/>
        </w:rPr>
        <w:t>)</w:t>
      </w:r>
      <w:r w:rsidRPr="006E22E5">
        <w:rPr>
          <w:sz w:val="18"/>
          <w:szCs w:val="18"/>
        </w:rPr>
        <w:t xml:space="preserve">. Також зміст було переглянуто на предмет відповідності актуальним та заснованим на доказах керівним принципам ВООЗ, описаним у публікації 2025 року </w:t>
      </w:r>
      <w:r w:rsidRPr="006E22E5">
        <w:rPr>
          <w:i/>
          <w:sz w:val="18"/>
          <w:szCs w:val="18"/>
        </w:rPr>
        <w:t>«Консолідовані настанови ВООЗ з туберкульозу: модуль 3: діагностика» (</w:t>
      </w:r>
      <w:hyperlink w:anchor="bookmark193" w:tooltip="Поточний документ">
        <w:r w:rsidR="00366CB9" w:rsidRPr="006E22E5">
          <w:rPr>
            <w:i/>
            <w:sz w:val="18"/>
            <w:szCs w:val="18"/>
          </w:rPr>
          <w:t>5</w:t>
        </w:r>
      </w:hyperlink>
      <w:r w:rsidRPr="006E22E5">
        <w:rPr>
          <w:i/>
          <w:sz w:val="18"/>
          <w:szCs w:val="18"/>
        </w:rPr>
        <w:t>)</w:t>
      </w:r>
      <w:r w:rsidRPr="006E22E5">
        <w:rPr>
          <w:sz w:val="18"/>
          <w:szCs w:val="18"/>
        </w:rPr>
        <w:t xml:space="preserve">. Високорівневе резюме змін, внесених у період між третьою та четвертою версіями цього довідника, представлено у </w:t>
      </w:r>
      <w:r w:rsidRPr="006E22E5">
        <w:rPr>
          <w:b/>
          <w:bCs/>
          <w:sz w:val="18"/>
          <w:szCs w:val="18"/>
        </w:rPr>
        <w:t>Таблиці 1.2</w:t>
      </w:r>
      <w:r w:rsidRPr="006E22E5">
        <w:rPr>
          <w:sz w:val="18"/>
          <w:szCs w:val="18"/>
        </w:rPr>
        <w:t>.</w:t>
      </w:r>
    </w:p>
    <w:p w14:paraId="32F0629F"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4B0437B7"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rsidRPr="0079021A" w14:paraId="00A3C5F9" w14:textId="77777777" w:rsidTr="00E332D4">
        <w:trPr>
          <w:trHeight w:hRule="exact" w:val="840"/>
        </w:trPr>
        <w:tc>
          <w:tcPr>
            <w:tcW w:w="9106" w:type="dxa"/>
            <w:shd w:val="clear" w:color="auto" w:fill="FFFFFF"/>
          </w:tcPr>
          <w:p w14:paraId="7BDA4C08" w14:textId="6087B9DC" w:rsidR="00366CB9" w:rsidRPr="0079021A" w:rsidRDefault="009D0C1D" w:rsidP="00457B0A">
            <w:pPr>
              <w:pStyle w:val="a6"/>
              <w:shd w:val="clear" w:color="auto" w:fill="auto"/>
              <w:spacing w:line="254" w:lineRule="auto"/>
              <w:rPr>
                <w:sz w:val="24"/>
                <w:szCs w:val="24"/>
              </w:rPr>
            </w:pPr>
            <w:bookmarkStart w:id="23" w:name="bookmark22"/>
            <w:r>
              <w:rPr>
                <w:color w:val="636466"/>
                <w:sz w:val="24"/>
              </w:rPr>
              <w:t xml:space="preserve">Таблиця 1.2. Резюме змін у цьому </w:t>
            </w:r>
            <w:r>
              <w:rPr>
                <w:i/>
                <w:iCs/>
                <w:color w:val="636466"/>
                <w:sz w:val="24"/>
              </w:rPr>
              <w:t>Операційному керівництві ВООЗ щодо туберкульозу</w:t>
            </w:r>
            <w:r>
              <w:rPr>
                <w:i/>
                <w:color w:val="636466"/>
                <w:sz w:val="24"/>
              </w:rPr>
              <w:t xml:space="preserve"> Модуль 3: діагностика</w:t>
            </w:r>
            <w:bookmarkEnd w:id="23"/>
          </w:p>
        </w:tc>
      </w:tr>
      <w:tr w:rsidR="00366CB9" w:rsidRPr="0079021A" w14:paraId="4AB23F12" w14:textId="77777777" w:rsidTr="00546B4F">
        <w:trPr>
          <w:trHeight w:hRule="exact" w:val="442"/>
        </w:trPr>
        <w:tc>
          <w:tcPr>
            <w:tcW w:w="9106" w:type="dxa"/>
            <w:shd w:val="clear" w:color="auto" w:fill="62A86A"/>
            <w:vAlign w:val="center"/>
          </w:tcPr>
          <w:p w14:paraId="25EE86B3" w14:textId="77777777" w:rsidR="00366CB9" w:rsidRPr="0079021A" w:rsidRDefault="009D0C1D" w:rsidP="004B7924">
            <w:pPr>
              <w:pStyle w:val="a6"/>
              <w:shd w:val="clear" w:color="auto" w:fill="auto"/>
              <w:ind w:firstLine="140"/>
              <w:rPr>
                <w:sz w:val="20"/>
                <w:szCs w:val="20"/>
              </w:rPr>
            </w:pPr>
            <w:r>
              <w:rPr>
                <w:color w:val="FFFFFF"/>
                <w:sz w:val="20"/>
              </w:rPr>
              <w:t>Опис зміни</w:t>
            </w:r>
          </w:p>
        </w:tc>
      </w:tr>
      <w:tr w:rsidR="00366CB9" w14:paraId="6C2AC18E" w14:textId="77777777" w:rsidTr="00546B4F">
        <w:trPr>
          <w:trHeight w:hRule="exact" w:val="8792"/>
        </w:trPr>
        <w:tc>
          <w:tcPr>
            <w:tcW w:w="9106" w:type="dxa"/>
            <w:tcBorders>
              <w:bottom w:val="single" w:sz="8" w:space="0" w:color="00B050"/>
            </w:tcBorders>
            <w:shd w:val="clear" w:color="auto" w:fill="FFFFFF"/>
          </w:tcPr>
          <w:p w14:paraId="332A63CE" w14:textId="77777777" w:rsidR="00366CB9" w:rsidRPr="006E22E5" w:rsidRDefault="009D0C1D" w:rsidP="00457B0A">
            <w:pPr>
              <w:pStyle w:val="a6"/>
              <w:shd w:val="clear" w:color="auto" w:fill="auto"/>
              <w:spacing w:after="60" w:line="271" w:lineRule="auto"/>
              <w:ind w:firstLine="140"/>
              <w:rPr>
                <w:sz w:val="18"/>
                <w:szCs w:val="24"/>
              </w:rPr>
            </w:pPr>
            <w:r w:rsidRPr="006E22E5">
              <w:rPr>
                <w:b w:val="0"/>
                <w:color w:val="000000"/>
                <w:sz w:val="18"/>
                <w:szCs w:val="24"/>
              </w:rPr>
              <w:t>Четверта версія операційного довідника:</w:t>
            </w:r>
          </w:p>
          <w:p w14:paraId="7C4391ED" w14:textId="5A8D12BE" w:rsidR="00366CB9" w:rsidRPr="006E22E5" w:rsidRDefault="00FE22F4" w:rsidP="004B7924">
            <w:pPr>
              <w:pStyle w:val="a6"/>
              <w:shd w:val="clear" w:color="auto" w:fill="auto"/>
              <w:spacing w:after="60" w:line="271" w:lineRule="auto"/>
              <w:ind w:left="300" w:hanging="160"/>
              <w:rPr>
                <w:sz w:val="18"/>
                <w:szCs w:val="24"/>
              </w:rPr>
            </w:pPr>
            <w:r w:rsidRPr="006E22E5">
              <w:rPr>
                <w:rFonts w:ascii="Wingdings" w:hAnsi="Wingdings"/>
                <w:b w:val="0"/>
                <w:color w:val="000000"/>
                <w:sz w:val="18"/>
                <w:szCs w:val="24"/>
              </w:rPr>
              <w:t></w:t>
            </w:r>
            <w:r w:rsidRPr="006E22E5">
              <w:rPr>
                <w:b w:val="0"/>
                <w:color w:val="000000"/>
                <w:sz w:val="18"/>
                <w:szCs w:val="24"/>
              </w:rPr>
              <w:t xml:space="preserve"> </w:t>
            </w:r>
            <w:r w:rsidR="004B7924" w:rsidRPr="006E22E5">
              <w:rPr>
                <w:sz w:val="18"/>
                <w:szCs w:val="24"/>
              </w:rPr>
              <w:tab/>
            </w:r>
            <w:r w:rsidRPr="006E22E5">
              <w:rPr>
                <w:b w:val="0"/>
                <w:color w:val="000000"/>
                <w:sz w:val="18"/>
                <w:szCs w:val="24"/>
              </w:rPr>
              <w:t>вперше об’єднує оперативні довідники щодо тестів для діагностики ТБ та тестів на виявлення туберкульозної інфекції в єдиний документ з узгодженням змісту;</w:t>
            </w:r>
          </w:p>
          <w:p w14:paraId="474224DD" w14:textId="757750BB" w:rsidR="00366CB9" w:rsidRPr="006E22E5" w:rsidRDefault="00FE22F4" w:rsidP="004B7924">
            <w:pPr>
              <w:pStyle w:val="a6"/>
              <w:shd w:val="clear" w:color="auto" w:fill="auto"/>
              <w:spacing w:after="60" w:line="271" w:lineRule="auto"/>
              <w:ind w:left="300" w:hanging="160"/>
              <w:rPr>
                <w:sz w:val="18"/>
                <w:szCs w:val="24"/>
              </w:rPr>
            </w:pPr>
            <w:r w:rsidRPr="006E22E5">
              <w:rPr>
                <w:rFonts w:ascii="Wingdings" w:hAnsi="Wingdings"/>
                <w:b w:val="0"/>
                <w:color w:val="000000"/>
                <w:sz w:val="18"/>
                <w:szCs w:val="24"/>
              </w:rPr>
              <w:t></w:t>
            </w:r>
            <w:r w:rsidRPr="006E22E5">
              <w:rPr>
                <w:b w:val="0"/>
                <w:color w:val="000000"/>
                <w:sz w:val="18"/>
                <w:szCs w:val="24"/>
              </w:rPr>
              <w:t xml:space="preserve"> </w:t>
            </w:r>
            <w:r w:rsidR="004B7924" w:rsidRPr="006E22E5">
              <w:rPr>
                <w:sz w:val="18"/>
                <w:szCs w:val="24"/>
              </w:rPr>
              <w:tab/>
            </w:r>
            <w:r w:rsidRPr="006E22E5">
              <w:rPr>
                <w:b w:val="0"/>
                <w:color w:val="000000"/>
                <w:sz w:val="18"/>
                <w:szCs w:val="24"/>
              </w:rPr>
              <w:t>включає нову зведену таблицю, у якій вказано всі чинні рекомендації ВООЗ щодо діагностики туберкульозної інфекції та ТБ, а також виявлення медикаментозної резистентності (</w:t>
            </w:r>
            <w:hyperlink w:anchor="bookmark13" w:tooltip="Поточний документ">
              <w:r w:rsidRPr="006E22E5">
                <w:rPr>
                  <w:color w:val="000000"/>
                  <w:sz w:val="18"/>
                  <w:szCs w:val="24"/>
                </w:rPr>
                <w:t>Таблиця 1.1</w:t>
              </w:r>
            </w:hyperlink>
            <w:r w:rsidRPr="006E22E5">
              <w:rPr>
                <w:b w:val="0"/>
                <w:color w:val="000000"/>
                <w:sz w:val="18"/>
                <w:szCs w:val="24"/>
              </w:rPr>
              <w:t>);</w:t>
            </w:r>
          </w:p>
          <w:p w14:paraId="4F8CFE30" w14:textId="34D24B62" w:rsidR="00366CB9" w:rsidRPr="006E22E5" w:rsidRDefault="00FE22F4" w:rsidP="004B7924">
            <w:pPr>
              <w:pStyle w:val="a6"/>
              <w:shd w:val="clear" w:color="auto" w:fill="auto"/>
              <w:spacing w:after="60" w:line="271" w:lineRule="auto"/>
              <w:ind w:left="300" w:hanging="160"/>
              <w:rPr>
                <w:sz w:val="18"/>
                <w:szCs w:val="24"/>
              </w:rPr>
            </w:pPr>
            <w:r w:rsidRPr="006E22E5">
              <w:rPr>
                <w:rFonts w:ascii="Wingdings" w:hAnsi="Wingdings"/>
                <w:b w:val="0"/>
                <w:color w:val="000000"/>
                <w:sz w:val="18"/>
                <w:szCs w:val="24"/>
              </w:rPr>
              <w:t></w:t>
            </w:r>
            <w:r w:rsidRPr="006E22E5">
              <w:rPr>
                <w:b w:val="0"/>
                <w:color w:val="000000"/>
                <w:sz w:val="18"/>
                <w:szCs w:val="24"/>
              </w:rPr>
              <w:t xml:space="preserve"> </w:t>
            </w:r>
            <w:r w:rsidR="004B7924" w:rsidRPr="006E22E5">
              <w:rPr>
                <w:sz w:val="18"/>
                <w:szCs w:val="24"/>
              </w:rPr>
              <w:tab/>
            </w:r>
            <w:r w:rsidRPr="006E22E5">
              <w:rPr>
                <w:b w:val="0"/>
                <w:color w:val="000000"/>
                <w:sz w:val="18"/>
                <w:szCs w:val="24"/>
              </w:rPr>
              <w:t>містить додаткові таблиці для визначення кожного класу діагностики (</w:t>
            </w:r>
            <w:hyperlink w:anchor="bookmark24" w:tooltip="Поточний документ">
              <w:r w:rsidRPr="006E22E5">
                <w:rPr>
                  <w:color w:val="000000"/>
                  <w:sz w:val="18"/>
                  <w:szCs w:val="24"/>
                </w:rPr>
                <w:t>розділ 2</w:t>
              </w:r>
            </w:hyperlink>
            <w:r w:rsidRPr="006E22E5">
              <w:rPr>
                <w:b w:val="0"/>
                <w:color w:val="000000"/>
                <w:sz w:val="18"/>
                <w:szCs w:val="24"/>
              </w:rPr>
              <w:t>);</w:t>
            </w:r>
          </w:p>
          <w:p w14:paraId="6F005159" w14:textId="5FBD0F85" w:rsidR="00366CB9" w:rsidRPr="006E22E5" w:rsidRDefault="00FE22F4" w:rsidP="004B7924">
            <w:pPr>
              <w:pStyle w:val="a6"/>
              <w:shd w:val="clear" w:color="auto" w:fill="auto"/>
              <w:spacing w:after="60" w:line="271" w:lineRule="auto"/>
              <w:ind w:left="300" w:hanging="160"/>
              <w:rPr>
                <w:sz w:val="18"/>
                <w:szCs w:val="24"/>
              </w:rPr>
            </w:pPr>
            <w:r w:rsidRPr="006E22E5">
              <w:rPr>
                <w:rFonts w:ascii="Wingdings" w:hAnsi="Wingdings"/>
                <w:b w:val="0"/>
                <w:color w:val="000000"/>
                <w:sz w:val="18"/>
                <w:szCs w:val="24"/>
              </w:rPr>
              <w:t></w:t>
            </w:r>
            <w:r w:rsidRPr="006E22E5">
              <w:rPr>
                <w:b w:val="0"/>
                <w:color w:val="000000"/>
                <w:sz w:val="18"/>
                <w:szCs w:val="24"/>
              </w:rPr>
              <w:t xml:space="preserve"> </w:t>
            </w:r>
            <w:r w:rsidR="004B7924" w:rsidRPr="006E22E5">
              <w:rPr>
                <w:sz w:val="18"/>
                <w:szCs w:val="24"/>
              </w:rPr>
              <w:tab/>
            </w:r>
            <w:r w:rsidRPr="006E22E5">
              <w:rPr>
                <w:b w:val="0"/>
                <w:color w:val="000000"/>
                <w:sz w:val="18"/>
                <w:szCs w:val="24"/>
              </w:rPr>
              <w:t xml:space="preserve">включає два нові класи діагностичних тестів на ТБ, що застосовуються для первинного виявлення ТБ, з виявленням резистентності до RIF та без неї (автоматизовані NAAT низької складності [LC-aNAAT] та ручні NAAT низької складності [LC-mNAAT]), з узагальненням змісту для тестів продуктів «у межах класу» Xpert® MTB/RIF, Xpert MTB/RIF Ultra, Truenat® MTB Plus та Truenat MTB-RIF Dx (LC-aNAAT), та для тестів TB-LAMP (LC-mNAAT) </w:t>
            </w:r>
            <w:r w:rsidRPr="006E22E5">
              <w:rPr>
                <w:bCs w:val="0"/>
                <w:color w:val="000000"/>
                <w:sz w:val="18"/>
                <w:szCs w:val="24"/>
              </w:rPr>
              <w:t>(</w:t>
            </w:r>
            <w:hyperlink w:anchor="bookmark24" w:tooltip="Поточний документ">
              <w:r w:rsidRPr="006E22E5">
                <w:rPr>
                  <w:bCs w:val="0"/>
                  <w:color w:val="000000"/>
                  <w:sz w:val="18"/>
                  <w:szCs w:val="24"/>
                </w:rPr>
                <w:t>розділи 2</w:t>
              </w:r>
            </w:hyperlink>
            <w:r w:rsidRPr="006E22E5">
              <w:rPr>
                <w:bCs w:val="0"/>
                <w:color w:val="000000"/>
                <w:sz w:val="18"/>
                <w:szCs w:val="24"/>
              </w:rPr>
              <w:t>-</w:t>
            </w:r>
            <w:hyperlink w:anchor="bookmark97" w:tooltip="Поточний документ">
              <w:r w:rsidRPr="006E22E5">
                <w:rPr>
                  <w:bCs w:val="0"/>
                  <w:color w:val="000000"/>
                  <w:sz w:val="18"/>
                  <w:szCs w:val="24"/>
                </w:rPr>
                <w:t>4</w:t>
              </w:r>
            </w:hyperlink>
            <w:r w:rsidRPr="006E22E5">
              <w:rPr>
                <w:bCs w:val="0"/>
                <w:color w:val="000000"/>
                <w:sz w:val="18"/>
                <w:szCs w:val="24"/>
              </w:rPr>
              <w:t>);</w:t>
            </w:r>
          </w:p>
          <w:p w14:paraId="7A3DC255" w14:textId="56951D77" w:rsidR="00366CB9" w:rsidRPr="006E22E5" w:rsidRDefault="00FE22F4" w:rsidP="004B7924">
            <w:pPr>
              <w:pStyle w:val="a6"/>
              <w:shd w:val="clear" w:color="auto" w:fill="auto"/>
              <w:tabs>
                <w:tab w:val="left" w:pos="413"/>
              </w:tabs>
              <w:spacing w:after="60" w:line="271" w:lineRule="auto"/>
              <w:ind w:left="300" w:hanging="160"/>
              <w:rPr>
                <w:sz w:val="18"/>
                <w:szCs w:val="24"/>
              </w:rPr>
            </w:pPr>
            <w:r w:rsidRPr="006E22E5">
              <w:rPr>
                <w:rFonts w:ascii="Wingdings" w:hAnsi="Wingdings"/>
                <w:b w:val="0"/>
                <w:color w:val="000000"/>
                <w:sz w:val="18"/>
                <w:szCs w:val="24"/>
              </w:rPr>
              <w:t></w:t>
            </w:r>
            <w:r w:rsidRPr="006E22E5">
              <w:rPr>
                <w:b w:val="0"/>
                <w:color w:val="000000"/>
                <w:sz w:val="18"/>
                <w:szCs w:val="24"/>
              </w:rPr>
              <w:t xml:space="preserve"> </w:t>
            </w:r>
            <w:r w:rsidR="004B7924" w:rsidRPr="006E22E5">
              <w:rPr>
                <w:sz w:val="18"/>
                <w:szCs w:val="24"/>
              </w:rPr>
              <w:tab/>
            </w:r>
            <w:r w:rsidRPr="006E22E5">
              <w:rPr>
                <w:b w:val="0"/>
                <w:color w:val="000000"/>
                <w:sz w:val="18"/>
                <w:szCs w:val="24"/>
              </w:rPr>
              <w:t>включає нові та оновлені продукти для тестування в рамках IGRA та класах діагностики в рамках цільового СНП (</w:t>
            </w:r>
            <w:hyperlink w:anchor="bookmark24" w:tooltip="Поточний документ">
              <w:r w:rsidRPr="006E22E5">
                <w:rPr>
                  <w:color w:val="000000"/>
                  <w:sz w:val="18"/>
                  <w:szCs w:val="24"/>
                </w:rPr>
                <w:t>розділ 2</w:t>
              </w:r>
            </w:hyperlink>
            <w:r w:rsidRPr="006E22E5">
              <w:rPr>
                <w:b w:val="0"/>
                <w:color w:val="000000"/>
                <w:sz w:val="18"/>
                <w:szCs w:val="24"/>
              </w:rPr>
              <w:t xml:space="preserve">) на основі оцінки продуктів ВООЗ за січень 2025 року (результати якої узагальнено у звітах про зустріч у </w:t>
            </w:r>
            <w:hyperlink r:id="rId36" w:history="1">
              <w:r w:rsidRPr="006E22E5">
                <w:rPr>
                  <w:color w:val="000000"/>
                  <w:sz w:val="18"/>
                  <w:szCs w:val="24"/>
                </w:rPr>
                <w:t>Вебдодатку D</w:t>
              </w:r>
            </w:hyperlink>
            <w:r w:rsidRPr="006E22E5">
              <w:rPr>
                <w:b w:val="0"/>
                <w:color w:val="000000"/>
                <w:sz w:val="18"/>
                <w:szCs w:val="24"/>
              </w:rPr>
              <w:t>);</w:t>
            </w:r>
          </w:p>
          <w:p w14:paraId="2E553296" w14:textId="7C214F96" w:rsidR="00366CB9" w:rsidRPr="006E22E5" w:rsidRDefault="00FE22F4" w:rsidP="004B7924">
            <w:pPr>
              <w:pStyle w:val="a6"/>
              <w:shd w:val="clear" w:color="auto" w:fill="auto"/>
              <w:spacing w:after="60" w:line="271" w:lineRule="auto"/>
              <w:ind w:left="300" w:hanging="160"/>
              <w:rPr>
                <w:sz w:val="18"/>
                <w:szCs w:val="24"/>
              </w:rPr>
            </w:pPr>
            <w:r w:rsidRPr="006E22E5">
              <w:rPr>
                <w:rFonts w:ascii="Wingdings" w:hAnsi="Wingdings"/>
                <w:b w:val="0"/>
                <w:color w:val="000000"/>
                <w:sz w:val="18"/>
                <w:szCs w:val="24"/>
              </w:rPr>
              <w:t></w:t>
            </w:r>
            <w:r w:rsidRPr="006E22E5">
              <w:rPr>
                <w:b w:val="0"/>
                <w:color w:val="000000"/>
                <w:sz w:val="18"/>
                <w:szCs w:val="24"/>
              </w:rPr>
              <w:t xml:space="preserve"> </w:t>
            </w:r>
            <w:r w:rsidR="004B7924" w:rsidRPr="006E22E5">
              <w:rPr>
                <w:sz w:val="18"/>
                <w:szCs w:val="24"/>
              </w:rPr>
              <w:tab/>
            </w:r>
            <w:r w:rsidRPr="006E22E5">
              <w:rPr>
                <w:b w:val="0"/>
                <w:color w:val="000000"/>
                <w:sz w:val="18"/>
                <w:szCs w:val="24"/>
              </w:rPr>
              <w:t>включає робочі міркування щодо нових рекомендацій ВООЗ щодо супутнього тестування у людей (будь-якого віку), які живуть з ВІЛ, та у дітей з негативним або невідомим ВІЛ-статусом (</w:t>
            </w:r>
            <w:hyperlink w:anchor="bookmark71" w:tooltip="Поточний документ">
              <w:r w:rsidRPr="006E22E5">
                <w:rPr>
                  <w:color w:val="000000"/>
                  <w:sz w:val="18"/>
                  <w:szCs w:val="24"/>
                </w:rPr>
                <w:t>розділ 3</w:t>
              </w:r>
            </w:hyperlink>
            <w:r w:rsidRPr="006E22E5">
              <w:rPr>
                <w:b w:val="0"/>
                <w:color w:val="000000"/>
                <w:sz w:val="18"/>
                <w:szCs w:val="24"/>
              </w:rPr>
              <w:t>, Алгоритм 1);</w:t>
            </w:r>
          </w:p>
          <w:p w14:paraId="15827A23" w14:textId="17ECD675" w:rsidR="00366CB9" w:rsidRPr="006E22E5" w:rsidRDefault="00FE22F4" w:rsidP="004B7924">
            <w:pPr>
              <w:pStyle w:val="a6"/>
              <w:shd w:val="clear" w:color="auto" w:fill="auto"/>
              <w:spacing w:after="60" w:line="271" w:lineRule="auto"/>
              <w:ind w:left="300" w:hanging="160"/>
              <w:rPr>
                <w:sz w:val="18"/>
                <w:szCs w:val="24"/>
              </w:rPr>
            </w:pPr>
            <w:r w:rsidRPr="006E22E5">
              <w:rPr>
                <w:rFonts w:ascii="Wingdings" w:hAnsi="Wingdings"/>
                <w:b w:val="0"/>
                <w:color w:val="000000"/>
                <w:sz w:val="18"/>
                <w:szCs w:val="24"/>
              </w:rPr>
              <w:t></w:t>
            </w:r>
            <w:r w:rsidRPr="006E22E5">
              <w:rPr>
                <w:b w:val="0"/>
                <w:color w:val="000000"/>
                <w:sz w:val="18"/>
                <w:szCs w:val="24"/>
              </w:rPr>
              <w:t xml:space="preserve"> </w:t>
            </w:r>
            <w:r w:rsidR="004B7924" w:rsidRPr="006E22E5">
              <w:rPr>
                <w:sz w:val="18"/>
                <w:szCs w:val="24"/>
              </w:rPr>
              <w:tab/>
            </w:r>
            <w:r w:rsidRPr="006E22E5">
              <w:rPr>
                <w:b w:val="0"/>
                <w:color w:val="000000"/>
                <w:sz w:val="18"/>
                <w:szCs w:val="24"/>
              </w:rPr>
              <w:t>включає новий підрозділ щодо ЗЯ, що стосується тестування на виявлення ТБ (</w:t>
            </w:r>
            <w:hyperlink w:anchor="bookmark71" w:tooltip="Поточний документ">
              <w:r w:rsidRPr="006E22E5">
                <w:rPr>
                  <w:color w:val="000000"/>
                  <w:sz w:val="18"/>
                  <w:szCs w:val="24"/>
                </w:rPr>
                <w:t>розділ 3</w:t>
              </w:r>
            </w:hyperlink>
            <w:r w:rsidRPr="006E22E5">
              <w:rPr>
                <w:b w:val="0"/>
                <w:color w:val="000000"/>
                <w:sz w:val="18"/>
                <w:szCs w:val="24"/>
              </w:rPr>
              <w:t>);</w:t>
            </w:r>
          </w:p>
          <w:p w14:paraId="49945BCB" w14:textId="17B4BE2F" w:rsidR="00366CB9" w:rsidRPr="006E22E5" w:rsidRDefault="00FE22F4" w:rsidP="004B7924">
            <w:pPr>
              <w:pStyle w:val="a6"/>
              <w:shd w:val="clear" w:color="auto" w:fill="auto"/>
              <w:spacing w:after="60" w:line="271" w:lineRule="auto"/>
              <w:ind w:left="300" w:hanging="160"/>
              <w:rPr>
                <w:sz w:val="18"/>
                <w:szCs w:val="24"/>
              </w:rPr>
            </w:pPr>
            <w:r w:rsidRPr="006E22E5">
              <w:rPr>
                <w:rFonts w:ascii="Wingdings" w:hAnsi="Wingdings"/>
                <w:b w:val="0"/>
                <w:color w:val="000000"/>
                <w:sz w:val="18"/>
                <w:szCs w:val="24"/>
              </w:rPr>
              <w:t></w:t>
            </w:r>
            <w:r w:rsidRPr="006E22E5">
              <w:rPr>
                <w:b w:val="0"/>
                <w:color w:val="000000"/>
                <w:sz w:val="18"/>
                <w:szCs w:val="24"/>
              </w:rPr>
              <w:t xml:space="preserve"> </w:t>
            </w:r>
            <w:r w:rsidR="004B7924" w:rsidRPr="006E22E5">
              <w:rPr>
                <w:sz w:val="18"/>
                <w:szCs w:val="24"/>
              </w:rPr>
              <w:tab/>
            </w:r>
            <w:r w:rsidRPr="006E22E5">
              <w:rPr>
                <w:b w:val="0"/>
                <w:color w:val="000000"/>
                <w:sz w:val="18"/>
                <w:szCs w:val="24"/>
              </w:rPr>
              <w:t>вносить зміни до модельних діагностичних алгоритмів (</w:t>
            </w:r>
            <w:hyperlink w:anchor="bookmark153" w:tooltip="Поточний документ">
              <w:r w:rsidRPr="006E22E5">
                <w:rPr>
                  <w:color w:val="000000"/>
                  <w:sz w:val="18"/>
                  <w:szCs w:val="24"/>
                </w:rPr>
                <w:t>розділ 6</w:t>
              </w:r>
            </w:hyperlink>
            <w:r w:rsidRPr="006E22E5">
              <w:rPr>
                <w:b w:val="0"/>
                <w:color w:val="000000"/>
                <w:sz w:val="18"/>
                <w:szCs w:val="24"/>
              </w:rPr>
              <w:t>):</w:t>
            </w:r>
          </w:p>
          <w:p w14:paraId="5B9254BC" w14:textId="0176DDCE" w:rsidR="00366CB9" w:rsidRPr="006E22E5" w:rsidRDefault="00FE22F4" w:rsidP="004B7924">
            <w:pPr>
              <w:pStyle w:val="a6"/>
              <w:shd w:val="clear" w:color="auto" w:fill="auto"/>
              <w:tabs>
                <w:tab w:val="left" w:pos="554"/>
              </w:tabs>
              <w:spacing w:after="60" w:line="271" w:lineRule="auto"/>
              <w:ind w:firstLine="300"/>
              <w:rPr>
                <w:sz w:val="18"/>
                <w:szCs w:val="24"/>
              </w:rPr>
            </w:pPr>
            <w:r w:rsidRPr="006E22E5">
              <w:rPr>
                <w:b w:val="0"/>
                <w:color w:val="000000"/>
                <w:sz w:val="18"/>
                <w:szCs w:val="24"/>
              </w:rPr>
              <w:sym w:font="Wingdings" w:char="F0A0"/>
            </w:r>
            <w:r w:rsidRPr="006E22E5">
              <w:rPr>
                <w:b w:val="0"/>
                <w:color w:val="000000"/>
                <w:sz w:val="18"/>
                <w:szCs w:val="24"/>
              </w:rPr>
              <w:t xml:space="preserve"> </w:t>
            </w:r>
            <w:r w:rsidR="004B7924" w:rsidRPr="006E22E5">
              <w:rPr>
                <w:sz w:val="18"/>
                <w:szCs w:val="24"/>
              </w:rPr>
              <w:tab/>
            </w:r>
            <w:r w:rsidRPr="006E22E5">
              <w:rPr>
                <w:b w:val="0"/>
                <w:color w:val="000000"/>
                <w:sz w:val="18"/>
                <w:szCs w:val="24"/>
              </w:rPr>
              <w:t>Алгоритм 1 наразі представлено у двох частинах:</w:t>
            </w:r>
          </w:p>
          <w:p w14:paraId="17C98FE8" w14:textId="535EBFC4" w:rsidR="00366CB9" w:rsidRPr="006E22E5" w:rsidRDefault="009D0C1D" w:rsidP="004B7924">
            <w:pPr>
              <w:pStyle w:val="a6"/>
              <w:shd w:val="clear" w:color="auto" w:fill="auto"/>
              <w:tabs>
                <w:tab w:val="left" w:pos="554"/>
              </w:tabs>
              <w:spacing w:after="60" w:line="271" w:lineRule="auto"/>
              <w:ind w:left="780" w:hanging="226"/>
              <w:rPr>
                <w:sz w:val="18"/>
                <w:szCs w:val="24"/>
              </w:rPr>
            </w:pPr>
            <w:r w:rsidRPr="006E22E5">
              <w:rPr>
                <w:b w:val="0"/>
                <w:color w:val="000000"/>
                <w:sz w:val="18"/>
                <w:szCs w:val="24"/>
              </w:rPr>
              <w:t xml:space="preserve">– </w:t>
            </w:r>
            <w:r w:rsidR="004B7924" w:rsidRPr="006E22E5">
              <w:rPr>
                <w:sz w:val="18"/>
                <w:szCs w:val="24"/>
              </w:rPr>
              <w:tab/>
            </w:r>
            <w:r w:rsidRPr="006E22E5">
              <w:rPr>
                <w:b w:val="0"/>
                <w:color w:val="000000"/>
                <w:sz w:val="18"/>
                <w:szCs w:val="24"/>
              </w:rPr>
              <w:t>у першій частині описано способи збору зразків та початкового тестування для різних популяцій, залежно від їхнього ВІЛ-статусу та віку (що відображає нові рекомендації щодо супутнього тестування для людей, які живуть з ВІЛ, та дітей, включаючи використання зразків з дихальних шляхів та зразків калу в аналізах ампліфікації нуклеїнових кислот низької складності та сечі в ліпоарабіноманнановому тесті бокового зсуву [LF-LAM]);</w:t>
            </w:r>
          </w:p>
          <w:p w14:paraId="2AA2886E" w14:textId="15E4F3BA" w:rsidR="00366CB9" w:rsidRPr="006E22E5" w:rsidRDefault="009D0C1D" w:rsidP="004B7924">
            <w:pPr>
              <w:pStyle w:val="a6"/>
              <w:shd w:val="clear" w:color="auto" w:fill="auto"/>
              <w:tabs>
                <w:tab w:val="left" w:pos="554"/>
              </w:tabs>
              <w:spacing w:after="60" w:line="276" w:lineRule="auto"/>
              <w:ind w:left="780" w:hanging="226"/>
              <w:rPr>
                <w:sz w:val="18"/>
                <w:szCs w:val="24"/>
              </w:rPr>
            </w:pPr>
            <w:r w:rsidRPr="006E22E5">
              <w:rPr>
                <w:b w:val="0"/>
                <w:color w:val="000000"/>
                <w:sz w:val="18"/>
                <w:szCs w:val="24"/>
              </w:rPr>
              <w:t xml:space="preserve">– </w:t>
            </w:r>
            <w:r w:rsidR="004B7924" w:rsidRPr="006E22E5">
              <w:rPr>
                <w:sz w:val="18"/>
                <w:szCs w:val="24"/>
              </w:rPr>
              <w:tab/>
            </w:r>
            <w:r w:rsidRPr="006E22E5">
              <w:rPr>
                <w:b w:val="0"/>
                <w:color w:val="000000"/>
                <w:sz w:val="18"/>
                <w:szCs w:val="24"/>
              </w:rPr>
              <w:t>у другій частині наведено способи тлумачення результатів тестів, включаючи результати молекулярних тестів, так і для тестів на біомаркери;</w:t>
            </w:r>
          </w:p>
          <w:p w14:paraId="3858B2F0" w14:textId="74532CFB" w:rsidR="00366CB9" w:rsidRPr="006E22E5" w:rsidRDefault="00FE22F4" w:rsidP="004B7924">
            <w:pPr>
              <w:pStyle w:val="a6"/>
              <w:shd w:val="clear" w:color="auto" w:fill="auto"/>
              <w:tabs>
                <w:tab w:val="left" w:pos="554"/>
              </w:tabs>
              <w:spacing w:after="60" w:line="271" w:lineRule="auto"/>
              <w:ind w:firstLine="300"/>
              <w:rPr>
                <w:sz w:val="18"/>
                <w:szCs w:val="24"/>
              </w:rPr>
            </w:pPr>
            <w:r w:rsidRPr="006E22E5">
              <w:rPr>
                <w:b w:val="0"/>
                <w:color w:val="000000"/>
                <w:sz w:val="18"/>
                <w:szCs w:val="24"/>
              </w:rPr>
              <w:sym w:font="Wingdings" w:char="F0A0"/>
            </w:r>
            <w:r w:rsidRPr="006E22E5">
              <w:rPr>
                <w:b w:val="0"/>
                <w:color w:val="000000"/>
                <w:sz w:val="18"/>
                <w:szCs w:val="24"/>
              </w:rPr>
              <w:t xml:space="preserve"> </w:t>
            </w:r>
            <w:r w:rsidR="004B7924" w:rsidRPr="006E22E5">
              <w:rPr>
                <w:sz w:val="18"/>
                <w:szCs w:val="24"/>
              </w:rPr>
              <w:tab/>
            </w:r>
            <w:r w:rsidRPr="006E22E5">
              <w:rPr>
                <w:b w:val="0"/>
                <w:color w:val="000000"/>
                <w:sz w:val="18"/>
                <w:szCs w:val="24"/>
              </w:rPr>
              <w:t>Алгоритм 2 враховує ТМЧ за наявності та відсутності доступу до цільового СНП;</w:t>
            </w:r>
          </w:p>
          <w:p w14:paraId="3DD565E6" w14:textId="319841A9" w:rsidR="00366CB9" w:rsidRPr="006E22E5" w:rsidRDefault="00FE22F4" w:rsidP="004B7924">
            <w:pPr>
              <w:pStyle w:val="a6"/>
              <w:shd w:val="clear" w:color="auto" w:fill="auto"/>
              <w:tabs>
                <w:tab w:val="left" w:pos="838"/>
              </w:tabs>
              <w:spacing w:after="60" w:line="276" w:lineRule="auto"/>
              <w:ind w:left="554" w:hanging="283"/>
              <w:rPr>
                <w:sz w:val="18"/>
                <w:szCs w:val="24"/>
              </w:rPr>
            </w:pPr>
            <w:r w:rsidRPr="006E22E5">
              <w:rPr>
                <w:b w:val="0"/>
                <w:color w:val="000000"/>
                <w:sz w:val="18"/>
                <w:szCs w:val="24"/>
              </w:rPr>
              <w:sym w:font="Wingdings" w:char="F0A0"/>
            </w:r>
            <w:r w:rsidRPr="006E22E5">
              <w:rPr>
                <w:b w:val="0"/>
                <w:color w:val="000000"/>
                <w:sz w:val="18"/>
                <w:szCs w:val="24"/>
              </w:rPr>
              <w:t xml:space="preserve"> </w:t>
            </w:r>
            <w:r w:rsidR="004B7924" w:rsidRPr="006E22E5">
              <w:rPr>
                <w:sz w:val="18"/>
                <w:szCs w:val="24"/>
              </w:rPr>
              <w:tab/>
            </w:r>
            <w:r w:rsidRPr="006E22E5">
              <w:rPr>
                <w:b w:val="0"/>
                <w:color w:val="000000"/>
                <w:sz w:val="18"/>
                <w:szCs w:val="24"/>
              </w:rPr>
              <w:t>Алгоритм 3 враховує подальше тестування на виявлення медикаментозної резистентності та тлумачення результатів для людей з рифампіцин-чутливим ТБ з ризиком резистентності до інших протитуберкульозних препаратів; та</w:t>
            </w:r>
          </w:p>
          <w:p w14:paraId="3EB2F1AF" w14:textId="48CDCC2C" w:rsidR="00366CB9" w:rsidRPr="006E22E5" w:rsidRDefault="00FE22F4" w:rsidP="004B7924">
            <w:pPr>
              <w:pStyle w:val="a6"/>
              <w:shd w:val="clear" w:color="auto" w:fill="auto"/>
              <w:tabs>
                <w:tab w:val="left" w:pos="554"/>
              </w:tabs>
              <w:spacing w:after="60" w:line="271" w:lineRule="auto"/>
              <w:ind w:left="554" w:hanging="283"/>
              <w:rPr>
                <w:sz w:val="18"/>
                <w:szCs w:val="24"/>
              </w:rPr>
            </w:pPr>
            <w:r w:rsidRPr="006E22E5">
              <w:rPr>
                <w:b w:val="0"/>
                <w:color w:val="000000"/>
                <w:sz w:val="18"/>
                <w:szCs w:val="24"/>
              </w:rPr>
              <w:sym w:font="Wingdings" w:char="F0A0"/>
            </w:r>
            <w:r w:rsidRPr="006E22E5">
              <w:rPr>
                <w:b w:val="0"/>
                <w:color w:val="000000"/>
                <w:sz w:val="18"/>
                <w:szCs w:val="24"/>
              </w:rPr>
              <w:t xml:space="preserve"> </w:t>
            </w:r>
            <w:r w:rsidR="004B7924" w:rsidRPr="006E22E5">
              <w:rPr>
                <w:sz w:val="18"/>
                <w:szCs w:val="24"/>
              </w:rPr>
              <w:tab/>
            </w:r>
            <w:r w:rsidRPr="006E22E5">
              <w:rPr>
                <w:b w:val="0"/>
                <w:color w:val="000000"/>
                <w:sz w:val="18"/>
                <w:szCs w:val="24"/>
              </w:rPr>
              <w:t>Алгоритм 4 враховує тестування на виявлення туберкульозної інфекції та тлумачення результатів.</w:t>
            </w:r>
          </w:p>
          <w:p w14:paraId="71EEAB33" w14:textId="41CA9E51" w:rsidR="00366CB9" w:rsidRPr="006E22E5" w:rsidRDefault="00FE22F4" w:rsidP="00457B0A">
            <w:pPr>
              <w:pStyle w:val="a6"/>
              <w:shd w:val="clear" w:color="auto" w:fill="auto"/>
              <w:spacing w:after="60" w:line="276" w:lineRule="auto"/>
              <w:ind w:left="300" w:hanging="160"/>
              <w:rPr>
                <w:sz w:val="18"/>
                <w:szCs w:val="24"/>
              </w:rPr>
            </w:pPr>
            <w:r w:rsidRPr="006E22E5">
              <w:rPr>
                <w:rFonts w:ascii="Wingdings" w:hAnsi="Wingdings"/>
                <w:b w:val="0"/>
                <w:color w:val="000000"/>
                <w:sz w:val="18"/>
                <w:szCs w:val="24"/>
              </w:rPr>
              <w:t></w:t>
            </w:r>
            <w:r w:rsidRPr="006E22E5">
              <w:rPr>
                <w:b w:val="0"/>
                <w:color w:val="000000"/>
                <w:sz w:val="18"/>
                <w:szCs w:val="24"/>
              </w:rPr>
              <w:t xml:space="preserve">Зміст </w:t>
            </w:r>
            <w:r w:rsidRPr="006E22E5">
              <w:rPr>
                <w:color w:val="000000"/>
                <w:sz w:val="18"/>
                <w:szCs w:val="24"/>
              </w:rPr>
              <w:t>Додатку 5</w:t>
            </w:r>
            <w:r w:rsidRPr="006E22E5">
              <w:rPr>
                <w:b w:val="0"/>
                <w:color w:val="000000"/>
                <w:sz w:val="18"/>
                <w:szCs w:val="24"/>
              </w:rPr>
              <w:t xml:space="preserve"> перенесено до розділу «Список літератури» основного документа.</w:t>
            </w:r>
          </w:p>
        </w:tc>
      </w:tr>
    </w:tbl>
    <w:p w14:paraId="3F505282"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077A0AB0" w14:textId="77777777" w:rsidR="00366CB9" w:rsidRDefault="00366CB9" w:rsidP="00425523">
      <w:pPr>
        <w:spacing w:line="1" w:lineRule="exact"/>
      </w:pPr>
    </w:p>
    <w:p w14:paraId="6FF8C406" w14:textId="77777777" w:rsidR="00366CB9" w:rsidRDefault="00366CB9" w:rsidP="00457B0A"/>
    <w:p w14:paraId="3584FBF6"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49C2E7DB" w14:textId="77777777" w:rsidR="00366CB9" w:rsidRDefault="00366CB9" w:rsidP="00425523">
      <w:pPr>
        <w:spacing w:line="1" w:lineRule="exact"/>
      </w:pPr>
    </w:p>
    <w:p w14:paraId="55458E14" w14:textId="77777777" w:rsidR="00366CB9" w:rsidRDefault="009D0C1D" w:rsidP="00457B0A">
      <w:pPr>
        <w:pStyle w:val="11"/>
        <w:shd w:val="clear" w:color="auto" w:fill="auto"/>
        <w:spacing w:before="0" w:after="700" w:line="259" w:lineRule="auto"/>
      </w:pPr>
      <w:bookmarkStart w:id="24" w:name="bookmark25"/>
      <w:bookmarkStart w:id="25" w:name="bookmark26"/>
      <w:bookmarkStart w:id="26" w:name="bookmark23"/>
      <w:bookmarkStart w:id="27" w:name="bookmark24"/>
      <w:r>
        <w:t>2. Тести на ТБ з рекомендаціями ВООЗ</w:t>
      </w:r>
      <w:bookmarkEnd w:id="24"/>
      <w:bookmarkEnd w:id="25"/>
      <w:bookmarkEnd w:id="26"/>
      <w:bookmarkEnd w:id="27"/>
    </w:p>
    <w:p w14:paraId="68688714" w14:textId="77777777" w:rsidR="00366CB9" w:rsidRPr="006E22E5" w:rsidRDefault="009D0C1D" w:rsidP="00457B0A">
      <w:pPr>
        <w:pStyle w:val="1"/>
        <w:shd w:val="clear" w:color="auto" w:fill="auto"/>
        <w:spacing w:after="140" w:line="324" w:lineRule="auto"/>
        <w:jc w:val="both"/>
        <w:rPr>
          <w:sz w:val="18"/>
          <w:szCs w:val="18"/>
        </w:rPr>
      </w:pPr>
      <w:r w:rsidRPr="006E22E5">
        <w:rPr>
          <w:sz w:val="18"/>
          <w:szCs w:val="18"/>
        </w:rPr>
        <w:t xml:space="preserve">У цьому розділі стисло описано технології, рекомендовані ВООЗ, для виявлення ТБ, ЛС-ТБ та туберкульозної інфекції. У ньому також узагальнено рекомендації ВООЗ щодо таких технологій; ці рекомендації більш детально описані в останніх версіях публікацій </w:t>
      </w:r>
      <w:r w:rsidRPr="006E22E5">
        <w:rPr>
          <w:i/>
          <w:sz w:val="18"/>
          <w:szCs w:val="18"/>
        </w:rPr>
        <w:t>«Консолідовані настанови ВООЗ з туберкульозу: модуль 3: діагностика» (</w:t>
      </w:r>
      <w:hyperlink w:anchor="bookmark193" w:tooltip="Поточний документ">
        <w:r w:rsidR="00366CB9" w:rsidRPr="006E22E5">
          <w:rPr>
            <w:i/>
            <w:sz w:val="18"/>
            <w:szCs w:val="18"/>
          </w:rPr>
          <w:t>5</w:t>
        </w:r>
      </w:hyperlink>
      <w:r w:rsidRPr="006E22E5">
        <w:rPr>
          <w:i/>
          <w:sz w:val="18"/>
          <w:szCs w:val="18"/>
        </w:rPr>
        <w:t>)</w:t>
      </w:r>
      <w:r w:rsidRPr="006E22E5">
        <w:rPr>
          <w:sz w:val="18"/>
          <w:szCs w:val="18"/>
        </w:rPr>
        <w:t xml:space="preserve"> та </w:t>
      </w:r>
      <w:r w:rsidRPr="006E22E5">
        <w:rPr>
          <w:i/>
          <w:sz w:val="18"/>
          <w:szCs w:val="18"/>
        </w:rPr>
        <w:t>«Консолідовані настанови ВООЗ з туберкульозу: модуль 1: профілактика» (</w:t>
      </w:r>
      <w:hyperlink w:anchor="bookmark193" w:tooltip="Поточний документ">
        <w:r w:rsidR="00366CB9" w:rsidRPr="006E22E5">
          <w:rPr>
            <w:i/>
            <w:sz w:val="18"/>
            <w:szCs w:val="18"/>
          </w:rPr>
          <w:t>14</w:t>
        </w:r>
      </w:hyperlink>
      <w:r w:rsidRPr="006E22E5">
        <w:rPr>
          <w:i/>
          <w:sz w:val="18"/>
          <w:szCs w:val="18"/>
        </w:rPr>
        <w:t>)</w:t>
      </w:r>
      <w:r w:rsidRPr="006E22E5">
        <w:rPr>
          <w:sz w:val="18"/>
          <w:szCs w:val="18"/>
        </w:rPr>
        <w:t>.</w:t>
      </w:r>
    </w:p>
    <w:p w14:paraId="0D130719" w14:textId="77777777" w:rsidR="00366CB9" w:rsidRPr="006E22E5" w:rsidRDefault="009D0C1D" w:rsidP="00457B0A">
      <w:pPr>
        <w:pStyle w:val="1"/>
        <w:shd w:val="clear" w:color="auto" w:fill="auto"/>
        <w:spacing w:after="140" w:line="322" w:lineRule="auto"/>
        <w:jc w:val="both"/>
        <w:rPr>
          <w:sz w:val="18"/>
          <w:szCs w:val="18"/>
        </w:rPr>
      </w:pPr>
      <w:r w:rsidRPr="006E22E5">
        <w:rPr>
          <w:sz w:val="18"/>
          <w:szCs w:val="18"/>
        </w:rPr>
        <w:t>У 2020 році ВООЗ перейшла від рекомендацій щодо тестування на виявлення ТБ щодо конкретних продуктів до рекомендацій на основі класів, згрупувавши продукти у класи на основі таких аспектів:</w:t>
      </w:r>
    </w:p>
    <w:p w14:paraId="2E041516" w14:textId="01AC882C" w:rsidR="00366CB9" w:rsidRPr="006E22E5" w:rsidRDefault="009D0C1D" w:rsidP="00CE4227">
      <w:pPr>
        <w:pStyle w:val="1"/>
        <w:shd w:val="clear" w:color="auto" w:fill="auto"/>
        <w:tabs>
          <w:tab w:val="left" w:pos="284"/>
        </w:tabs>
        <w:spacing w:line="326" w:lineRule="auto"/>
        <w:jc w:val="both"/>
        <w:rPr>
          <w:sz w:val="18"/>
          <w:szCs w:val="18"/>
        </w:rPr>
      </w:pPr>
      <w:r w:rsidRPr="006E22E5">
        <w:rPr>
          <w:color w:val="019648"/>
          <w:sz w:val="18"/>
          <w:szCs w:val="18"/>
        </w:rPr>
        <w:t xml:space="preserve">• </w:t>
      </w:r>
      <w:r w:rsidR="00CE4227" w:rsidRPr="006E22E5">
        <w:rPr>
          <w:sz w:val="18"/>
          <w:szCs w:val="18"/>
        </w:rPr>
        <w:tab/>
      </w:r>
      <w:r w:rsidRPr="006E22E5">
        <w:rPr>
          <w:sz w:val="18"/>
          <w:szCs w:val="18"/>
        </w:rPr>
        <w:t xml:space="preserve">призначення (наприклад, виявлення </w:t>
      </w:r>
      <w:r w:rsidRPr="006E22E5">
        <w:rPr>
          <w:i/>
          <w:iCs/>
          <w:sz w:val="18"/>
          <w:szCs w:val="18"/>
        </w:rPr>
        <w:t>Mtb</w:t>
      </w:r>
      <w:r w:rsidRPr="006E22E5">
        <w:rPr>
          <w:sz w:val="18"/>
          <w:szCs w:val="18"/>
        </w:rPr>
        <w:t xml:space="preserve"> або медикаментозної резистентності);</w:t>
      </w:r>
    </w:p>
    <w:p w14:paraId="6DA9C003" w14:textId="0B08A6DF" w:rsidR="00366CB9" w:rsidRPr="006E22E5" w:rsidRDefault="009D0C1D" w:rsidP="00CE4227">
      <w:pPr>
        <w:pStyle w:val="1"/>
        <w:shd w:val="clear" w:color="auto" w:fill="auto"/>
        <w:tabs>
          <w:tab w:val="left" w:pos="284"/>
        </w:tabs>
        <w:spacing w:line="326" w:lineRule="auto"/>
        <w:jc w:val="both"/>
        <w:rPr>
          <w:sz w:val="18"/>
          <w:szCs w:val="18"/>
        </w:rPr>
      </w:pPr>
      <w:r w:rsidRPr="006E22E5">
        <w:rPr>
          <w:color w:val="019648"/>
          <w:sz w:val="18"/>
          <w:szCs w:val="18"/>
        </w:rPr>
        <w:t xml:space="preserve">• </w:t>
      </w:r>
      <w:r w:rsidR="00CE4227" w:rsidRPr="006E22E5">
        <w:rPr>
          <w:sz w:val="18"/>
          <w:szCs w:val="18"/>
        </w:rPr>
        <w:tab/>
      </w:r>
      <w:r w:rsidRPr="006E22E5">
        <w:rPr>
          <w:sz w:val="18"/>
          <w:szCs w:val="18"/>
        </w:rPr>
        <w:t>принцип дії;</w:t>
      </w:r>
    </w:p>
    <w:p w14:paraId="243816D2" w14:textId="5A569775" w:rsidR="00366CB9" w:rsidRPr="006E22E5" w:rsidRDefault="009D0C1D" w:rsidP="00CE4227">
      <w:pPr>
        <w:pStyle w:val="1"/>
        <w:shd w:val="clear" w:color="auto" w:fill="auto"/>
        <w:tabs>
          <w:tab w:val="left" w:pos="284"/>
        </w:tabs>
        <w:spacing w:line="326" w:lineRule="auto"/>
        <w:jc w:val="both"/>
        <w:rPr>
          <w:sz w:val="18"/>
          <w:szCs w:val="18"/>
        </w:rPr>
      </w:pPr>
      <w:r w:rsidRPr="006E22E5">
        <w:rPr>
          <w:color w:val="019648"/>
          <w:sz w:val="18"/>
          <w:szCs w:val="18"/>
        </w:rPr>
        <w:t xml:space="preserve">• </w:t>
      </w:r>
      <w:r w:rsidR="00CE4227" w:rsidRPr="006E22E5">
        <w:rPr>
          <w:sz w:val="18"/>
          <w:szCs w:val="18"/>
        </w:rPr>
        <w:tab/>
      </w:r>
      <w:r w:rsidRPr="006E22E5">
        <w:rPr>
          <w:sz w:val="18"/>
          <w:szCs w:val="18"/>
        </w:rPr>
        <w:t>вимоги до виробничих потужностей та людських ресурсів;</w:t>
      </w:r>
    </w:p>
    <w:p w14:paraId="16D04724" w14:textId="024E91F2" w:rsidR="00366CB9" w:rsidRPr="006E22E5" w:rsidRDefault="009D0C1D" w:rsidP="00CE4227">
      <w:pPr>
        <w:pStyle w:val="1"/>
        <w:shd w:val="clear" w:color="auto" w:fill="auto"/>
        <w:tabs>
          <w:tab w:val="left" w:pos="284"/>
        </w:tabs>
        <w:spacing w:line="326" w:lineRule="auto"/>
        <w:jc w:val="both"/>
        <w:rPr>
          <w:sz w:val="18"/>
          <w:szCs w:val="18"/>
        </w:rPr>
      </w:pPr>
      <w:r w:rsidRPr="006E22E5">
        <w:rPr>
          <w:color w:val="019648"/>
          <w:sz w:val="18"/>
          <w:szCs w:val="18"/>
        </w:rPr>
        <w:t xml:space="preserve">• </w:t>
      </w:r>
      <w:r w:rsidR="00CE4227" w:rsidRPr="006E22E5">
        <w:rPr>
          <w:sz w:val="18"/>
          <w:szCs w:val="18"/>
        </w:rPr>
        <w:tab/>
      </w:r>
      <w:r w:rsidRPr="006E22E5">
        <w:rPr>
          <w:sz w:val="18"/>
          <w:szCs w:val="18"/>
        </w:rPr>
        <w:t>складність (тобто процедури тестування та відповідне обладнання);</w:t>
      </w:r>
    </w:p>
    <w:p w14:paraId="4F45E32E" w14:textId="177D32C1" w:rsidR="00366CB9" w:rsidRPr="006E22E5" w:rsidRDefault="009D0C1D" w:rsidP="00CE4227">
      <w:pPr>
        <w:pStyle w:val="1"/>
        <w:shd w:val="clear" w:color="auto" w:fill="auto"/>
        <w:tabs>
          <w:tab w:val="left" w:pos="284"/>
        </w:tabs>
        <w:spacing w:line="326" w:lineRule="auto"/>
        <w:jc w:val="both"/>
        <w:rPr>
          <w:sz w:val="18"/>
          <w:szCs w:val="18"/>
        </w:rPr>
      </w:pPr>
      <w:r w:rsidRPr="006E22E5">
        <w:rPr>
          <w:color w:val="019648"/>
          <w:sz w:val="18"/>
          <w:szCs w:val="18"/>
        </w:rPr>
        <w:t xml:space="preserve">• </w:t>
      </w:r>
      <w:r w:rsidR="00CE4227" w:rsidRPr="006E22E5">
        <w:rPr>
          <w:sz w:val="18"/>
          <w:szCs w:val="18"/>
        </w:rPr>
        <w:tab/>
      </w:r>
      <w:r w:rsidRPr="006E22E5">
        <w:rPr>
          <w:sz w:val="18"/>
          <w:szCs w:val="18"/>
        </w:rPr>
        <w:t>спосіб звітування (автоматизоване або ручне); та</w:t>
      </w:r>
    </w:p>
    <w:p w14:paraId="472930E7" w14:textId="0CF71D8C" w:rsidR="00366CB9" w:rsidRPr="006E22E5" w:rsidRDefault="009D0C1D" w:rsidP="00CE4227">
      <w:pPr>
        <w:pStyle w:val="1"/>
        <w:shd w:val="clear" w:color="auto" w:fill="auto"/>
        <w:tabs>
          <w:tab w:val="left" w:pos="284"/>
        </w:tabs>
        <w:spacing w:after="140" w:line="326" w:lineRule="auto"/>
        <w:ind w:left="300" w:hanging="300"/>
        <w:jc w:val="both"/>
        <w:rPr>
          <w:sz w:val="18"/>
          <w:szCs w:val="18"/>
        </w:rPr>
      </w:pPr>
      <w:r w:rsidRPr="006E22E5">
        <w:rPr>
          <w:color w:val="019648"/>
          <w:sz w:val="18"/>
          <w:szCs w:val="18"/>
        </w:rPr>
        <w:t xml:space="preserve">• </w:t>
      </w:r>
      <w:r w:rsidR="00CE4227" w:rsidRPr="006E22E5">
        <w:rPr>
          <w:sz w:val="18"/>
          <w:szCs w:val="18"/>
        </w:rPr>
        <w:tab/>
      </w:r>
      <w:r w:rsidRPr="006E22E5">
        <w:rPr>
          <w:sz w:val="18"/>
          <w:szCs w:val="18"/>
        </w:rPr>
        <w:t>цільове середовище (наприклад, референс-лабораторія, периферійна лабораторія або лабораторія низької складності; ЕТ або майже ЕТ).</w:t>
      </w:r>
    </w:p>
    <w:p w14:paraId="1245FBEA" w14:textId="77777777" w:rsidR="00366CB9" w:rsidRPr="006E22E5" w:rsidRDefault="009D0C1D" w:rsidP="00457B0A">
      <w:pPr>
        <w:pStyle w:val="1"/>
        <w:shd w:val="clear" w:color="auto" w:fill="auto"/>
        <w:spacing w:after="140" w:line="322" w:lineRule="auto"/>
        <w:jc w:val="both"/>
        <w:rPr>
          <w:sz w:val="18"/>
          <w:szCs w:val="18"/>
        </w:rPr>
      </w:pPr>
      <w:r w:rsidRPr="006E22E5">
        <w:rPr>
          <w:sz w:val="18"/>
          <w:szCs w:val="18"/>
        </w:rPr>
        <w:t>З тих пір було створено дев’ять класів тестів на ТБ, що охоплюють більше 25 рекомендованих продуктів.</w:t>
      </w:r>
    </w:p>
    <w:p w14:paraId="21DE0C5D" w14:textId="77777777" w:rsidR="00366CB9" w:rsidRPr="006E22E5" w:rsidRDefault="009D0C1D" w:rsidP="00457B0A">
      <w:pPr>
        <w:pStyle w:val="1"/>
        <w:shd w:val="clear" w:color="auto" w:fill="auto"/>
        <w:spacing w:after="140" w:line="326" w:lineRule="auto"/>
        <w:jc w:val="both"/>
        <w:rPr>
          <w:sz w:val="18"/>
          <w:szCs w:val="18"/>
        </w:rPr>
      </w:pPr>
      <w:r w:rsidRPr="006E22E5">
        <w:rPr>
          <w:sz w:val="18"/>
          <w:szCs w:val="18"/>
        </w:rPr>
        <w:t xml:space="preserve">Повний перелік класів та їхніх продуктів організовано за призначенням та представлено у </w:t>
      </w:r>
      <w:r w:rsidRPr="006E22E5">
        <w:rPr>
          <w:b/>
          <w:bCs/>
          <w:sz w:val="18"/>
          <w:szCs w:val="18"/>
        </w:rPr>
        <w:t>Таблиці 2.1</w:t>
      </w:r>
      <w:r w:rsidRPr="006E22E5">
        <w:rPr>
          <w:sz w:val="18"/>
          <w:szCs w:val="18"/>
        </w:rPr>
        <w:t xml:space="preserve"> таким чином:</w:t>
      </w:r>
    </w:p>
    <w:p w14:paraId="5E8D02C8" w14:textId="3D2DC64B" w:rsidR="00366CB9" w:rsidRPr="006E22E5" w:rsidRDefault="009D0C1D" w:rsidP="00CE4227">
      <w:pPr>
        <w:pStyle w:val="1"/>
        <w:shd w:val="clear" w:color="auto" w:fill="auto"/>
        <w:tabs>
          <w:tab w:val="left" w:pos="284"/>
        </w:tabs>
        <w:spacing w:line="326" w:lineRule="auto"/>
        <w:jc w:val="both"/>
        <w:rPr>
          <w:sz w:val="18"/>
          <w:szCs w:val="18"/>
        </w:rPr>
      </w:pPr>
      <w:r w:rsidRPr="006E22E5">
        <w:rPr>
          <w:color w:val="019648"/>
          <w:sz w:val="18"/>
          <w:szCs w:val="18"/>
        </w:rPr>
        <w:t xml:space="preserve">• </w:t>
      </w:r>
      <w:r w:rsidR="00CE4227" w:rsidRPr="006E22E5">
        <w:rPr>
          <w:sz w:val="18"/>
          <w:szCs w:val="18"/>
        </w:rPr>
        <w:tab/>
      </w:r>
      <w:r w:rsidRPr="006E22E5">
        <w:rPr>
          <w:sz w:val="18"/>
          <w:szCs w:val="18"/>
        </w:rPr>
        <w:t>початкові тести для діагностики ТБ:</w:t>
      </w:r>
    </w:p>
    <w:p w14:paraId="62B098EE" w14:textId="77777777" w:rsidR="00366CB9" w:rsidRPr="006E22E5" w:rsidRDefault="009D0C1D" w:rsidP="00CE4227">
      <w:pPr>
        <w:pStyle w:val="1"/>
        <w:shd w:val="clear" w:color="auto" w:fill="auto"/>
        <w:tabs>
          <w:tab w:val="left" w:pos="284"/>
        </w:tabs>
        <w:spacing w:line="326" w:lineRule="auto"/>
        <w:ind w:firstLine="300"/>
        <w:jc w:val="both"/>
        <w:rPr>
          <w:sz w:val="18"/>
          <w:szCs w:val="18"/>
        </w:rPr>
      </w:pPr>
      <w:r w:rsidRPr="006E22E5">
        <w:rPr>
          <w:color w:val="019648"/>
          <w:sz w:val="18"/>
          <w:szCs w:val="18"/>
        </w:rPr>
        <w:t xml:space="preserve">– </w:t>
      </w:r>
      <w:r w:rsidRPr="006E22E5">
        <w:rPr>
          <w:sz w:val="18"/>
          <w:szCs w:val="18"/>
        </w:rPr>
        <w:t>з виявленням медикаментозної резистентності;</w:t>
      </w:r>
    </w:p>
    <w:p w14:paraId="2BE7E058" w14:textId="77777777" w:rsidR="00366CB9" w:rsidRPr="006E22E5" w:rsidRDefault="009D0C1D" w:rsidP="00CE4227">
      <w:pPr>
        <w:pStyle w:val="1"/>
        <w:shd w:val="clear" w:color="auto" w:fill="auto"/>
        <w:tabs>
          <w:tab w:val="left" w:pos="284"/>
        </w:tabs>
        <w:spacing w:line="326" w:lineRule="auto"/>
        <w:ind w:firstLine="300"/>
        <w:jc w:val="both"/>
        <w:rPr>
          <w:sz w:val="18"/>
          <w:szCs w:val="18"/>
        </w:rPr>
      </w:pPr>
      <w:r w:rsidRPr="006E22E5">
        <w:rPr>
          <w:color w:val="019648"/>
          <w:sz w:val="18"/>
          <w:szCs w:val="18"/>
        </w:rPr>
        <w:t xml:space="preserve">– </w:t>
      </w:r>
      <w:r w:rsidRPr="006E22E5">
        <w:rPr>
          <w:sz w:val="18"/>
          <w:szCs w:val="18"/>
        </w:rPr>
        <w:t>без виявлення медикаментозної резистентності;</w:t>
      </w:r>
    </w:p>
    <w:p w14:paraId="79964970" w14:textId="7B2D1433" w:rsidR="00366CB9" w:rsidRPr="006E22E5" w:rsidRDefault="009D0C1D" w:rsidP="00CE4227">
      <w:pPr>
        <w:pStyle w:val="1"/>
        <w:shd w:val="clear" w:color="auto" w:fill="auto"/>
        <w:tabs>
          <w:tab w:val="left" w:pos="284"/>
        </w:tabs>
        <w:spacing w:line="326" w:lineRule="auto"/>
        <w:ind w:left="284" w:hanging="284"/>
        <w:rPr>
          <w:sz w:val="18"/>
          <w:szCs w:val="18"/>
        </w:rPr>
      </w:pPr>
      <w:r w:rsidRPr="006E22E5">
        <w:rPr>
          <w:color w:val="019648"/>
          <w:sz w:val="18"/>
          <w:szCs w:val="18"/>
        </w:rPr>
        <w:t xml:space="preserve">• </w:t>
      </w:r>
      <w:r w:rsidR="00CE4227" w:rsidRPr="006E22E5">
        <w:rPr>
          <w:sz w:val="18"/>
          <w:szCs w:val="18"/>
        </w:rPr>
        <w:tab/>
      </w:r>
      <w:r w:rsidRPr="006E22E5">
        <w:rPr>
          <w:sz w:val="18"/>
          <w:szCs w:val="18"/>
        </w:rPr>
        <w:t>подальші тести на виявлення медикаментозної резистентності після бактеріологічного підтвердження ТБ; та</w:t>
      </w:r>
    </w:p>
    <w:p w14:paraId="158C33BE" w14:textId="2D2D670F" w:rsidR="00366CB9" w:rsidRPr="006E22E5" w:rsidRDefault="009D0C1D" w:rsidP="00CE4227">
      <w:pPr>
        <w:pStyle w:val="1"/>
        <w:shd w:val="clear" w:color="auto" w:fill="auto"/>
        <w:tabs>
          <w:tab w:val="left" w:pos="284"/>
        </w:tabs>
        <w:spacing w:line="326" w:lineRule="auto"/>
        <w:ind w:left="284" w:hanging="284"/>
        <w:rPr>
          <w:sz w:val="18"/>
          <w:szCs w:val="18"/>
        </w:rPr>
      </w:pPr>
      <w:r w:rsidRPr="006E22E5">
        <w:rPr>
          <w:color w:val="019648"/>
          <w:sz w:val="18"/>
          <w:szCs w:val="18"/>
        </w:rPr>
        <w:t xml:space="preserve">• </w:t>
      </w:r>
      <w:r w:rsidR="00CE4227" w:rsidRPr="006E22E5">
        <w:rPr>
          <w:sz w:val="18"/>
          <w:szCs w:val="18"/>
        </w:rPr>
        <w:tab/>
      </w:r>
      <w:r w:rsidRPr="006E22E5">
        <w:rPr>
          <w:sz w:val="18"/>
          <w:szCs w:val="18"/>
        </w:rPr>
        <w:t>тести на виявлення туберкульозної інфекції.</w:t>
      </w:r>
    </w:p>
    <w:p w14:paraId="3EA9C2C9" w14:textId="77777777" w:rsidR="00366CB9" w:rsidRDefault="009D0C1D" w:rsidP="00425523">
      <w:pPr>
        <w:spacing w:line="1" w:lineRule="exact"/>
        <w:sectPr w:rsidR="00366CB9" w:rsidSect="00457B0A">
          <w:footerReference w:type="default" r:id="rId37"/>
          <w:type w:val="nextColumn"/>
          <w:pgSz w:w="11913" w:h="16840"/>
          <w:pgMar w:top="2325" w:right="1378" w:bottom="851" w:left="1372" w:header="0" w:footer="6" w:gutter="0"/>
          <w:paperSrc w:first="15" w:other="15"/>
          <w:cols w:space="720"/>
          <w:noEndnote/>
          <w:docGrid w:linePitch="360"/>
        </w:sectPr>
      </w:pPr>
      <w:r>
        <w:rPr>
          <w:noProof/>
        </w:rPr>
        <w:drawing>
          <wp:anchor distT="0" distB="0" distL="0" distR="0" simplePos="0" relativeHeight="251422720" behindDoc="1" locked="0" layoutInCell="1" allowOverlap="1" wp14:anchorId="6550D352" wp14:editId="65EDFAD3">
            <wp:simplePos x="0" y="0"/>
            <wp:positionH relativeFrom="page">
              <wp:align>left</wp:align>
            </wp:positionH>
            <wp:positionV relativeFrom="page">
              <wp:align>top</wp:align>
            </wp:positionV>
            <wp:extent cx="7560000" cy="1472400"/>
            <wp:effectExtent l="0" t="0" r="3175" b="0"/>
            <wp:wrapNone/>
            <wp:docPr id="30" name="Shape 30"/>
            <wp:cNvGraphicFramePr/>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38"/>
                    <a:stretch/>
                  </pic:blipFill>
                  <pic:spPr>
                    <a:xfrm>
                      <a:off x="0" y="0"/>
                      <a:ext cx="7560000" cy="1472400"/>
                    </a:xfrm>
                    <a:prstGeom prst="rect">
                      <a:avLst/>
                    </a:prstGeom>
                  </pic:spPr>
                </pic:pic>
              </a:graphicData>
            </a:graphic>
            <wp14:sizeRelH relativeFrom="margin">
              <wp14:pctWidth>0</wp14:pctWidth>
            </wp14:sizeRelH>
            <wp14:sizeRelV relativeFrom="margin">
              <wp14:pctHeight>0</wp14:pctHeight>
            </wp14:sizeRelV>
          </wp:anchor>
        </w:drawing>
      </w:r>
    </w:p>
    <w:p w14:paraId="11A26CCB"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2294"/>
        <w:gridCol w:w="5558"/>
        <w:gridCol w:w="6221"/>
      </w:tblGrid>
      <w:tr w:rsidR="00366CB9" w:rsidRPr="0079021A" w14:paraId="3709A677" w14:textId="77777777" w:rsidTr="00CE4227">
        <w:trPr>
          <w:trHeight w:hRule="exact" w:val="722"/>
        </w:trPr>
        <w:tc>
          <w:tcPr>
            <w:tcW w:w="14073" w:type="dxa"/>
            <w:gridSpan w:val="3"/>
            <w:shd w:val="clear" w:color="auto" w:fill="FFFFFF"/>
          </w:tcPr>
          <w:p w14:paraId="1F345E12" w14:textId="77777777" w:rsidR="00366CB9" w:rsidRPr="0079021A" w:rsidRDefault="009D0C1D" w:rsidP="00457B0A">
            <w:pPr>
              <w:pStyle w:val="a6"/>
              <w:shd w:val="clear" w:color="auto" w:fill="auto"/>
              <w:rPr>
                <w:sz w:val="24"/>
                <w:szCs w:val="24"/>
              </w:rPr>
            </w:pPr>
            <w:r>
              <w:rPr>
                <w:color w:val="636466"/>
                <w:sz w:val="24"/>
              </w:rPr>
              <w:t>Таблиця 2.1. Класи технологій та продуктів для тестування на виявлення ТБ, включені до чинних керівних принципів</w:t>
            </w:r>
          </w:p>
        </w:tc>
      </w:tr>
      <w:tr w:rsidR="00366CB9" w:rsidRPr="0079021A" w14:paraId="6CBE3337" w14:textId="77777777" w:rsidTr="00546B4F">
        <w:trPr>
          <w:trHeight w:hRule="exact" w:val="490"/>
        </w:trPr>
        <w:tc>
          <w:tcPr>
            <w:tcW w:w="2294" w:type="dxa"/>
            <w:shd w:val="clear" w:color="auto" w:fill="62A86A"/>
            <w:vAlign w:val="center"/>
          </w:tcPr>
          <w:p w14:paraId="0843F97A" w14:textId="77777777" w:rsidR="00366CB9" w:rsidRPr="006E22E5" w:rsidRDefault="009D0C1D" w:rsidP="00CE4227">
            <w:pPr>
              <w:pStyle w:val="a6"/>
              <w:shd w:val="clear" w:color="auto" w:fill="auto"/>
              <w:ind w:firstLine="140"/>
              <w:rPr>
                <w:sz w:val="18"/>
                <w:szCs w:val="24"/>
              </w:rPr>
            </w:pPr>
            <w:r w:rsidRPr="006E22E5">
              <w:rPr>
                <w:color w:val="FFFFFF"/>
                <w:sz w:val="18"/>
                <w:szCs w:val="24"/>
              </w:rPr>
              <w:t>Мета класів</w:t>
            </w:r>
          </w:p>
        </w:tc>
        <w:tc>
          <w:tcPr>
            <w:tcW w:w="5558" w:type="dxa"/>
            <w:shd w:val="clear" w:color="auto" w:fill="62A86A"/>
            <w:vAlign w:val="center"/>
          </w:tcPr>
          <w:p w14:paraId="32C6736B" w14:textId="77777777" w:rsidR="00366CB9" w:rsidRPr="006E22E5" w:rsidRDefault="009D0C1D" w:rsidP="00CE4227">
            <w:pPr>
              <w:pStyle w:val="a6"/>
              <w:shd w:val="clear" w:color="auto" w:fill="auto"/>
              <w:rPr>
                <w:sz w:val="18"/>
                <w:szCs w:val="24"/>
              </w:rPr>
            </w:pPr>
            <w:r w:rsidRPr="006E22E5">
              <w:rPr>
                <w:color w:val="FFFFFF"/>
                <w:sz w:val="18"/>
                <w:szCs w:val="24"/>
              </w:rPr>
              <w:t>Клас технологій</w:t>
            </w:r>
          </w:p>
        </w:tc>
        <w:tc>
          <w:tcPr>
            <w:tcW w:w="6221" w:type="dxa"/>
            <w:shd w:val="clear" w:color="auto" w:fill="62A86A"/>
            <w:vAlign w:val="center"/>
          </w:tcPr>
          <w:p w14:paraId="0246AF42" w14:textId="77777777" w:rsidR="00366CB9" w:rsidRPr="006E22E5" w:rsidRDefault="009D0C1D" w:rsidP="00CE4227">
            <w:pPr>
              <w:pStyle w:val="a6"/>
              <w:shd w:val="clear" w:color="auto" w:fill="auto"/>
              <w:ind w:firstLine="160"/>
              <w:rPr>
                <w:sz w:val="18"/>
                <w:szCs w:val="24"/>
              </w:rPr>
            </w:pPr>
            <w:r w:rsidRPr="006E22E5">
              <w:rPr>
                <w:color w:val="FFFFFF"/>
                <w:sz w:val="18"/>
                <w:szCs w:val="24"/>
              </w:rPr>
              <w:t>Включені продукти</w:t>
            </w:r>
            <w:r w:rsidRPr="006E22E5">
              <w:rPr>
                <w:color w:val="FFFFFF"/>
                <w:sz w:val="18"/>
                <w:szCs w:val="24"/>
                <w:vertAlign w:val="superscript"/>
              </w:rPr>
              <w:t>a</w:t>
            </w:r>
          </w:p>
        </w:tc>
      </w:tr>
      <w:tr w:rsidR="00366CB9" w14:paraId="191D0E02" w14:textId="77777777" w:rsidTr="00546B4F">
        <w:trPr>
          <w:trHeight w:hRule="exact" w:val="461"/>
        </w:trPr>
        <w:tc>
          <w:tcPr>
            <w:tcW w:w="2294" w:type="dxa"/>
            <w:vMerge w:val="restart"/>
            <w:tcBorders>
              <w:bottom w:val="single" w:sz="8" w:space="0" w:color="00B050"/>
            </w:tcBorders>
            <w:shd w:val="clear" w:color="auto" w:fill="FFFFFF"/>
          </w:tcPr>
          <w:p w14:paraId="57BFC6AF" w14:textId="77777777" w:rsidR="00366CB9" w:rsidRPr="006E22E5" w:rsidRDefault="009D0C1D" w:rsidP="00457B0A">
            <w:pPr>
              <w:pStyle w:val="a6"/>
              <w:shd w:val="clear" w:color="auto" w:fill="auto"/>
              <w:spacing w:before="100" w:line="276" w:lineRule="auto"/>
              <w:ind w:left="140"/>
              <w:rPr>
                <w:sz w:val="18"/>
                <w:szCs w:val="24"/>
              </w:rPr>
            </w:pPr>
            <w:r w:rsidRPr="006E22E5">
              <w:rPr>
                <w:b w:val="0"/>
                <w:color w:val="000000"/>
                <w:sz w:val="18"/>
                <w:szCs w:val="24"/>
              </w:rPr>
              <w:t>Початкові тести для діагностики ТБ з виявленням медикаментозної резистентності</w:t>
            </w:r>
          </w:p>
        </w:tc>
        <w:tc>
          <w:tcPr>
            <w:tcW w:w="5558" w:type="dxa"/>
            <w:vMerge w:val="restart"/>
            <w:tcBorders>
              <w:bottom w:val="single" w:sz="8" w:space="0" w:color="00B050"/>
            </w:tcBorders>
            <w:shd w:val="clear" w:color="auto" w:fill="FFFFFF"/>
          </w:tcPr>
          <w:p w14:paraId="73360229" w14:textId="77777777" w:rsidR="00366CB9" w:rsidRPr="006E22E5" w:rsidRDefault="009D0C1D" w:rsidP="00457B0A">
            <w:pPr>
              <w:pStyle w:val="a6"/>
              <w:shd w:val="clear" w:color="auto" w:fill="auto"/>
              <w:spacing w:line="276" w:lineRule="auto"/>
              <w:rPr>
                <w:sz w:val="18"/>
                <w:szCs w:val="24"/>
              </w:rPr>
            </w:pPr>
            <w:r w:rsidRPr="006E22E5">
              <w:rPr>
                <w:color w:val="000000"/>
                <w:sz w:val="18"/>
                <w:szCs w:val="24"/>
              </w:rPr>
              <w:t>НОВЕ:</w:t>
            </w:r>
            <w:r w:rsidRPr="006E22E5">
              <w:rPr>
                <w:b w:val="0"/>
                <w:color w:val="000000"/>
                <w:sz w:val="18"/>
                <w:szCs w:val="24"/>
              </w:rPr>
              <w:t xml:space="preserve"> Автоматизовані аналізи ампліфікації нуклеїнових кислот низької складності (LC-aNAAT) для виявлення ТБ та резистентності до RIF</w:t>
            </w:r>
          </w:p>
        </w:tc>
        <w:tc>
          <w:tcPr>
            <w:tcW w:w="6221" w:type="dxa"/>
            <w:tcBorders>
              <w:bottom w:val="single" w:sz="8" w:space="0" w:color="00B050"/>
            </w:tcBorders>
            <w:shd w:val="clear" w:color="auto" w:fill="FFFFFF"/>
          </w:tcPr>
          <w:p w14:paraId="79FDCFE2"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Xpert® MTB/RIF Ultra (Cepheid)</w:t>
            </w:r>
          </w:p>
        </w:tc>
      </w:tr>
      <w:tr w:rsidR="00366CB9" w14:paraId="536D1D6B" w14:textId="77777777" w:rsidTr="00546B4F">
        <w:trPr>
          <w:trHeight w:hRule="exact" w:val="518"/>
        </w:trPr>
        <w:tc>
          <w:tcPr>
            <w:tcW w:w="2294" w:type="dxa"/>
            <w:vMerge/>
            <w:tcBorders>
              <w:bottom w:val="single" w:sz="8" w:space="0" w:color="00B050"/>
            </w:tcBorders>
            <w:shd w:val="clear" w:color="auto" w:fill="FFFFFF"/>
          </w:tcPr>
          <w:p w14:paraId="0AAF34C7" w14:textId="77777777" w:rsidR="00366CB9" w:rsidRPr="006E22E5" w:rsidRDefault="00366CB9" w:rsidP="00457B0A">
            <w:pPr>
              <w:rPr>
                <w:sz w:val="18"/>
              </w:rPr>
            </w:pPr>
          </w:p>
        </w:tc>
        <w:tc>
          <w:tcPr>
            <w:tcW w:w="5558" w:type="dxa"/>
            <w:vMerge/>
            <w:tcBorders>
              <w:bottom w:val="single" w:sz="8" w:space="0" w:color="00B050"/>
            </w:tcBorders>
            <w:shd w:val="clear" w:color="auto" w:fill="FFFFFF"/>
          </w:tcPr>
          <w:p w14:paraId="7E8865CB" w14:textId="77777777" w:rsidR="00366CB9" w:rsidRPr="006E22E5" w:rsidRDefault="00366CB9" w:rsidP="00457B0A">
            <w:pPr>
              <w:rPr>
                <w:sz w:val="18"/>
              </w:rPr>
            </w:pPr>
          </w:p>
        </w:tc>
        <w:tc>
          <w:tcPr>
            <w:tcW w:w="6221" w:type="dxa"/>
            <w:tcBorders>
              <w:top w:val="single" w:sz="8" w:space="0" w:color="00B050"/>
              <w:bottom w:val="single" w:sz="8" w:space="0" w:color="00B050"/>
            </w:tcBorders>
            <w:shd w:val="clear" w:color="auto" w:fill="FFFFFF"/>
          </w:tcPr>
          <w:p w14:paraId="51B62317"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Truenat® MTB Plus та Truenat MTB-RIF Dx (Molbio)</w:t>
            </w:r>
          </w:p>
        </w:tc>
      </w:tr>
      <w:tr w:rsidR="00366CB9" w14:paraId="57C37BD1" w14:textId="77777777" w:rsidTr="00546B4F">
        <w:trPr>
          <w:trHeight w:hRule="exact" w:val="446"/>
        </w:trPr>
        <w:tc>
          <w:tcPr>
            <w:tcW w:w="2294" w:type="dxa"/>
            <w:vMerge/>
            <w:tcBorders>
              <w:bottom w:val="single" w:sz="8" w:space="0" w:color="00B050"/>
            </w:tcBorders>
            <w:shd w:val="clear" w:color="auto" w:fill="FFFFFF"/>
          </w:tcPr>
          <w:p w14:paraId="1C0E7993" w14:textId="77777777" w:rsidR="00366CB9" w:rsidRPr="006E22E5" w:rsidRDefault="00366CB9" w:rsidP="00457B0A">
            <w:pPr>
              <w:rPr>
                <w:sz w:val="18"/>
              </w:rPr>
            </w:pPr>
          </w:p>
        </w:tc>
        <w:tc>
          <w:tcPr>
            <w:tcW w:w="5558" w:type="dxa"/>
            <w:vMerge w:val="restart"/>
            <w:tcBorders>
              <w:top w:val="single" w:sz="8" w:space="0" w:color="00B050"/>
              <w:bottom w:val="single" w:sz="8" w:space="0" w:color="00B050"/>
            </w:tcBorders>
            <w:shd w:val="clear" w:color="auto" w:fill="FFFFFF"/>
          </w:tcPr>
          <w:p w14:paraId="725ABEDC" w14:textId="77777777" w:rsidR="00366CB9" w:rsidRPr="006E22E5" w:rsidRDefault="009D0C1D" w:rsidP="00457B0A">
            <w:pPr>
              <w:pStyle w:val="a6"/>
              <w:shd w:val="clear" w:color="auto" w:fill="auto"/>
              <w:spacing w:before="100" w:line="271" w:lineRule="auto"/>
              <w:rPr>
                <w:sz w:val="18"/>
                <w:szCs w:val="24"/>
              </w:rPr>
            </w:pPr>
            <w:r w:rsidRPr="006E22E5">
              <w:rPr>
                <w:b w:val="0"/>
                <w:color w:val="000000"/>
                <w:sz w:val="18"/>
                <w:szCs w:val="24"/>
              </w:rPr>
              <w:t>Автоматизовані аналізи ампліфікації нуклеїнових кислот середньої складності (MC-aNAAT) для виявлення ТБ та резистентності до RIF та INH</w:t>
            </w:r>
          </w:p>
        </w:tc>
        <w:tc>
          <w:tcPr>
            <w:tcW w:w="6221" w:type="dxa"/>
            <w:tcBorders>
              <w:top w:val="single" w:sz="8" w:space="0" w:color="00B050"/>
              <w:bottom w:val="single" w:sz="8" w:space="0" w:color="00B050"/>
            </w:tcBorders>
            <w:shd w:val="clear" w:color="auto" w:fill="FFFFFF"/>
          </w:tcPr>
          <w:p w14:paraId="1E59028C"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RealTi</w:t>
            </w:r>
            <w:r w:rsidRPr="006E22E5">
              <w:rPr>
                <w:b w:val="0"/>
                <w:i/>
                <w:color w:val="000000"/>
                <w:sz w:val="18"/>
                <w:szCs w:val="24"/>
              </w:rPr>
              <w:t>m</w:t>
            </w:r>
            <w:r w:rsidRPr="006E22E5">
              <w:rPr>
                <w:b w:val="0"/>
                <w:color w:val="000000"/>
                <w:sz w:val="18"/>
                <w:szCs w:val="24"/>
              </w:rPr>
              <w:t>e® MTB та RealTi</w:t>
            </w:r>
            <w:r w:rsidRPr="006E22E5">
              <w:rPr>
                <w:b w:val="0"/>
                <w:i/>
                <w:color w:val="000000"/>
                <w:sz w:val="18"/>
                <w:szCs w:val="24"/>
              </w:rPr>
              <w:t>m</w:t>
            </w:r>
            <w:r w:rsidRPr="006E22E5">
              <w:rPr>
                <w:b w:val="0"/>
                <w:color w:val="000000"/>
                <w:sz w:val="18"/>
                <w:szCs w:val="24"/>
              </w:rPr>
              <w:t>e MTB RIF/INH (Abbott)</w:t>
            </w:r>
          </w:p>
        </w:tc>
      </w:tr>
      <w:tr w:rsidR="00366CB9" w14:paraId="66F1DE59" w14:textId="77777777" w:rsidTr="00546B4F">
        <w:trPr>
          <w:trHeight w:hRule="exact" w:val="451"/>
        </w:trPr>
        <w:tc>
          <w:tcPr>
            <w:tcW w:w="2294" w:type="dxa"/>
            <w:vMerge/>
            <w:tcBorders>
              <w:bottom w:val="single" w:sz="8" w:space="0" w:color="00B050"/>
            </w:tcBorders>
            <w:shd w:val="clear" w:color="auto" w:fill="FFFFFF"/>
          </w:tcPr>
          <w:p w14:paraId="0171DB4B" w14:textId="77777777" w:rsidR="00366CB9" w:rsidRPr="006E22E5" w:rsidRDefault="00366CB9" w:rsidP="00457B0A">
            <w:pPr>
              <w:rPr>
                <w:sz w:val="18"/>
              </w:rPr>
            </w:pPr>
          </w:p>
        </w:tc>
        <w:tc>
          <w:tcPr>
            <w:tcW w:w="5558" w:type="dxa"/>
            <w:vMerge/>
            <w:tcBorders>
              <w:bottom w:val="single" w:sz="8" w:space="0" w:color="00B050"/>
            </w:tcBorders>
            <w:shd w:val="clear" w:color="auto" w:fill="FFFFFF"/>
          </w:tcPr>
          <w:p w14:paraId="07F681F9" w14:textId="77777777" w:rsidR="00366CB9" w:rsidRPr="006E22E5" w:rsidRDefault="00366CB9" w:rsidP="00457B0A">
            <w:pPr>
              <w:rPr>
                <w:sz w:val="18"/>
              </w:rPr>
            </w:pPr>
          </w:p>
        </w:tc>
        <w:tc>
          <w:tcPr>
            <w:tcW w:w="6221" w:type="dxa"/>
            <w:tcBorders>
              <w:top w:val="single" w:sz="8" w:space="0" w:color="00B050"/>
              <w:bottom w:val="single" w:sz="8" w:space="0" w:color="00B050"/>
            </w:tcBorders>
            <w:shd w:val="clear" w:color="auto" w:fill="FFFFFF"/>
          </w:tcPr>
          <w:p w14:paraId="16E4EA01"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BD MAX™ MDR-TB (Becton Dickinson)</w:t>
            </w:r>
          </w:p>
        </w:tc>
      </w:tr>
      <w:tr w:rsidR="00366CB9" w14:paraId="30854424" w14:textId="77777777" w:rsidTr="00546B4F">
        <w:trPr>
          <w:trHeight w:hRule="exact" w:val="446"/>
        </w:trPr>
        <w:tc>
          <w:tcPr>
            <w:tcW w:w="2294" w:type="dxa"/>
            <w:vMerge/>
            <w:tcBorders>
              <w:bottom w:val="single" w:sz="8" w:space="0" w:color="00B050"/>
            </w:tcBorders>
            <w:shd w:val="clear" w:color="auto" w:fill="FFFFFF"/>
          </w:tcPr>
          <w:p w14:paraId="67EBE471" w14:textId="77777777" w:rsidR="00366CB9" w:rsidRPr="006E22E5" w:rsidRDefault="00366CB9" w:rsidP="00457B0A">
            <w:pPr>
              <w:rPr>
                <w:sz w:val="18"/>
              </w:rPr>
            </w:pPr>
          </w:p>
        </w:tc>
        <w:tc>
          <w:tcPr>
            <w:tcW w:w="5558" w:type="dxa"/>
            <w:vMerge/>
            <w:tcBorders>
              <w:bottom w:val="single" w:sz="8" w:space="0" w:color="00B050"/>
            </w:tcBorders>
            <w:shd w:val="clear" w:color="auto" w:fill="FFFFFF"/>
          </w:tcPr>
          <w:p w14:paraId="5FA7BEFB" w14:textId="77777777" w:rsidR="00366CB9" w:rsidRPr="006E22E5" w:rsidRDefault="00366CB9" w:rsidP="00457B0A">
            <w:pPr>
              <w:rPr>
                <w:sz w:val="18"/>
              </w:rPr>
            </w:pPr>
          </w:p>
        </w:tc>
        <w:tc>
          <w:tcPr>
            <w:tcW w:w="6221" w:type="dxa"/>
            <w:tcBorders>
              <w:top w:val="single" w:sz="8" w:space="0" w:color="00B050"/>
              <w:bottom w:val="single" w:sz="8" w:space="0" w:color="00B050"/>
            </w:tcBorders>
            <w:shd w:val="clear" w:color="auto" w:fill="FFFFFF"/>
          </w:tcPr>
          <w:p w14:paraId="41568DA8"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cobas® MTB і cobas MTB-RIF/INH (Roche)</w:t>
            </w:r>
          </w:p>
        </w:tc>
      </w:tr>
      <w:tr w:rsidR="00366CB9" w14:paraId="270020CA" w14:textId="77777777" w:rsidTr="00546B4F">
        <w:trPr>
          <w:trHeight w:hRule="exact" w:val="446"/>
        </w:trPr>
        <w:tc>
          <w:tcPr>
            <w:tcW w:w="2294" w:type="dxa"/>
            <w:vMerge/>
            <w:tcBorders>
              <w:bottom w:val="single" w:sz="8" w:space="0" w:color="00B050"/>
            </w:tcBorders>
            <w:shd w:val="clear" w:color="auto" w:fill="FFFFFF"/>
          </w:tcPr>
          <w:p w14:paraId="0393F851" w14:textId="77777777" w:rsidR="00366CB9" w:rsidRPr="006E22E5" w:rsidRDefault="00366CB9" w:rsidP="00457B0A">
            <w:pPr>
              <w:rPr>
                <w:sz w:val="18"/>
              </w:rPr>
            </w:pPr>
          </w:p>
        </w:tc>
        <w:tc>
          <w:tcPr>
            <w:tcW w:w="5558" w:type="dxa"/>
            <w:vMerge/>
            <w:tcBorders>
              <w:bottom w:val="single" w:sz="8" w:space="0" w:color="00B050"/>
            </w:tcBorders>
            <w:shd w:val="clear" w:color="auto" w:fill="FFFFFF"/>
          </w:tcPr>
          <w:p w14:paraId="5EA9E9BB" w14:textId="77777777" w:rsidR="00366CB9" w:rsidRPr="006E22E5" w:rsidRDefault="00366CB9" w:rsidP="00457B0A">
            <w:pPr>
              <w:rPr>
                <w:sz w:val="18"/>
              </w:rPr>
            </w:pPr>
          </w:p>
        </w:tc>
        <w:tc>
          <w:tcPr>
            <w:tcW w:w="6221" w:type="dxa"/>
            <w:tcBorders>
              <w:top w:val="single" w:sz="8" w:space="0" w:color="00B050"/>
              <w:bottom w:val="single" w:sz="8" w:space="0" w:color="00B050"/>
            </w:tcBorders>
            <w:shd w:val="clear" w:color="auto" w:fill="FFFFFF"/>
          </w:tcPr>
          <w:p w14:paraId="37788E84"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FluoroType® MTB та FluoroType MTBDR (Bruker-Hain)</w:t>
            </w:r>
          </w:p>
        </w:tc>
      </w:tr>
      <w:tr w:rsidR="00366CB9" w14:paraId="01F2423A" w14:textId="77777777" w:rsidTr="00546B4F">
        <w:trPr>
          <w:trHeight w:hRule="exact" w:val="710"/>
        </w:trPr>
        <w:tc>
          <w:tcPr>
            <w:tcW w:w="2294" w:type="dxa"/>
            <w:vMerge w:val="restart"/>
            <w:tcBorders>
              <w:top w:val="single" w:sz="8" w:space="0" w:color="00B050"/>
              <w:bottom w:val="single" w:sz="8" w:space="0" w:color="00B050"/>
            </w:tcBorders>
            <w:shd w:val="clear" w:color="auto" w:fill="FFFFFF"/>
          </w:tcPr>
          <w:p w14:paraId="4AF6C01F" w14:textId="77777777" w:rsidR="00366CB9" w:rsidRPr="006E22E5" w:rsidRDefault="009D0C1D" w:rsidP="00457B0A">
            <w:pPr>
              <w:pStyle w:val="a6"/>
              <w:shd w:val="clear" w:color="auto" w:fill="auto"/>
              <w:spacing w:line="276" w:lineRule="auto"/>
              <w:ind w:left="140"/>
              <w:rPr>
                <w:sz w:val="18"/>
                <w:szCs w:val="24"/>
              </w:rPr>
            </w:pPr>
            <w:r w:rsidRPr="006E22E5">
              <w:rPr>
                <w:b w:val="0"/>
                <w:color w:val="000000"/>
                <w:sz w:val="18"/>
                <w:szCs w:val="24"/>
              </w:rPr>
              <w:t>Початкові тести для діагностики ТБ без виявлення медикаментозної резистентності</w:t>
            </w:r>
          </w:p>
        </w:tc>
        <w:tc>
          <w:tcPr>
            <w:tcW w:w="5558" w:type="dxa"/>
            <w:tcBorders>
              <w:top w:val="single" w:sz="8" w:space="0" w:color="00B050"/>
              <w:bottom w:val="single" w:sz="8" w:space="0" w:color="00B050"/>
            </w:tcBorders>
            <w:shd w:val="clear" w:color="auto" w:fill="FFFFFF"/>
          </w:tcPr>
          <w:p w14:paraId="77353DD3" w14:textId="77777777" w:rsidR="00366CB9" w:rsidRPr="006E22E5" w:rsidRDefault="009D0C1D" w:rsidP="00457B0A">
            <w:pPr>
              <w:pStyle w:val="a6"/>
              <w:shd w:val="clear" w:color="auto" w:fill="auto"/>
              <w:spacing w:line="271" w:lineRule="auto"/>
              <w:rPr>
                <w:sz w:val="18"/>
                <w:szCs w:val="24"/>
              </w:rPr>
            </w:pPr>
            <w:r w:rsidRPr="006E22E5">
              <w:rPr>
                <w:color w:val="000000"/>
                <w:sz w:val="18"/>
                <w:szCs w:val="24"/>
              </w:rPr>
              <w:t>НОВЕ:</w:t>
            </w:r>
            <w:r w:rsidRPr="006E22E5">
              <w:rPr>
                <w:b w:val="0"/>
                <w:color w:val="000000"/>
                <w:sz w:val="18"/>
                <w:szCs w:val="24"/>
              </w:rPr>
              <w:t xml:space="preserve"> Ручні аналізи ампліфікації нуклеїнових кислот низької складності (LC-mNAAT) для виявлення ТБ</w:t>
            </w:r>
          </w:p>
        </w:tc>
        <w:tc>
          <w:tcPr>
            <w:tcW w:w="6221" w:type="dxa"/>
            <w:tcBorders>
              <w:top w:val="single" w:sz="8" w:space="0" w:color="00B050"/>
              <w:bottom w:val="single" w:sz="8" w:space="0" w:color="00B050"/>
            </w:tcBorders>
            <w:shd w:val="clear" w:color="auto" w:fill="FFFFFF"/>
          </w:tcPr>
          <w:p w14:paraId="5091BC51"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Loopamp</w:t>
            </w:r>
            <w:r w:rsidRPr="006E22E5">
              <w:rPr>
                <w:b w:val="0"/>
                <w:color w:val="000000"/>
                <w:sz w:val="18"/>
                <w:szCs w:val="24"/>
                <w:vertAlign w:val="superscript"/>
              </w:rPr>
              <w:t>TM</w:t>
            </w:r>
            <w:r w:rsidRPr="006E22E5">
              <w:rPr>
                <w:b w:val="0"/>
                <w:color w:val="000000"/>
                <w:sz w:val="18"/>
                <w:szCs w:val="24"/>
              </w:rPr>
              <w:t xml:space="preserve"> MTBC Detection Kit (TB-LAMP) (Eiken Chemical)</w:t>
            </w:r>
          </w:p>
        </w:tc>
      </w:tr>
      <w:tr w:rsidR="00366CB9" w14:paraId="717FDED2" w14:textId="77777777" w:rsidTr="00546B4F">
        <w:trPr>
          <w:trHeight w:hRule="exact" w:val="706"/>
        </w:trPr>
        <w:tc>
          <w:tcPr>
            <w:tcW w:w="2294" w:type="dxa"/>
            <w:vMerge/>
            <w:tcBorders>
              <w:bottom w:val="single" w:sz="8" w:space="0" w:color="00B050"/>
            </w:tcBorders>
            <w:shd w:val="clear" w:color="auto" w:fill="FFFFFF"/>
          </w:tcPr>
          <w:p w14:paraId="45E35388" w14:textId="77777777" w:rsidR="00366CB9" w:rsidRPr="006E22E5" w:rsidRDefault="00366CB9" w:rsidP="00457B0A">
            <w:pPr>
              <w:rPr>
                <w:sz w:val="18"/>
              </w:rPr>
            </w:pPr>
          </w:p>
        </w:tc>
        <w:tc>
          <w:tcPr>
            <w:tcW w:w="5558" w:type="dxa"/>
            <w:tcBorders>
              <w:top w:val="single" w:sz="8" w:space="0" w:color="00B050"/>
              <w:bottom w:val="single" w:sz="8" w:space="0" w:color="00B050"/>
            </w:tcBorders>
            <w:shd w:val="clear" w:color="auto" w:fill="FFFFFF"/>
          </w:tcPr>
          <w:p w14:paraId="3D08658C" w14:textId="77777777" w:rsidR="00366CB9" w:rsidRPr="006E22E5" w:rsidRDefault="009D0C1D" w:rsidP="00457B0A">
            <w:pPr>
              <w:pStyle w:val="a6"/>
              <w:shd w:val="clear" w:color="auto" w:fill="auto"/>
              <w:spacing w:line="271" w:lineRule="auto"/>
              <w:rPr>
                <w:sz w:val="18"/>
                <w:szCs w:val="24"/>
              </w:rPr>
            </w:pPr>
            <w:r w:rsidRPr="006E22E5">
              <w:rPr>
                <w:b w:val="0"/>
                <w:color w:val="000000"/>
                <w:sz w:val="18"/>
                <w:szCs w:val="24"/>
              </w:rPr>
              <w:t>Виявлення антигену з боковим зсувом (виявлення на основі біомаркерів; LF-LAM) для виявлення ТБ</w:t>
            </w:r>
          </w:p>
        </w:tc>
        <w:tc>
          <w:tcPr>
            <w:tcW w:w="6221" w:type="dxa"/>
            <w:tcBorders>
              <w:top w:val="single" w:sz="8" w:space="0" w:color="00B050"/>
              <w:bottom w:val="single" w:sz="8" w:space="0" w:color="00B050"/>
            </w:tcBorders>
            <w:shd w:val="clear" w:color="auto" w:fill="FFFFFF"/>
          </w:tcPr>
          <w:p w14:paraId="062C6DE0"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Determine™ TB LAM Ag (Alere/Abbott)</w:t>
            </w:r>
          </w:p>
        </w:tc>
      </w:tr>
      <w:tr w:rsidR="00366CB9" w14:paraId="18AC7D5D" w14:textId="77777777" w:rsidTr="00546B4F">
        <w:trPr>
          <w:trHeight w:hRule="exact" w:val="993"/>
        </w:trPr>
        <w:tc>
          <w:tcPr>
            <w:tcW w:w="2294" w:type="dxa"/>
            <w:vMerge w:val="restart"/>
            <w:tcBorders>
              <w:top w:val="single" w:sz="8" w:space="0" w:color="00B050"/>
              <w:bottom w:val="single" w:sz="8" w:space="0" w:color="00B050"/>
            </w:tcBorders>
            <w:shd w:val="clear" w:color="auto" w:fill="FFFFFF"/>
          </w:tcPr>
          <w:p w14:paraId="5194242F" w14:textId="77777777" w:rsidR="00366CB9" w:rsidRPr="006E22E5" w:rsidRDefault="009D0C1D" w:rsidP="00457B0A">
            <w:pPr>
              <w:pStyle w:val="a6"/>
              <w:shd w:val="clear" w:color="auto" w:fill="auto"/>
              <w:spacing w:before="100" w:line="276" w:lineRule="auto"/>
              <w:ind w:left="140"/>
              <w:rPr>
                <w:sz w:val="18"/>
                <w:szCs w:val="24"/>
              </w:rPr>
            </w:pPr>
            <w:r w:rsidRPr="006E22E5">
              <w:rPr>
                <w:b w:val="0"/>
                <w:color w:val="000000"/>
                <w:sz w:val="18"/>
                <w:szCs w:val="24"/>
              </w:rPr>
              <w:t>Подальші діагностичні тести для виявлення медикаментозної резистентності ТБ</w:t>
            </w:r>
          </w:p>
        </w:tc>
        <w:tc>
          <w:tcPr>
            <w:tcW w:w="5558" w:type="dxa"/>
            <w:tcBorders>
              <w:top w:val="single" w:sz="8" w:space="0" w:color="00B050"/>
              <w:bottom w:val="single" w:sz="8" w:space="0" w:color="00B050"/>
            </w:tcBorders>
            <w:shd w:val="clear" w:color="auto" w:fill="FFFFFF"/>
          </w:tcPr>
          <w:p w14:paraId="3B3D0FB1" w14:textId="77777777" w:rsidR="00366CB9" w:rsidRPr="006E22E5" w:rsidRDefault="009D0C1D" w:rsidP="00457B0A">
            <w:pPr>
              <w:pStyle w:val="a6"/>
              <w:shd w:val="clear" w:color="auto" w:fill="auto"/>
              <w:spacing w:line="276" w:lineRule="auto"/>
              <w:rPr>
                <w:sz w:val="18"/>
                <w:szCs w:val="24"/>
              </w:rPr>
            </w:pPr>
            <w:r w:rsidRPr="006E22E5">
              <w:rPr>
                <w:b w:val="0"/>
                <w:color w:val="000000"/>
                <w:sz w:val="18"/>
                <w:szCs w:val="24"/>
              </w:rPr>
              <w:t>Автоматизовані аналізи ампліфікації нуклеїнових кислот низької складності (LC-aNAAT) для виявлення резистентності до INH та протитуберкульозних препаратів другої лінії</w:t>
            </w:r>
          </w:p>
        </w:tc>
        <w:tc>
          <w:tcPr>
            <w:tcW w:w="6221" w:type="dxa"/>
            <w:tcBorders>
              <w:top w:val="single" w:sz="8" w:space="0" w:color="00B050"/>
              <w:bottom w:val="single" w:sz="8" w:space="0" w:color="00B050"/>
            </w:tcBorders>
            <w:shd w:val="clear" w:color="auto" w:fill="FFFFFF"/>
          </w:tcPr>
          <w:p w14:paraId="308FD35E" w14:textId="77777777" w:rsidR="00366CB9" w:rsidRPr="006E22E5" w:rsidRDefault="009D0C1D" w:rsidP="00457B0A">
            <w:pPr>
              <w:pStyle w:val="a6"/>
              <w:shd w:val="clear" w:color="auto" w:fill="auto"/>
              <w:spacing w:before="100"/>
              <w:ind w:firstLine="160"/>
              <w:rPr>
                <w:sz w:val="18"/>
                <w:szCs w:val="24"/>
              </w:rPr>
            </w:pPr>
            <w:r w:rsidRPr="006E22E5">
              <w:rPr>
                <w:b w:val="0"/>
                <w:color w:val="000000"/>
                <w:sz w:val="18"/>
                <w:szCs w:val="24"/>
              </w:rPr>
              <w:t>Xpert® MTB/XDR (Cepheid)</w:t>
            </w:r>
          </w:p>
        </w:tc>
      </w:tr>
      <w:tr w:rsidR="00366CB9" w:rsidRPr="00450CEF" w14:paraId="713BA60D" w14:textId="77777777" w:rsidTr="00546B4F">
        <w:trPr>
          <w:trHeight w:hRule="exact" w:val="446"/>
        </w:trPr>
        <w:tc>
          <w:tcPr>
            <w:tcW w:w="2294" w:type="dxa"/>
            <w:vMerge/>
            <w:tcBorders>
              <w:bottom w:val="single" w:sz="8" w:space="0" w:color="00B050"/>
            </w:tcBorders>
            <w:shd w:val="clear" w:color="auto" w:fill="FFFFFF"/>
          </w:tcPr>
          <w:p w14:paraId="2C5225D0" w14:textId="77777777" w:rsidR="00366CB9" w:rsidRPr="006E22E5" w:rsidRDefault="00366CB9" w:rsidP="00457B0A">
            <w:pPr>
              <w:rPr>
                <w:sz w:val="18"/>
              </w:rPr>
            </w:pPr>
          </w:p>
        </w:tc>
        <w:tc>
          <w:tcPr>
            <w:tcW w:w="5558" w:type="dxa"/>
            <w:vMerge w:val="restart"/>
            <w:tcBorders>
              <w:top w:val="single" w:sz="8" w:space="0" w:color="00B050"/>
              <w:bottom w:val="single" w:sz="8" w:space="0" w:color="00B050"/>
            </w:tcBorders>
            <w:shd w:val="clear" w:color="auto" w:fill="FFFFFF"/>
          </w:tcPr>
          <w:p w14:paraId="66816BE9" w14:textId="77777777" w:rsidR="00366CB9" w:rsidRPr="006E22E5" w:rsidRDefault="009D0C1D" w:rsidP="00457B0A">
            <w:pPr>
              <w:pStyle w:val="a6"/>
              <w:shd w:val="clear" w:color="auto" w:fill="auto"/>
              <w:spacing w:before="100" w:line="271" w:lineRule="auto"/>
              <w:rPr>
                <w:sz w:val="18"/>
                <w:szCs w:val="24"/>
              </w:rPr>
            </w:pPr>
            <w:r w:rsidRPr="006E22E5">
              <w:rPr>
                <w:b w:val="0"/>
                <w:color w:val="000000"/>
                <w:sz w:val="18"/>
                <w:szCs w:val="24"/>
              </w:rPr>
              <w:t>Аналізи олігонуклеотидними зондами (LPA) – для виявлення медикаментозної резистентності ТБ</w:t>
            </w:r>
          </w:p>
        </w:tc>
        <w:tc>
          <w:tcPr>
            <w:tcW w:w="6221" w:type="dxa"/>
            <w:tcBorders>
              <w:top w:val="single" w:sz="8" w:space="0" w:color="00B050"/>
              <w:bottom w:val="single" w:sz="8" w:space="0" w:color="00B050"/>
            </w:tcBorders>
            <w:shd w:val="clear" w:color="auto" w:fill="FFFFFF"/>
          </w:tcPr>
          <w:p w14:paraId="0E15B133"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GenoType® MTBDRplus v2 (Bruker-Hain)</w:t>
            </w:r>
          </w:p>
        </w:tc>
      </w:tr>
      <w:tr w:rsidR="00366CB9" w14:paraId="26D532D5" w14:textId="77777777" w:rsidTr="00546B4F">
        <w:trPr>
          <w:trHeight w:hRule="exact" w:val="451"/>
        </w:trPr>
        <w:tc>
          <w:tcPr>
            <w:tcW w:w="2294" w:type="dxa"/>
            <w:vMerge/>
            <w:tcBorders>
              <w:bottom w:val="single" w:sz="8" w:space="0" w:color="00B050"/>
            </w:tcBorders>
            <w:shd w:val="clear" w:color="auto" w:fill="FFFFFF"/>
          </w:tcPr>
          <w:p w14:paraId="185E273A" w14:textId="77777777" w:rsidR="00366CB9" w:rsidRPr="006E22E5" w:rsidRDefault="00366CB9" w:rsidP="00457B0A">
            <w:pPr>
              <w:rPr>
                <w:sz w:val="18"/>
                <w:lang w:val="sv-SE"/>
              </w:rPr>
            </w:pPr>
          </w:p>
        </w:tc>
        <w:tc>
          <w:tcPr>
            <w:tcW w:w="5558" w:type="dxa"/>
            <w:vMerge/>
            <w:tcBorders>
              <w:bottom w:val="single" w:sz="8" w:space="0" w:color="00B050"/>
            </w:tcBorders>
            <w:shd w:val="clear" w:color="auto" w:fill="FFFFFF"/>
          </w:tcPr>
          <w:p w14:paraId="6F13A220" w14:textId="77777777" w:rsidR="00366CB9" w:rsidRPr="006E22E5" w:rsidRDefault="00366CB9" w:rsidP="00457B0A">
            <w:pPr>
              <w:rPr>
                <w:sz w:val="18"/>
                <w:lang w:val="sv-SE"/>
              </w:rPr>
            </w:pPr>
          </w:p>
        </w:tc>
        <w:tc>
          <w:tcPr>
            <w:tcW w:w="6221" w:type="dxa"/>
            <w:tcBorders>
              <w:top w:val="single" w:sz="8" w:space="0" w:color="00B050"/>
              <w:bottom w:val="single" w:sz="8" w:space="0" w:color="00B050"/>
            </w:tcBorders>
            <w:shd w:val="clear" w:color="auto" w:fill="FFFFFF"/>
          </w:tcPr>
          <w:p w14:paraId="5F3F9F75"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GenoType MTBDRsl (Bruker-Hain)</w:t>
            </w:r>
          </w:p>
        </w:tc>
      </w:tr>
      <w:tr w:rsidR="00366CB9" w14:paraId="5675A1F6" w14:textId="77777777" w:rsidTr="00546B4F">
        <w:trPr>
          <w:trHeight w:hRule="exact" w:val="446"/>
        </w:trPr>
        <w:tc>
          <w:tcPr>
            <w:tcW w:w="2294" w:type="dxa"/>
            <w:vMerge/>
            <w:tcBorders>
              <w:bottom w:val="single" w:sz="8" w:space="0" w:color="00B050"/>
            </w:tcBorders>
            <w:shd w:val="clear" w:color="auto" w:fill="FFFFFF"/>
          </w:tcPr>
          <w:p w14:paraId="5C0BDB5C" w14:textId="77777777" w:rsidR="00366CB9" w:rsidRPr="006E22E5" w:rsidRDefault="00366CB9" w:rsidP="00457B0A">
            <w:pPr>
              <w:rPr>
                <w:sz w:val="18"/>
              </w:rPr>
            </w:pPr>
          </w:p>
        </w:tc>
        <w:tc>
          <w:tcPr>
            <w:tcW w:w="5558" w:type="dxa"/>
            <w:vMerge/>
            <w:tcBorders>
              <w:bottom w:val="single" w:sz="8" w:space="0" w:color="00B050"/>
            </w:tcBorders>
            <w:shd w:val="clear" w:color="auto" w:fill="FFFFFF"/>
          </w:tcPr>
          <w:p w14:paraId="4DEB4B49" w14:textId="77777777" w:rsidR="00366CB9" w:rsidRPr="006E22E5" w:rsidRDefault="00366CB9" w:rsidP="00457B0A">
            <w:pPr>
              <w:rPr>
                <w:sz w:val="18"/>
              </w:rPr>
            </w:pPr>
          </w:p>
        </w:tc>
        <w:tc>
          <w:tcPr>
            <w:tcW w:w="6221" w:type="dxa"/>
            <w:tcBorders>
              <w:top w:val="single" w:sz="8" w:space="0" w:color="00B050"/>
              <w:bottom w:val="single" w:sz="8" w:space="0" w:color="00B050"/>
            </w:tcBorders>
            <w:shd w:val="clear" w:color="auto" w:fill="FFFFFF"/>
          </w:tcPr>
          <w:p w14:paraId="56B41AD1"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Genoscholar™ NTM+MDRTB II (Nipro)</w:t>
            </w:r>
          </w:p>
        </w:tc>
      </w:tr>
      <w:tr w:rsidR="00366CB9" w14:paraId="7685F43F" w14:textId="77777777" w:rsidTr="00546B4F">
        <w:trPr>
          <w:trHeight w:hRule="exact" w:val="720"/>
        </w:trPr>
        <w:tc>
          <w:tcPr>
            <w:tcW w:w="2294" w:type="dxa"/>
            <w:vMerge/>
            <w:tcBorders>
              <w:bottom w:val="single" w:sz="8" w:space="0" w:color="00B050"/>
            </w:tcBorders>
            <w:shd w:val="clear" w:color="auto" w:fill="FFFFFF"/>
          </w:tcPr>
          <w:p w14:paraId="79D332A1" w14:textId="77777777" w:rsidR="00366CB9" w:rsidRPr="006E22E5" w:rsidRDefault="00366CB9" w:rsidP="00457B0A">
            <w:pPr>
              <w:rPr>
                <w:sz w:val="18"/>
              </w:rPr>
            </w:pPr>
          </w:p>
        </w:tc>
        <w:tc>
          <w:tcPr>
            <w:tcW w:w="5558" w:type="dxa"/>
            <w:tcBorders>
              <w:top w:val="single" w:sz="8" w:space="0" w:color="00B050"/>
              <w:bottom w:val="single" w:sz="8" w:space="0" w:color="00B050"/>
            </w:tcBorders>
            <w:shd w:val="clear" w:color="auto" w:fill="FFFFFF"/>
          </w:tcPr>
          <w:p w14:paraId="364A49A4" w14:textId="77777777" w:rsidR="00366CB9" w:rsidRPr="006E22E5" w:rsidRDefault="009D0C1D" w:rsidP="00457B0A">
            <w:pPr>
              <w:pStyle w:val="a6"/>
              <w:shd w:val="clear" w:color="auto" w:fill="auto"/>
              <w:spacing w:line="271" w:lineRule="auto"/>
              <w:rPr>
                <w:sz w:val="18"/>
                <w:szCs w:val="24"/>
              </w:rPr>
            </w:pPr>
            <w:r w:rsidRPr="006E22E5">
              <w:rPr>
                <w:b w:val="0"/>
                <w:color w:val="000000"/>
                <w:sz w:val="18"/>
                <w:szCs w:val="24"/>
              </w:rPr>
              <w:t>NAAT на основі зворотної гібридизації високої складності (HC-rhNAAT)</w:t>
            </w:r>
          </w:p>
        </w:tc>
        <w:tc>
          <w:tcPr>
            <w:tcW w:w="6221" w:type="dxa"/>
            <w:tcBorders>
              <w:top w:val="single" w:sz="8" w:space="0" w:color="00B050"/>
              <w:bottom w:val="single" w:sz="8" w:space="0" w:color="00B050"/>
            </w:tcBorders>
            <w:shd w:val="clear" w:color="auto" w:fill="FFFFFF"/>
          </w:tcPr>
          <w:p w14:paraId="5AF7FBDB"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Genoscholar PZA-TB II (Nipro)</w:t>
            </w:r>
          </w:p>
        </w:tc>
      </w:tr>
    </w:tbl>
    <w:tbl>
      <w:tblPr>
        <w:tblOverlap w:val="never"/>
        <w:tblW w:w="0" w:type="auto"/>
        <w:tblLayout w:type="fixed"/>
        <w:tblCellMar>
          <w:left w:w="10" w:type="dxa"/>
          <w:right w:w="10" w:type="dxa"/>
        </w:tblCellMar>
        <w:tblLook w:val="0000" w:firstRow="0" w:lastRow="0" w:firstColumn="0" w:lastColumn="0" w:noHBand="0" w:noVBand="0"/>
      </w:tblPr>
      <w:tblGrid>
        <w:gridCol w:w="226"/>
      </w:tblGrid>
      <w:tr w:rsidR="00366CB9" w14:paraId="44290950" w14:textId="77777777">
        <w:trPr>
          <w:trHeight w:hRule="exact" w:val="562"/>
        </w:trPr>
        <w:tc>
          <w:tcPr>
            <w:tcW w:w="226" w:type="dxa"/>
            <w:shd w:val="clear" w:color="auto" w:fill="FFFFFF"/>
            <w:textDirection w:val="tbRl"/>
          </w:tcPr>
          <w:p w14:paraId="0BF8001D" w14:textId="77777777" w:rsidR="00366CB9" w:rsidRDefault="009D0C1D" w:rsidP="00425523">
            <w:pPr>
              <w:pStyle w:val="a6"/>
              <w:framePr w:w="226" w:h="5400" w:wrap="none" w:vAnchor="page" w:hAnchor="page" w:x="666" w:y="811"/>
              <w:shd w:val="clear" w:color="auto" w:fill="auto"/>
              <w:rPr>
                <w:sz w:val="15"/>
                <w:szCs w:val="15"/>
              </w:rPr>
            </w:pPr>
            <w:r>
              <w:rPr>
                <w:b w:val="0"/>
                <w:color w:val="019648"/>
                <w:sz w:val="15"/>
              </w:rPr>
              <w:t>12</w:t>
            </w:r>
          </w:p>
        </w:tc>
      </w:tr>
      <w:tr w:rsidR="00366CB9" w14:paraId="2B434E2B" w14:textId="77777777" w:rsidTr="00CE4227">
        <w:trPr>
          <w:trHeight w:hRule="exact" w:val="5244"/>
        </w:trPr>
        <w:tc>
          <w:tcPr>
            <w:tcW w:w="226" w:type="dxa"/>
            <w:shd w:val="clear" w:color="auto" w:fill="FFFFFF"/>
            <w:textDirection w:val="tbRl"/>
          </w:tcPr>
          <w:p w14:paraId="7557256A" w14:textId="77777777" w:rsidR="00366CB9" w:rsidRDefault="009D0C1D" w:rsidP="00425523">
            <w:pPr>
              <w:pStyle w:val="a6"/>
              <w:framePr w:w="226" w:h="5400" w:wrap="none" w:vAnchor="page" w:hAnchor="page" w:x="666" w:y="811"/>
              <w:shd w:val="clear" w:color="auto" w:fill="auto"/>
              <w:rPr>
                <w:sz w:val="15"/>
                <w:szCs w:val="15"/>
              </w:rPr>
            </w:pPr>
            <w:bookmarkStart w:id="30" w:name="bookmark27"/>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bookmarkEnd w:id="30"/>
          </w:p>
        </w:tc>
      </w:tr>
    </w:tbl>
    <w:p w14:paraId="501A886F" w14:textId="77777777" w:rsidR="00366CB9" w:rsidRDefault="00366CB9" w:rsidP="00425523">
      <w:pPr>
        <w:spacing w:line="1" w:lineRule="exact"/>
        <w:sectPr w:rsidR="00366CB9" w:rsidSect="00457B0A">
          <w:footerReference w:type="even" r:id="rId39"/>
          <w:pgSz w:w="16840" w:h="11913" w:orient="landscape"/>
          <w:pgMar w:top="1413" w:right="1270" w:bottom="851" w:left="1496" w:header="0" w:footer="6" w:gutter="0"/>
          <w:paperSrc w:first="15" w:other="15"/>
          <w:cols w:space="720"/>
          <w:noEndnote/>
          <w:docGrid w:linePitch="360"/>
        </w:sectPr>
      </w:pPr>
    </w:p>
    <w:p w14:paraId="24F0E8BC"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2242"/>
        <w:gridCol w:w="5602"/>
        <w:gridCol w:w="6230"/>
      </w:tblGrid>
      <w:tr w:rsidR="00366CB9" w:rsidRPr="0079021A" w14:paraId="535ECC7F" w14:textId="77777777" w:rsidTr="00546B4F">
        <w:trPr>
          <w:trHeight w:hRule="exact" w:val="509"/>
        </w:trPr>
        <w:tc>
          <w:tcPr>
            <w:tcW w:w="2242" w:type="dxa"/>
            <w:shd w:val="clear" w:color="auto" w:fill="62A86A"/>
            <w:vAlign w:val="center"/>
          </w:tcPr>
          <w:p w14:paraId="491D490A" w14:textId="77777777" w:rsidR="00366CB9" w:rsidRPr="006E22E5" w:rsidRDefault="009D0C1D" w:rsidP="00CE4227">
            <w:pPr>
              <w:pStyle w:val="a6"/>
              <w:shd w:val="clear" w:color="auto" w:fill="auto"/>
              <w:ind w:firstLine="140"/>
              <w:rPr>
                <w:sz w:val="18"/>
                <w:szCs w:val="24"/>
              </w:rPr>
            </w:pPr>
            <w:r w:rsidRPr="006E22E5">
              <w:rPr>
                <w:color w:val="FFFFFF"/>
                <w:sz w:val="18"/>
                <w:szCs w:val="24"/>
              </w:rPr>
              <w:t>Мета класів</w:t>
            </w:r>
          </w:p>
        </w:tc>
        <w:tc>
          <w:tcPr>
            <w:tcW w:w="5602" w:type="dxa"/>
            <w:shd w:val="clear" w:color="auto" w:fill="62A86A"/>
            <w:vAlign w:val="center"/>
          </w:tcPr>
          <w:p w14:paraId="0387EF2F" w14:textId="77777777" w:rsidR="00366CB9" w:rsidRPr="006E22E5" w:rsidRDefault="009D0C1D" w:rsidP="00CE4227">
            <w:pPr>
              <w:pStyle w:val="a6"/>
              <w:shd w:val="clear" w:color="auto" w:fill="auto"/>
              <w:ind w:firstLine="180"/>
              <w:rPr>
                <w:sz w:val="18"/>
                <w:szCs w:val="24"/>
              </w:rPr>
            </w:pPr>
            <w:r w:rsidRPr="006E22E5">
              <w:rPr>
                <w:color w:val="FFFFFF"/>
                <w:sz w:val="18"/>
                <w:szCs w:val="24"/>
              </w:rPr>
              <w:t>Клас технологій</w:t>
            </w:r>
          </w:p>
        </w:tc>
        <w:tc>
          <w:tcPr>
            <w:tcW w:w="6230" w:type="dxa"/>
            <w:shd w:val="clear" w:color="auto" w:fill="62A86A"/>
            <w:vAlign w:val="center"/>
          </w:tcPr>
          <w:p w14:paraId="10EF9CCB" w14:textId="77777777" w:rsidR="00366CB9" w:rsidRPr="006E22E5" w:rsidRDefault="009D0C1D" w:rsidP="00CE4227">
            <w:pPr>
              <w:pStyle w:val="a6"/>
              <w:shd w:val="clear" w:color="auto" w:fill="auto"/>
              <w:ind w:firstLine="160"/>
              <w:rPr>
                <w:sz w:val="18"/>
                <w:szCs w:val="24"/>
              </w:rPr>
            </w:pPr>
            <w:r w:rsidRPr="006E22E5">
              <w:rPr>
                <w:color w:val="FFFFFF"/>
                <w:sz w:val="18"/>
                <w:szCs w:val="24"/>
              </w:rPr>
              <w:t>Включені продукти</w:t>
            </w:r>
            <w:r w:rsidRPr="006E22E5">
              <w:rPr>
                <w:color w:val="FFFFFF"/>
                <w:sz w:val="18"/>
                <w:szCs w:val="24"/>
                <w:vertAlign w:val="superscript"/>
              </w:rPr>
              <w:t>a</w:t>
            </w:r>
          </w:p>
        </w:tc>
      </w:tr>
      <w:tr w:rsidR="00366CB9" w14:paraId="20D03440" w14:textId="77777777" w:rsidTr="00546B4F">
        <w:trPr>
          <w:trHeight w:hRule="exact" w:val="456"/>
        </w:trPr>
        <w:tc>
          <w:tcPr>
            <w:tcW w:w="2242" w:type="dxa"/>
            <w:shd w:val="clear" w:color="auto" w:fill="FFFFFF"/>
          </w:tcPr>
          <w:p w14:paraId="76D7F92D" w14:textId="77777777" w:rsidR="00366CB9" w:rsidRPr="006E22E5" w:rsidRDefault="00366CB9" w:rsidP="00457B0A">
            <w:pPr>
              <w:rPr>
                <w:sz w:val="18"/>
              </w:rPr>
            </w:pPr>
          </w:p>
        </w:tc>
        <w:tc>
          <w:tcPr>
            <w:tcW w:w="5602" w:type="dxa"/>
            <w:vMerge w:val="restart"/>
            <w:tcBorders>
              <w:bottom w:val="single" w:sz="8" w:space="0" w:color="00B050"/>
            </w:tcBorders>
            <w:shd w:val="clear" w:color="auto" w:fill="FFFFFF"/>
          </w:tcPr>
          <w:p w14:paraId="567F39C5" w14:textId="77777777" w:rsidR="00366CB9" w:rsidRPr="006E22E5" w:rsidRDefault="009D0C1D" w:rsidP="00457B0A">
            <w:pPr>
              <w:pStyle w:val="a6"/>
              <w:shd w:val="clear" w:color="auto" w:fill="auto"/>
              <w:spacing w:before="100" w:line="271" w:lineRule="auto"/>
              <w:ind w:left="180"/>
              <w:rPr>
                <w:sz w:val="18"/>
                <w:szCs w:val="24"/>
              </w:rPr>
            </w:pPr>
            <w:r w:rsidRPr="006E22E5">
              <w:rPr>
                <w:b w:val="0"/>
                <w:color w:val="000000"/>
                <w:sz w:val="18"/>
                <w:szCs w:val="24"/>
              </w:rPr>
              <w:t>Цільове секвенування наступного покоління (СНП) для виявлення резистентності до протитуберкульозних препаратів першої та другої лінії</w:t>
            </w:r>
            <w:r w:rsidRPr="006E22E5">
              <w:rPr>
                <w:b w:val="0"/>
                <w:color w:val="000000"/>
                <w:sz w:val="18"/>
                <w:szCs w:val="24"/>
                <w:vertAlign w:val="superscript"/>
              </w:rPr>
              <w:t>b</w:t>
            </w:r>
          </w:p>
        </w:tc>
        <w:tc>
          <w:tcPr>
            <w:tcW w:w="6230" w:type="dxa"/>
            <w:tcBorders>
              <w:bottom w:val="single" w:sz="8" w:space="0" w:color="00B050"/>
            </w:tcBorders>
            <w:shd w:val="clear" w:color="auto" w:fill="FFFFFF"/>
          </w:tcPr>
          <w:p w14:paraId="69D80F4F"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Deeplex® Myc-TB (GenoScreen/Illumina)</w:t>
            </w:r>
          </w:p>
        </w:tc>
      </w:tr>
      <w:tr w:rsidR="00366CB9" w14:paraId="14E973A7" w14:textId="77777777" w:rsidTr="00546B4F">
        <w:trPr>
          <w:trHeight w:hRule="exact" w:val="477"/>
        </w:trPr>
        <w:tc>
          <w:tcPr>
            <w:tcW w:w="2242" w:type="dxa"/>
            <w:shd w:val="clear" w:color="auto" w:fill="FFFFFF"/>
          </w:tcPr>
          <w:p w14:paraId="6E7139F6" w14:textId="77777777" w:rsidR="00366CB9" w:rsidRPr="006E22E5" w:rsidRDefault="00366CB9" w:rsidP="00457B0A">
            <w:pPr>
              <w:rPr>
                <w:sz w:val="18"/>
              </w:rPr>
            </w:pPr>
          </w:p>
        </w:tc>
        <w:tc>
          <w:tcPr>
            <w:tcW w:w="5602" w:type="dxa"/>
            <w:vMerge/>
            <w:tcBorders>
              <w:bottom w:val="single" w:sz="8" w:space="0" w:color="00B050"/>
            </w:tcBorders>
            <w:shd w:val="clear" w:color="auto" w:fill="FFFFFF"/>
          </w:tcPr>
          <w:p w14:paraId="08C993D9" w14:textId="77777777" w:rsidR="00366CB9" w:rsidRPr="006E22E5" w:rsidRDefault="00366CB9" w:rsidP="00457B0A">
            <w:pPr>
              <w:rPr>
                <w:sz w:val="18"/>
              </w:rPr>
            </w:pPr>
          </w:p>
        </w:tc>
        <w:tc>
          <w:tcPr>
            <w:tcW w:w="6230" w:type="dxa"/>
            <w:tcBorders>
              <w:top w:val="single" w:sz="8" w:space="0" w:color="00B050"/>
              <w:bottom w:val="single" w:sz="8" w:space="0" w:color="00B050"/>
            </w:tcBorders>
            <w:shd w:val="clear" w:color="auto" w:fill="FFFFFF"/>
          </w:tcPr>
          <w:p w14:paraId="38399A83" w14:textId="77777777" w:rsidR="00366CB9" w:rsidRPr="006E22E5" w:rsidRDefault="009D0C1D" w:rsidP="00457B0A">
            <w:pPr>
              <w:pStyle w:val="a6"/>
              <w:shd w:val="clear" w:color="auto" w:fill="auto"/>
              <w:spacing w:line="271" w:lineRule="auto"/>
              <w:ind w:left="160"/>
              <w:rPr>
                <w:sz w:val="18"/>
                <w:szCs w:val="24"/>
              </w:rPr>
            </w:pPr>
            <w:r w:rsidRPr="006E22E5">
              <w:rPr>
                <w:color w:val="000000"/>
                <w:sz w:val="18"/>
                <w:szCs w:val="24"/>
              </w:rPr>
              <w:t>**ОНОВЛЕНО</w:t>
            </w:r>
            <w:r w:rsidRPr="006E22E5">
              <w:rPr>
                <w:b w:val="0"/>
                <w:color w:val="000000"/>
                <w:sz w:val="18"/>
                <w:szCs w:val="24"/>
              </w:rPr>
              <w:t xml:space="preserve"> AmPORE-TB® (Oxford Nanopore Technologies)</w:t>
            </w:r>
          </w:p>
        </w:tc>
      </w:tr>
      <w:tr w:rsidR="00366CB9" w14:paraId="78D3BB20" w14:textId="77777777" w:rsidTr="00546B4F">
        <w:trPr>
          <w:trHeight w:hRule="exact" w:val="451"/>
        </w:trPr>
        <w:tc>
          <w:tcPr>
            <w:tcW w:w="2242" w:type="dxa"/>
            <w:tcBorders>
              <w:bottom w:val="single" w:sz="8" w:space="0" w:color="00B050"/>
            </w:tcBorders>
            <w:shd w:val="clear" w:color="auto" w:fill="FFFFFF"/>
          </w:tcPr>
          <w:p w14:paraId="5B067BE6" w14:textId="77777777" w:rsidR="00366CB9" w:rsidRPr="006E22E5" w:rsidRDefault="00366CB9" w:rsidP="00457B0A">
            <w:pPr>
              <w:rPr>
                <w:sz w:val="18"/>
              </w:rPr>
            </w:pPr>
          </w:p>
        </w:tc>
        <w:tc>
          <w:tcPr>
            <w:tcW w:w="5602" w:type="dxa"/>
            <w:vMerge/>
            <w:tcBorders>
              <w:bottom w:val="single" w:sz="8" w:space="0" w:color="00B050"/>
            </w:tcBorders>
            <w:shd w:val="clear" w:color="auto" w:fill="FFFFFF"/>
          </w:tcPr>
          <w:p w14:paraId="22CC032B" w14:textId="77777777" w:rsidR="00366CB9" w:rsidRPr="006E22E5" w:rsidRDefault="00366CB9" w:rsidP="00457B0A">
            <w:pPr>
              <w:rPr>
                <w:sz w:val="18"/>
              </w:rPr>
            </w:pPr>
          </w:p>
        </w:tc>
        <w:tc>
          <w:tcPr>
            <w:tcW w:w="6230" w:type="dxa"/>
            <w:tcBorders>
              <w:top w:val="single" w:sz="8" w:space="0" w:color="00B050"/>
              <w:bottom w:val="single" w:sz="8" w:space="0" w:color="00B050"/>
            </w:tcBorders>
            <w:shd w:val="clear" w:color="auto" w:fill="FFFFFF"/>
          </w:tcPr>
          <w:p w14:paraId="07A24F95"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TBseq® (Shengting Medical Technology Co)</w:t>
            </w:r>
          </w:p>
        </w:tc>
      </w:tr>
      <w:tr w:rsidR="00366CB9" w14:paraId="3AD33196" w14:textId="77777777" w:rsidTr="00546B4F">
        <w:trPr>
          <w:trHeight w:hRule="exact" w:val="446"/>
        </w:trPr>
        <w:tc>
          <w:tcPr>
            <w:tcW w:w="2242" w:type="dxa"/>
            <w:vMerge w:val="restart"/>
            <w:tcBorders>
              <w:top w:val="single" w:sz="8" w:space="0" w:color="00B050"/>
              <w:bottom w:val="single" w:sz="8" w:space="0" w:color="00B050"/>
            </w:tcBorders>
            <w:shd w:val="clear" w:color="auto" w:fill="FFFFFF"/>
          </w:tcPr>
          <w:p w14:paraId="6DBEBD13" w14:textId="77777777" w:rsidR="00366CB9" w:rsidRPr="006E22E5" w:rsidRDefault="009D0C1D" w:rsidP="00457B0A">
            <w:pPr>
              <w:pStyle w:val="a6"/>
              <w:shd w:val="clear" w:color="auto" w:fill="auto"/>
              <w:spacing w:before="100" w:line="271" w:lineRule="auto"/>
              <w:ind w:left="140"/>
              <w:rPr>
                <w:sz w:val="18"/>
                <w:szCs w:val="24"/>
              </w:rPr>
            </w:pPr>
            <w:r w:rsidRPr="006E22E5">
              <w:rPr>
                <w:b w:val="0"/>
                <w:color w:val="000000"/>
                <w:sz w:val="18"/>
                <w:szCs w:val="24"/>
              </w:rPr>
              <w:t>Тести на виявлення туберкульозної інфекції</w:t>
            </w:r>
          </w:p>
        </w:tc>
        <w:tc>
          <w:tcPr>
            <w:tcW w:w="5602" w:type="dxa"/>
            <w:vMerge w:val="restart"/>
            <w:tcBorders>
              <w:top w:val="single" w:sz="8" w:space="0" w:color="00B050"/>
              <w:bottom w:val="single" w:sz="8" w:space="0" w:color="00B050"/>
            </w:tcBorders>
            <w:shd w:val="clear" w:color="auto" w:fill="FFFFFF"/>
          </w:tcPr>
          <w:p w14:paraId="496864E2" w14:textId="77777777" w:rsidR="00366CB9" w:rsidRPr="006E22E5" w:rsidRDefault="009D0C1D" w:rsidP="00457B0A">
            <w:pPr>
              <w:pStyle w:val="a6"/>
              <w:shd w:val="clear" w:color="auto" w:fill="auto"/>
              <w:spacing w:before="100" w:line="271" w:lineRule="auto"/>
              <w:ind w:left="180"/>
              <w:rPr>
                <w:sz w:val="18"/>
                <w:szCs w:val="24"/>
              </w:rPr>
            </w:pPr>
            <w:r w:rsidRPr="006E22E5">
              <w:rPr>
                <w:b w:val="0"/>
                <w:color w:val="000000"/>
                <w:sz w:val="18"/>
                <w:szCs w:val="24"/>
              </w:rPr>
              <w:t xml:space="preserve">Шкірні тести на антигени </w:t>
            </w:r>
            <w:r w:rsidRPr="006E22E5">
              <w:rPr>
                <w:b w:val="0"/>
                <w:i/>
                <w:color w:val="000000"/>
                <w:sz w:val="18"/>
                <w:szCs w:val="24"/>
              </w:rPr>
              <w:t>Mycobacterium tuberculosis</w:t>
            </w:r>
            <w:r w:rsidRPr="006E22E5">
              <w:rPr>
                <w:b w:val="0"/>
                <w:color w:val="000000"/>
                <w:sz w:val="18"/>
                <w:szCs w:val="24"/>
              </w:rPr>
              <w:t xml:space="preserve"> (</w:t>
            </w:r>
            <w:r w:rsidRPr="006E22E5">
              <w:rPr>
                <w:b w:val="0"/>
                <w:i/>
                <w:color w:val="000000"/>
                <w:sz w:val="18"/>
                <w:szCs w:val="24"/>
              </w:rPr>
              <w:t>Mtb</w:t>
            </w:r>
            <w:r w:rsidRPr="006E22E5">
              <w:rPr>
                <w:b w:val="0"/>
                <w:color w:val="000000"/>
                <w:sz w:val="18"/>
                <w:szCs w:val="24"/>
              </w:rPr>
              <w:t>) (TBST)</w:t>
            </w:r>
          </w:p>
        </w:tc>
        <w:tc>
          <w:tcPr>
            <w:tcW w:w="6230" w:type="dxa"/>
            <w:tcBorders>
              <w:top w:val="single" w:sz="8" w:space="0" w:color="00B050"/>
              <w:bottom w:val="single" w:sz="8" w:space="0" w:color="00B050"/>
            </w:tcBorders>
            <w:shd w:val="clear" w:color="auto" w:fill="FFFFFF"/>
          </w:tcPr>
          <w:p w14:paraId="44F309FE"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Diaskintest® (Generium)</w:t>
            </w:r>
          </w:p>
        </w:tc>
      </w:tr>
      <w:tr w:rsidR="00366CB9" w14:paraId="238E338D" w14:textId="77777777" w:rsidTr="00546B4F">
        <w:trPr>
          <w:trHeight w:hRule="exact" w:val="446"/>
        </w:trPr>
        <w:tc>
          <w:tcPr>
            <w:tcW w:w="2242" w:type="dxa"/>
            <w:vMerge/>
            <w:tcBorders>
              <w:bottom w:val="single" w:sz="8" w:space="0" w:color="00B050"/>
            </w:tcBorders>
            <w:shd w:val="clear" w:color="auto" w:fill="FFFFFF"/>
          </w:tcPr>
          <w:p w14:paraId="532218F0" w14:textId="77777777" w:rsidR="00366CB9" w:rsidRPr="006E22E5" w:rsidRDefault="00366CB9" w:rsidP="00457B0A">
            <w:pPr>
              <w:rPr>
                <w:sz w:val="18"/>
              </w:rPr>
            </w:pPr>
          </w:p>
        </w:tc>
        <w:tc>
          <w:tcPr>
            <w:tcW w:w="5602" w:type="dxa"/>
            <w:vMerge/>
            <w:tcBorders>
              <w:bottom w:val="single" w:sz="8" w:space="0" w:color="00B050"/>
            </w:tcBorders>
            <w:shd w:val="clear" w:color="auto" w:fill="FFFFFF"/>
          </w:tcPr>
          <w:p w14:paraId="5E239A09" w14:textId="77777777" w:rsidR="00366CB9" w:rsidRPr="006E22E5" w:rsidRDefault="00366CB9" w:rsidP="00457B0A">
            <w:pPr>
              <w:rPr>
                <w:sz w:val="18"/>
              </w:rPr>
            </w:pPr>
          </w:p>
        </w:tc>
        <w:tc>
          <w:tcPr>
            <w:tcW w:w="6230" w:type="dxa"/>
            <w:tcBorders>
              <w:top w:val="single" w:sz="8" w:space="0" w:color="00B050"/>
              <w:bottom w:val="single" w:sz="8" w:space="0" w:color="00B050"/>
            </w:tcBorders>
            <w:shd w:val="clear" w:color="auto" w:fill="FFFFFF"/>
          </w:tcPr>
          <w:p w14:paraId="16D925DC"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SIILTIBCY® (Інститут сироватки крові Індії)</w:t>
            </w:r>
          </w:p>
        </w:tc>
      </w:tr>
      <w:tr w:rsidR="00366CB9" w14:paraId="24AA7D11" w14:textId="77777777" w:rsidTr="00546B4F">
        <w:trPr>
          <w:trHeight w:hRule="exact" w:val="451"/>
        </w:trPr>
        <w:tc>
          <w:tcPr>
            <w:tcW w:w="2242" w:type="dxa"/>
            <w:vMerge/>
            <w:tcBorders>
              <w:bottom w:val="single" w:sz="8" w:space="0" w:color="00B050"/>
            </w:tcBorders>
            <w:shd w:val="clear" w:color="auto" w:fill="FFFFFF"/>
          </w:tcPr>
          <w:p w14:paraId="215C7EC4" w14:textId="77777777" w:rsidR="00366CB9" w:rsidRPr="006E22E5" w:rsidRDefault="00366CB9" w:rsidP="00457B0A">
            <w:pPr>
              <w:rPr>
                <w:sz w:val="18"/>
              </w:rPr>
            </w:pPr>
          </w:p>
        </w:tc>
        <w:tc>
          <w:tcPr>
            <w:tcW w:w="5602" w:type="dxa"/>
            <w:vMerge/>
            <w:tcBorders>
              <w:bottom w:val="single" w:sz="8" w:space="0" w:color="00B050"/>
            </w:tcBorders>
            <w:shd w:val="clear" w:color="auto" w:fill="FFFFFF"/>
          </w:tcPr>
          <w:p w14:paraId="7477F72C" w14:textId="77777777" w:rsidR="00366CB9" w:rsidRPr="006E22E5" w:rsidRDefault="00366CB9" w:rsidP="00457B0A">
            <w:pPr>
              <w:rPr>
                <w:sz w:val="18"/>
              </w:rPr>
            </w:pPr>
          </w:p>
        </w:tc>
        <w:tc>
          <w:tcPr>
            <w:tcW w:w="6230" w:type="dxa"/>
            <w:tcBorders>
              <w:top w:val="single" w:sz="8" w:space="0" w:color="00B050"/>
              <w:bottom w:val="single" w:sz="8" w:space="0" w:color="00B050"/>
            </w:tcBorders>
            <w:shd w:val="clear" w:color="auto" w:fill="FFFFFF"/>
          </w:tcPr>
          <w:p w14:paraId="3952483F"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C-TST (Anhui Zhifei Longcom)</w:t>
            </w:r>
          </w:p>
        </w:tc>
      </w:tr>
      <w:tr w:rsidR="00366CB9" w:rsidRPr="00450CEF" w14:paraId="5A98E778" w14:textId="77777777" w:rsidTr="00546B4F">
        <w:trPr>
          <w:trHeight w:hRule="exact" w:val="446"/>
        </w:trPr>
        <w:tc>
          <w:tcPr>
            <w:tcW w:w="2242" w:type="dxa"/>
            <w:vMerge/>
            <w:tcBorders>
              <w:bottom w:val="single" w:sz="8" w:space="0" w:color="00B050"/>
            </w:tcBorders>
            <w:shd w:val="clear" w:color="auto" w:fill="FFFFFF"/>
          </w:tcPr>
          <w:p w14:paraId="3B8CC965" w14:textId="77777777" w:rsidR="00366CB9" w:rsidRPr="006E22E5" w:rsidRDefault="00366CB9" w:rsidP="00457B0A">
            <w:pPr>
              <w:rPr>
                <w:sz w:val="18"/>
              </w:rPr>
            </w:pPr>
          </w:p>
        </w:tc>
        <w:tc>
          <w:tcPr>
            <w:tcW w:w="5602" w:type="dxa"/>
            <w:vMerge w:val="restart"/>
            <w:tcBorders>
              <w:top w:val="single" w:sz="8" w:space="0" w:color="00B050"/>
              <w:bottom w:val="single" w:sz="8" w:space="0" w:color="00B050"/>
            </w:tcBorders>
            <w:shd w:val="clear" w:color="auto" w:fill="FFFFFF"/>
          </w:tcPr>
          <w:p w14:paraId="231707D4" w14:textId="77777777" w:rsidR="00366CB9" w:rsidRPr="006E22E5" w:rsidRDefault="009D0C1D" w:rsidP="00457B0A">
            <w:pPr>
              <w:pStyle w:val="a6"/>
              <w:shd w:val="clear" w:color="auto" w:fill="auto"/>
              <w:spacing w:before="100"/>
              <w:ind w:left="180"/>
              <w:rPr>
                <w:sz w:val="18"/>
                <w:szCs w:val="24"/>
              </w:rPr>
            </w:pPr>
            <w:r w:rsidRPr="006E22E5">
              <w:rPr>
                <w:b w:val="0"/>
                <w:color w:val="000000"/>
                <w:sz w:val="18"/>
                <w:szCs w:val="24"/>
              </w:rPr>
              <w:t>Аналізи на вивільнення гамма-інтерферону (IGRA)</w:t>
            </w:r>
          </w:p>
        </w:tc>
        <w:tc>
          <w:tcPr>
            <w:tcW w:w="6230" w:type="dxa"/>
            <w:tcBorders>
              <w:top w:val="single" w:sz="8" w:space="0" w:color="00B050"/>
              <w:bottom w:val="single" w:sz="8" w:space="0" w:color="00B050"/>
            </w:tcBorders>
            <w:shd w:val="clear" w:color="auto" w:fill="FFFFFF"/>
          </w:tcPr>
          <w:p w14:paraId="45940537"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QuantiFERON-TB® Gold Plus (QFT-Plus) (QIAGEN)</w:t>
            </w:r>
          </w:p>
        </w:tc>
      </w:tr>
      <w:tr w:rsidR="00366CB9" w14:paraId="58C7BB80" w14:textId="77777777" w:rsidTr="00546B4F">
        <w:trPr>
          <w:trHeight w:hRule="exact" w:val="451"/>
        </w:trPr>
        <w:tc>
          <w:tcPr>
            <w:tcW w:w="2242" w:type="dxa"/>
            <w:vMerge/>
            <w:tcBorders>
              <w:bottom w:val="single" w:sz="8" w:space="0" w:color="00B050"/>
            </w:tcBorders>
            <w:shd w:val="clear" w:color="auto" w:fill="FFFFFF"/>
          </w:tcPr>
          <w:p w14:paraId="36F4D44A" w14:textId="77777777" w:rsidR="00366CB9" w:rsidRPr="006E22E5" w:rsidRDefault="00366CB9" w:rsidP="00457B0A">
            <w:pPr>
              <w:rPr>
                <w:sz w:val="18"/>
                <w:lang w:val="fr-FR"/>
              </w:rPr>
            </w:pPr>
          </w:p>
        </w:tc>
        <w:tc>
          <w:tcPr>
            <w:tcW w:w="5602" w:type="dxa"/>
            <w:vMerge/>
            <w:tcBorders>
              <w:bottom w:val="single" w:sz="8" w:space="0" w:color="00B050"/>
            </w:tcBorders>
            <w:shd w:val="clear" w:color="auto" w:fill="FFFFFF"/>
          </w:tcPr>
          <w:p w14:paraId="6980F1B9" w14:textId="77777777" w:rsidR="00366CB9" w:rsidRPr="006E22E5" w:rsidRDefault="00366CB9" w:rsidP="00457B0A">
            <w:pPr>
              <w:rPr>
                <w:sz w:val="18"/>
                <w:lang w:val="fr-FR"/>
              </w:rPr>
            </w:pPr>
          </w:p>
        </w:tc>
        <w:tc>
          <w:tcPr>
            <w:tcW w:w="6230" w:type="dxa"/>
            <w:tcBorders>
              <w:top w:val="single" w:sz="8" w:space="0" w:color="00B050"/>
              <w:bottom w:val="single" w:sz="8" w:space="0" w:color="00B050"/>
            </w:tcBorders>
            <w:shd w:val="clear" w:color="auto" w:fill="FFFFFF"/>
          </w:tcPr>
          <w:p w14:paraId="12C6340E"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T-SPOT®.TB (T-Spot) (Oxford Immunotec Revvity)</w:t>
            </w:r>
          </w:p>
        </w:tc>
      </w:tr>
      <w:tr w:rsidR="00366CB9" w14:paraId="1520439A" w14:textId="77777777" w:rsidTr="00546B4F">
        <w:trPr>
          <w:trHeight w:hRule="exact" w:val="446"/>
        </w:trPr>
        <w:tc>
          <w:tcPr>
            <w:tcW w:w="2242" w:type="dxa"/>
            <w:vMerge/>
            <w:tcBorders>
              <w:bottom w:val="single" w:sz="8" w:space="0" w:color="00B050"/>
            </w:tcBorders>
            <w:shd w:val="clear" w:color="auto" w:fill="FFFFFF"/>
          </w:tcPr>
          <w:p w14:paraId="0171031B" w14:textId="77777777" w:rsidR="00366CB9" w:rsidRPr="006E22E5" w:rsidRDefault="00366CB9" w:rsidP="00457B0A">
            <w:pPr>
              <w:rPr>
                <w:sz w:val="18"/>
              </w:rPr>
            </w:pPr>
          </w:p>
        </w:tc>
        <w:tc>
          <w:tcPr>
            <w:tcW w:w="5602" w:type="dxa"/>
            <w:vMerge/>
            <w:tcBorders>
              <w:bottom w:val="single" w:sz="8" w:space="0" w:color="00B050"/>
            </w:tcBorders>
            <w:shd w:val="clear" w:color="auto" w:fill="FFFFFF"/>
          </w:tcPr>
          <w:p w14:paraId="6790E1F9" w14:textId="77777777" w:rsidR="00366CB9" w:rsidRPr="006E22E5" w:rsidRDefault="00366CB9" w:rsidP="00457B0A">
            <w:pPr>
              <w:rPr>
                <w:sz w:val="18"/>
              </w:rPr>
            </w:pPr>
          </w:p>
        </w:tc>
        <w:tc>
          <w:tcPr>
            <w:tcW w:w="6230" w:type="dxa"/>
            <w:tcBorders>
              <w:top w:val="single" w:sz="8" w:space="0" w:color="00B050"/>
              <w:bottom w:val="single" w:sz="8" w:space="0" w:color="00B050"/>
            </w:tcBorders>
            <w:shd w:val="clear" w:color="auto" w:fill="FFFFFF"/>
          </w:tcPr>
          <w:p w14:paraId="3C39EC05"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TB-IGRA (Wantai BioPharm)</w:t>
            </w:r>
          </w:p>
        </w:tc>
      </w:tr>
      <w:tr w:rsidR="00366CB9" w:rsidRPr="00450CEF" w14:paraId="6DC614EC" w14:textId="77777777" w:rsidTr="00546B4F">
        <w:trPr>
          <w:trHeight w:hRule="exact" w:val="446"/>
        </w:trPr>
        <w:tc>
          <w:tcPr>
            <w:tcW w:w="2242" w:type="dxa"/>
            <w:vMerge/>
            <w:tcBorders>
              <w:bottom w:val="single" w:sz="8" w:space="0" w:color="00B050"/>
            </w:tcBorders>
            <w:shd w:val="clear" w:color="auto" w:fill="FFFFFF"/>
          </w:tcPr>
          <w:p w14:paraId="11CE1EE0" w14:textId="77777777" w:rsidR="00366CB9" w:rsidRPr="006E22E5" w:rsidRDefault="00366CB9" w:rsidP="00457B0A">
            <w:pPr>
              <w:rPr>
                <w:sz w:val="18"/>
              </w:rPr>
            </w:pPr>
          </w:p>
        </w:tc>
        <w:tc>
          <w:tcPr>
            <w:tcW w:w="5602" w:type="dxa"/>
            <w:vMerge/>
            <w:tcBorders>
              <w:bottom w:val="single" w:sz="8" w:space="0" w:color="00B050"/>
            </w:tcBorders>
            <w:shd w:val="clear" w:color="auto" w:fill="FFFFFF"/>
          </w:tcPr>
          <w:p w14:paraId="2B832622" w14:textId="77777777" w:rsidR="00366CB9" w:rsidRPr="006E22E5" w:rsidRDefault="00366CB9" w:rsidP="00457B0A">
            <w:pPr>
              <w:rPr>
                <w:sz w:val="18"/>
              </w:rPr>
            </w:pPr>
          </w:p>
        </w:tc>
        <w:tc>
          <w:tcPr>
            <w:tcW w:w="6230" w:type="dxa"/>
            <w:tcBorders>
              <w:top w:val="single" w:sz="8" w:space="0" w:color="00B050"/>
              <w:bottom w:val="single" w:sz="8" w:space="0" w:color="00B050"/>
            </w:tcBorders>
            <w:shd w:val="clear" w:color="auto" w:fill="FFFFFF"/>
          </w:tcPr>
          <w:p w14:paraId="615AA703" w14:textId="77777777" w:rsidR="00366CB9" w:rsidRPr="006E22E5" w:rsidRDefault="009D0C1D" w:rsidP="00457B0A">
            <w:pPr>
              <w:pStyle w:val="a6"/>
              <w:shd w:val="clear" w:color="auto" w:fill="auto"/>
              <w:ind w:firstLine="160"/>
              <w:rPr>
                <w:sz w:val="18"/>
                <w:szCs w:val="24"/>
              </w:rPr>
            </w:pPr>
            <w:r w:rsidRPr="006E22E5">
              <w:rPr>
                <w:color w:val="000000"/>
                <w:sz w:val="18"/>
                <w:szCs w:val="24"/>
              </w:rPr>
              <w:t>**НОВЕ</w:t>
            </w:r>
            <w:r w:rsidRPr="006E22E5">
              <w:rPr>
                <w:b w:val="0"/>
                <w:color w:val="000000"/>
                <w:sz w:val="18"/>
                <w:szCs w:val="24"/>
              </w:rPr>
              <w:t xml:space="preserve"> STANDARD E TB-Feron (ELISA) (SD Biosensor)</w:t>
            </w:r>
          </w:p>
        </w:tc>
      </w:tr>
      <w:tr w:rsidR="00366CB9" w:rsidRPr="00450CEF" w14:paraId="1DE077B3" w14:textId="77777777" w:rsidTr="00546B4F">
        <w:trPr>
          <w:trHeight w:hRule="exact" w:val="451"/>
        </w:trPr>
        <w:tc>
          <w:tcPr>
            <w:tcW w:w="2242" w:type="dxa"/>
            <w:vMerge/>
            <w:tcBorders>
              <w:bottom w:val="single" w:sz="8" w:space="0" w:color="00B050"/>
            </w:tcBorders>
            <w:shd w:val="clear" w:color="auto" w:fill="FFFFFF"/>
          </w:tcPr>
          <w:p w14:paraId="631DA515" w14:textId="77777777" w:rsidR="00366CB9" w:rsidRPr="006E22E5" w:rsidRDefault="00366CB9" w:rsidP="00457B0A">
            <w:pPr>
              <w:rPr>
                <w:sz w:val="18"/>
                <w:lang w:val="de-DE"/>
              </w:rPr>
            </w:pPr>
          </w:p>
        </w:tc>
        <w:tc>
          <w:tcPr>
            <w:tcW w:w="5602" w:type="dxa"/>
            <w:vMerge/>
            <w:tcBorders>
              <w:bottom w:val="single" w:sz="8" w:space="0" w:color="00B050"/>
            </w:tcBorders>
            <w:shd w:val="clear" w:color="auto" w:fill="FFFFFF"/>
          </w:tcPr>
          <w:p w14:paraId="03530082" w14:textId="77777777" w:rsidR="00366CB9" w:rsidRPr="006E22E5" w:rsidRDefault="00366CB9" w:rsidP="00457B0A">
            <w:pPr>
              <w:rPr>
                <w:sz w:val="18"/>
                <w:lang w:val="de-DE"/>
              </w:rPr>
            </w:pPr>
          </w:p>
        </w:tc>
        <w:tc>
          <w:tcPr>
            <w:tcW w:w="6230" w:type="dxa"/>
            <w:tcBorders>
              <w:top w:val="single" w:sz="8" w:space="0" w:color="00B050"/>
              <w:bottom w:val="single" w:sz="8" w:space="0" w:color="00B050"/>
            </w:tcBorders>
            <w:shd w:val="clear" w:color="auto" w:fill="FFFFFF"/>
          </w:tcPr>
          <w:p w14:paraId="22472198" w14:textId="77777777" w:rsidR="00366CB9" w:rsidRPr="006E22E5" w:rsidRDefault="009D0C1D" w:rsidP="00457B0A">
            <w:pPr>
              <w:pStyle w:val="a6"/>
              <w:shd w:val="clear" w:color="auto" w:fill="auto"/>
              <w:ind w:firstLine="160"/>
              <w:rPr>
                <w:sz w:val="18"/>
                <w:szCs w:val="24"/>
              </w:rPr>
            </w:pPr>
            <w:r w:rsidRPr="006E22E5">
              <w:rPr>
                <w:color w:val="000000"/>
                <w:sz w:val="18"/>
                <w:szCs w:val="24"/>
              </w:rPr>
              <w:t>**НОВЕ</w:t>
            </w:r>
            <w:r w:rsidRPr="006E22E5">
              <w:rPr>
                <w:b w:val="0"/>
                <w:color w:val="000000"/>
                <w:sz w:val="18"/>
                <w:szCs w:val="24"/>
              </w:rPr>
              <w:t xml:space="preserve"> LIAISON® QFT-PLUS (CLIA) (QIAGEN/ Diasorin)</w:t>
            </w:r>
          </w:p>
        </w:tc>
      </w:tr>
      <w:tr w:rsidR="00366CB9" w14:paraId="4882D344" w14:textId="77777777" w:rsidTr="00546B4F">
        <w:trPr>
          <w:trHeight w:hRule="exact" w:val="446"/>
        </w:trPr>
        <w:tc>
          <w:tcPr>
            <w:tcW w:w="2242" w:type="dxa"/>
            <w:vMerge/>
            <w:tcBorders>
              <w:bottom w:val="single" w:sz="8" w:space="0" w:color="00B050"/>
            </w:tcBorders>
            <w:shd w:val="clear" w:color="auto" w:fill="FFFFFF"/>
          </w:tcPr>
          <w:p w14:paraId="475CD057" w14:textId="77777777" w:rsidR="00366CB9" w:rsidRPr="006E22E5" w:rsidRDefault="00366CB9" w:rsidP="00457B0A">
            <w:pPr>
              <w:rPr>
                <w:sz w:val="18"/>
                <w:lang w:val="fr-FR"/>
              </w:rPr>
            </w:pPr>
          </w:p>
        </w:tc>
        <w:tc>
          <w:tcPr>
            <w:tcW w:w="5602" w:type="dxa"/>
            <w:tcBorders>
              <w:top w:val="single" w:sz="8" w:space="0" w:color="00B050"/>
              <w:bottom w:val="single" w:sz="8" w:space="0" w:color="00B050"/>
            </w:tcBorders>
            <w:shd w:val="clear" w:color="auto" w:fill="FFFFFF"/>
          </w:tcPr>
          <w:p w14:paraId="4EB169EE" w14:textId="77777777" w:rsidR="00366CB9" w:rsidRPr="006E22E5" w:rsidRDefault="009D0C1D" w:rsidP="00457B0A">
            <w:pPr>
              <w:pStyle w:val="a6"/>
              <w:shd w:val="clear" w:color="auto" w:fill="auto"/>
              <w:ind w:firstLine="180"/>
              <w:rPr>
                <w:sz w:val="18"/>
                <w:szCs w:val="24"/>
              </w:rPr>
            </w:pPr>
            <w:r w:rsidRPr="006E22E5">
              <w:rPr>
                <w:b w:val="0"/>
                <w:color w:val="000000"/>
                <w:sz w:val="18"/>
                <w:szCs w:val="24"/>
              </w:rPr>
              <w:t>Туберкулінові шкірні тести</w:t>
            </w:r>
          </w:p>
        </w:tc>
        <w:tc>
          <w:tcPr>
            <w:tcW w:w="6230" w:type="dxa"/>
            <w:tcBorders>
              <w:top w:val="single" w:sz="8" w:space="0" w:color="00B050"/>
              <w:bottom w:val="single" w:sz="8" w:space="0" w:color="00B050"/>
            </w:tcBorders>
            <w:shd w:val="clear" w:color="auto" w:fill="FFFFFF"/>
          </w:tcPr>
          <w:p w14:paraId="07399E84" w14:textId="77777777" w:rsidR="00366CB9" w:rsidRPr="006E22E5" w:rsidRDefault="009D0C1D" w:rsidP="00457B0A">
            <w:pPr>
              <w:pStyle w:val="a6"/>
              <w:shd w:val="clear" w:color="auto" w:fill="auto"/>
              <w:ind w:firstLine="160"/>
              <w:rPr>
                <w:sz w:val="18"/>
                <w:szCs w:val="24"/>
              </w:rPr>
            </w:pPr>
            <w:r w:rsidRPr="006E22E5">
              <w:rPr>
                <w:b w:val="0"/>
                <w:color w:val="000000"/>
                <w:sz w:val="18"/>
                <w:szCs w:val="24"/>
              </w:rPr>
              <w:t>Очищені білкові продукти (ОБП) туберкуліну</w:t>
            </w:r>
          </w:p>
        </w:tc>
      </w:tr>
      <w:tr w:rsidR="00366CB9" w14:paraId="4F580A86" w14:textId="77777777">
        <w:trPr>
          <w:trHeight w:hRule="exact" w:val="1378"/>
        </w:trPr>
        <w:tc>
          <w:tcPr>
            <w:tcW w:w="14074" w:type="dxa"/>
            <w:gridSpan w:val="3"/>
            <w:tcBorders>
              <w:top w:val="single" w:sz="4" w:space="0" w:color="auto"/>
            </w:tcBorders>
            <w:shd w:val="clear" w:color="auto" w:fill="FFFFFF"/>
            <w:vAlign w:val="bottom"/>
          </w:tcPr>
          <w:p w14:paraId="5DEFC313" w14:textId="77777777" w:rsidR="00366CB9" w:rsidRDefault="009D0C1D" w:rsidP="00457B0A">
            <w:pPr>
              <w:pStyle w:val="a6"/>
              <w:shd w:val="clear" w:color="auto" w:fill="auto"/>
              <w:spacing w:after="40" w:line="266" w:lineRule="auto"/>
              <w:rPr>
                <w:sz w:val="17"/>
                <w:szCs w:val="17"/>
              </w:rPr>
            </w:pPr>
            <w:r>
              <w:rPr>
                <w:b w:val="0"/>
                <w:color w:val="000000"/>
                <w:sz w:val="17"/>
              </w:rPr>
              <w:t>NAAT: аналіз ампліфікації нуклеїнових кислот; СНП: секвенування наступного покоління; ТБ: туберкульоз.</w:t>
            </w:r>
          </w:p>
          <w:p w14:paraId="521B94E8" w14:textId="77777777" w:rsidR="00366CB9" w:rsidRDefault="009D0C1D" w:rsidP="00457B0A">
            <w:pPr>
              <w:pStyle w:val="a6"/>
              <w:shd w:val="clear" w:color="auto" w:fill="auto"/>
              <w:spacing w:after="40" w:line="266" w:lineRule="auto"/>
              <w:rPr>
                <w:sz w:val="17"/>
                <w:szCs w:val="17"/>
              </w:rPr>
            </w:pPr>
            <w:r>
              <w:rPr>
                <w:b w:val="0"/>
                <w:color w:val="000000"/>
                <w:sz w:val="17"/>
              </w:rPr>
              <w:t>Лікарські засоби: INH: ізоніазид; RIF: рифампіцин.</w:t>
            </w:r>
          </w:p>
          <w:p w14:paraId="072C5C6E" w14:textId="77777777" w:rsidR="00366CB9" w:rsidRDefault="009D0C1D" w:rsidP="00457B0A">
            <w:pPr>
              <w:pStyle w:val="a6"/>
              <w:shd w:val="clear" w:color="auto" w:fill="auto"/>
              <w:spacing w:after="40" w:line="266" w:lineRule="auto"/>
              <w:rPr>
                <w:sz w:val="17"/>
                <w:szCs w:val="17"/>
              </w:rPr>
            </w:pPr>
            <w:r>
              <w:rPr>
                <w:b w:val="0"/>
                <w:color w:val="000000"/>
                <w:sz w:val="17"/>
                <w:vertAlign w:val="superscript"/>
              </w:rPr>
              <w:t>a</w:t>
            </w:r>
            <w:r>
              <w:rPr>
                <w:b w:val="0"/>
                <w:color w:val="000000"/>
                <w:sz w:val="17"/>
              </w:rPr>
              <w:t>Продукти, рекомендовані ВООЗ/GTB, також пройдуть ПК ВООЗ.</w:t>
            </w:r>
          </w:p>
          <w:p w14:paraId="4BE29AC3" w14:textId="77777777" w:rsidR="00366CB9" w:rsidRDefault="009D0C1D" w:rsidP="00457B0A">
            <w:pPr>
              <w:pStyle w:val="a6"/>
              <w:shd w:val="clear" w:color="auto" w:fill="auto"/>
              <w:spacing w:after="40" w:line="257" w:lineRule="auto"/>
              <w:rPr>
                <w:sz w:val="17"/>
                <w:szCs w:val="17"/>
              </w:rPr>
            </w:pPr>
            <w:r>
              <w:rPr>
                <w:b w:val="0"/>
                <w:color w:val="000000"/>
                <w:sz w:val="17"/>
                <w:vertAlign w:val="superscript"/>
              </w:rPr>
              <w:t>b</w:t>
            </w:r>
            <w:r>
              <w:rPr>
                <w:b w:val="0"/>
                <w:color w:val="000000"/>
                <w:sz w:val="17"/>
              </w:rPr>
              <w:t xml:space="preserve">Кожне рішення в рамках цільового СНП рекомендується для виявлення резистентності до певних протитуберкульозних препаратів; переліки представлені у розділі «Цільове СНП» нижче та у </w:t>
            </w:r>
            <w:hyperlink w:anchor="bookmark51" w:tooltip="Поточний документ">
              <w:r w:rsidR="00366CB9">
                <w:rPr>
                  <w:color w:val="000000"/>
                  <w:sz w:val="18"/>
                </w:rPr>
                <w:t>Таблиці 2.8</w:t>
              </w:r>
            </w:hyperlink>
            <w:r>
              <w:rPr>
                <w:b w:val="0"/>
                <w:color w:val="000000"/>
                <w:sz w:val="17"/>
              </w:rPr>
              <w:t>.</w:t>
            </w:r>
          </w:p>
        </w:tc>
      </w:tr>
    </w:tbl>
    <w:tbl>
      <w:tblPr>
        <w:tblOverlap w:val="never"/>
        <w:tblW w:w="0" w:type="auto"/>
        <w:tblLayout w:type="fixed"/>
        <w:tblCellMar>
          <w:left w:w="10" w:type="dxa"/>
          <w:right w:w="10" w:type="dxa"/>
        </w:tblCellMar>
        <w:tblLook w:val="0000" w:firstRow="0" w:lastRow="0" w:firstColumn="0" w:lastColumn="0" w:noHBand="0" w:noVBand="0"/>
      </w:tblPr>
      <w:tblGrid>
        <w:gridCol w:w="192"/>
      </w:tblGrid>
      <w:tr w:rsidR="00366CB9" w14:paraId="1AAAF2F7" w14:textId="77777777">
        <w:trPr>
          <w:trHeight w:hRule="exact" w:val="2914"/>
        </w:trPr>
        <w:tc>
          <w:tcPr>
            <w:tcW w:w="192" w:type="dxa"/>
            <w:shd w:val="clear" w:color="auto" w:fill="FFFFFF"/>
            <w:textDirection w:val="tbRl"/>
          </w:tcPr>
          <w:p w14:paraId="7F988ECB" w14:textId="77777777" w:rsidR="00366CB9" w:rsidRDefault="009D0C1D" w:rsidP="00425523">
            <w:pPr>
              <w:pStyle w:val="a6"/>
              <w:framePr w:w="192" w:h="3538" w:wrap="none" w:vAnchor="page" w:hAnchor="page" w:x="690" w:y="7602"/>
              <w:shd w:val="clear" w:color="auto" w:fill="auto"/>
              <w:rPr>
                <w:sz w:val="15"/>
                <w:szCs w:val="15"/>
              </w:rPr>
            </w:pPr>
            <w:r>
              <w:rPr>
                <w:b w:val="0"/>
                <w:color w:val="019648"/>
                <w:sz w:val="15"/>
              </w:rPr>
              <w:t>2. Тести на ТБ з рекомендаціями ВООЗ</w:t>
            </w:r>
          </w:p>
        </w:tc>
      </w:tr>
      <w:tr w:rsidR="00366CB9" w14:paraId="12D6A168" w14:textId="77777777">
        <w:trPr>
          <w:trHeight w:hRule="exact" w:val="624"/>
        </w:trPr>
        <w:tc>
          <w:tcPr>
            <w:tcW w:w="192" w:type="dxa"/>
            <w:shd w:val="clear" w:color="auto" w:fill="FFFFFF"/>
            <w:textDirection w:val="tbRl"/>
          </w:tcPr>
          <w:p w14:paraId="2B37B2E4" w14:textId="77777777" w:rsidR="00366CB9" w:rsidRDefault="009D0C1D" w:rsidP="00425523">
            <w:pPr>
              <w:pStyle w:val="a6"/>
              <w:framePr w:w="192" w:h="3538" w:wrap="none" w:vAnchor="page" w:hAnchor="page" w:x="690" w:y="7602"/>
              <w:shd w:val="clear" w:color="auto" w:fill="auto"/>
              <w:jc w:val="right"/>
              <w:rPr>
                <w:sz w:val="15"/>
                <w:szCs w:val="15"/>
              </w:rPr>
            </w:pPr>
            <w:r>
              <w:rPr>
                <w:b w:val="0"/>
                <w:color w:val="019648"/>
                <w:sz w:val="15"/>
              </w:rPr>
              <w:t>13</w:t>
            </w:r>
          </w:p>
        </w:tc>
      </w:tr>
    </w:tbl>
    <w:p w14:paraId="4EFADEAF" w14:textId="77777777" w:rsidR="00366CB9" w:rsidRDefault="00366CB9" w:rsidP="00425523">
      <w:pPr>
        <w:spacing w:line="1" w:lineRule="exact"/>
        <w:sectPr w:rsidR="00366CB9" w:rsidSect="00457B0A">
          <w:footerReference w:type="default" r:id="rId40"/>
          <w:type w:val="nextColumn"/>
          <w:pgSz w:w="16840" w:h="11913" w:orient="landscape"/>
          <w:pgMar w:top="1413" w:right="1270" w:bottom="851" w:left="1496" w:header="0" w:footer="6" w:gutter="0"/>
          <w:paperSrc w:first="15" w:other="15"/>
          <w:cols w:space="720"/>
          <w:noEndnote/>
          <w:docGrid w:linePitch="360"/>
        </w:sectPr>
      </w:pPr>
    </w:p>
    <w:p w14:paraId="093DB97E" w14:textId="77777777" w:rsidR="00366CB9" w:rsidRDefault="00366CB9" w:rsidP="00425523">
      <w:pPr>
        <w:spacing w:line="1" w:lineRule="exact"/>
      </w:pPr>
    </w:p>
    <w:p w14:paraId="2001C90D" w14:textId="77777777" w:rsidR="00366CB9" w:rsidRPr="006E22E5" w:rsidRDefault="009D0C1D" w:rsidP="00457B0A">
      <w:pPr>
        <w:pStyle w:val="1"/>
        <w:shd w:val="clear" w:color="auto" w:fill="auto"/>
        <w:spacing w:after="140" w:line="348" w:lineRule="auto"/>
        <w:jc w:val="both"/>
        <w:rPr>
          <w:sz w:val="18"/>
          <w:szCs w:val="18"/>
        </w:rPr>
      </w:pPr>
      <w:r w:rsidRPr="006E22E5">
        <w:rPr>
          <w:sz w:val="18"/>
          <w:szCs w:val="18"/>
        </w:rPr>
        <w:t>ВООЗ переглянула кожен із цих тестів та рішень, та розробила рекомендації щодо їхнього застосування. ВООЗ рекомендує застосовувати діагностичні екпрес-тести для первинної діагностики ТБ та виявлення резистентності до RIF, щоб зменшить час затримки у лікуванні. Початкові тести для діагностики ТБ є WRD; вони визначаються як діагностичні тести, що безпосередньо спрямовані на мікобактеріальну (молекулярну) ДНК або клітинні компоненти (біомаркери) для допомоги у діагностиці ТБ (</w:t>
      </w:r>
      <w:hyperlink w:anchor="bookmark193" w:tooltip="Поточний документ">
        <w:r w:rsidR="00366CB9" w:rsidRPr="006E22E5">
          <w:rPr>
            <w:sz w:val="18"/>
            <w:szCs w:val="18"/>
          </w:rPr>
          <w:t>5</w:t>
        </w:r>
      </w:hyperlink>
      <w:r w:rsidRPr="006E22E5">
        <w:rPr>
          <w:sz w:val="18"/>
          <w:szCs w:val="18"/>
        </w:rPr>
        <w:t xml:space="preserve">). Нові та чутливі молекулярні тести, рекомендовані для первинного виявлення комплексу </w:t>
      </w:r>
      <w:r w:rsidRPr="006E22E5">
        <w:rPr>
          <w:i/>
          <w:iCs/>
          <w:sz w:val="18"/>
          <w:szCs w:val="18"/>
        </w:rPr>
        <w:t>Mtb</w:t>
      </w:r>
      <w:r w:rsidRPr="006E22E5">
        <w:rPr>
          <w:sz w:val="18"/>
          <w:szCs w:val="18"/>
        </w:rPr>
        <w:t xml:space="preserve"> (MTBC) – з первинним виявленням медикаментозної резистентності та без нього – є mWRD та діляться на три класи (</w:t>
      </w:r>
      <w:hyperlink w:anchor="bookmark193" w:tooltip="Поточний документ">
        <w:r w:rsidR="00366CB9" w:rsidRPr="006E22E5">
          <w:rPr>
            <w:sz w:val="18"/>
            <w:szCs w:val="18"/>
          </w:rPr>
          <w:t>5</w:t>
        </w:r>
      </w:hyperlink>
      <w:r w:rsidRPr="006E22E5">
        <w:rPr>
          <w:sz w:val="18"/>
          <w:szCs w:val="18"/>
        </w:rPr>
        <w:t>).</w:t>
      </w:r>
    </w:p>
    <w:p w14:paraId="7F8ACCFD" w14:textId="77777777" w:rsidR="00366CB9" w:rsidRPr="006E22E5" w:rsidRDefault="009D0C1D" w:rsidP="00457B0A">
      <w:pPr>
        <w:pStyle w:val="1"/>
        <w:numPr>
          <w:ilvl w:val="0"/>
          <w:numId w:val="3"/>
        </w:numPr>
        <w:shd w:val="clear" w:color="auto" w:fill="auto"/>
        <w:tabs>
          <w:tab w:val="left" w:pos="250"/>
        </w:tabs>
        <w:spacing w:line="324" w:lineRule="auto"/>
        <w:ind w:left="260" w:hanging="260"/>
        <w:jc w:val="both"/>
        <w:rPr>
          <w:sz w:val="18"/>
          <w:szCs w:val="18"/>
        </w:rPr>
      </w:pPr>
      <w:r w:rsidRPr="006E22E5">
        <w:rPr>
          <w:sz w:val="18"/>
          <w:szCs w:val="18"/>
        </w:rPr>
        <w:t>автоматизовані NAAT низької складності (LC-aNAAT) для виявлення MTBC та резистентності до RIF;</w:t>
      </w:r>
    </w:p>
    <w:p w14:paraId="0AE6FAE0" w14:textId="77777777" w:rsidR="00366CB9" w:rsidRPr="006E22E5" w:rsidRDefault="009D0C1D" w:rsidP="00457B0A">
      <w:pPr>
        <w:pStyle w:val="1"/>
        <w:numPr>
          <w:ilvl w:val="0"/>
          <w:numId w:val="3"/>
        </w:numPr>
        <w:shd w:val="clear" w:color="auto" w:fill="auto"/>
        <w:tabs>
          <w:tab w:val="left" w:pos="250"/>
        </w:tabs>
        <w:spacing w:line="324" w:lineRule="auto"/>
        <w:ind w:left="260" w:hanging="260"/>
        <w:jc w:val="both"/>
        <w:rPr>
          <w:sz w:val="18"/>
          <w:szCs w:val="18"/>
        </w:rPr>
      </w:pPr>
      <w:r w:rsidRPr="006E22E5">
        <w:rPr>
          <w:sz w:val="18"/>
          <w:szCs w:val="18"/>
        </w:rPr>
        <w:t>автоматизовані NAAT середньої складності (MC-aNAAT) для виявлення MTBC та резистентності до RIF та INH; та</w:t>
      </w:r>
    </w:p>
    <w:p w14:paraId="5A332BAE" w14:textId="77777777" w:rsidR="00366CB9" w:rsidRPr="006E22E5" w:rsidRDefault="009D0C1D" w:rsidP="00457B0A">
      <w:pPr>
        <w:pStyle w:val="1"/>
        <w:numPr>
          <w:ilvl w:val="0"/>
          <w:numId w:val="3"/>
        </w:numPr>
        <w:shd w:val="clear" w:color="auto" w:fill="auto"/>
        <w:tabs>
          <w:tab w:val="left" w:pos="250"/>
        </w:tabs>
        <w:spacing w:after="140" w:line="324" w:lineRule="auto"/>
        <w:jc w:val="both"/>
        <w:rPr>
          <w:sz w:val="18"/>
          <w:szCs w:val="18"/>
        </w:rPr>
      </w:pPr>
      <w:r w:rsidRPr="006E22E5">
        <w:rPr>
          <w:sz w:val="18"/>
          <w:szCs w:val="18"/>
        </w:rPr>
        <w:t>ручні NAAT низької складності (LC-mNAAT) для виявлення лише MTBC.</w:t>
      </w:r>
    </w:p>
    <w:p w14:paraId="781F96E9" w14:textId="77777777" w:rsidR="00366CB9" w:rsidRPr="006E22E5" w:rsidRDefault="00366CB9" w:rsidP="00457B0A">
      <w:pPr>
        <w:pStyle w:val="1"/>
        <w:shd w:val="clear" w:color="auto" w:fill="auto"/>
        <w:spacing w:after="140" w:line="324" w:lineRule="auto"/>
        <w:jc w:val="both"/>
        <w:rPr>
          <w:sz w:val="18"/>
          <w:szCs w:val="18"/>
        </w:rPr>
      </w:pPr>
      <w:r w:rsidRPr="006E22E5">
        <w:rPr>
          <w:sz w:val="18"/>
          <w:szCs w:val="18"/>
        </w:rPr>
        <w:t xml:space="preserve">У </w:t>
      </w:r>
      <w:hyperlink w:anchor="bookmark27" w:tooltip="Поточний документ">
        <w:r w:rsidRPr="006E22E5">
          <w:rPr>
            <w:b/>
            <w:sz w:val="18"/>
            <w:szCs w:val="18"/>
          </w:rPr>
          <w:t>Таблиці 2.1</w:t>
        </w:r>
      </w:hyperlink>
      <w:r w:rsidRPr="006E22E5">
        <w:rPr>
          <w:sz w:val="18"/>
          <w:szCs w:val="18"/>
        </w:rPr>
        <w:t xml:space="preserve"> зазначені mWRD, що відповідають критеріями для відповідних класів; у </w:t>
      </w:r>
      <w:hyperlink w:anchor="bookmark31" w:tooltip="Поточний документ">
        <w:r w:rsidRPr="006E22E5">
          <w:rPr>
            <w:b/>
            <w:sz w:val="18"/>
            <w:szCs w:val="18"/>
          </w:rPr>
          <w:t>Таблиці 2.2</w:t>
        </w:r>
      </w:hyperlink>
      <w:r w:rsidRPr="006E22E5">
        <w:rPr>
          <w:sz w:val="18"/>
          <w:szCs w:val="18"/>
        </w:rPr>
        <w:t xml:space="preserve"> детально описано виробника кожного тесту, прилади, вимоги до виробничих потужностей, цілі, час та межі виявлення. Див. додаткову інформацію про конкретні продукти у посібнику з вибору mWRD в рамках ГЛІ (</w:t>
      </w:r>
      <w:hyperlink w:anchor="bookmark196" w:tooltip="Поточний документ">
        <w:r w:rsidRPr="006E22E5">
          <w:rPr>
            <w:sz w:val="18"/>
            <w:szCs w:val="18"/>
          </w:rPr>
          <w:t>15</w:t>
        </w:r>
      </w:hyperlink>
      <w:r w:rsidRPr="006E22E5">
        <w:rPr>
          <w:sz w:val="18"/>
          <w:szCs w:val="18"/>
        </w:rPr>
        <w:t xml:space="preserve">). Слід зазначити, що нещодавно було оновлено керівні принципи щодо встановлення цих класів LC-mNAAT та LC-aNAAT, а також оновлення рекомендацій щодо застосування включених тестів; отже, </w:t>
      </w:r>
      <w:r w:rsidRPr="006E22E5">
        <w:rPr>
          <w:b/>
          <w:bCs/>
          <w:sz w:val="18"/>
          <w:szCs w:val="18"/>
        </w:rPr>
        <w:t>розділи 3 та 4</w:t>
      </w:r>
      <w:r w:rsidRPr="006E22E5">
        <w:rPr>
          <w:sz w:val="18"/>
          <w:szCs w:val="18"/>
        </w:rPr>
        <w:t xml:space="preserve"> цього довідника було оновлено з урахуванням актуальних змін (</w:t>
      </w:r>
      <w:hyperlink w:anchor="bookmark193" w:tooltip="Поточний документ">
        <w:r w:rsidRPr="006E22E5">
          <w:rPr>
            <w:sz w:val="18"/>
            <w:szCs w:val="18"/>
          </w:rPr>
          <w:t>5</w:t>
        </w:r>
      </w:hyperlink>
      <w:r w:rsidRPr="006E22E5">
        <w:rPr>
          <w:sz w:val="18"/>
          <w:szCs w:val="18"/>
        </w:rPr>
        <w:t>).</w:t>
      </w:r>
    </w:p>
    <w:p w14:paraId="6EED6DA4" w14:textId="77777777" w:rsidR="00366CB9" w:rsidRPr="006E22E5" w:rsidRDefault="009D0C1D" w:rsidP="00457B0A">
      <w:pPr>
        <w:pStyle w:val="1"/>
        <w:shd w:val="clear" w:color="auto" w:fill="auto"/>
        <w:spacing w:after="140" w:line="324" w:lineRule="auto"/>
        <w:jc w:val="both"/>
        <w:rPr>
          <w:sz w:val="18"/>
          <w:szCs w:val="18"/>
        </w:rPr>
      </w:pPr>
      <w:r w:rsidRPr="006E22E5">
        <w:rPr>
          <w:sz w:val="18"/>
          <w:szCs w:val="18"/>
        </w:rPr>
        <w:t>Крім mWRD, для діагностики ТБ у людей, які живуть з ВІЛ, рекомендується один WRD LF-LAM на біомаркерах – Determine TB LAM Ag. Позитивний результат LF-LAM є бактеріологічним підтвердженням ТБ (</w:t>
      </w:r>
      <w:hyperlink w:anchor="bookmark193" w:tooltip="Поточний документ">
        <w:r w:rsidR="00366CB9" w:rsidRPr="006E22E5">
          <w:rPr>
            <w:sz w:val="18"/>
            <w:szCs w:val="18"/>
          </w:rPr>
          <w:t>10</w:t>
        </w:r>
      </w:hyperlink>
      <w:r w:rsidRPr="006E22E5">
        <w:rPr>
          <w:sz w:val="18"/>
          <w:szCs w:val="18"/>
        </w:rPr>
        <w:t xml:space="preserve">). Однак негативний результат не виключає ТБ; тому LF-LAM рекомендується застосовувати одночасно з mWRD у людей, які живуть з ВІЛ. Керівні принципи щодо тестування LF-LAM нещодавно було оновлено та детально описано у публікації </w:t>
      </w:r>
      <w:r w:rsidRPr="006E22E5">
        <w:rPr>
          <w:i/>
          <w:sz w:val="18"/>
          <w:szCs w:val="18"/>
        </w:rPr>
        <w:t>«Консолідовані настанови ВООЗ з туберкульозу: модуль 3: діагностика (</w:t>
      </w:r>
      <w:hyperlink w:anchor="bookmark193" w:tooltip="Поточний документ">
        <w:r w:rsidR="00366CB9" w:rsidRPr="006E22E5">
          <w:rPr>
            <w:i/>
            <w:sz w:val="18"/>
            <w:szCs w:val="18"/>
          </w:rPr>
          <w:t>5</w:t>
        </w:r>
      </w:hyperlink>
      <w:r w:rsidRPr="006E22E5">
        <w:rPr>
          <w:i/>
          <w:sz w:val="18"/>
          <w:szCs w:val="18"/>
        </w:rPr>
        <w:t>)</w:t>
      </w:r>
      <w:r w:rsidRPr="006E22E5">
        <w:rPr>
          <w:sz w:val="18"/>
          <w:szCs w:val="18"/>
        </w:rPr>
        <w:t xml:space="preserve">, тоді як робочі міркування наведено у </w:t>
      </w:r>
      <w:r w:rsidRPr="006E22E5">
        <w:rPr>
          <w:b/>
          <w:bCs/>
          <w:sz w:val="18"/>
          <w:szCs w:val="18"/>
        </w:rPr>
        <w:t>розділах 3 та 4</w:t>
      </w:r>
      <w:r w:rsidRPr="006E22E5">
        <w:rPr>
          <w:sz w:val="18"/>
          <w:szCs w:val="18"/>
        </w:rPr>
        <w:t xml:space="preserve"> цього довідника. Після первинного виявлення ТБ рекомендуються три класи подальших тестів для виявлення резистентності до протитуберкульозних препаратів першої або другої лінії (або обох): LC-aNAAT, аналізи олігонуклеотидними зондами (LPA) та комплексні рішення в рамках цільового СНП, див. </w:t>
      </w:r>
      <w:r w:rsidRPr="006E22E5">
        <w:rPr>
          <w:b/>
          <w:bCs/>
          <w:sz w:val="18"/>
          <w:szCs w:val="18"/>
        </w:rPr>
        <w:t>Таблицю 2.1</w:t>
      </w:r>
      <w:r w:rsidRPr="006E22E5">
        <w:rPr>
          <w:sz w:val="18"/>
          <w:szCs w:val="18"/>
        </w:rPr>
        <w:t xml:space="preserve"> та </w:t>
      </w:r>
      <w:r w:rsidRPr="006E22E5">
        <w:rPr>
          <w:b/>
          <w:bCs/>
          <w:sz w:val="18"/>
          <w:szCs w:val="18"/>
        </w:rPr>
        <w:t>Таблицю 2.2</w:t>
      </w:r>
      <w:r w:rsidRPr="006E22E5">
        <w:rPr>
          <w:sz w:val="18"/>
          <w:szCs w:val="18"/>
        </w:rPr>
        <w:t xml:space="preserve">. Резюме аспектів тестів, віднесених до класів, наведено у </w:t>
      </w:r>
      <w:r w:rsidRPr="006E22E5">
        <w:rPr>
          <w:b/>
          <w:bCs/>
          <w:sz w:val="18"/>
          <w:szCs w:val="18"/>
        </w:rPr>
        <w:t>Таблиці 2.6</w:t>
      </w:r>
      <w:r w:rsidRPr="006E22E5">
        <w:rPr>
          <w:sz w:val="18"/>
          <w:szCs w:val="18"/>
        </w:rPr>
        <w:t xml:space="preserve">; інформаційні аркуші щодо рішень в рамках рішень СНП наведено у </w:t>
      </w:r>
      <w:r w:rsidRPr="006E22E5">
        <w:rPr>
          <w:b/>
          <w:bCs/>
          <w:sz w:val="18"/>
          <w:szCs w:val="18"/>
        </w:rPr>
        <w:t>Вебдодатку А</w:t>
      </w:r>
      <w:r w:rsidRPr="006E22E5">
        <w:rPr>
          <w:sz w:val="18"/>
          <w:szCs w:val="18"/>
        </w:rPr>
        <w:t>.</w:t>
      </w:r>
    </w:p>
    <w:p w14:paraId="2594164E" w14:textId="77777777" w:rsidR="00366CB9" w:rsidRPr="006E22E5" w:rsidRDefault="009D0C1D" w:rsidP="00457B0A">
      <w:pPr>
        <w:pStyle w:val="1"/>
        <w:shd w:val="clear" w:color="auto" w:fill="auto"/>
        <w:spacing w:line="324" w:lineRule="auto"/>
        <w:jc w:val="both"/>
        <w:rPr>
          <w:sz w:val="18"/>
          <w:szCs w:val="18"/>
        </w:rPr>
      </w:pPr>
      <w:r w:rsidRPr="006E22E5">
        <w:rPr>
          <w:sz w:val="18"/>
          <w:szCs w:val="18"/>
        </w:rPr>
        <w:t xml:space="preserve">Щоб виявити факт зараження </w:t>
      </w:r>
      <w:r w:rsidRPr="006E22E5">
        <w:rPr>
          <w:i/>
          <w:sz w:val="18"/>
          <w:szCs w:val="18"/>
        </w:rPr>
        <w:t>Mtb</w:t>
      </w:r>
      <w:r w:rsidRPr="006E22E5">
        <w:rPr>
          <w:sz w:val="18"/>
          <w:szCs w:val="18"/>
        </w:rPr>
        <w:t xml:space="preserve"> та можливість найбільшої користі від ПЛТ, ВООЗ рекомендує три класи тестів на виявлення туберкульозної інфекції: TBST, IGRA та TST. Усі три класи включають тести, спрямовані на фактори, пов’язані з імунною відповіддю людини на інфекцію – вони не спрямовані безпосередньо на компоненти </w:t>
      </w:r>
      <w:r w:rsidRPr="006E22E5">
        <w:rPr>
          <w:i/>
          <w:sz w:val="18"/>
          <w:szCs w:val="18"/>
        </w:rPr>
        <w:t>Mtb</w:t>
      </w:r>
      <w:r w:rsidRPr="006E22E5">
        <w:rPr>
          <w:sz w:val="18"/>
          <w:szCs w:val="18"/>
        </w:rPr>
        <w:t xml:space="preserve">. Отже, тести на виявлення туберкульозної інфекції вимагають належної імунної відповіді для отримання достовірних результатів, не диференціюють туберкульозну інфекцію від ТБ та не дають прогнозів щодо прогресування від туберкульозної інфекції до ТБ. Див. додаткову інформацію щодо рекомендацій щодо застосування цих тестів у публікації </w:t>
      </w:r>
      <w:r w:rsidRPr="006E22E5">
        <w:rPr>
          <w:i/>
          <w:sz w:val="18"/>
          <w:szCs w:val="18"/>
        </w:rPr>
        <w:t>«Консолідовані настанови ВООЗ з туберкульозу: модуль 1: профілактика (</w:t>
      </w:r>
      <w:hyperlink w:anchor="bookmark193" w:tooltip="Поточний документ">
        <w:r w:rsidR="00366CB9" w:rsidRPr="006E22E5">
          <w:rPr>
            <w:i/>
            <w:sz w:val="18"/>
            <w:szCs w:val="18"/>
          </w:rPr>
          <w:t>14</w:t>
        </w:r>
      </w:hyperlink>
      <w:r w:rsidRPr="006E22E5">
        <w:rPr>
          <w:i/>
          <w:sz w:val="18"/>
          <w:szCs w:val="18"/>
        </w:rPr>
        <w:t>)</w:t>
      </w:r>
      <w:r w:rsidRPr="006E22E5">
        <w:rPr>
          <w:sz w:val="18"/>
          <w:szCs w:val="18"/>
        </w:rPr>
        <w:t xml:space="preserve">. Див. детальну інформацію щодо робочих міркувань щодо тестування на виявлення туберкульозної інфекції у </w:t>
      </w:r>
      <w:r w:rsidRPr="006E22E5">
        <w:rPr>
          <w:b/>
          <w:bCs/>
          <w:sz w:val="18"/>
          <w:szCs w:val="18"/>
        </w:rPr>
        <w:t>розділі 2.5</w:t>
      </w:r>
      <w:r w:rsidRPr="006E22E5">
        <w:rPr>
          <w:sz w:val="18"/>
          <w:szCs w:val="18"/>
        </w:rPr>
        <w:t xml:space="preserve"> нижче.</w:t>
      </w:r>
    </w:p>
    <w:p w14:paraId="3D286D34" w14:textId="77777777" w:rsidR="00366CB9" w:rsidRDefault="00366CB9" w:rsidP="00425523">
      <w:pPr>
        <w:spacing w:line="1" w:lineRule="exact"/>
        <w:sectPr w:rsidR="00366CB9" w:rsidSect="00457B0A">
          <w:footerReference w:type="even" r:id="rId41"/>
          <w:pgSz w:w="11913" w:h="16840"/>
          <w:pgMar w:top="1469" w:right="1378" w:bottom="851" w:left="1372" w:header="0" w:footer="6" w:gutter="0"/>
          <w:paperSrc w:first="15" w:other="15"/>
          <w:cols w:space="720"/>
          <w:noEndnote/>
          <w:docGrid w:linePitch="360"/>
        </w:sectPr>
      </w:pPr>
    </w:p>
    <w:p w14:paraId="52F22693" w14:textId="77777777" w:rsidR="00366CB9" w:rsidRDefault="00366CB9" w:rsidP="00425523">
      <w:pPr>
        <w:spacing w:line="1" w:lineRule="exact"/>
      </w:pPr>
    </w:p>
    <w:p w14:paraId="2EBEC892" w14:textId="5F24F769" w:rsidR="00366CB9" w:rsidRDefault="009D0C1D" w:rsidP="00CE4227">
      <w:pPr>
        <w:pStyle w:val="22"/>
        <w:numPr>
          <w:ilvl w:val="1"/>
          <w:numId w:val="64"/>
        </w:numPr>
        <w:shd w:val="clear" w:color="auto" w:fill="auto"/>
        <w:tabs>
          <w:tab w:val="left" w:pos="658"/>
        </w:tabs>
        <w:spacing w:after="140" w:line="240" w:lineRule="auto"/>
        <w:jc w:val="both"/>
      </w:pPr>
      <w:bookmarkStart w:id="31" w:name="bookmark29"/>
      <w:bookmarkStart w:id="32" w:name="bookmark30"/>
      <w:bookmarkStart w:id="33" w:name="bookmark28"/>
      <w:r>
        <w:t>Стандартні тести для діагностики ТБ</w:t>
      </w:r>
      <w:bookmarkEnd w:id="31"/>
      <w:bookmarkEnd w:id="32"/>
      <w:bookmarkEnd w:id="33"/>
    </w:p>
    <w:p w14:paraId="6821437B" w14:textId="77777777" w:rsidR="00366CB9" w:rsidRPr="006E22E5" w:rsidRDefault="009D0C1D" w:rsidP="00457B0A">
      <w:pPr>
        <w:pStyle w:val="1"/>
        <w:shd w:val="clear" w:color="auto" w:fill="auto"/>
        <w:spacing w:after="140" w:line="324" w:lineRule="auto"/>
        <w:jc w:val="both"/>
        <w:rPr>
          <w:sz w:val="18"/>
          <w:szCs w:val="18"/>
        </w:rPr>
      </w:pPr>
      <w:r w:rsidRPr="006E22E5">
        <w:rPr>
          <w:sz w:val="18"/>
          <w:szCs w:val="18"/>
        </w:rPr>
        <w:t>В умовах високого розповсюдження ТБ мікроскопія мазка мокротиння залишається основним діагностичним методом для дослідження осіб з ознаками та симптомами ТБ або позитивним результатом тесту на ТБ. Однак мікроскопія мазка мокротиння є нечутливим тестом з межею виявлення (LoD) 5000-10 000 бацил/мл мокротиння (</w:t>
      </w:r>
      <w:hyperlink w:anchor="bookmark196" w:tooltip="Поточний документ">
        <w:r w:rsidR="00366CB9" w:rsidRPr="006E22E5">
          <w:rPr>
            <w:sz w:val="18"/>
            <w:szCs w:val="18"/>
          </w:rPr>
          <w:t>16</w:t>
        </w:r>
      </w:hyperlink>
      <w:r w:rsidRPr="006E22E5">
        <w:rPr>
          <w:sz w:val="18"/>
          <w:szCs w:val="18"/>
        </w:rPr>
        <w:t>). Крім того, мікроскопія мазка мокротиння не диференціює штами як лікарсько-чутливі та лікарсько-стійкі. ВООЗ продовжує рекомендувати НПБТ замість мікроскопії як початковий діагностичний тест WRD, що безпосередньо виявляють MTBC.</w:t>
      </w:r>
    </w:p>
    <w:p w14:paraId="5F26B999" w14:textId="77777777" w:rsidR="00366CB9" w:rsidRPr="006E22E5" w:rsidRDefault="009D0C1D" w:rsidP="00457B0A">
      <w:pPr>
        <w:pStyle w:val="1"/>
        <w:shd w:val="clear" w:color="auto" w:fill="auto"/>
        <w:spacing w:after="140" w:line="324" w:lineRule="auto"/>
        <w:jc w:val="both"/>
        <w:rPr>
          <w:sz w:val="18"/>
          <w:szCs w:val="18"/>
        </w:rPr>
      </w:pPr>
      <w:r w:rsidRPr="006E22E5">
        <w:rPr>
          <w:sz w:val="18"/>
          <w:szCs w:val="18"/>
        </w:rPr>
        <w:t>Поточним золотим стандартом для бактеріологічного підтвердження ТБ є посів з використанням доступних у продажу рідких середовищ. Однак посів не є основним діагностичним тестом у багатьох країнах з високим рівнем захворюваності на ТБ через вартість, вимоги до виробничих потужностей (рівень біологічної безпеки 3 [BSL-3] або герметична лабораторія з діагностики ТБ) та час, необхідний для отримання результатів (1-3 тижні для отримання позитивного результату та до 6 тижнів для отримання негативного результату). Тим не менш, посів є важливим для діагностики дитячого та позалегеневого ТБ з олігобацилярних зразків, а також для диференціальної діагностики нетуберкульозних мікобактерій (НТМ). Крім того, як мікроскопія мазка мокротиння, так і посів необхідні для моніторингу відповіді на лікування.</w:t>
      </w:r>
    </w:p>
    <w:p w14:paraId="6BAAFC58" w14:textId="77777777" w:rsidR="00366CB9" w:rsidRPr="006E22E5" w:rsidRDefault="009D0C1D" w:rsidP="00457B0A">
      <w:pPr>
        <w:pStyle w:val="1"/>
        <w:shd w:val="clear" w:color="auto" w:fill="auto"/>
        <w:spacing w:line="324" w:lineRule="auto"/>
        <w:jc w:val="both"/>
        <w:rPr>
          <w:sz w:val="18"/>
          <w:szCs w:val="18"/>
        </w:rPr>
      </w:pPr>
      <w:r w:rsidRPr="006E22E5">
        <w:rPr>
          <w:sz w:val="18"/>
          <w:szCs w:val="18"/>
        </w:rPr>
        <w:t xml:space="preserve">Посів може призвести до росту різних видів роду </w:t>
      </w:r>
      <w:r w:rsidRPr="006E22E5">
        <w:rPr>
          <w:i/>
          <w:iCs/>
          <w:sz w:val="18"/>
          <w:szCs w:val="18"/>
        </w:rPr>
        <w:t>Mycobacterium</w:t>
      </w:r>
      <w:r w:rsidRPr="006E22E5">
        <w:rPr>
          <w:sz w:val="18"/>
          <w:szCs w:val="18"/>
        </w:rPr>
        <w:t>. Таким чином, лабораторне підтвердження ТБ вимагає тестування виділених мікобактерій за допомогою тесту на визначення видової приналежності (наприклад, Capilia™ TB-Neo, Tauns Laboratories, Нумадзу, Японія; Bioline™ TB Ag MPT64 Rapid Test, Abbott, Кьонгі, Республіка Корея; або TBcID, Becton Dickinson Microbiology Systems, Спаркс, США) для остаточного визначення MTBC. Визначення видової приналежності дуже важлива перед початком фенотипового ТМЧ.</w:t>
      </w:r>
    </w:p>
    <w:p w14:paraId="199FAD0A" w14:textId="77777777" w:rsidR="00366CB9" w:rsidRDefault="00366CB9" w:rsidP="00425523">
      <w:pPr>
        <w:spacing w:line="1" w:lineRule="exact"/>
        <w:sectPr w:rsidR="00366CB9" w:rsidSect="00F03360">
          <w:footerReference w:type="default" r:id="rId42"/>
          <w:type w:val="nextColumn"/>
          <w:pgSz w:w="11913" w:h="16840"/>
          <w:pgMar w:top="1469" w:right="1378" w:bottom="851" w:left="1372" w:header="0" w:footer="6" w:gutter="0"/>
          <w:paperSrc w:first="15" w:other="15"/>
          <w:cols w:space="720"/>
          <w:noEndnote/>
          <w:docGrid w:linePitch="360"/>
        </w:sectPr>
      </w:pPr>
    </w:p>
    <w:p w14:paraId="1DBE0FDB"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109"/>
        <w:gridCol w:w="1051"/>
        <w:gridCol w:w="1387"/>
        <w:gridCol w:w="1334"/>
        <w:gridCol w:w="912"/>
        <w:gridCol w:w="965"/>
        <w:gridCol w:w="931"/>
        <w:gridCol w:w="1464"/>
        <w:gridCol w:w="845"/>
        <w:gridCol w:w="1747"/>
        <w:gridCol w:w="1387"/>
        <w:gridCol w:w="1008"/>
        <w:gridCol w:w="835"/>
      </w:tblGrid>
      <w:tr w:rsidR="00366CB9" w:rsidRPr="0079021A" w14:paraId="1DA16965" w14:textId="77777777" w:rsidTr="00546B4F">
        <w:trPr>
          <w:trHeight w:hRule="exact" w:val="446"/>
        </w:trPr>
        <w:tc>
          <w:tcPr>
            <w:tcW w:w="14975" w:type="dxa"/>
            <w:gridSpan w:val="13"/>
            <w:tcBorders>
              <w:bottom w:val="single" w:sz="8" w:space="0" w:color="00B050"/>
            </w:tcBorders>
            <w:shd w:val="clear" w:color="auto" w:fill="FFFFFF"/>
          </w:tcPr>
          <w:p w14:paraId="1F731961" w14:textId="77777777" w:rsidR="00366CB9" w:rsidRPr="0079021A" w:rsidRDefault="009D0C1D" w:rsidP="00457B0A">
            <w:pPr>
              <w:pStyle w:val="a6"/>
              <w:shd w:val="clear" w:color="auto" w:fill="auto"/>
              <w:rPr>
                <w:sz w:val="19"/>
                <w:szCs w:val="19"/>
              </w:rPr>
            </w:pPr>
            <w:bookmarkStart w:id="34" w:name="bookmark31"/>
            <w:r>
              <w:rPr>
                <w:color w:val="636466"/>
                <w:sz w:val="19"/>
              </w:rPr>
              <w:t>Таблиця 2.2. Резюме початкових тестів для діагностики ТБ</w:t>
            </w:r>
            <w:bookmarkEnd w:id="34"/>
          </w:p>
        </w:tc>
      </w:tr>
      <w:tr w:rsidR="00366CB9" w:rsidRPr="0079021A" w14:paraId="1F94D8C5" w14:textId="77777777" w:rsidTr="00546B4F">
        <w:trPr>
          <w:trHeight w:hRule="exact" w:val="1260"/>
        </w:trPr>
        <w:tc>
          <w:tcPr>
            <w:tcW w:w="1109"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4550249" w14:textId="77777777" w:rsidR="00366CB9" w:rsidRPr="0079021A" w:rsidRDefault="009D0C1D" w:rsidP="00457B0A">
            <w:pPr>
              <w:pStyle w:val="a6"/>
              <w:shd w:val="clear" w:color="auto" w:fill="auto"/>
              <w:rPr>
                <w:sz w:val="18"/>
                <w:szCs w:val="18"/>
              </w:rPr>
            </w:pPr>
            <w:r>
              <w:rPr>
                <w:color w:val="FFFFFF"/>
                <w:sz w:val="18"/>
              </w:rPr>
              <w:t>Клас</w:t>
            </w:r>
          </w:p>
        </w:tc>
        <w:tc>
          <w:tcPr>
            <w:tcW w:w="1051"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C458601" w14:textId="77777777" w:rsidR="00366CB9" w:rsidRPr="0079021A" w:rsidRDefault="009D0C1D" w:rsidP="00457B0A">
            <w:pPr>
              <w:pStyle w:val="a6"/>
              <w:shd w:val="clear" w:color="auto" w:fill="auto"/>
              <w:rPr>
                <w:sz w:val="18"/>
                <w:szCs w:val="18"/>
              </w:rPr>
            </w:pPr>
            <w:r>
              <w:rPr>
                <w:color w:val="FFFFFF"/>
                <w:sz w:val="18"/>
              </w:rPr>
              <w:t>Тест</w:t>
            </w:r>
          </w:p>
        </w:tc>
        <w:tc>
          <w:tcPr>
            <w:tcW w:w="138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232CC3F" w14:textId="77777777" w:rsidR="00366CB9" w:rsidRPr="0079021A" w:rsidRDefault="009D0C1D" w:rsidP="00457B0A">
            <w:pPr>
              <w:pStyle w:val="a6"/>
              <w:shd w:val="clear" w:color="auto" w:fill="auto"/>
              <w:rPr>
                <w:sz w:val="18"/>
                <w:szCs w:val="18"/>
              </w:rPr>
            </w:pPr>
            <w:r>
              <w:rPr>
                <w:color w:val="FFFFFF"/>
                <w:sz w:val="18"/>
              </w:rPr>
              <w:t>Виробник</w:t>
            </w:r>
          </w:p>
        </w:tc>
        <w:tc>
          <w:tcPr>
            <w:tcW w:w="133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1D27EB4" w14:textId="77777777" w:rsidR="00366CB9" w:rsidRPr="0079021A" w:rsidRDefault="009D0C1D" w:rsidP="00457B0A">
            <w:pPr>
              <w:pStyle w:val="a6"/>
              <w:shd w:val="clear" w:color="auto" w:fill="auto"/>
              <w:rPr>
                <w:sz w:val="18"/>
                <w:szCs w:val="18"/>
              </w:rPr>
            </w:pPr>
            <w:r>
              <w:rPr>
                <w:color w:val="FFFFFF"/>
                <w:sz w:val="18"/>
              </w:rPr>
              <w:t>Прилад(и)</w:t>
            </w:r>
          </w:p>
        </w:tc>
        <w:tc>
          <w:tcPr>
            <w:tcW w:w="91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35395EF" w14:textId="1F065CE9" w:rsidR="00366CB9" w:rsidRPr="0079021A" w:rsidRDefault="009D0C1D" w:rsidP="00457B0A">
            <w:pPr>
              <w:pStyle w:val="a6"/>
              <w:shd w:val="clear" w:color="auto" w:fill="auto"/>
              <w:rPr>
                <w:sz w:val="18"/>
                <w:szCs w:val="18"/>
              </w:rPr>
            </w:pPr>
            <w:r>
              <w:rPr>
                <w:color w:val="FFFFFF"/>
                <w:sz w:val="18"/>
              </w:rPr>
              <w:t>Ген(и)-мішень (і)</w:t>
            </w:r>
          </w:p>
        </w:tc>
        <w:tc>
          <w:tcPr>
            <w:tcW w:w="965"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8ABC3CB" w14:textId="77777777" w:rsidR="00366CB9" w:rsidRPr="0079021A" w:rsidRDefault="009D0C1D" w:rsidP="00457B0A">
            <w:pPr>
              <w:pStyle w:val="a6"/>
              <w:shd w:val="clear" w:color="auto" w:fill="auto"/>
              <w:rPr>
                <w:sz w:val="18"/>
                <w:szCs w:val="18"/>
              </w:rPr>
            </w:pPr>
            <w:r>
              <w:rPr>
                <w:color w:val="FFFFFF"/>
                <w:sz w:val="18"/>
              </w:rPr>
              <w:t>ТМЧ</w:t>
            </w:r>
          </w:p>
        </w:tc>
        <w:tc>
          <w:tcPr>
            <w:tcW w:w="931"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0833802" w14:textId="77777777" w:rsidR="00366CB9" w:rsidRPr="0079021A" w:rsidRDefault="009D0C1D" w:rsidP="00457B0A">
            <w:pPr>
              <w:pStyle w:val="a6"/>
              <w:shd w:val="clear" w:color="auto" w:fill="auto"/>
              <w:rPr>
                <w:sz w:val="18"/>
                <w:szCs w:val="18"/>
              </w:rPr>
            </w:pPr>
            <w:r>
              <w:rPr>
                <w:color w:val="FFFFFF"/>
                <w:sz w:val="18"/>
              </w:rPr>
              <w:t>Заявлена</w:t>
            </w:r>
          </w:p>
          <w:p w14:paraId="550888D4" w14:textId="77777777" w:rsidR="00366CB9" w:rsidRPr="0079021A" w:rsidRDefault="009D0C1D" w:rsidP="00457B0A">
            <w:pPr>
              <w:pStyle w:val="a6"/>
              <w:shd w:val="clear" w:color="auto" w:fill="auto"/>
              <w:rPr>
                <w:sz w:val="18"/>
                <w:szCs w:val="18"/>
              </w:rPr>
            </w:pPr>
            <w:r>
              <w:rPr>
                <w:color w:val="FFFFFF"/>
                <w:sz w:val="18"/>
              </w:rPr>
              <w:t>LoD</w:t>
            </w:r>
          </w:p>
        </w:tc>
        <w:tc>
          <w:tcPr>
            <w:tcW w:w="146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437620A1" w14:textId="221CC2F2" w:rsidR="00366CB9" w:rsidRPr="0079021A" w:rsidRDefault="009D0C1D" w:rsidP="00457B0A">
            <w:pPr>
              <w:pStyle w:val="a6"/>
              <w:shd w:val="clear" w:color="auto" w:fill="auto"/>
              <w:rPr>
                <w:sz w:val="18"/>
                <w:szCs w:val="18"/>
              </w:rPr>
            </w:pPr>
            <w:r>
              <w:rPr>
                <w:color w:val="FFFFFF"/>
                <w:sz w:val="18"/>
              </w:rPr>
              <w:t>Рекомендо</w:t>
            </w:r>
            <w:r w:rsidR="00CE4227">
              <w:rPr>
                <w:color w:val="FFFFFF"/>
                <w:sz w:val="18"/>
                <w:lang w:val="en-US"/>
              </w:rPr>
              <w:t>-</w:t>
            </w:r>
            <w:r>
              <w:rPr>
                <w:color w:val="FFFFFF"/>
                <w:sz w:val="18"/>
              </w:rPr>
              <w:t>ваний тип зразка</w:t>
            </w:r>
          </w:p>
        </w:tc>
        <w:tc>
          <w:tcPr>
            <w:tcW w:w="845"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5CEA4BF" w14:textId="5BBE3977" w:rsidR="00366CB9" w:rsidRPr="0079021A" w:rsidRDefault="009D0C1D" w:rsidP="00457B0A">
            <w:pPr>
              <w:pStyle w:val="a6"/>
              <w:shd w:val="clear" w:color="auto" w:fill="auto"/>
              <w:rPr>
                <w:sz w:val="18"/>
                <w:szCs w:val="18"/>
              </w:rPr>
            </w:pPr>
            <w:r>
              <w:rPr>
                <w:color w:val="FFFFFF"/>
                <w:sz w:val="18"/>
              </w:rPr>
              <w:t>Час отри</w:t>
            </w:r>
            <w:r w:rsidR="00CE4227">
              <w:rPr>
                <w:color w:val="FFFFFF"/>
                <w:sz w:val="18"/>
                <w:lang w:val="en-US"/>
              </w:rPr>
              <w:t>-</w:t>
            </w:r>
            <w:r>
              <w:rPr>
                <w:color w:val="FFFFFF"/>
                <w:sz w:val="18"/>
              </w:rPr>
              <w:t>мання результатів</w:t>
            </w:r>
          </w:p>
        </w:tc>
        <w:tc>
          <w:tcPr>
            <w:tcW w:w="174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392E837" w14:textId="77777777" w:rsidR="00366CB9" w:rsidRPr="0079021A" w:rsidRDefault="009D0C1D" w:rsidP="00457B0A">
            <w:pPr>
              <w:pStyle w:val="a6"/>
              <w:shd w:val="clear" w:color="auto" w:fill="auto"/>
              <w:rPr>
                <w:sz w:val="18"/>
                <w:szCs w:val="18"/>
              </w:rPr>
            </w:pPr>
            <w:r>
              <w:rPr>
                <w:color w:val="FFFFFF"/>
                <w:sz w:val="18"/>
              </w:rPr>
              <w:t>Рекомендації ВООЗ</w:t>
            </w:r>
          </w:p>
        </w:tc>
        <w:tc>
          <w:tcPr>
            <w:tcW w:w="138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5E33BA1" w14:textId="77777777" w:rsidR="00366CB9" w:rsidRPr="0079021A" w:rsidRDefault="009D0C1D" w:rsidP="00457B0A">
            <w:pPr>
              <w:pStyle w:val="a6"/>
              <w:shd w:val="clear" w:color="auto" w:fill="auto"/>
              <w:rPr>
                <w:sz w:val="18"/>
                <w:szCs w:val="18"/>
              </w:rPr>
            </w:pPr>
            <w:r>
              <w:rPr>
                <w:color w:val="FFFFFF"/>
                <w:sz w:val="18"/>
              </w:rPr>
              <w:t>Основні вимоги до виробничих потужностей</w:t>
            </w:r>
          </w:p>
        </w:tc>
        <w:tc>
          <w:tcPr>
            <w:tcW w:w="1008"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9736B6C" w14:textId="2BAF6CFD" w:rsidR="00366CB9" w:rsidRPr="0079021A" w:rsidRDefault="009D0C1D" w:rsidP="00457B0A">
            <w:pPr>
              <w:pStyle w:val="a6"/>
              <w:shd w:val="clear" w:color="auto" w:fill="auto"/>
              <w:rPr>
                <w:sz w:val="18"/>
                <w:szCs w:val="18"/>
              </w:rPr>
            </w:pPr>
            <w:r>
              <w:rPr>
                <w:color w:val="FFFFFF"/>
                <w:sz w:val="18"/>
              </w:rPr>
              <w:t>Зберігання реактивів, термін придат</w:t>
            </w:r>
            <w:r w:rsidR="00CE4227" w:rsidRPr="00CE4227">
              <w:rPr>
                <w:color w:val="FFFFFF"/>
                <w:sz w:val="18"/>
                <w:lang w:val="ru-RU"/>
              </w:rPr>
              <w:t>-</w:t>
            </w:r>
            <w:r>
              <w:rPr>
                <w:color w:val="FFFFFF"/>
                <w:sz w:val="18"/>
              </w:rPr>
              <w:t>ності</w:t>
            </w:r>
          </w:p>
        </w:tc>
        <w:tc>
          <w:tcPr>
            <w:tcW w:w="835" w:type="dxa"/>
            <w:tcBorders>
              <w:top w:val="single" w:sz="8" w:space="0" w:color="00B050"/>
              <w:left w:val="single" w:sz="8" w:space="0" w:color="00B050"/>
              <w:bottom w:val="single" w:sz="8" w:space="0" w:color="00B050"/>
              <w:right w:val="single" w:sz="8" w:space="0" w:color="00B050"/>
            </w:tcBorders>
            <w:shd w:val="clear" w:color="auto" w:fill="62A86A"/>
            <w:vAlign w:val="bottom"/>
          </w:tcPr>
          <w:p w14:paraId="0BED0992" w14:textId="03F4E8D3" w:rsidR="00366CB9" w:rsidRPr="0079021A" w:rsidRDefault="009D0C1D" w:rsidP="00457B0A">
            <w:pPr>
              <w:pStyle w:val="a6"/>
              <w:shd w:val="clear" w:color="auto" w:fill="auto"/>
              <w:rPr>
                <w:sz w:val="18"/>
                <w:szCs w:val="18"/>
              </w:rPr>
            </w:pPr>
            <w:r>
              <w:rPr>
                <w:color w:val="FFFFFF"/>
                <w:sz w:val="18"/>
              </w:rPr>
              <w:t>Кіль</w:t>
            </w:r>
            <w:r w:rsidR="00CE4227" w:rsidRPr="00CE4227">
              <w:rPr>
                <w:color w:val="FFFFFF"/>
                <w:sz w:val="18"/>
                <w:lang w:val="ru-RU"/>
              </w:rPr>
              <w:t>-</w:t>
            </w:r>
            <w:r>
              <w:rPr>
                <w:color w:val="FFFFFF"/>
                <w:sz w:val="18"/>
              </w:rPr>
              <w:t>кість тестів на 8-годинну зміну</w:t>
            </w:r>
          </w:p>
        </w:tc>
      </w:tr>
      <w:tr w:rsidR="00366CB9" w14:paraId="06A98485" w14:textId="77777777" w:rsidTr="00546B4F">
        <w:trPr>
          <w:trHeight w:hRule="exact" w:val="1263"/>
        </w:trPr>
        <w:tc>
          <w:tcPr>
            <w:tcW w:w="1109" w:type="dxa"/>
            <w:tcBorders>
              <w:top w:val="single" w:sz="8" w:space="0" w:color="00B050"/>
            </w:tcBorders>
            <w:shd w:val="clear" w:color="auto" w:fill="FFFFFF"/>
          </w:tcPr>
          <w:p w14:paraId="2C4CAFEB" w14:textId="381F6C77" w:rsidR="00366CB9" w:rsidRPr="00CE4227" w:rsidRDefault="009D0C1D" w:rsidP="00457B0A">
            <w:pPr>
              <w:pStyle w:val="a6"/>
              <w:shd w:val="clear" w:color="auto" w:fill="auto"/>
              <w:spacing w:line="223" w:lineRule="auto"/>
              <w:rPr>
                <w:sz w:val="14"/>
                <w:szCs w:val="14"/>
              </w:rPr>
            </w:pPr>
            <w:r w:rsidRPr="00CE4227">
              <w:rPr>
                <w:color w:val="000000"/>
                <w:sz w:val="14"/>
                <w:szCs w:val="14"/>
              </w:rPr>
              <w:t>Автоматизо</w:t>
            </w:r>
            <w:r w:rsidR="006E22E5">
              <w:rPr>
                <w:color w:val="000000"/>
                <w:sz w:val="14"/>
                <w:szCs w:val="14"/>
              </w:rPr>
              <w:t>-</w:t>
            </w:r>
            <w:r w:rsidRPr="00CE4227">
              <w:rPr>
                <w:color w:val="000000"/>
                <w:sz w:val="14"/>
                <w:szCs w:val="14"/>
              </w:rPr>
              <w:t>ваний NAAT низької складності</w:t>
            </w:r>
          </w:p>
        </w:tc>
        <w:tc>
          <w:tcPr>
            <w:tcW w:w="1051" w:type="dxa"/>
            <w:tcBorders>
              <w:top w:val="single" w:sz="8" w:space="0" w:color="00B050"/>
              <w:bottom w:val="single" w:sz="8" w:space="0" w:color="00B050"/>
            </w:tcBorders>
            <w:shd w:val="clear" w:color="auto" w:fill="FFFFFF"/>
          </w:tcPr>
          <w:p w14:paraId="1505A69C" w14:textId="77777777" w:rsidR="00366CB9" w:rsidRPr="00CE4227" w:rsidRDefault="009D0C1D" w:rsidP="00457B0A">
            <w:pPr>
              <w:pStyle w:val="a6"/>
              <w:shd w:val="clear" w:color="auto" w:fill="auto"/>
              <w:rPr>
                <w:sz w:val="14"/>
                <w:szCs w:val="14"/>
              </w:rPr>
            </w:pPr>
            <w:r w:rsidRPr="00CE4227">
              <w:rPr>
                <w:b w:val="0"/>
                <w:color w:val="000000"/>
                <w:sz w:val="14"/>
                <w:szCs w:val="14"/>
              </w:rPr>
              <w:t>Truenat</w:t>
            </w:r>
          </w:p>
          <w:p w14:paraId="14D57927" w14:textId="77777777" w:rsidR="00366CB9" w:rsidRPr="00CE4227" w:rsidRDefault="009D0C1D" w:rsidP="00457B0A">
            <w:pPr>
              <w:pStyle w:val="a6"/>
              <w:shd w:val="clear" w:color="auto" w:fill="auto"/>
              <w:rPr>
                <w:sz w:val="14"/>
                <w:szCs w:val="14"/>
              </w:rPr>
            </w:pPr>
            <w:r w:rsidRPr="00CE4227">
              <w:rPr>
                <w:b w:val="0"/>
                <w:color w:val="000000"/>
                <w:sz w:val="14"/>
                <w:szCs w:val="14"/>
              </w:rPr>
              <w:t>MTB Plus</w:t>
            </w:r>
          </w:p>
        </w:tc>
        <w:tc>
          <w:tcPr>
            <w:tcW w:w="1387" w:type="dxa"/>
            <w:tcBorders>
              <w:top w:val="single" w:sz="8" w:space="0" w:color="00B050"/>
              <w:bottom w:val="single" w:sz="8" w:space="0" w:color="00B050"/>
            </w:tcBorders>
            <w:shd w:val="clear" w:color="auto" w:fill="FFFFFF"/>
          </w:tcPr>
          <w:p w14:paraId="5C9595C6" w14:textId="77777777" w:rsidR="00366CB9" w:rsidRPr="00CE4227" w:rsidRDefault="009D0C1D" w:rsidP="00457B0A">
            <w:pPr>
              <w:pStyle w:val="a6"/>
              <w:shd w:val="clear" w:color="auto" w:fill="auto"/>
              <w:rPr>
                <w:sz w:val="14"/>
                <w:szCs w:val="14"/>
              </w:rPr>
            </w:pPr>
            <w:r w:rsidRPr="00CE4227">
              <w:rPr>
                <w:b w:val="0"/>
                <w:color w:val="000000"/>
                <w:sz w:val="14"/>
                <w:szCs w:val="14"/>
              </w:rPr>
              <w:t>Molbio</w:t>
            </w:r>
          </w:p>
        </w:tc>
        <w:tc>
          <w:tcPr>
            <w:tcW w:w="1334" w:type="dxa"/>
            <w:tcBorders>
              <w:top w:val="single" w:sz="8" w:space="0" w:color="00B050"/>
              <w:bottom w:val="single" w:sz="8" w:space="0" w:color="00B050"/>
            </w:tcBorders>
            <w:shd w:val="clear" w:color="auto" w:fill="FFFFFF"/>
          </w:tcPr>
          <w:p w14:paraId="719FA724" w14:textId="77777777" w:rsidR="00366CB9" w:rsidRPr="00CE4227" w:rsidRDefault="009D0C1D" w:rsidP="00457B0A">
            <w:pPr>
              <w:pStyle w:val="a6"/>
              <w:shd w:val="clear" w:color="auto" w:fill="auto"/>
              <w:rPr>
                <w:sz w:val="14"/>
                <w:szCs w:val="14"/>
              </w:rPr>
            </w:pPr>
            <w:r w:rsidRPr="00CE4227">
              <w:rPr>
                <w:b w:val="0"/>
                <w:color w:val="000000"/>
                <w:sz w:val="14"/>
                <w:szCs w:val="14"/>
              </w:rPr>
              <w:t>Truelab Uno,</w:t>
            </w:r>
          </w:p>
          <w:p w14:paraId="14DC0498" w14:textId="77777777" w:rsidR="00366CB9" w:rsidRPr="00CE4227" w:rsidRDefault="009D0C1D" w:rsidP="00457B0A">
            <w:pPr>
              <w:pStyle w:val="a6"/>
              <w:shd w:val="clear" w:color="auto" w:fill="auto"/>
              <w:rPr>
                <w:sz w:val="14"/>
                <w:szCs w:val="14"/>
              </w:rPr>
            </w:pPr>
            <w:r w:rsidRPr="00CE4227">
              <w:rPr>
                <w:b w:val="0"/>
                <w:color w:val="000000"/>
                <w:sz w:val="14"/>
                <w:szCs w:val="14"/>
              </w:rPr>
              <w:t>Duo, Quattro</w:t>
            </w:r>
          </w:p>
        </w:tc>
        <w:tc>
          <w:tcPr>
            <w:tcW w:w="912" w:type="dxa"/>
            <w:tcBorders>
              <w:top w:val="single" w:sz="8" w:space="0" w:color="00B050"/>
              <w:bottom w:val="single" w:sz="8" w:space="0" w:color="00B050"/>
            </w:tcBorders>
            <w:shd w:val="clear" w:color="auto" w:fill="FFFFFF"/>
          </w:tcPr>
          <w:p w14:paraId="57A90014" w14:textId="77777777" w:rsidR="00366CB9" w:rsidRPr="00CE4227" w:rsidRDefault="009D0C1D" w:rsidP="00457B0A">
            <w:pPr>
              <w:pStyle w:val="a6"/>
              <w:shd w:val="clear" w:color="auto" w:fill="auto"/>
              <w:rPr>
                <w:i/>
                <w:iCs/>
                <w:sz w:val="14"/>
                <w:szCs w:val="14"/>
              </w:rPr>
            </w:pPr>
            <w:r w:rsidRPr="00CE4227">
              <w:rPr>
                <w:b w:val="0"/>
                <w:i/>
                <w:color w:val="000000"/>
                <w:sz w:val="14"/>
                <w:szCs w:val="14"/>
              </w:rPr>
              <w:t>nrdZ,</w:t>
            </w:r>
          </w:p>
          <w:p w14:paraId="0974D656" w14:textId="77777777" w:rsidR="00366CB9" w:rsidRPr="00CE4227" w:rsidRDefault="009D0C1D" w:rsidP="00457B0A">
            <w:pPr>
              <w:pStyle w:val="a6"/>
              <w:shd w:val="clear" w:color="auto" w:fill="auto"/>
              <w:rPr>
                <w:sz w:val="14"/>
                <w:szCs w:val="14"/>
              </w:rPr>
            </w:pPr>
            <w:r w:rsidRPr="00CE4227">
              <w:rPr>
                <w:b w:val="0"/>
                <w:color w:val="000000"/>
                <w:sz w:val="14"/>
                <w:szCs w:val="14"/>
              </w:rPr>
              <w:t>IS6110</w:t>
            </w:r>
          </w:p>
        </w:tc>
        <w:tc>
          <w:tcPr>
            <w:tcW w:w="965" w:type="dxa"/>
            <w:tcBorders>
              <w:top w:val="single" w:sz="8" w:space="0" w:color="00B050"/>
              <w:bottom w:val="single" w:sz="8" w:space="0" w:color="00B050"/>
            </w:tcBorders>
            <w:shd w:val="clear" w:color="auto" w:fill="FFFFFF"/>
          </w:tcPr>
          <w:p w14:paraId="624F5744" w14:textId="77777777" w:rsidR="00366CB9" w:rsidRPr="00CE4227" w:rsidRDefault="009D0C1D" w:rsidP="00457B0A">
            <w:pPr>
              <w:pStyle w:val="a6"/>
              <w:shd w:val="clear" w:color="auto" w:fill="auto"/>
              <w:rPr>
                <w:sz w:val="14"/>
                <w:szCs w:val="14"/>
              </w:rPr>
            </w:pPr>
            <w:r w:rsidRPr="00CE4227">
              <w:rPr>
                <w:b w:val="0"/>
                <w:color w:val="000000"/>
                <w:sz w:val="14"/>
                <w:szCs w:val="14"/>
              </w:rPr>
              <w:t>Ні</w:t>
            </w:r>
          </w:p>
        </w:tc>
        <w:tc>
          <w:tcPr>
            <w:tcW w:w="931" w:type="dxa"/>
            <w:tcBorders>
              <w:top w:val="single" w:sz="8" w:space="0" w:color="00B050"/>
              <w:bottom w:val="single" w:sz="8" w:space="0" w:color="00B050"/>
            </w:tcBorders>
            <w:shd w:val="clear" w:color="auto" w:fill="FFFFFF"/>
          </w:tcPr>
          <w:p w14:paraId="18D3A41F" w14:textId="77777777" w:rsidR="00366CB9" w:rsidRPr="00CE4227" w:rsidRDefault="009D0C1D" w:rsidP="00457B0A">
            <w:pPr>
              <w:pStyle w:val="a6"/>
              <w:shd w:val="clear" w:color="auto" w:fill="auto"/>
              <w:rPr>
                <w:sz w:val="14"/>
                <w:szCs w:val="14"/>
              </w:rPr>
            </w:pPr>
            <w:r w:rsidRPr="00CE4227">
              <w:rPr>
                <w:b w:val="0"/>
                <w:color w:val="000000"/>
                <w:sz w:val="14"/>
                <w:szCs w:val="14"/>
              </w:rPr>
              <w:t>30 КУО/мл</w:t>
            </w:r>
          </w:p>
        </w:tc>
        <w:tc>
          <w:tcPr>
            <w:tcW w:w="1464" w:type="dxa"/>
            <w:tcBorders>
              <w:top w:val="single" w:sz="8" w:space="0" w:color="00B050"/>
              <w:bottom w:val="single" w:sz="8" w:space="0" w:color="00B050"/>
            </w:tcBorders>
            <w:shd w:val="clear" w:color="auto" w:fill="FFFFFF"/>
          </w:tcPr>
          <w:p w14:paraId="0A4BF9A1" w14:textId="77777777" w:rsidR="00366CB9" w:rsidRPr="00CE4227" w:rsidRDefault="009D0C1D" w:rsidP="00457B0A">
            <w:pPr>
              <w:pStyle w:val="a6"/>
              <w:shd w:val="clear" w:color="auto" w:fill="auto"/>
              <w:rPr>
                <w:sz w:val="14"/>
                <w:szCs w:val="14"/>
              </w:rPr>
            </w:pPr>
            <w:r w:rsidRPr="00CE4227">
              <w:rPr>
                <w:b w:val="0"/>
                <w:color w:val="000000"/>
                <w:sz w:val="14"/>
                <w:szCs w:val="14"/>
              </w:rPr>
              <w:t>Мокротиння, трахеальний матеріал, бронхоальвеолярний лаваж, носоглотковий матеріал та вміст шлунку</w:t>
            </w:r>
          </w:p>
        </w:tc>
        <w:tc>
          <w:tcPr>
            <w:tcW w:w="845" w:type="dxa"/>
            <w:tcBorders>
              <w:top w:val="single" w:sz="8" w:space="0" w:color="00B050"/>
              <w:bottom w:val="single" w:sz="8" w:space="0" w:color="00B050"/>
            </w:tcBorders>
            <w:shd w:val="clear" w:color="auto" w:fill="FFFFFF"/>
          </w:tcPr>
          <w:p w14:paraId="1FB44A17" w14:textId="77777777" w:rsidR="00366CB9" w:rsidRPr="00CE4227" w:rsidRDefault="009D0C1D" w:rsidP="00457B0A">
            <w:pPr>
              <w:pStyle w:val="a6"/>
              <w:shd w:val="clear" w:color="auto" w:fill="auto"/>
              <w:rPr>
                <w:sz w:val="14"/>
                <w:szCs w:val="14"/>
              </w:rPr>
            </w:pPr>
            <w:r w:rsidRPr="00CE4227">
              <w:rPr>
                <w:b w:val="0"/>
                <w:color w:val="000000"/>
                <w:sz w:val="14"/>
                <w:szCs w:val="14"/>
              </w:rPr>
              <w:t>60 хв</w:t>
            </w:r>
          </w:p>
        </w:tc>
        <w:tc>
          <w:tcPr>
            <w:tcW w:w="1747" w:type="dxa"/>
            <w:tcBorders>
              <w:top w:val="single" w:sz="8" w:space="0" w:color="00B050"/>
              <w:bottom w:val="single" w:sz="8" w:space="0" w:color="00B050"/>
            </w:tcBorders>
            <w:shd w:val="clear" w:color="auto" w:fill="FFFFFF"/>
          </w:tcPr>
          <w:p w14:paraId="628B1B76" w14:textId="77777777" w:rsidR="00366CB9" w:rsidRPr="00CE4227" w:rsidRDefault="009D0C1D" w:rsidP="00457B0A">
            <w:pPr>
              <w:pStyle w:val="a6"/>
              <w:shd w:val="clear" w:color="auto" w:fill="auto"/>
              <w:rPr>
                <w:sz w:val="14"/>
                <w:szCs w:val="14"/>
              </w:rPr>
            </w:pPr>
            <w:r w:rsidRPr="00CE4227">
              <w:rPr>
                <w:b w:val="0"/>
                <w:color w:val="000000"/>
                <w:sz w:val="14"/>
                <w:szCs w:val="14"/>
              </w:rPr>
              <w:t>Початкове тестування та застосування для супутнього тестування людей, які живуть з ВІЛ</w:t>
            </w:r>
          </w:p>
        </w:tc>
        <w:tc>
          <w:tcPr>
            <w:tcW w:w="1387" w:type="dxa"/>
            <w:tcBorders>
              <w:top w:val="single" w:sz="8" w:space="0" w:color="00B050"/>
              <w:bottom w:val="single" w:sz="8" w:space="0" w:color="00B050"/>
            </w:tcBorders>
            <w:shd w:val="clear" w:color="auto" w:fill="FFFFFF"/>
          </w:tcPr>
          <w:p w14:paraId="0DA9662C" w14:textId="77777777" w:rsidR="00366CB9" w:rsidRPr="00CE4227" w:rsidRDefault="009D0C1D" w:rsidP="00457B0A">
            <w:pPr>
              <w:pStyle w:val="a6"/>
              <w:shd w:val="clear" w:color="auto" w:fill="auto"/>
              <w:rPr>
                <w:sz w:val="14"/>
                <w:szCs w:val="14"/>
              </w:rPr>
            </w:pPr>
            <w:r w:rsidRPr="00CE4227">
              <w:rPr>
                <w:b w:val="0"/>
                <w:color w:val="000000"/>
                <w:sz w:val="14"/>
                <w:szCs w:val="14"/>
              </w:rPr>
              <w:t>Живлення від акумулятора, потужність для заряджання, робоча температура</w:t>
            </w:r>
          </w:p>
          <w:p w14:paraId="36C15377" w14:textId="77777777" w:rsidR="00366CB9" w:rsidRPr="00CE4227" w:rsidRDefault="009D0C1D" w:rsidP="00457B0A">
            <w:pPr>
              <w:pStyle w:val="a6"/>
              <w:shd w:val="clear" w:color="auto" w:fill="auto"/>
              <w:rPr>
                <w:sz w:val="14"/>
                <w:szCs w:val="14"/>
              </w:rPr>
            </w:pPr>
            <w:r w:rsidRPr="00CE4227">
              <w:rPr>
                <w:b w:val="0"/>
                <w:color w:val="000000"/>
                <w:sz w:val="14"/>
                <w:szCs w:val="14"/>
              </w:rPr>
              <w:t>15-40 °C</w:t>
            </w:r>
          </w:p>
        </w:tc>
        <w:tc>
          <w:tcPr>
            <w:tcW w:w="1008" w:type="dxa"/>
            <w:tcBorders>
              <w:top w:val="single" w:sz="8" w:space="0" w:color="00B050"/>
              <w:bottom w:val="single" w:sz="8" w:space="0" w:color="00B050"/>
            </w:tcBorders>
            <w:shd w:val="clear" w:color="auto" w:fill="FFFFFF"/>
          </w:tcPr>
          <w:p w14:paraId="31ABDFE3" w14:textId="77777777" w:rsidR="00366CB9" w:rsidRPr="00CE4227" w:rsidRDefault="009D0C1D" w:rsidP="00457B0A">
            <w:pPr>
              <w:pStyle w:val="a6"/>
              <w:shd w:val="clear" w:color="auto" w:fill="auto"/>
              <w:rPr>
                <w:sz w:val="14"/>
                <w:szCs w:val="14"/>
              </w:rPr>
            </w:pPr>
            <w:r w:rsidRPr="00CE4227">
              <w:rPr>
                <w:b w:val="0"/>
                <w:color w:val="000000"/>
                <w:sz w:val="14"/>
                <w:szCs w:val="14"/>
              </w:rPr>
              <w:t>2-30 °C,</w:t>
            </w:r>
          </w:p>
          <w:p w14:paraId="29B8D145" w14:textId="77777777" w:rsidR="00366CB9" w:rsidRPr="00CE4227" w:rsidRDefault="009D0C1D" w:rsidP="00457B0A">
            <w:pPr>
              <w:pStyle w:val="a6"/>
              <w:shd w:val="clear" w:color="auto" w:fill="auto"/>
              <w:rPr>
                <w:sz w:val="14"/>
                <w:szCs w:val="14"/>
              </w:rPr>
            </w:pPr>
            <w:r w:rsidRPr="00CE4227">
              <w:rPr>
                <w:b w:val="0"/>
                <w:color w:val="000000"/>
                <w:sz w:val="14"/>
                <w:szCs w:val="14"/>
              </w:rPr>
              <w:t>2 роки</w:t>
            </w:r>
          </w:p>
        </w:tc>
        <w:tc>
          <w:tcPr>
            <w:tcW w:w="835" w:type="dxa"/>
            <w:tcBorders>
              <w:top w:val="single" w:sz="8" w:space="0" w:color="00B050"/>
              <w:bottom w:val="single" w:sz="8" w:space="0" w:color="00B050"/>
            </w:tcBorders>
            <w:shd w:val="clear" w:color="auto" w:fill="FFFFFF"/>
          </w:tcPr>
          <w:p w14:paraId="32411AAF" w14:textId="77777777" w:rsidR="00366CB9" w:rsidRPr="00CE4227" w:rsidRDefault="009D0C1D" w:rsidP="00457B0A">
            <w:pPr>
              <w:pStyle w:val="a6"/>
              <w:shd w:val="clear" w:color="auto" w:fill="auto"/>
              <w:rPr>
                <w:sz w:val="14"/>
                <w:szCs w:val="14"/>
              </w:rPr>
            </w:pPr>
            <w:r w:rsidRPr="00CE4227">
              <w:rPr>
                <w:b w:val="0"/>
                <w:color w:val="000000"/>
                <w:sz w:val="14"/>
                <w:szCs w:val="14"/>
              </w:rPr>
              <w:t>7-9 на реакційну камеру</w:t>
            </w:r>
          </w:p>
        </w:tc>
      </w:tr>
      <w:tr w:rsidR="00366CB9" w14:paraId="3DEBE62C" w14:textId="77777777" w:rsidTr="00546B4F">
        <w:trPr>
          <w:trHeight w:hRule="exact" w:val="1163"/>
        </w:trPr>
        <w:tc>
          <w:tcPr>
            <w:tcW w:w="1109" w:type="dxa"/>
            <w:shd w:val="clear" w:color="auto" w:fill="FFFFFF"/>
          </w:tcPr>
          <w:p w14:paraId="304D86BC" w14:textId="77777777" w:rsidR="00366CB9" w:rsidRPr="00CE4227" w:rsidRDefault="00366CB9" w:rsidP="00457B0A">
            <w:pPr>
              <w:rPr>
                <w:b/>
                <w:bCs/>
                <w:sz w:val="14"/>
                <w:szCs w:val="14"/>
              </w:rPr>
            </w:pPr>
          </w:p>
        </w:tc>
        <w:tc>
          <w:tcPr>
            <w:tcW w:w="1051" w:type="dxa"/>
            <w:tcBorders>
              <w:top w:val="single" w:sz="8" w:space="0" w:color="00B050"/>
              <w:bottom w:val="single" w:sz="8" w:space="0" w:color="00B050"/>
            </w:tcBorders>
            <w:shd w:val="clear" w:color="auto" w:fill="FFFFFF"/>
          </w:tcPr>
          <w:p w14:paraId="2936986A" w14:textId="77777777" w:rsidR="00366CB9" w:rsidRPr="00CE4227" w:rsidRDefault="009D0C1D" w:rsidP="00457B0A">
            <w:pPr>
              <w:pStyle w:val="a6"/>
              <w:shd w:val="clear" w:color="auto" w:fill="auto"/>
              <w:rPr>
                <w:sz w:val="14"/>
                <w:szCs w:val="14"/>
              </w:rPr>
            </w:pPr>
            <w:r w:rsidRPr="00CE4227">
              <w:rPr>
                <w:b w:val="0"/>
                <w:color w:val="000000"/>
                <w:sz w:val="14"/>
                <w:szCs w:val="14"/>
              </w:rPr>
              <w:t>Truenat</w:t>
            </w:r>
          </w:p>
          <w:p w14:paraId="2E81E43D"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MTB-RIF Dx</w:t>
            </w:r>
          </w:p>
        </w:tc>
        <w:tc>
          <w:tcPr>
            <w:tcW w:w="1387" w:type="dxa"/>
            <w:tcBorders>
              <w:top w:val="single" w:sz="8" w:space="0" w:color="00B050"/>
              <w:bottom w:val="single" w:sz="8" w:space="0" w:color="00B050"/>
            </w:tcBorders>
            <w:shd w:val="clear" w:color="auto" w:fill="FFFFFF"/>
          </w:tcPr>
          <w:p w14:paraId="481DC7CF" w14:textId="77777777" w:rsidR="00366CB9" w:rsidRPr="00CE4227" w:rsidRDefault="009D0C1D" w:rsidP="00457B0A">
            <w:pPr>
              <w:pStyle w:val="a6"/>
              <w:shd w:val="clear" w:color="auto" w:fill="auto"/>
              <w:rPr>
                <w:sz w:val="14"/>
                <w:szCs w:val="14"/>
              </w:rPr>
            </w:pPr>
            <w:r w:rsidRPr="00CE4227">
              <w:rPr>
                <w:b w:val="0"/>
                <w:color w:val="000000"/>
                <w:sz w:val="14"/>
                <w:szCs w:val="14"/>
              </w:rPr>
              <w:t>Molbio</w:t>
            </w:r>
          </w:p>
        </w:tc>
        <w:tc>
          <w:tcPr>
            <w:tcW w:w="1334" w:type="dxa"/>
            <w:tcBorders>
              <w:top w:val="single" w:sz="8" w:space="0" w:color="00B050"/>
              <w:bottom w:val="single" w:sz="8" w:space="0" w:color="00B050"/>
            </w:tcBorders>
            <w:shd w:val="clear" w:color="auto" w:fill="FFFFFF"/>
          </w:tcPr>
          <w:p w14:paraId="39872D43" w14:textId="77777777" w:rsidR="00366CB9" w:rsidRPr="00CE4227" w:rsidRDefault="009D0C1D" w:rsidP="00457B0A">
            <w:pPr>
              <w:pStyle w:val="a6"/>
              <w:shd w:val="clear" w:color="auto" w:fill="auto"/>
              <w:rPr>
                <w:sz w:val="14"/>
                <w:szCs w:val="14"/>
              </w:rPr>
            </w:pPr>
            <w:r w:rsidRPr="00CE4227">
              <w:rPr>
                <w:b w:val="0"/>
                <w:color w:val="000000"/>
                <w:sz w:val="14"/>
                <w:szCs w:val="14"/>
              </w:rPr>
              <w:t>Truelab Uno,</w:t>
            </w:r>
          </w:p>
          <w:p w14:paraId="11E02DBF"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Duo та</w:t>
            </w:r>
          </w:p>
          <w:p w14:paraId="6047BA06" w14:textId="77777777" w:rsidR="00366CB9" w:rsidRPr="00CE4227" w:rsidRDefault="009D0C1D" w:rsidP="00457B0A">
            <w:pPr>
              <w:pStyle w:val="a6"/>
              <w:shd w:val="clear" w:color="auto" w:fill="auto"/>
              <w:rPr>
                <w:sz w:val="14"/>
                <w:szCs w:val="14"/>
              </w:rPr>
            </w:pPr>
            <w:r w:rsidRPr="00CE4227">
              <w:rPr>
                <w:b w:val="0"/>
                <w:color w:val="000000"/>
                <w:sz w:val="14"/>
                <w:szCs w:val="14"/>
              </w:rPr>
              <w:t>Quattro</w:t>
            </w:r>
          </w:p>
        </w:tc>
        <w:tc>
          <w:tcPr>
            <w:tcW w:w="912" w:type="dxa"/>
            <w:tcBorders>
              <w:top w:val="single" w:sz="8" w:space="0" w:color="00B050"/>
              <w:bottom w:val="single" w:sz="8" w:space="0" w:color="00B050"/>
            </w:tcBorders>
            <w:shd w:val="clear" w:color="auto" w:fill="FFFFFF"/>
          </w:tcPr>
          <w:p w14:paraId="3AB85684" w14:textId="77777777" w:rsidR="00366CB9" w:rsidRPr="00CE4227" w:rsidRDefault="009D0C1D" w:rsidP="00457B0A">
            <w:pPr>
              <w:pStyle w:val="a6"/>
              <w:shd w:val="clear" w:color="auto" w:fill="auto"/>
              <w:rPr>
                <w:sz w:val="14"/>
                <w:szCs w:val="14"/>
              </w:rPr>
            </w:pPr>
            <w:r w:rsidRPr="00CE4227">
              <w:rPr>
                <w:b w:val="0"/>
                <w:i/>
                <w:color w:val="000000"/>
                <w:sz w:val="14"/>
                <w:szCs w:val="14"/>
              </w:rPr>
              <w:t>rpoB</w:t>
            </w:r>
          </w:p>
        </w:tc>
        <w:tc>
          <w:tcPr>
            <w:tcW w:w="965" w:type="dxa"/>
            <w:tcBorders>
              <w:top w:val="single" w:sz="8" w:space="0" w:color="00B050"/>
              <w:bottom w:val="single" w:sz="8" w:space="0" w:color="00B050"/>
            </w:tcBorders>
            <w:shd w:val="clear" w:color="auto" w:fill="FFFFFF"/>
          </w:tcPr>
          <w:p w14:paraId="4CDBD3BA" w14:textId="77777777" w:rsidR="00366CB9" w:rsidRPr="00CE4227" w:rsidRDefault="009D0C1D" w:rsidP="00457B0A">
            <w:pPr>
              <w:pStyle w:val="a6"/>
              <w:shd w:val="clear" w:color="auto" w:fill="auto"/>
              <w:rPr>
                <w:sz w:val="14"/>
                <w:szCs w:val="14"/>
              </w:rPr>
            </w:pPr>
            <w:r w:rsidRPr="00CE4227">
              <w:rPr>
                <w:b w:val="0"/>
                <w:color w:val="000000"/>
                <w:sz w:val="14"/>
                <w:szCs w:val="14"/>
              </w:rPr>
              <w:t>RIF</w:t>
            </w:r>
          </w:p>
        </w:tc>
        <w:tc>
          <w:tcPr>
            <w:tcW w:w="931" w:type="dxa"/>
            <w:tcBorders>
              <w:top w:val="single" w:sz="8" w:space="0" w:color="00B050"/>
              <w:bottom w:val="single" w:sz="8" w:space="0" w:color="00B050"/>
            </w:tcBorders>
            <w:shd w:val="clear" w:color="auto" w:fill="FFFFFF"/>
          </w:tcPr>
          <w:p w14:paraId="2856753E" w14:textId="77777777" w:rsidR="00366CB9" w:rsidRPr="00CE4227" w:rsidRDefault="009D0C1D" w:rsidP="00457B0A">
            <w:pPr>
              <w:pStyle w:val="a6"/>
              <w:shd w:val="clear" w:color="auto" w:fill="auto"/>
              <w:rPr>
                <w:sz w:val="14"/>
                <w:szCs w:val="14"/>
              </w:rPr>
            </w:pPr>
            <w:r w:rsidRPr="00CE4227">
              <w:rPr>
                <w:b w:val="0"/>
                <w:color w:val="000000"/>
                <w:sz w:val="14"/>
                <w:szCs w:val="14"/>
              </w:rPr>
              <w:t>Н/З</w:t>
            </w:r>
          </w:p>
        </w:tc>
        <w:tc>
          <w:tcPr>
            <w:tcW w:w="1464" w:type="dxa"/>
            <w:tcBorders>
              <w:top w:val="single" w:sz="8" w:space="0" w:color="00B050"/>
              <w:bottom w:val="single" w:sz="8" w:space="0" w:color="00B050"/>
            </w:tcBorders>
            <w:shd w:val="clear" w:color="auto" w:fill="FFFFFF"/>
          </w:tcPr>
          <w:p w14:paraId="17DC89DE" w14:textId="77777777" w:rsidR="00366CB9" w:rsidRPr="00CE4227" w:rsidRDefault="009D0C1D" w:rsidP="00457B0A">
            <w:pPr>
              <w:pStyle w:val="a6"/>
              <w:shd w:val="clear" w:color="auto" w:fill="auto"/>
              <w:rPr>
                <w:sz w:val="14"/>
                <w:szCs w:val="14"/>
              </w:rPr>
            </w:pPr>
            <w:r w:rsidRPr="00CE4227">
              <w:rPr>
                <w:b w:val="0"/>
                <w:color w:val="000000"/>
                <w:sz w:val="14"/>
                <w:szCs w:val="14"/>
              </w:rPr>
              <w:t>Мокротиння, трахеальний матеріал, бронхоальвеолярний лаваж, носоглотковий матеріал та вміст шлунку</w:t>
            </w:r>
          </w:p>
        </w:tc>
        <w:tc>
          <w:tcPr>
            <w:tcW w:w="845" w:type="dxa"/>
            <w:tcBorders>
              <w:top w:val="single" w:sz="8" w:space="0" w:color="00B050"/>
              <w:bottom w:val="single" w:sz="8" w:space="0" w:color="00B050"/>
            </w:tcBorders>
            <w:shd w:val="clear" w:color="auto" w:fill="FFFFFF"/>
          </w:tcPr>
          <w:p w14:paraId="02A1C1EC" w14:textId="77777777" w:rsidR="00366CB9" w:rsidRPr="00CE4227" w:rsidRDefault="009D0C1D" w:rsidP="00457B0A">
            <w:pPr>
              <w:pStyle w:val="a6"/>
              <w:shd w:val="clear" w:color="auto" w:fill="auto"/>
              <w:rPr>
                <w:sz w:val="14"/>
                <w:szCs w:val="14"/>
              </w:rPr>
            </w:pPr>
            <w:r w:rsidRPr="00CE4227">
              <w:rPr>
                <w:b w:val="0"/>
                <w:color w:val="000000"/>
                <w:sz w:val="14"/>
                <w:szCs w:val="14"/>
              </w:rPr>
              <w:t>60 хв</w:t>
            </w:r>
          </w:p>
        </w:tc>
        <w:tc>
          <w:tcPr>
            <w:tcW w:w="1747" w:type="dxa"/>
            <w:tcBorders>
              <w:top w:val="single" w:sz="8" w:space="0" w:color="00B050"/>
              <w:bottom w:val="single" w:sz="8" w:space="0" w:color="00B050"/>
            </w:tcBorders>
            <w:shd w:val="clear" w:color="auto" w:fill="FFFFFF"/>
          </w:tcPr>
          <w:p w14:paraId="12993E06" w14:textId="77777777" w:rsidR="00366CB9" w:rsidRPr="00CE4227" w:rsidRDefault="009D0C1D" w:rsidP="00457B0A">
            <w:pPr>
              <w:pStyle w:val="a6"/>
              <w:shd w:val="clear" w:color="auto" w:fill="auto"/>
              <w:spacing w:line="233" w:lineRule="auto"/>
              <w:rPr>
                <w:sz w:val="14"/>
                <w:szCs w:val="14"/>
              </w:rPr>
            </w:pPr>
            <w:r w:rsidRPr="00CE4227">
              <w:rPr>
                <w:b w:val="0"/>
                <w:color w:val="000000"/>
                <w:sz w:val="14"/>
                <w:szCs w:val="14"/>
              </w:rPr>
              <w:t>Контрольний аналіз на виявлення резистентності до RIF після тесту MTB Plus</w:t>
            </w:r>
          </w:p>
        </w:tc>
        <w:tc>
          <w:tcPr>
            <w:tcW w:w="1387" w:type="dxa"/>
            <w:tcBorders>
              <w:top w:val="single" w:sz="8" w:space="0" w:color="00B050"/>
              <w:bottom w:val="single" w:sz="8" w:space="0" w:color="00B050"/>
            </w:tcBorders>
            <w:shd w:val="clear" w:color="auto" w:fill="FFFFFF"/>
          </w:tcPr>
          <w:p w14:paraId="1BED2402" w14:textId="77777777" w:rsidR="00366CB9" w:rsidRPr="00CE4227" w:rsidRDefault="009D0C1D" w:rsidP="00457B0A">
            <w:pPr>
              <w:pStyle w:val="a6"/>
              <w:shd w:val="clear" w:color="auto" w:fill="auto"/>
              <w:rPr>
                <w:sz w:val="14"/>
                <w:szCs w:val="14"/>
              </w:rPr>
            </w:pPr>
            <w:r w:rsidRPr="00CE4227">
              <w:rPr>
                <w:b w:val="0"/>
                <w:color w:val="000000"/>
                <w:sz w:val="14"/>
                <w:szCs w:val="14"/>
              </w:rPr>
              <w:t>Живлення від акумулятора, потужність для заряджання, робоча температура</w:t>
            </w:r>
          </w:p>
          <w:p w14:paraId="738B1134" w14:textId="77777777" w:rsidR="00366CB9" w:rsidRPr="00CE4227" w:rsidRDefault="009D0C1D" w:rsidP="00457B0A">
            <w:pPr>
              <w:pStyle w:val="a6"/>
              <w:shd w:val="clear" w:color="auto" w:fill="auto"/>
              <w:rPr>
                <w:sz w:val="14"/>
                <w:szCs w:val="14"/>
              </w:rPr>
            </w:pPr>
            <w:r w:rsidRPr="00CE4227">
              <w:rPr>
                <w:b w:val="0"/>
                <w:color w:val="000000"/>
                <w:sz w:val="14"/>
                <w:szCs w:val="14"/>
              </w:rPr>
              <w:t>15-40 °C</w:t>
            </w:r>
          </w:p>
        </w:tc>
        <w:tc>
          <w:tcPr>
            <w:tcW w:w="1008" w:type="dxa"/>
            <w:tcBorders>
              <w:top w:val="single" w:sz="8" w:space="0" w:color="00B050"/>
              <w:bottom w:val="single" w:sz="8" w:space="0" w:color="00B050"/>
            </w:tcBorders>
            <w:shd w:val="clear" w:color="auto" w:fill="FFFFFF"/>
          </w:tcPr>
          <w:p w14:paraId="391FE5BC" w14:textId="77777777" w:rsidR="00366CB9" w:rsidRPr="00CE4227" w:rsidRDefault="009D0C1D" w:rsidP="00457B0A">
            <w:pPr>
              <w:pStyle w:val="a6"/>
              <w:shd w:val="clear" w:color="auto" w:fill="auto"/>
              <w:rPr>
                <w:sz w:val="14"/>
                <w:szCs w:val="14"/>
              </w:rPr>
            </w:pPr>
            <w:r w:rsidRPr="00CE4227">
              <w:rPr>
                <w:b w:val="0"/>
                <w:color w:val="000000"/>
                <w:sz w:val="14"/>
                <w:szCs w:val="14"/>
              </w:rPr>
              <w:t>2-30 °C,</w:t>
            </w:r>
          </w:p>
          <w:p w14:paraId="17BD423A"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2 роки</w:t>
            </w:r>
          </w:p>
        </w:tc>
        <w:tc>
          <w:tcPr>
            <w:tcW w:w="835" w:type="dxa"/>
            <w:tcBorders>
              <w:top w:val="single" w:sz="8" w:space="0" w:color="00B050"/>
              <w:bottom w:val="single" w:sz="8" w:space="0" w:color="00B050"/>
            </w:tcBorders>
            <w:shd w:val="clear" w:color="auto" w:fill="FFFFFF"/>
          </w:tcPr>
          <w:p w14:paraId="52A2783F" w14:textId="77777777" w:rsidR="00366CB9" w:rsidRPr="00CE4227" w:rsidRDefault="009D0C1D" w:rsidP="00457B0A">
            <w:pPr>
              <w:pStyle w:val="a6"/>
              <w:shd w:val="clear" w:color="auto" w:fill="auto"/>
              <w:rPr>
                <w:sz w:val="14"/>
                <w:szCs w:val="14"/>
              </w:rPr>
            </w:pPr>
            <w:r w:rsidRPr="00CE4227">
              <w:rPr>
                <w:b w:val="0"/>
                <w:color w:val="000000"/>
                <w:sz w:val="14"/>
                <w:szCs w:val="14"/>
              </w:rPr>
              <w:t>7-9 на реакційну камеру</w:t>
            </w:r>
          </w:p>
        </w:tc>
      </w:tr>
      <w:tr w:rsidR="00366CB9" w14:paraId="52778BDE" w14:textId="77777777" w:rsidTr="00546B4F">
        <w:trPr>
          <w:trHeight w:hRule="exact" w:val="2541"/>
        </w:trPr>
        <w:tc>
          <w:tcPr>
            <w:tcW w:w="1109" w:type="dxa"/>
            <w:tcBorders>
              <w:bottom w:val="single" w:sz="8" w:space="0" w:color="00B050"/>
            </w:tcBorders>
            <w:shd w:val="clear" w:color="auto" w:fill="FFFFFF"/>
          </w:tcPr>
          <w:p w14:paraId="1DEA054C" w14:textId="77777777" w:rsidR="00366CB9" w:rsidRPr="00CE4227" w:rsidRDefault="00366CB9" w:rsidP="00457B0A">
            <w:pPr>
              <w:rPr>
                <w:b/>
                <w:bCs/>
                <w:sz w:val="14"/>
                <w:szCs w:val="14"/>
              </w:rPr>
            </w:pPr>
          </w:p>
        </w:tc>
        <w:tc>
          <w:tcPr>
            <w:tcW w:w="1051" w:type="dxa"/>
            <w:tcBorders>
              <w:top w:val="single" w:sz="8" w:space="0" w:color="00B050"/>
              <w:bottom w:val="single" w:sz="8" w:space="0" w:color="00B050"/>
            </w:tcBorders>
            <w:shd w:val="clear" w:color="auto" w:fill="FFFFFF"/>
          </w:tcPr>
          <w:p w14:paraId="35D9E9E2" w14:textId="77777777" w:rsidR="00366CB9" w:rsidRPr="00CE4227" w:rsidRDefault="009D0C1D" w:rsidP="00457B0A">
            <w:pPr>
              <w:pStyle w:val="a6"/>
              <w:shd w:val="clear" w:color="auto" w:fill="auto"/>
              <w:rPr>
                <w:sz w:val="14"/>
                <w:szCs w:val="14"/>
              </w:rPr>
            </w:pPr>
            <w:r w:rsidRPr="00CE4227">
              <w:rPr>
                <w:b w:val="0"/>
                <w:color w:val="000000"/>
                <w:sz w:val="14"/>
                <w:szCs w:val="14"/>
              </w:rPr>
              <w:t>Xpert MTB/</w:t>
            </w:r>
          </w:p>
          <w:p w14:paraId="03EE6290"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RIF Ultra</w:t>
            </w:r>
          </w:p>
        </w:tc>
        <w:tc>
          <w:tcPr>
            <w:tcW w:w="1387" w:type="dxa"/>
            <w:tcBorders>
              <w:top w:val="single" w:sz="8" w:space="0" w:color="00B050"/>
              <w:bottom w:val="single" w:sz="8" w:space="0" w:color="00B050"/>
            </w:tcBorders>
            <w:shd w:val="clear" w:color="auto" w:fill="FFFFFF"/>
          </w:tcPr>
          <w:p w14:paraId="6B47F185" w14:textId="77777777" w:rsidR="00366CB9" w:rsidRPr="00CE4227" w:rsidRDefault="009D0C1D" w:rsidP="00457B0A">
            <w:pPr>
              <w:pStyle w:val="a6"/>
              <w:shd w:val="clear" w:color="auto" w:fill="auto"/>
              <w:rPr>
                <w:sz w:val="14"/>
                <w:szCs w:val="14"/>
              </w:rPr>
            </w:pPr>
            <w:r w:rsidRPr="00CE4227">
              <w:rPr>
                <w:b w:val="0"/>
                <w:color w:val="000000"/>
                <w:sz w:val="14"/>
                <w:szCs w:val="14"/>
              </w:rPr>
              <w:t>Cepheid</w:t>
            </w:r>
          </w:p>
        </w:tc>
        <w:tc>
          <w:tcPr>
            <w:tcW w:w="1334" w:type="dxa"/>
            <w:tcBorders>
              <w:top w:val="single" w:sz="8" w:space="0" w:color="00B050"/>
              <w:bottom w:val="single" w:sz="8" w:space="0" w:color="00B050"/>
            </w:tcBorders>
            <w:shd w:val="clear" w:color="auto" w:fill="FFFFFF"/>
          </w:tcPr>
          <w:p w14:paraId="420978E5" w14:textId="77777777" w:rsidR="00366CB9" w:rsidRPr="00CE4227" w:rsidRDefault="009D0C1D" w:rsidP="00457B0A">
            <w:pPr>
              <w:pStyle w:val="a6"/>
              <w:shd w:val="clear" w:color="auto" w:fill="auto"/>
              <w:rPr>
                <w:sz w:val="14"/>
                <w:szCs w:val="14"/>
              </w:rPr>
            </w:pPr>
            <w:r w:rsidRPr="00CE4227">
              <w:rPr>
                <w:b w:val="0"/>
                <w:color w:val="000000"/>
                <w:sz w:val="14"/>
                <w:szCs w:val="14"/>
              </w:rPr>
              <w:t>GeneXpert I, II, IV, XVI та Infinity, вимагає 6- або 10-колірний модуль</w:t>
            </w:r>
          </w:p>
        </w:tc>
        <w:tc>
          <w:tcPr>
            <w:tcW w:w="912" w:type="dxa"/>
            <w:tcBorders>
              <w:top w:val="single" w:sz="8" w:space="0" w:color="00B050"/>
              <w:bottom w:val="single" w:sz="8" w:space="0" w:color="00B050"/>
            </w:tcBorders>
            <w:shd w:val="clear" w:color="auto" w:fill="FFFFFF"/>
          </w:tcPr>
          <w:p w14:paraId="006FD385" w14:textId="77777777" w:rsidR="00366CB9" w:rsidRPr="00CE4227" w:rsidRDefault="009D0C1D" w:rsidP="00457B0A">
            <w:pPr>
              <w:pStyle w:val="a6"/>
              <w:shd w:val="clear" w:color="auto" w:fill="auto"/>
              <w:rPr>
                <w:sz w:val="14"/>
                <w:szCs w:val="14"/>
              </w:rPr>
            </w:pPr>
            <w:r w:rsidRPr="00CE4227">
              <w:rPr>
                <w:b w:val="0"/>
                <w:color w:val="000000"/>
                <w:sz w:val="14"/>
                <w:szCs w:val="14"/>
              </w:rPr>
              <w:t>IS6110,</w:t>
            </w:r>
          </w:p>
          <w:p w14:paraId="5D123F20" w14:textId="77777777" w:rsidR="00366CB9" w:rsidRPr="00CE4227" w:rsidRDefault="009D0C1D" w:rsidP="00457B0A">
            <w:pPr>
              <w:pStyle w:val="a6"/>
              <w:shd w:val="clear" w:color="auto" w:fill="auto"/>
              <w:rPr>
                <w:sz w:val="14"/>
                <w:szCs w:val="14"/>
              </w:rPr>
            </w:pPr>
            <w:r w:rsidRPr="00CE4227">
              <w:rPr>
                <w:b w:val="0"/>
                <w:color w:val="000000"/>
                <w:sz w:val="14"/>
                <w:szCs w:val="14"/>
              </w:rPr>
              <w:t xml:space="preserve">IS1081, </w:t>
            </w:r>
            <w:r w:rsidRPr="00CE4227">
              <w:rPr>
                <w:b w:val="0"/>
                <w:i/>
                <w:color w:val="000000"/>
                <w:sz w:val="14"/>
                <w:szCs w:val="14"/>
              </w:rPr>
              <w:t>rpoB</w:t>
            </w:r>
          </w:p>
        </w:tc>
        <w:tc>
          <w:tcPr>
            <w:tcW w:w="965" w:type="dxa"/>
            <w:tcBorders>
              <w:top w:val="single" w:sz="8" w:space="0" w:color="00B050"/>
              <w:bottom w:val="single" w:sz="8" w:space="0" w:color="00B050"/>
            </w:tcBorders>
            <w:shd w:val="clear" w:color="auto" w:fill="FFFFFF"/>
          </w:tcPr>
          <w:p w14:paraId="200C961B" w14:textId="77777777" w:rsidR="00366CB9" w:rsidRPr="00CE4227" w:rsidRDefault="009D0C1D" w:rsidP="00457B0A">
            <w:pPr>
              <w:pStyle w:val="a6"/>
              <w:shd w:val="clear" w:color="auto" w:fill="auto"/>
              <w:rPr>
                <w:sz w:val="14"/>
                <w:szCs w:val="14"/>
              </w:rPr>
            </w:pPr>
            <w:r w:rsidRPr="00CE4227">
              <w:rPr>
                <w:b w:val="0"/>
                <w:color w:val="000000"/>
                <w:sz w:val="14"/>
                <w:szCs w:val="14"/>
              </w:rPr>
              <w:t>RIF</w:t>
            </w:r>
          </w:p>
        </w:tc>
        <w:tc>
          <w:tcPr>
            <w:tcW w:w="931" w:type="dxa"/>
            <w:tcBorders>
              <w:top w:val="single" w:sz="8" w:space="0" w:color="00B050"/>
              <w:bottom w:val="single" w:sz="8" w:space="0" w:color="00B050"/>
            </w:tcBorders>
            <w:shd w:val="clear" w:color="auto" w:fill="FFFFFF"/>
          </w:tcPr>
          <w:p w14:paraId="1DE742D5" w14:textId="77777777" w:rsidR="00366CB9" w:rsidRPr="00CE4227" w:rsidRDefault="009D0C1D" w:rsidP="00457B0A">
            <w:pPr>
              <w:pStyle w:val="a6"/>
              <w:shd w:val="clear" w:color="auto" w:fill="auto"/>
              <w:rPr>
                <w:sz w:val="14"/>
                <w:szCs w:val="14"/>
              </w:rPr>
            </w:pPr>
            <w:r w:rsidRPr="00CE4227">
              <w:rPr>
                <w:b w:val="0"/>
                <w:color w:val="000000"/>
                <w:sz w:val="14"/>
                <w:szCs w:val="14"/>
              </w:rPr>
              <w:t>16 КУО/мл</w:t>
            </w:r>
          </w:p>
        </w:tc>
        <w:tc>
          <w:tcPr>
            <w:tcW w:w="1464" w:type="dxa"/>
            <w:tcBorders>
              <w:top w:val="single" w:sz="8" w:space="0" w:color="00B050"/>
              <w:bottom w:val="single" w:sz="8" w:space="0" w:color="00B050"/>
            </w:tcBorders>
            <w:shd w:val="clear" w:color="auto" w:fill="FFFFFF"/>
          </w:tcPr>
          <w:p w14:paraId="4BFBA19F" w14:textId="77777777" w:rsidR="00366CB9" w:rsidRPr="00CE4227" w:rsidRDefault="009D0C1D" w:rsidP="00457B0A">
            <w:pPr>
              <w:pStyle w:val="a6"/>
              <w:shd w:val="clear" w:color="auto" w:fill="auto"/>
              <w:rPr>
                <w:sz w:val="14"/>
                <w:szCs w:val="14"/>
              </w:rPr>
            </w:pPr>
            <w:r w:rsidRPr="00CE4227">
              <w:rPr>
                <w:b w:val="0"/>
                <w:color w:val="000000"/>
                <w:sz w:val="14"/>
                <w:szCs w:val="14"/>
              </w:rPr>
              <w:t>Мокротиння, трахеальний матеріал, бронхоальвеолярний лаваж, носоглотковий матеріал, вміст шлунку, кал, СМР, матеріали тканини лімфатичних вузлів, плевральна тканина, плевральна, синовіальна, перитонеальна та перикардіальна рідина</w:t>
            </w:r>
          </w:p>
        </w:tc>
        <w:tc>
          <w:tcPr>
            <w:tcW w:w="845" w:type="dxa"/>
            <w:tcBorders>
              <w:top w:val="single" w:sz="8" w:space="0" w:color="00B050"/>
              <w:bottom w:val="single" w:sz="8" w:space="0" w:color="00B050"/>
            </w:tcBorders>
            <w:shd w:val="clear" w:color="auto" w:fill="FFFFFF"/>
          </w:tcPr>
          <w:p w14:paraId="0F742C1A" w14:textId="77777777" w:rsidR="00366CB9" w:rsidRPr="00CE4227" w:rsidRDefault="009D0C1D" w:rsidP="00457B0A">
            <w:pPr>
              <w:pStyle w:val="a6"/>
              <w:shd w:val="clear" w:color="auto" w:fill="auto"/>
              <w:rPr>
                <w:sz w:val="14"/>
                <w:szCs w:val="14"/>
              </w:rPr>
            </w:pPr>
            <w:r w:rsidRPr="00CE4227">
              <w:rPr>
                <w:b w:val="0"/>
                <w:color w:val="000000"/>
                <w:sz w:val="14"/>
                <w:szCs w:val="14"/>
              </w:rPr>
              <w:t>90 хв</w:t>
            </w:r>
          </w:p>
        </w:tc>
        <w:tc>
          <w:tcPr>
            <w:tcW w:w="1747" w:type="dxa"/>
            <w:tcBorders>
              <w:top w:val="single" w:sz="8" w:space="0" w:color="00B050"/>
              <w:bottom w:val="single" w:sz="8" w:space="0" w:color="00B050"/>
            </w:tcBorders>
            <w:shd w:val="clear" w:color="auto" w:fill="FFFFFF"/>
          </w:tcPr>
          <w:p w14:paraId="76CCA507" w14:textId="77777777" w:rsidR="00366CB9" w:rsidRPr="00CE4227" w:rsidRDefault="009D0C1D" w:rsidP="00457B0A">
            <w:pPr>
              <w:pStyle w:val="a6"/>
              <w:shd w:val="clear" w:color="auto" w:fill="auto"/>
              <w:rPr>
                <w:sz w:val="14"/>
                <w:szCs w:val="14"/>
              </w:rPr>
            </w:pPr>
            <w:r w:rsidRPr="00CE4227">
              <w:rPr>
                <w:b w:val="0"/>
                <w:color w:val="000000"/>
                <w:sz w:val="14"/>
                <w:szCs w:val="14"/>
              </w:rPr>
              <w:t>Початкове виявлення ТБ та резистентності до RIF, а також застосування для супутнього тестування дітей та людей, які живуть з ВІЛ</w:t>
            </w:r>
          </w:p>
        </w:tc>
        <w:tc>
          <w:tcPr>
            <w:tcW w:w="1387" w:type="dxa"/>
            <w:tcBorders>
              <w:top w:val="single" w:sz="8" w:space="0" w:color="00B050"/>
              <w:bottom w:val="single" w:sz="8" w:space="0" w:color="00B050"/>
            </w:tcBorders>
            <w:shd w:val="clear" w:color="auto" w:fill="FFFFFF"/>
          </w:tcPr>
          <w:p w14:paraId="23E3F79A" w14:textId="77777777" w:rsidR="00366CB9" w:rsidRPr="00CE4227" w:rsidRDefault="009D0C1D" w:rsidP="00457B0A">
            <w:pPr>
              <w:pStyle w:val="a6"/>
              <w:shd w:val="clear" w:color="auto" w:fill="auto"/>
              <w:rPr>
                <w:sz w:val="14"/>
                <w:szCs w:val="14"/>
              </w:rPr>
            </w:pPr>
            <w:r w:rsidRPr="00CE4227">
              <w:rPr>
                <w:b w:val="0"/>
                <w:color w:val="000000"/>
                <w:sz w:val="14"/>
                <w:szCs w:val="14"/>
              </w:rPr>
              <w:t>Безперебійне живлення, робоча температура</w:t>
            </w:r>
          </w:p>
          <w:p w14:paraId="7B9EA4BC" w14:textId="77777777" w:rsidR="00366CB9" w:rsidRPr="00CE4227" w:rsidRDefault="009D0C1D" w:rsidP="00457B0A">
            <w:pPr>
              <w:pStyle w:val="a6"/>
              <w:shd w:val="clear" w:color="auto" w:fill="auto"/>
              <w:rPr>
                <w:sz w:val="14"/>
                <w:szCs w:val="14"/>
              </w:rPr>
            </w:pPr>
            <w:r w:rsidRPr="00CE4227">
              <w:rPr>
                <w:b w:val="0"/>
                <w:color w:val="000000"/>
                <w:sz w:val="14"/>
                <w:szCs w:val="14"/>
              </w:rPr>
              <w:t>&lt; 30 °C</w:t>
            </w:r>
          </w:p>
        </w:tc>
        <w:tc>
          <w:tcPr>
            <w:tcW w:w="1008" w:type="dxa"/>
            <w:tcBorders>
              <w:top w:val="single" w:sz="8" w:space="0" w:color="00B050"/>
              <w:bottom w:val="single" w:sz="8" w:space="0" w:color="00B050"/>
            </w:tcBorders>
            <w:shd w:val="clear" w:color="auto" w:fill="FFFFFF"/>
          </w:tcPr>
          <w:p w14:paraId="1022BFAE" w14:textId="77777777" w:rsidR="00366CB9" w:rsidRPr="00CE4227" w:rsidRDefault="009D0C1D" w:rsidP="00457B0A">
            <w:pPr>
              <w:pStyle w:val="a6"/>
              <w:shd w:val="clear" w:color="auto" w:fill="auto"/>
              <w:rPr>
                <w:sz w:val="14"/>
                <w:szCs w:val="14"/>
              </w:rPr>
            </w:pPr>
            <w:r w:rsidRPr="00CE4227">
              <w:rPr>
                <w:b w:val="0"/>
                <w:color w:val="000000"/>
                <w:sz w:val="14"/>
                <w:szCs w:val="14"/>
              </w:rPr>
              <w:t>2-28 °C,</w:t>
            </w:r>
          </w:p>
          <w:p w14:paraId="20202199"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9 місяців</w:t>
            </w:r>
          </w:p>
        </w:tc>
        <w:tc>
          <w:tcPr>
            <w:tcW w:w="835" w:type="dxa"/>
            <w:tcBorders>
              <w:top w:val="single" w:sz="8" w:space="0" w:color="00B050"/>
              <w:bottom w:val="single" w:sz="8" w:space="0" w:color="00B050"/>
            </w:tcBorders>
            <w:shd w:val="clear" w:color="auto" w:fill="FFFFFF"/>
          </w:tcPr>
          <w:p w14:paraId="0BB5A494" w14:textId="77777777" w:rsidR="00366CB9" w:rsidRPr="00CE4227" w:rsidRDefault="009D0C1D" w:rsidP="00457B0A">
            <w:pPr>
              <w:pStyle w:val="a6"/>
              <w:shd w:val="clear" w:color="auto" w:fill="auto"/>
              <w:spacing w:line="233" w:lineRule="auto"/>
              <w:rPr>
                <w:sz w:val="14"/>
                <w:szCs w:val="14"/>
              </w:rPr>
            </w:pPr>
            <w:r w:rsidRPr="00CE4227">
              <w:rPr>
                <w:b w:val="0"/>
                <w:color w:val="000000"/>
                <w:sz w:val="14"/>
                <w:szCs w:val="14"/>
              </w:rPr>
              <w:t>3-4 на модуль</w:t>
            </w:r>
          </w:p>
        </w:tc>
      </w:tr>
      <w:tr w:rsidR="00366CB9" w14:paraId="23FCFD68" w14:textId="77777777" w:rsidTr="00546B4F">
        <w:trPr>
          <w:trHeight w:hRule="exact" w:val="848"/>
        </w:trPr>
        <w:tc>
          <w:tcPr>
            <w:tcW w:w="1109" w:type="dxa"/>
            <w:tcBorders>
              <w:top w:val="single" w:sz="8" w:space="0" w:color="00B050"/>
              <w:bottom w:val="single" w:sz="8" w:space="0" w:color="00B050"/>
            </w:tcBorders>
            <w:shd w:val="clear" w:color="auto" w:fill="FFFFFF"/>
          </w:tcPr>
          <w:p w14:paraId="4F3DB623" w14:textId="2890D20C" w:rsidR="00366CB9" w:rsidRPr="00CE4227" w:rsidRDefault="009D0C1D" w:rsidP="00457B0A">
            <w:pPr>
              <w:pStyle w:val="a6"/>
              <w:shd w:val="clear" w:color="auto" w:fill="auto"/>
              <w:spacing w:line="223" w:lineRule="auto"/>
              <w:rPr>
                <w:sz w:val="14"/>
                <w:szCs w:val="14"/>
              </w:rPr>
            </w:pPr>
            <w:r w:rsidRPr="00CE4227">
              <w:rPr>
                <w:color w:val="000000"/>
                <w:sz w:val="14"/>
                <w:szCs w:val="14"/>
              </w:rPr>
              <w:t>Автоматизо</w:t>
            </w:r>
            <w:r w:rsidR="006E22E5">
              <w:rPr>
                <w:color w:val="000000"/>
                <w:sz w:val="14"/>
                <w:szCs w:val="14"/>
              </w:rPr>
              <w:t>-</w:t>
            </w:r>
            <w:r w:rsidRPr="00CE4227">
              <w:rPr>
                <w:color w:val="000000"/>
                <w:sz w:val="14"/>
                <w:szCs w:val="14"/>
              </w:rPr>
              <w:t>ваний NAAT середньої складності</w:t>
            </w:r>
          </w:p>
        </w:tc>
        <w:tc>
          <w:tcPr>
            <w:tcW w:w="1051" w:type="dxa"/>
            <w:tcBorders>
              <w:top w:val="single" w:sz="8" w:space="0" w:color="00B050"/>
              <w:bottom w:val="single" w:sz="8" w:space="0" w:color="00B050"/>
            </w:tcBorders>
            <w:shd w:val="clear" w:color="auto" w:fill="FFFFFF"/>
          </w:tcPr>
          <w:p w14:paraId="0D814B8A" w14:textId="77777777" w:rsidR="00366CB9" w:rsidRPr="00CE4227" w:rsidRDefault="009D0C1D" w:rsidP="00457B0A">
            <w:pPr>
              <w:pStyle w:val="a6"/>
              <w:shd w:val="clear" w:color="auto" w:fill="auto"/>
              <w:rPr>
                <w:sz w:val="14"/>
                <w:szCs w:val="14"/>
              </w:rPr>
            </w:pPr>
            <w:r w:rsidRPr="00CE4227">
              <w:rPr>
                <w:b w:val="0"/>
                <w:color w:val="000000"/>
                <w:sz w:val="14"/>
                <w:szCs w:val="14"/>
              </w:rPr>
              <w:t>RealTime</w:t>
            </w:r>
          </w:p>
          <w:p w14:paraId="343B930C" w14:textId="77777777" w:rsidR="00366CB9" w:rsidRPr="00CE4227" w:rsidRDefault="009D0C1D" w:rsidP="00457B0A">
            <w:pPr>
              <w:pStyle w:val="a6"/>
              <w:shd w:val="clear" w:color="auto" w:fill="auto"/>
              <w:rPr>
                <w:sz w:val="14"/>
                <w:szCs w:val="14"/>
              </w:rPr>
            </w:pPr>
            <w:r w:rsidRPr="00CE4227">
              <w:rPr>
                <w:b w:val="0"/>
                <w:color w:val="000000"/>
                <w:sz w:val="14"/>
                <w:szCs w:val="14"/>
              </w:rPr>
              <w:t>MTB</w:t>
            </w:r>
          </w:p>
        </w:tc>
        <w:tc>
          <w:tcPr>
            <w:tcW w:w="1387" w:type="dxa"/>
            <w:tcBorders>
              <w:top w:val="single" w:sz="8" w:space="0" w:color="00B050"/>
              <w:bottom w:val="single" w:sz="8" w:space="0" w:color="00B050"/>
            </w:tcBorders>
            <w:shd w:val="clear" w:color="auto" w:fill="FFFFFF"/>
          </w:tcPr>
          <w:p w14:paraId="6C8509C0" w14:textId="77777777" w:rsidR="00366CB9" w:rsidRPr="00CE4227" w:rsidRDefault="009D0C1D" w:rsidP="00457B0A">
            <w:pPr>
              <w:pStyle w:val="a6"/>
              <w:shd w:val="clear" w:color="auto" w:fill="auto"/>
              <w:rPr>
                <w:sz w:val="14"/>
                <w:szCs w:val="14"/>
              </w:rPr>
            </w:pPr>
            <w:r w:rsidRPr="00CE4227">
              <w:rPr>
                <w:b w:val="0"/>
                <w:color w:val="000000"/>
                <w:sz w:val="14"/>
                <w:szCs w:val="14"/>
              </w:rPr>
              <w:t>Abbott</w:t>
            </w:r>
          </w:p>
        </w:tc>
        <w:tc>
          <w:tcPr>
            <w:tcW w:w="1334" w:type="dxa"/>
            <w:tcBorders>
              <w:top w:val="single" w:sz="8" w:space="0" w:color="00B050"/>
              <w:bottom w:val="single" w:sz="8" w:space="0" w:color="00B050"/>
            </w:tcBorders>
            <w:shd w:val="clear" w:color="auto" w:fill="FFFFFF"/>
          </w:tcPr>
          <w:p w14:paraId="46D3F526" w14:textId="77777777" w:rsidR="00366CB9" w:rsidRPr="00CE4227" w:rsidRDefault="009D0C1D" w:rsidP="00457B0A">
            <w:pPr>
              <w:pStyle w:val="a6"/>
              <w:shd w:val="clear" w:color="auto" w:fill="auto"/>
              <w:rPr>
                <w:sz w:val="14"/>
                <w:szCs w:val="14"/>
              </w:rPr>
            </w:pPr>
            <w:r w:rsidRPr="00CE4227">
              <w:rPr>
                <w:b w:val="0"/>
                <w:color w:val="000000"/>
                <w:sz w:val="14"/>
                <w:szCs w:val="14"/>
              </w:rPr>
              <w:t>m2000rt</w:t>
            </w:r>
          </w:p>
        </w:tc>
        <w:tc>
          <w:tcPr>
            <w:tcW w:w="912" w:type="dxa"/>
            <w:tcBorders>
              <w:top w:val="single" w:sz="8" w:space="0" w:color="00B050"/>
              <w:bottom w:val="single" w:sz="8" w:space="0" w:color="00B050"/>
            </w:tcBorders>
            <w:shd w:val="clear" w:color="auto" w:fill="FFFFFF"/>
          </w:tcPr>
          <w:p w14:paraId="4C7089F2" w14:textId="77777777" w:rsidR="00366CB9" w:rsidRPr="00CE4227" w:rsidRDefault="009D0C1D" w:rsidP="00457B0A">
            <w:pPr>
              <w:pStyle w:val="a6"/>
              <w:shd w:val="clear" w:color="auto" w:fill="auto"/>
              <w:rPr>
                <w:sz w:val="14"/>
                <w:szCs w:val="14"/>
              </w:rPr>
            </w:pPr>
            <w:r w:rsidRPr="00CE4227">
              <w:rPr>
                <w:b w:val="0"/>
                <w:color w:val="000000"/>
                <w:sz w:val="14"/>
                <w:szCs w:val="14"/>
              </w:rPr>
              <w:t>IS6110,</w:t>
            </w:r>
          </w:p>
          <w:p w14:paraId="1468EC46" w14:textId="77777777" w:rsidR="00366CB9" w:rsidRPr="00CE4227" w:rsidRDefault="009D0C1D" w:rsidP="00457B0A">
            <w:pPr>
              <w:pStyle w:val="a6"/>
              <w:shd w:val="clear" w:color="auto" w:fill="auto"/>
              <w:rPr>
                <w:sz w:val="14"/>
                <w:szCs w:val="14"/>
              </w:rPr>
            </w:pPr>
            <w:r w:rsidRPr="00CE4227">
              <w:rPr>
                <w:b w:val="0"/>
                <w:color w:val="000000"/>
                <w:sz w:val="14"/>
                <w:szCs w:val="14"/>
              </w:rPr>
              <w:t>PAB</w:t>
            </w:r>
          </w:p>
        </w:tc>
        <w:tc>
          <w:tcPr>
            <w:tcW w:w="965" w:type="dxa"/>
            <w:tcBorders>
              <w:top w:val="single" w:sz="8" w:space="0" w:color="00B050"/>
              <w:bottom w:val="single" w:sz="8" w:space="0" w:color="00B050"/>
            </w:tcBorders>
            <w:shd w:val="clear" w:color="auto" w:fill="FFFFFF"/>
          </w:tcPr>
          <w:p w14:paraId="183CE75D" w14:textId="77777777" w:rsidR="00366CB9" w:rsidRPr="00CE4227" w:rsidRDefault="009D0C1D" w:rsidP="00457B0A">
            <w:pPr>
              <w:pStyle w:val="a6"/>
              <w:shd w:val="clear" w:color="auto" w:fill="auto"/>
              <w:rPr>
                <w:sz w:val="14"/>
                <w:szCs w:val="14"/>
              </w:rPr>
            </w:pPr>
            <w:r w:rsidRPr="00CE4227">
              <w:rPr>
                <w:b w:val="0"/>
                <w:color w:val="000000"/>
                <w:sz w:val="14"/>
                <w:szCs w:val="14"/>
              </w:rPr>
              <w:t>Ні</w:t>
            </w:r>
          </w:p>
        </w:tc>
        <w:tc>
          <w:tcPr>
            <w:tcW w:w="931" w:type="dxa"/>
            <w:tcBorders>
              <w:top w:val="single" w:sz="8" w:space="0" w:color="00B050"/>
              <w:bottom w:val="single" w:sz="8" w:space="0" w:color="00B050"/>
            </w:tcBorders>
            <w:shd w:val="clear" w:color="auto" w:fill="FFFFFF"/>
          </w:tcPr>
          <w:p w14:paraId="73849B85" w14:textId="77777777" w:rsidR="00366CB9" w:rsidRPr="00CE4227" w:rsidRDefault="009D0C1D" w:rsidP="00457B0A">
            <w:pPr>
              <w:pStyle w:val="a6"/>
              <w:shd w:val="clear" w:color="auto" w:fill="auto"/>
              <w:rPr>
                <w:sz w:val="14"/>
                <w:szCs w:val="14"/>
              </w:rPr>
            </w:pPr>
            <w:r w:rsidRPr="00CE4227">
              <w:rPr>
                <w:b w:val="0"/>
                <w:color w:val="000000"/>
                <w:sz w:val="14"/>
                <w:szCs w:val="14"/>
              </w:rPr>
              <w:t>17 КУО/мл</w:t>
            </w:r>
          </w:p>
        </w:tc>
        <w:tc>
          <w:tcPr>
            <w:tcW w:w="1464" w:type="dxa"/>
            <w:tcBorders>
              <w:top w:val="single" w:sz="8" w:space="0" w:color="00B050"/>
              <w:bottom w:val="single" w:sz="8" w:space="0" w:color="00B050"/>
            </w:tcBorders>
            <w:shd w:val="clear" w:color="auto" w:fill="FFFFFF"/>
          </w:tcPr>
          <w:p w14:paraId="414F3B1F" w14:textId="77777777" w:rsidR="00366CB9" w:rsidRPr="00CE4227" w:rsidRDefault="009D0C1D" w:rsidP="00457B0A">
            <w:pPr>
              <w:pStyle w:val="a6"/>
              <w:shd w:val="clear" w:color="auto" w:fill="auto"/>
              <w:rPr>
                <w:sz w:val="14"/>
                <w:szCs w:val="14"/>
              </w:rPr>
            </w:pPr>
            <w:r w:rsidRPr="00CE4227">
              <w:rPr>
                <w:b w:val="0"/>
                <w:color w:val="000000"/>
                <w:sz w:val="14"/>
                <w:szCs w:val="14"/>
              </w:rPr>
              <w:t>Мокротиння, трахеальний матеріал та бронхоальвеолярний лаваж</w:t>
            </w:r>
          </w:p>
        </w:tc>
        <w:tc>
          <w:tcPr>
            <w:tcW w:w="845" w:type="dxa"/>
            <w:tcBorders>
              <w:top w:val="single" w:sz="8" w:space="0" w:color="00B050"/>
              <w:bottom w:val="single" w:sz="8" w:space="0" w:color="00B050"/>
            </w:tcBorders>
            <w:shd w:val="clear" w:color="auto" w:fill="FFFFFF"/>
          </w:tcPr>
          <w:p w14:paraId="179BED34" w14:textId="77777777" w:rsidR="00366CB9" w:rsidRPr="00CE4227" w:rsidRDefault="009D0C1D" w:rsidP="00457B0A">
            <w:pPr>
              <w:pStyle w:val="a6"/>
              <w:shd w:val="clear" w:color="auto" w:fill="auto"/>
              <w:rPr>
                <w:sz w:val="14"/>
                <w:szCs w:val="14"/>
              </w:rPr>
            </w:pPr>
            <w:r w:rsidRPr="00CE4227">
              <w:rPr>
                <w:b w:val="0"/>
                <w:color w:val="000000"/>
                <w:sz w:val="14"/>
                <w:szCs w:val="14"/>
              </w:rPr>
              <w:t>7 год</w:t>
            </w:r>
          </w:p>
        </w:tc>
        <w:tc>
          <w:tcPr>
            <w:tcW w:w="1747" w:type="dxa"/>
            <w:tcBorders>
              <w:top w:val="single" w:sz="8" w:space="0" w:color="00B050"/>
              <w:bottom w:val="single" w:sz="8" w:space="0" w:color="00B050"/>
            </w:tcBorders>
            <w:shd w:val="clear" w:color="auto" w:fill="FFFFFF"/>
          </w:tcPr>
          <w:p w14:paraId="53E7AEAB" w14:textId="77777777" w:rsidR="00366CB9" w:rsidRPr="00CE4227" w:rsidRDefault="009D0C1D" w:rsidP="00457B0A">
            <w:pPr>
              <w:pStyle w:val="a6"/>
              <w:shd w:val="clear" w:color="auto" w:fill="auto"/>
              <w:rPr>
                <w:sz w:val="14"/>
                <w:szCs w:val="14"/>
              </w:rPr>
            </w:pPr>
            <w:r w:rsidRPr="00CE4227">
              <w:rPr>
                <w:b w:val="0"/>
                <w:color w:val="000000"/>
                <w:sz w:val="14"/>
                <w:szCs w:val="14"/>
              </w:rPr>
              <w:t>Початкове виявлення</w:t>
            </w:r>
          </w:p>
          <w:p w14:paraId="7A24BA99" w14:textId="77777777" w:rsidR="00366CB9" w:rsidRPr="00CE4227" w:rsidRDefault="009D0C1D" w:rsidP="00457B0A">
            <w:pPr>
              <w:pStyle w:val="a6"/>
              <w:shd w:val="clear" w:color="auto" w:fill="auto"/>
              <w:rPr>
                <w:sz w:val="14"/>
                <w:szCs w:val="14"/>
              </w:rPr>
            </w:pPr>
            <w:r w:rsidRPr="00CE4227">
              <w:rPr>
                <w:b w:val="0"/>
                <w:color w:val="000000"/>
                <w:sz w:val="14"/>
                <w:szCs w:val="14"/>
              </w:rPr>
              <w:t>ТБ</w:t>
            </w:r>
          </w:p>
        </w:tc>
        <w:tc>
          <w:tcPr>
            <w:tcW w:w="1387" w:type="dxa"/>
            <w:tcBorders>
              <w:top w:val="single" w:sz="8" w:space="0" w:color="00B050"/>
              <w:bottom w:val="single" w:sz="8" w:space="0" w:color="00B050"/>
            </w:tcBorders>
            <w:shd w:val="clear" w:color="auto" w:fill="FFFFFF"/>
          </w:tcPr>
          <w:p w14:paraId="6E176FAC" w14:textId="77777777" w:rsidR="00366CB9" w:rsidRPr="00CE4227" w:rsidRDefault="009D0C1D" w:rsidP="00457B0A">
            <w:pPr>
              <w:pStyle w:val="a6"/>
              <w:shd w:val="clear" w:color="auto" w:fill="auto"/>
              <w:rPr>
                <w:sz w:val="14"/>
                <w:szCs w:val="14"/>
              </w:rPr>
            </w:pPr>
            <w:r w:rsidRPr="00CE4227">
              <w:rPr>
                <w:b w:val="0"/>
                <w:color w:val="000000"/>
                <w:sz w:val="14"/>
                <w:szCs w:val="14"/>
              </w:rPr>
              <w:t>Безперебійне живлення, підлоговий прилад, маса &gt; 300 кг</w:t>
            </w:r>
          </w:p>
        </w:tc>
        <w:tc>
          <w:tcPr>
            <w:tcW w:w="1008" w:type="dxa"/>
            <w:tcBorders>
              <w:top w:val="single" w:sz="8" w:space="0" w:color="00B050"/>
              <w:bottom w:val="single" w:sz="8" w:space="0" w:color="00B050"/>
            </w:tcBorders>
            <w:shd w:val="clear" w:color="auto" w:fill="FFFFFF"/>
          </w:tcPr>
          <w:p w14:paraId="14240F80" w14:textId="77777777" w:rsidR="00366CB9" w:rsidRPr="00CE4227" w:rsidRDefault="009D0C1D" w:rsidP="00457B0A">
            <w:pPr>
              <w:pStyle w:val="a6"/>
              <w:shd w:val="clear" w:color="auto" w:fill="auto"/>
              <w:rPr>
                <w:sz w:val="14"/>
                <w:szCs w:val="14"/>
              </w:rPr>
            </w:pPr>
            <w:r w:rsidRPr="00CE4227">
              <w:rPr>
                <w:b w:val="0"/>
                <w:color w:val="000000"/>
                <w:sz w:val="14"/>
                <w:szCs w:val="14"/>
              </w:rPr>
              <w:t>Від -15 °C до</w:t>
            </w:r>
          </w:p>
          <w:p w14:paraId="46735846" w14:textId="77777777" w:rsidR="00366CB9" w:rsidRPr="00CE4227" w:rsidRDefault="009D0C1D" w:rsidP="00457B0A">
            <w:pPr>
              <w:pStyle w:val="a6"/>
              <w:shd w:val="clear" w:color="auto" w:fill="auto"/>
              <w:rPr>
                <w:sz w:val="14"/>
                <w:szCs w:val="14"/>
              </w:rPr>
            </w:pPr>
            <w:r w:rsidRPr="00CE4227">
              <w:rPr>
                <w:b w:val="0"/>
                <w:color w:val="000000"/>
                <w:sz w:val="14"/>
                <w:szCs w:val="14"/>
              </w:rPr>
              <w:t>-25 °C,</w:t>
            </w:r>
          </w:p>
          <w:p w14:paraId="520E46CD"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18 місяців</w:t>
            </w:r>
          </w:p>
        </w:tc>
        <w:tc>
          <w:tcPr>
            <w:tcW w:w="835" w:type="dxa"/>
            <w:tcBorders>
              <w:top w:val="single" w:sz="8" w:space="0" w:color="00B050"/>
              <w:bottom w:val="single" w:sz="8" w:space="0" w:color="00B050"/>
            </w:tcBorders>
            <w:shd w:val="clear" w:color="auto" w:fill="FFFFFF"/>
          </w:tcPr>
          <w:p w14:paraId="08BF0A5B" w14:textId="77777777" w:rsidR="00366CB9" w:rsidRPr="00CE4227" w:rsidRDefault="009D0C1D" w:rsidP="00457B0A">
            <w:pPr>
              <w:pStyle w:val="a6"/>
              <w:shd w:val="clear" w:color="auto" w:fill="auto"/>
              <w:rPr>
                <w:sz w:val="14"/>
                <w:szCs w:val="14"/>
              </w:rPr>
            </w:pPr>
            <w:r w:rsidRPr="00CE4227">
              <w:rPr>
                <w:b w:val="0"/>
                <w:color w:val="000000"/>
                <w:sz w:val="14"/>
                <w:szCs w:val="14"/>
              </w:rPr>
              <w:t>94</w:t>
            </w:r>
          </w:p>
        </w:tc>
      </w:tr>
      <w:tr w:rsidR="00366CB9" w14:paraId="41BF5371" w14:textId="77777777" w:rsidTr="00546B4F">
        <w:trPr>
          <w:trHeight w:hRule="exact" w:val="846"/>
        </w:trPr>
        <w:tc>
          <w:tcPr>
            <w:tcW w:w="1109" w:type="dxa"/>
            <w:tcBorders>
              <w:top w:val="single" w:sz="8" w:space="0" w:color="00B050"/>
              <w:bottom w:val="single" w:sz="8" w:space="0" w:color="00B050"/>
            </w:tcBorders>
            <w:shd w:val="clear" w:color="auto" w:fill="FFFFFF"/>
          </w:tcPr>
          <w:p w14:paraId="3B924909" w14:textId="77777777" w:rsidR="00366CB9" w:rsidRPr="00CE4227" w:rsidRDefault="00366CB9" w:rsidP="00457B0A">
            <w:pPr>
              <w:rPr>
                <w:b/>
                <w:bCs/>
                <w:sz w:val="14"/>
                <w:szCs w:val="14"/>
              </w:rPr>
            </w:pPr>
          </w:p>
        </w:tc>
        <w:tc>
          <w:tcPr>
            <w:tcW w:w="1051" w:type="dxa"/>
            <w:tcBorders>
              <w:top w:val="single" w:sz="8" w:space="0" w:color="00B050"/>
              <w:bottom w:val="single" w:sz="8" w:space="0" w:color="00B050"/>
            </w:tcBorders>
            <w:shd w:val="clear" w:color="auto" w:fill="FFFFFF"/>
          </w:tcPr>
          <w:p w14:paraId="7608B855" w14:textId="77777777" w:rsidR="00366CB9" w:rsidRPr="00CE4227" w:rsidRDefault="009D0C1D" w:rsidP="00457B0A">
            <w:pPr>
              <w:pStyle w:val="a6"/>
              <w:shd w:val="clear" w:color="auto" w:fill="auto"/>
              <w:rPr>
                <w:sz w:val="14"/>
                <w:szCs w:val="14"/>
              </w:rPr>
            </w:pPr>
            <w:r w:rsidRPr="00CE4227">
              <w:rPr>
                <w:b w:val="0"/>
                <w:color w:val="000000"/>
                <w:sz w:val="14"/>
                <w:szCs w:val="14"/>
              </w:rPr>
              <w:t>RealTime</w:t>
            </w:r>
          </w:p>
          <w:p w14:paraId="47947B75" w14:textId="77777777" w:rsidR="00366CB9" w:rsidRPr="00CE4227" w:rsidRDefault="009D0C1D" w:rsidP="00457B0A">
            <w:pPr>
              <w:pStyle w:val="a6"/>
              <w:shd w:val="clear" w:color="auto" w:fill="auto"/>
              <w:rPr>
                <w:sz w:val="14"/>
                <w:szCs w:val="14"/>
              </w:rPr>
            </w:pPr>
            <w:r w:rsidRPr="00CE4227">
              <w:rPr>
                <w:b w:val="0"/>
                <w:color w:val="000000"/>
                <w:sz w:val="14"/>
                <w:szCs w:val="14"/>
              </w:rPr>
              <w:t>MTB RIF/</w:t>
            </w:r>
          </w:p>
          <w:p w14:paraId="2651049B"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INH</w:t>
            </w:r>
          </w:p>
        </w:tc>
        <w:tc>
          <w:tcPr>
            <w:tcW w:w="1387" w:type="dxa"/>
            <w:tcBorders>
              <w:top w:val="single" w:sz="8" w:space="0" w:color="00B050"/>
              <w:bottom w:val="single" w:sz="8" w:space="0" w:color="00B050"/>
            </w:tcBorders>
            <w:shd w:val="clear" w:color="auto" w:fill="FFFFFF"/>
          </w:tcPr>
          <w:p w14:paraId="0D2A84A1" w14:textId="77777777" w:rsidR="00366CB9" w:rsidRPr="00CE4227" w:rsidRDefault="009D0C1D" w:rsidP="00457B0A">
            <w:pPr>
              <w:pStyle w:val="a6"/>
              <w:shd w:val="clear" w:color="auto" w:fill="auto"/>
              <w:rPr>
                <w:sz w:val="14"/>
                <w:szCs w:val="14"/>
              </w:rPr>
            </w:pPr>
            <w:r w:rsidRPr="00CE4227">
              <w:rPr>
                <w:b w:val="0"/>
                <w:color w:val="000000"/>
                <w:sz w:val="14"/>
                <w:szCs w:val="14"/>
              </w:rPr>
              <w:t>Abbott</w:t>
            </w:r>
          </w:p>
        </w:tc>
        <w:tc>
          <w:tcPr>
            <w:tcW w:w="1334" w:type="dxa"/>
            <w:tcBorders>
              <w:top w:val="single" w:sz="8" w:space="0" w:color="00B050"/>
              <w:bottom w:val="single" w:sz="8" w:space="0" w:color="00B050"/>
            </w:tcBorders>
            <w:shd w:val="clear" w:color="auto" w:fill="FFFFFF"/>
          </w:tcPr>
          <w:p w14:paraId="332ED18E" w14:textId="77777777" w:rsidR="00366CB9" w:rsidRPr="00CE4227" w:rsidRDefault="009D0C1D" w:rsidP="00457B0A">
            <w:pPr>
              <w:pStyle w:val="a6"/>
              <w:shd w:val="clear" w:color="auto" w:fill="auto"/>
              <w:rPr>
                <w:sz w:val="14"/>
                <w:szCs w:val="14"/>
              </w:rPr>
            </w:pPr>
            <w:r w:rsidRPr="00CE4227">
              <w:rPr>
                <w:b w:val="0"/>
                <w:color w:val="000000"/>
                <w:sz w:val="14"/>
                <w:szCs w:val="14"/>
              </w:rPr>
              <w:t>m2000rt</w:t>
            </w:r>
          </w:p>
        </w:tc>
        <w:tc>
          <w:tcPr>
            <w:tcW w:w="912" w:type="dxa"/>
            <w:tcBorders>
              <w:top w:val="single" w:sz="8" w:space="0" w:color="00B050"/>
              <w:bottom w:val="single" w:sz="8" w:space="0" w:color="00B050"/>
            </w:tcBorders>
            <w:shd w:val="clear" w:color="auto" w:fill="FFFFFF"/>
          </w:tcPr>
          <w:p w14:paraId="262A0FDA" w14:textId="77777777" w:rsidR="00366CB9" w:rsidRPr="00CE4227" w:rsidRDefault="009D0C1D" w:rsidP="00457B0A">
            <w:pPr>
              <w:pStyle w:val="a6"/>
              <w:shd w:val="clear" w:color="auto" w:fill="auto"/>
              <w:rPr>
                <w:i/>
                <w:iCs/>
                <w:sz w:val="14"/>
                <w:szCs w:val="14"/>
              </w:rPr>
            </w:pPr>
            <w:r w:rsidRPr="00CE4227">
              <w:rPr>
                <w:b w:val="0"/>
                <w:i/>
                <w:color w:val="000000"/>
                <w:sz w:val="14"/>
                <w:szCs w:val="14"/>
              </w:rPr>
              <w:t>rpoB, katG, inhA</w:t>
            </w:r>
          </w:p>
        </w:tc>
        <w:tc>
          <w:tcPr>
            <w:tcW w:w="965" w:type="dxa"/>
            <w:tcBorders>
              <w:top w:val="single" w:sz="8" w:space="0" w:color="00B050"/>
              <w:bottom w:val="single" w:sz="8" w:space="0" w:color="00B050"/>
            </w:tcBorders>
            <w:shd w:val="clear" w:color="auto" w:fill="FFFFFF"/>
          </w:tcPr>
          <w:p w14:paraId="36AEDAD0" w14:textId="77777777" w:rsidR="00366CB9" w:rsidRPr="00CE4227" w:rsidRDefault="009D0C1D" w:rsidP="00457B0A">
            <w:pPr>
              <w:pStyle w:val="a6"/>
              <w:shd w:val="clear" w:color="auto" w:fill="auto"/>
              <w:rPr>
                <w:sz w:val="14"/>
                <w:szCs w:val="14"/>
              </w:rPr>
            </w:pPr>
            <w:r w:rsidRPr="00CE4227">
              <w:rPr>
                <w:b w:val="0"/>
                <w:color w:val="000000"/>
                <w:sz w:val="14"/>
                <w:szCs w:val="14"/>
              </w:rPr>
              <w:t>RIF, INH</w:t>
            </w:r>
          </w:p>
        </w:tc>
        <w:tc>
          <w:tcPr>
            <w:tcW w:w="931" w:type="dxa"/>
            <w:tcBorders>
              <w:top w:val="single" w:sz="8" w:space="0" w:color="00B050"/>
              <w:bottom w:val="single" w:sz="8" w:space="0" w:color="00B050"/>
            </w:tcBorders>
            <w:shd w:val="clear" w:color="auto" w:fill="FFFFFF"/>
          </w:tcPr>
          <w:p w14:paraId="6D0D3560" w14:textId="77777777" w:rsidR="00366CB9" w:rsidRPr="00CE4227" w:rsidRDefault="009D0C1D" w:rsidP="00457B0A">
            <w:pPr>
              <w:pStyle w:val="a6"/>
              <w:shd w:val="clear" w:color="auto" w:fill="auto"/>
              <w:rPr>
                <w:sz w:val="14"/>
                <w:szCs w:val="14"/>
              </w:rPr>
            </w:pPr>
            <w:r w:rsidRPr="00CE4227">
              <w:rPr>
                <w:b w:val="0"/>
                <w:color w:val="000000"/>
                <w:sz w:val="14"/>
                <w:szCs w:val="14"/>
              </w:rPr>
              <w:t>60 КУО/мл</w:t>
            </w:r>
          </w:p>
        </w:tc>
        <w:tc>
          <w:tcPr>
            <w:tcW w:w="1464" w:type="dxa"/>
            <w:tcBorders>
              <w:top w:val="single" w:sz="8" w:space="0" w:color="00B050"/>
              <w:bottom w:val="single" w:sz="8" w:space="0" w:color="00B050"/>
            </w:tcBorders>
            <w:shd w:val="clear" w:color="auto" w:fill="FFFFFF"/>
          </w:tcPr>
          <w:p w14:paraId="2EC59F95" w14:textId="77777777" w:rsidR="00366CB9" w:rsidRPr="00CE4227" w:rsidRDefault="009D0C1D" w:rsidP="00457B0A">
            <w:pPr>
              <w:pStyle w:val="a6"/>
              <w:shd w:val="clear" w:color="auto" w:fill="auto"/>
              <w:rPr>
                <w:sz w:val="14"/>
                <w:szCs w:val="14"/>
              </w:rPr>
            </w:pPr>
            <w:r w:rsidRPr="00CE4227">
              <w:rPr>
                <w:b w:val="0"/>
                <w:color w:val="000000"/>
                <w:sz w:val="14"/>
                <w:szCs w:val="14"/>
              </w:rPr>
              <w:t>Мокротиння, трахеальний матеріал та бронхоальвеолярний лаваж</w:t>
            </w:r>
          </w:p>
        </w:tc>
        <w:tc>
          <w:tcPr>
            <w:tcW w:w="845" w:type="dxa"/>
            <w:tcBorders>
              <w:top w:val="single" w:sz="8" w:space="0" w:color="00B050"/>
              <w:bottom w:val="single" w:sz="8" w:space="0" w:color="00B050"/>
            </w:tcBorders>
            <w:shd w:val="clear" w:color="auto" w:fill="FFFFFF"/>
          </w:tcPr>
          <w:p w14:paraId="6E87ECC5" w14:textId="77777777" w:rsidR="00366CB9" w:rsidRPr="00CE4227" w:rsidRDefault="009D0C1D" w:rsidP="00457B0A">
            <w:pPr>
              <w:pStyle w:val="a6"/>
              <w:shd w:val="clear" w:color="auto" w:fill="auto"/>
              <w:rPr>
                <w:sz w:val="14"/>
                <w:szCs w:val="14"/>
              </w:rPr>
            </w:pPr>
            <w:r w:rsidRPr="00CE4227">
              <w:rPr>
                <w:b w:val="0"/>
                <w:color w:val="000000"/>
                <w:sz w:val="14"/>
                <w:szCs w:val="14"/>
              </w:rPr>
              <w:t>7 год</w:t>
            </w:r>
          </w:p>
        </w:tc>
        <w:tc>
          <w:tcPr>
            <w:tcW w:w="1747" w:type="dxa"/>
            <w:tcBorders>
              <w:top w:val="single" w:sz="8" w:space="0" w:color="00B050"/>
              <w:bottom w:val="single" w:sz="8" w:space="0" w:color="00B050"/>
            </w:tcBorders>
            <w:shd w:val="clear" w:color="auto" w:fill="FFFFFF"/>
          </w:tcPr>
          <w:p w14:paraId="6F933301" w14:textId="77777777" w:rsidR="00366CB9" w:rsidRPr="00CE4227" w:rsidRDefault="009D0C1D" w:rsidP="00457B0A">
            <w:pPr>
              <w:pStyle w:val="a6"/>
              <w:shd w:val="clear" w:color="auto" w:fill="auto"/>
              <w:rPr>
                <w:sz w:val="14"/>
                <w:szCs w:val="14"/>
              </w:rPr>
            </w:pPr>
            <w:r w:rsidRPr="00CE4227">
              <w:rPr>
                <w:b w:val="0"/>
                <w:color w:val="000000"/>
                <w:sz w:val="14"/>
                <w:szCs w:val="14"/>
              </w:rPr>
              <w:t>Контрольний аналіз на виявлення резистентності до RIF та INH після тесту RealTime MTB</w:t>
            </w:r>
          </w:p>
        </w:tc>
        <w:tc>
          <w:tcPr>
            <w:tcW w:w="1387" w:type="dxa"/>
            <w:tcBorders>
              <w:top w:val="single" w:sz="8" w:space="0" w:color="00B050"/>
              <w:bottom w:val="single" w:sz="8" w:space="0" w:color="00B050"/>
            </w:tcBorders>
            <w:shd w:val="clear" w:color="auto" w:fill="FFFFFF"/>
          </w:tcPr>
          <w:p w14:paraId="7D18ADDD" w14:textId="77777777" w:rsidR="00366CB9" w:rsidRPr="00CE4227" w:rsidRDefault="009D0C1D" w:rsidP="00457B0A">
            <w:pPr>
              <w:pStyle w:val="a6"/>
              <w:shd w:val="clear" w:color="auto" w:fill="auto"/>
              <w:rPr>
                <w:sz w:val="14"/>
                <w:szCs w:val="14"/>
              </w:rPr>
            </w:pPr>
            <w:r w:rsidRPr="00CE4227">
              <w:rPr>
                <w:b w:val="0"/>
                <w:color w:val="000000"/>
                <w:sz w:val="14"/>
                <w:szCs w:val="14"/>
              </w:rPr>
              <w:t>Безперебійне живлення, підлоговий прилад, маса &gt; 300 кг</w:t>
            </w:r>
          </w:p>
        </w:tc>
        <w:tc>
          <w:tcPr>
            <w:tcW w:w="1008" w:type="dxa"/>
            <w:tcBorders>
              <w:top w:val="single" w:sz="8" w:space="0" w:color="00B050"/>
              <w:bottom w:val="single" w:sz="8" w:space="0" w:color="00B050"/>
            </w:tcBorders>
            <w:shd w:val="clear" w:color="auto" w:fill="FFFFFF"/>
          </w:tcPr>
          <w:p w14:paraId="36D2E4E8" w14:textId="77777777" w:rsidR="00366CB9" w:rsidRPr="00CE4227" w:rsidRDefault="009D0C1D" w:rsidP="00457B0A">
            <w:pPr>
              <w:pStyle w:val="a6"/>
              <w:shd w:val="clear" w:color="auto" w:fill="auto"/>
              <w:rPr>
                <w:sz w:val="14"/>
                <w:szCs w:val="14"/>
              </w:rPr>
            </w:pPr>
            <w:r w:rsidRPr="00CE4227">
              <w:rPr>
                <w:b w:val="0"/>
                <w:color w:val="000000"/>
                <w:sz w:val="14"/>
                <w:szCs w:val="14"/>
              </w:rPr>
              <w:t>Від -15 °C до</w:t>
            </w:r>
          </w:p>
          <w:p w14:paraId="53A4683B" w14:textId="77777777" w:rsidR="00366CB9" w:rsidRPr="00CE4227" w:rsidRDefault="009D0C1D" w:rsidP="00457B0A">
            <w:pPr>
              <w:pStyle w:val="a6"/>
              <w:shd w:val="clear" w:color="auto" w:fill="auto"/>
              <w:rPr>
                <w:sz w:val="14"/>
                <w:szCs w:val="14"/>
              </w:rPr>
            </w:pPr>
            <w:r w:rsidRPr="00CE4227">
              <w:rPr>
                <w:b w:val="0"/>
                <w:color w:val="000000"/>
                <w:sz w:val="14"/>
                <w:szCs w:val="14"/>
              </w:rPr>
              <w:t>-25 °C,</w:t>
            </w:r>
          </w:p>
          <w:p w14:paraId="653F7201"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12 місяців</w:t>
            </w:r>
          </w:p>
        </w:tc>
        <w:tc>
          <w:tcPr>
            <w:tcW w:w="835" w:type="dxa"/>
            <w:tcBorders>
              <w:top w:val="single" w:sz="8" w:space="0" w:color="00B050"/>
              <w:bottom w:val="single" w:sz="8" w:space="0" w:color="00B050"/>
            </w:tcBorders>
            <w:shd w:val="clear" w:color="auto" w:fill="FFFFFF"/>
          </w:tcPr>
          <w:p w14:paraId="4E0570A5" w14:textId="77777777" w:rsidR="00366CB9" w:rsidRPr="00CE4227" w:rsidRDefault="009D0C1D" w:rsidP="00457B0A">
            <w:pPr>
              <w:pStyle w:val="a6"/>
              <w:shd w:val="clear" w:color="auto" w:fill="auto"/>
              <w:rPr>
                <w:sz w:val="14"/>
                <w:szCs w:val="14"/>
              </w:rPr>
            </w:pPr>
            <w:r w:rsidRPr="00CE4227">
              <w:rPr>
                <w:b w:val="0"/>
                <w:color w:val="000000"/>
                <w:sz w:val="14"/>
                <w:szCs w:val="14"/>
              </w:rPr>
              <w:t>94</w:t>
            </w:r>
          </w:p>
        </w:tc>
      </w:tr>
      <w:tr w:rsidR="00366CB9" w14:paraId="53B9FAA1" w14:textId="77777777" w:rsidTr="00546B4F">
        <w:trPr>
          <w:trHeight w:hRule="exact" w:val="821"/>
        </w:trPr>
        <w:tc>
          <w:tcPr>
            <w:tcW w:w="1109" w:type="dxa"/>
            <w:tcBorders>
              <w:top w:val="single" w:sz="8" w:space="0" w:color="00B050"/>
              <w:bottom w:val="single" w:sz="8" w:space="0" w:color="00B050"/>
            </w:tcBorders>
            <w:shd w:val="clear" w:color="auto" w:fill="FFFFFF"/>
          </w:tcPr>
          <w:p w14:paraId="63F0E64C" w14:textId="77777777" w:rsidR="00366CB9" w:rsidRPr="00CE4227" w:rsidRDefault="00366CB9" w:rsidP="00457B0A">
            <w:pPr>
              <w:rPr>
                <w:b/>
                <w:bCs/>
                <w:sz w:val="14"/>
                <w:szCs w:val="14"/>
              </w:rPr>
            </w:pPr>
          </w:p>
        </w:tc>
        <w:tc>
          <w:tcPr>
            <w:tcW w:w="1051" w:type="dxa"/>
            <w:tcBorders>
              <w:top w:val="single" w:sz="8" w:space="0" w:color="00B050"/>
              <w:bottom w:val="single" w:sz="8" w:space="0" w:color="00B050"/>
            </w:tcBorders>
            <w:shd w:val="clear" w:color="auto" w:fill="FFFFFF"/>
          </w:tcPr>
          <w:p w14:paraId="2BBFE00E" w14:textId="77777777" w:rsidR="00366CB9" w:rsidRPr="00CE4227" w:rsidRDefault="009D0C1D" w:rsidP="00457B0A">
            <w:pPr>
              <w:pStyle w:val="a6"/>
              <w:shd w:val="clear" w:color="auto" w:fill="auto"/>
              <w:rPr>
                <w:sz w:val="14"/>
                <w:szCs w:val="14"/>
              </w:rPr>
            </w:pPr>
            <w:r w:rsidRPr="00CE4227">
              <w:rPr>
                <w:b w:val="0"/>
                <w:color w:val="000000"/>
                <w:sz w:val="14"/>
                <w:szCs w:val="14"/>
              </w:rPr>
              <w:t>BD MAX</w:t>
            </w:r>
          </w:p>
          <w:p w14:paraId="7B0348E2"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МЛС-ТБ</w:t>
            </w:r>
          </w:p>
        </w:tc>
        <w:tc>
          <w:tcPr>
            <w:tcW w:w="1387" w:type="dxa"/>
            <w:tcBorders>
              <w:top w:val="single" w:sz="8" w:space="0" w:color="00B050"/>
              <w:bottom w:val="single" w:sz="8" w:space="0" w:color="00B050"/>
            </w:tcBorders>
            <w:shd w:val="clear" w:color="auto" w:fill="FFFFFF"/>
          </w:tcPr>
          <w:p w14:paraId="480FF119" w14:textId="77777777" w:rsidR="00366CB9" w:rsidRPr="00CE4227" w:rsidRDefault="009D0C1D" w:rsidP="00457B0A">
            <w:pPr>
              <w:pStyle w:val="a6"/>
              <w:shd w:val="clear" w:color="auto" w:fill="auto"/>
              <w:rPr>
                <w:sz w:val="14"/>
                <w:szCs w:val="14"/>
              </w:rPr>
            </w:pPr>
            <w:r w:rsidRPr="00CE4227">
              <w:rPr>
                <w:b w:val="0"/>
                <w:color w:val="000000"/>
                <w:sz w:val="14"/>
                <w:szCs w:val="14"/>
              </w:rPr>
              <w:t>Becton</w:t>
            </w:r>
          </w:p>
          <w:p w14:paraId="26A1349C"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Dickinson</w:t>
            </w:r>
          </w:p>
        </w:tc>
        <w:tc>
          <w:tcPr>
            <w:tcW w:w="1334" w:type="dxa"/>
            <w:tcBorders>
              <w:top w:val="single" w:sz="8" w:space="0" w:color="00B050"/>
              <w:bottom w:val="single" w:sz="8" w:space="0" w:color="00B050"/>
            </w:tcBorders>
            <w:shd w:val="clear" w:color="auto" w:fill="FFFFFF"/>
          </w:tcPr>
          <w:p w14:paraId="116C0710" w14:textId="77777777" w:rsidR="00366CB9" w:rsidRPr="00CE4227" w:rsidRDefault="009D0C1D" w:rsidP="00457B0A">
            <w:pPr>
              <w:pStyle w:val="a6"/>
              <w:shd w:val="clear" w:color="auto" w:fill="auto"/>
              <w:rPr>
                <w:sz w:val="14"/>
                <w:szCs w:val="14"/>
              </w:rPr>
            </w:pPr>
            <w:r w:rsidRPr="00CE4227">
              <w:rPr>
                <w:b w:val="0"/>
                <w:color w:val="000000"/>
                <w:sz w:val="14"/>
                <w:szCs w:val="14"/>
              </w:rPr>
              <w:t>BD MAX</w:t>
            </w:r>
          </w:p>
        </w:tc>
        <w:tc>
          <w:tcPr>
            <w:tcW w:w="912" w:type="dxa"/>
            <w:tcBorders>
              <w:top w:val="single" w:sz="8" w:space="0" w:color="00B050"/>
              <w:bottom w:val="single" w:sz="8" w:space="0" w:color="00B050"/>
            </w:tcBorders>
            <w:shd w:val="clear" w:color="auto" w:fill="FFFFFF"/>
          </w:tcPr>
          <w:p w14:paraId="7857A1BD" w14:textId="77777777" w:rsidR="00366CB9" w:rsidRPr="00CE4227" w:rsidRDefault="009D0C1D" w:rsidP="00457B0A">
            <w:pPr>
              <w:pStyle w:val="a6"/>
              <w:shd w:val="clear" w:color="auto" w:fill="auto"/>
              <w:rPr>
                <w:i/>
                <w:iCs/>
                <w:sz w:val="14"/>
                <w:szCs w:val="14"/>
              </w:rPr>
            </w:pPr>
            <w:r w:rsidRPr="00CE4227">
              <w:rPr>
                <w:b w:val="0"/>
                <w:i/>
                <w:color w:val="000000"/>
                <w:sz w:val="14"/>
                <w:szCs w:val="14"/>
              </w:rPr>
              <w:t>IS6110,</w:t>
            </w:r>
          </w:p>
          <w:p w14:paraId="54E4C0F3" w14:textId="77777777" w:rsidR="00366CB9" w:rsidRPr="00CE4227" w:rsidRDefault="009D0C1D" w:rsidP="00457B0A">
            <w:pPr>
              <w:pStyle w:val="a6"/>
              <w:shd w:val="clear" w:color="auto" w:fill="auto"/>
              <w:rPr>
                <w:i/>
                <w:iCs/>
                <w:sz w:val="14"/>
                <w:szCs w:val="14"/>
              </w:rPr>
            </w:pPr>
            <w:r w:rsidRPr="00CE4227">
              <w:rPr>
                <w:b w:val="0"/>
                <w:i/>
                <w:color w:val="000000"/>
                <w:sz w:val="14"/>
                <w:szCs w:val="14"/>
              </w:rPr>
              <w:t>IS1081, rpoB, katG, inhA</w:t>
            </w:r>
          </w:p>
        </w:tc>
        <w:tc>
          <w:tcPr>
            <w:tcW w:w="965" w:type="dxa"/>
            <w:tcBorders>
              <w:top w:val="single" w:sz="8" w:space="0" w:color="00B050"/>
              <w:bottom w:val="single" w:sz="8" w:space="0" w:color="00B050"/>
            </w:tcBorders>
            <w:shd w:val="clear" w:color="auto" w:fill="FFFFFF"/>
          </w:tcPr>
          <w:p w14:paraId="66CB1CB1" w14:textId="77777777" w:rsidR="00366CB9" w:rsidRPr="00CE4227" w:rsidRDefault="009D0C1D" w:rsidP="00457B0A">
            <w:pPr>
              <w:pStyle w:val="a6"/>
              <w:shd w:val="clear" w:color="auto" w:fill="auto"/>
              <w:rPr>
                <w:sz w:val="14"/>
                <w:szCs w:val="14"/>
              </w:rPr>
            </w:pPr>
            <w:r w:rsidRPr="00CE4227">
              <w:rPr>
                <w:b w:val="0"/>
                <w:color w:val="000000"/>
                <w:sz w:val="14"/>
                <w:szCs w:val="14"/>
              </w:rPr>
              <w:t>RIF, INH</w:t>
            </w:r>
          </w:p>
        </w:tc>
        <w:tc>
          <w:tcPr>
            <w:tcW w:w="931" w:type="dxa"/>
            <w:tcBorders>
              <w:top w:val="single" w:sz="8" w:space="0" w:color="00B050"/>
              <w:bottom w:val="single" w:sz="8" w:space="0" w:color="00B050"/>
            </w:tcBorders>
            <w:shd w:val="clear" w:color="auto" w:fill="FFFFFF"/>
          </w:tcPr>
          <w:p w14:paraId="19189A27" w14:textId="77777777" w:rsidR="00366CB9" w:rsidRPr="00CE4227" w:rsidRDefault="009D0C1D" w:rsidP="00457B0A">
            <w:pPr>
              <w:pStyle w:val="a6"/>
              <w:shd w:val="clear" w:color="auto" w:fill="auto"/>
              <w:rPr>
                <w:sz w:val="14"/>
                <w:szCs w:val="14"/>
              </w:rPr>
            </w:pPr>
            <w:r w:rsidRPr="00CE4227">
              <w:rPr>
                <w:b w:val="0"/>
                <w:color w:val="000000"/>
                <w:sz w:val="14"/>
                <w:szCs w:val="14"/>
              </w:rPr>
              <w:t>20 КУО/мл</w:t>
            </w:r>
          </w:p>
        </w:tc>
        <w:tc>
          <w:tcPr>
            <w:tcW w:w="1464" w:type="dxa"/>
            <w:tcBorders>
              <w:top w:val="single" w:sz="8" w:space="0" w:color="00B050"/>
              <w:bottom w:val="single" w:sz="8" w:space="0" w:color="00B050"/>
            </w:tcBorders>
            <w:shd w:val="clear" w:color="auto" w:fill="FFFFFF"/>
          </w:tcPr>
          <w:p w14:paraId="5FDE9A90" w14:textId="77777777" w:rsidR="00366CB9" w:rsidRPr="00CE4227" w:rsidRDefault="009D0C1D" w:rsidP="00457B0A">
            <w:pPr>
              <w:pStyle w:val="a6"/>
              <w:shd w:val="clear" w:color="auto" w:fill="auto"/>
              <w:spacing w:line="233" w:lineRule="auto"/>
              <w:rPr>
                <w:sz w:val="14"/>
                <w:szCs w:val="14"/>
              </w:rPr>
            </w:pPr>
            <w:r w:rsidRPr="00CE4227">
              <w:rPr>
                <w:b w:val="0"/>
                <w:color w:val="000000"/>
                <w:sz w:val="14"/>
                <w:szCs w:val="14"/>
              </w:rPr>
              <w:t>Мокротиння, трахеальний матеріал та бронхоальвеолярний лаваж</w:t>
            </w:r>
          </w:p>
        </w:tc>
        <w:tc>
          <w:tcPr>
            <w:tcW w:w="845" w:type="dxa"/>
            <w:tcBorders>
              <w:top w:val="single" w:sz="8" w:space="0" w:color="00B050"/>
              <w:bottom w:val="single" w:sz="8" w:space="0" w:color="00B050"/>
            </w:tcBorders>
            <w:shd w:val="clear" w:color="auto" w:fill="FFFFFF"/>
          </w:tcPr>
          <w:p w14:paraId="79DC82B1" w14:textId="77777777" w:rsidR="00366CB9" w:rsidRPr="00CE4227" w:rsidRDefault="009D0C1D" w:rsidP="00457B0A">
            <w:pPr>
              <w:pStyle w:val="a6"/>
              <w:shd w:val="clear" w:color="auto" w:fill="auto"/>
              <w:rPr>
                <w:sz w:val="14"/>
                <w:szCs w:val="14"/>
              </w:rPr>
            </w:pPr>
            <w:r w:rsidRPr="00CE4227">
              <w:rPr>
                <w:b w:val="0"/>
                <w:color w:val="000000"/>
                <w:sz w:val="14"/>
                <w:szCs w:val="14"/>
              </w:rPr>
              <w:t>&lt; 4 год</w:t>
            </w:r>
          </w:p>
        </w:tc>
        <w:tc>
          <w:tcPr>
            <w:tcW w:w="1747" w:type="dxa"/>
            <w:tcBorders>
              <w:top w:val="single" w:sz="8" w:space="0" w:color="00B050"/>
              <w:bottom w:val="single" w:sz="8" w:space="0" w:color="00B050"/>
            </w:tcBorders>
            <w:shd w:val="clear" w:color="auto" w:fill="FFFFFF"/>
          </w:tcPr>
          <w:p w14:paraId="1B8EAE39" w14:textId="77777777" w:rsidR="00366CB9" w:rsidRPr="00CE4227" w:rsidRDefault="009D0C1D" w:rsidP="00457B0A">
            <w:pPr>
              <w:pStyle w:val="a6"/>
              <w:shd w:val="clear" w:color="auto" w:fill="auto"/>
              <w:rPr>
                <w:sz w:val="14"/>
                <w:szCs w:val="14"/>
              </w:rPr>
            </w:pPr>
            <w:r w:rsidRPr="00CE4227">
              <w:rPr>
                <w:b w:val="0"/>
                <w:color w:val="000000"/>
                <w:sz w:val="14"/>
                <w:szCs w:val="14"/>
              </w:rPr>
              <w:t>Початкове виявлення MTBC та резистентності до RIF та INH</w:t>
            </w:r>
          </w:p>
        </w:tc>
        <w:tc>
          <w:tcPr>
            <w:tcW w:w="1387" w:type="dxa"/>
            <w:tcBorders>
              <w:top w:val="single" w:sz="8" w:space="0" w:color="00B050"/>
              <w:bottom w:val="single" w:sz="8" w:space="0" w:color="00B050"/>
            </w:tcBorders>
            <w:shd w:val="clear" w:color="auto" w:fill="FFFFFF"/>
          </w:tcPr>
          <w:p w14:paraId="4BBE862A" w14:textId="77777777" w:rsidR="00366CB9" w:rsidRPr="00CE4227" w:rsidRDefault="009D0C1D" w:rsidP="00457B0A">
            <w:pPr>
              <w:pStyle w:val="a6"/>
              <w:shd w:val="clear" w:color="auto" w:fill="auto"/>
              <w:rPr>
                <w:sz w:val="14"/>
                <w:szCs w:val="14"/>
              </w:rPr>
            </w:pPr>
            <w:r w:rsidRPr="00CE4227">
              <w:rPr>
                <w:b w:val="0"/>
                <w:color w:val="000000"/>
                <w:sz w:val="14"/>
                <w:szCs w:val="14"/>
              </w:rPr>
              <w:t>Безперебійне живлення</w:t>
            </w:r>
          </w:p>
        </w:tc>
        <w:tc>
          <w:tcPr>
            <w:tcW w:w="1008" w:type="dxa"/>
            <w:tcBorders>
              <w:top w:val="single" w:sz="8" w:space="0" w:color="00B050"/>
              <w:bottom w:val="single" w:sz="8" w:space="0" w:color="00B050"/>
            </w:tcBorders>
            <w:shd w:val="clear" w:color="auto" w:fill="FFFFFF"/>
          </w:tcPr>
          <w:p w14:paraId="672DE1B5" w14:textId="77777777" w:rsidR="00366CB9" w:rsidRPr="00CE4227" w:rsidRDefault="009D0C1D" w:rsidP="00457B0A">
            <w:pPr>
              <w:pStyle w:val="a6"/>
              <w:shd w:val="clear" w:color="auto" w:fill="auto"/>
              <w:rPr>
                <w:sz w:val="14"/>
                <w:szCs w:val="14"/>
              </w:rPr>
            </w:pPr>
            <w:r w:rsidRPr="00CE4227">
              <w:rPr>
                <w:b w:val="0"/>
                <w:color w:val="000000"/>
                <w:sz w:val="14"/>
                <w:szCs w:val="14"/>
              </w:rPr>
              <w:t>2-28 °C,</w:t>
            </w:r>
          </w:p>
          <w:p w14:paraId="6638BE89"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9 місяців</w:t>
            </w:r>
          </w:p>
        </w:tc>
        <w:tc>
          <w:tcPr>
            <w:tcW w:w="835" w:type="dxa"/>
            <w:tcBorders>
              <w:top w:val="single" w:sz="8" w:space="0" w:color="00B050"/>
              <w:bottom w:val="single" w:sz="8" w:space="0" w:color="00B050"/>
            </w:tcBorders>
            <w:shd w:val="clear" w:color="auto" w:fill="FFFFFF"/>
          </w:tcPr>
          <w:p w14:paraId="29F2692F" w14:textId="77777777" w:rsidR="00366CB9" w:rsidRPr="00CE4227" w:rsidRDefault="009D0C1D" w:rsidP="00457B0A">
            <w:pPr>
              <w:pStyle w:val="a6"/>
              <w:shd w:val="clear" w:color="auto" w:fill="auto"/>
              <w:rPr>
                <w:sz w:val="14"/>
                <w:szCs w:val="14"/>
              </w:rPr>
            </w:pPr>
            <w:r w:rsidRPr="00CE4227">
              <w:rPr>
                <w:b w:val="0"/>
                <w:color w:val="000000"/>
                <w:sz w:val="14"/>
                <w:szCs w:val="14"/>
              </w:rPr>
              <w:t>24</w:t>
            </w:r>
          </w:p>
        </w:tc>
      </w:tr>
    </w:tbl>
    <w:tbl>
      <w:tblPr>
        <w:tblOverlap w:val="never"/>
        <w:tblW w:w="0" w:type="auto"/>
        <w:tblLayout w:type="fixed"/>
        <w:tblCellMar>
          <w:left w:w="10" w:type="dxa"/>
          <w:right w:w="10" w:type="dxa"/>
        </w:tblCellMar>
        <w:tblLook w:val="0000" w:firstRow="0" w:lastRow="0" w:firstColumn="0" w:lastColumn="0" w:noHBand="0" w:noVBand="0"/>
      </w:tblPr>
      <w:tblGrid>
        <w:gridCol w:w="182"/>
      </w:tblGrid>
      <w:tr w:rsidR="00366CB9" w14:paraId="03B1B5E9" w14:textId="77777777">
        <w:trPr>
          <w:trHeight w:hRule="exact" w:val="566"/>
        </w:trPr>
        <w:tc>
          <w:tcPr>
            <w:tcW w:w="182" w:type="dxa"/>
            <w:shd w:val="clear" w:color="auto" w:fill="FFFFFF"/>
            <w:textDirection w:val="tbRl"/>
          </w:tcPr>
          <w:p w14:paraId="20D0C210" w14:textId="77777777" w:rsidR="00366CB9" w:rsidRDefault="009D0C1D" w:rsidP="00425523">
            <w:pPr>
              <w:pStyle w:val="a6"/>
              <w:framePr w:w="182" w:h="5314" w:wrap="none" w:vAnchor="page" w:hAnchor="page" w:x="690" w:y="820"/>
              <w:shd w:val="clear" w:color="auto" w:fill="auto"/>
              <w:rPr>
                <w:sz w:val="15"/>
                <w:szCs w:val="15"/>
              </w:rPr>
            </w:pPr>
            <w:r>
              <w:rPr>
                <w:b w:val="0"/>
                <w:color w:val="019648"/>
                <w:sz w:val="15"/>
              </w:rPr>
              <w:t>16</w:t>
            </w:r>
          </w:p>
        </w:tc>
      </w:tr>
      <w:tr w:rsidR="00366CB9" w14:paraId="2F47ED77" w14:textId="77777777" w:rsidTr="00CE4227">
        <w:trPr>
          <w:trHeight w:hRule="exact" w:val="5383"/>
        </w:trPr>
        <w:tc>
          <w:tcPr>
            <w:tcW w:w="182" w:type="dxa"/>
            <w:shd w:val="clear" w:color="auto" w:fill="FFFFFF"/>
            <w:textDirection w:val="tbRl"/>
          </w:tcPr>
          <w:p w14:paraId="539C53CE" w14:textId="77777777" w:rsidR="00366CB9" w:rsidRDefault="009D0C1D" w:rsidP="00425523">
            <w:pPr>
              <w:pStyle w:val="a6"/>
              <w:framePr w:w="182" w:h="5314" w:wrap="none" w:vAnchor="page" w:hAnchor="page" w:x="690" w:y="820"/>
              <w:shd w:val="clear" w:color="auto" w:fill="auto"/>
              <w:rPr>
                <w:sz w:val="15"/>
                <w:szCs w:val="15"/>
              </w:rPr>
            </w:pPr>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p>
        </w:tc>
      </w:tr>
    </w:tbl>
    <w:p w14:paraId="756DA9B8" w14:textId="77777777" w:rsidR="00366CB9" w:rsidRDefault="00366CB9" w:rsidP="00425523">
      <w:pPr>
        <w:spacing w:line="1" w:lineRule="exact"/>
        <w:sectPr w:rsidR="00366CB9" w:rsidSect="00CE4227">
          <w:footerReference w:type="even" r:id="rId43"/>
          <w:pgSz w:w="16840" w:h="11913" w:orient="landscape"/>
          <w:pgMar w:top="1406" w:right="352" w:bottom="426" w:left="1514" w:header="0" w:footer="6" w:gutter="0"/>
          <w:paperSrc w:first="15" w:other="15"/>
          <w:cols w:space="720"/>
          <w:noEndnote/>
          <w:docGrid w:linePitch="360"/>
        </w:sectPr>
      </w:pPr>
    </w:p>
    <w:p w14:paraId="0B150097"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109"/>
        <w:gridCol w:w="1051"/>
        <w:gridCol w:w="1387"/>
        <w:gridCol w:w="1334"/>
        <w:gridCol w:w="912"/>
        <w:gridCol w:w="965"/>
        <w:gridCol w:w="931"/>
        <w:gridCol w:w="1464"/>
        <w:gridCol w:w="845"/>
        <w:gridCol w:w="1747"/>
        <w:gridCol w:w="1387"/>
        <w:gridCol w:w="1008"/>
        <w:gridCol w:w="835"/>
      </w:tblGrid>
      <w:tr w:rsidR="00366CB9" w:rsidRPr="0079021A" w14:paraId="5AC340FB" w14:textId="77777777" w:rsidTr="00546B4F">
        <w:trPr>
          <w:trHeight w:hRule="exact" w:val="1282"/>
        </w:trPr>
        <w:tc>
          <w:tcPr>
            <w:tcW w:w="1109"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FC4675D" w14:textId="77777777" w:rsidR="00366CB9" w:rsidRPr="0079021A" w:rsidRDefault="009D0C1D" w:rsidP="00457B0A">
            <w:pPr>
              <w:pStyle w:val="a6"/>
              <w:shd w:val="clear" w:color="auto" w:fill="auto"/>
              <w:rPr>
                <w:sz w:val="18"/>
                <w:szCs w:val="18"/>
              </w:rPr>
            </w:pPr>
            <w:r>
              <w:rPr>
                <w:color w:val="FFFFFF"/>
                <w:sz w:val="18"/>
              </w:rPr>
              <w:t>Клас</w:t>
            </w:r>
          </w:p>
        </w:tc>
        <w:tc>
          <w:tcPr>
            <w:tcW w:w="1051"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CBE31B3" w14:textId="77777777" w:rsidR="00366CB9" w:rsidRPr="0079021A" w:rsidRDefault="009D0C1D" w:rsidP="00457B0A">
            <w:pPr>
              <w:pStyle w:val="a6"/>
              <w:shd w:val="clear" w:color="auto" w:fill="auto"/>
              <w:rPr>
                <w:sz w:val="18"/>
                <w:szCs w:val="18"/>
              </w:rPr>
            </w:pPr>
            <w:r>
              <w:rPr>
                <w:color w:val="FFFFFF"/>
                <w:sz w:val="18"/>
              </w:rPr>
              <w:t>Тест</w:t>
            </w:r>
          </w:p>
        </w:tc>
        <w:tc>
          <w:tcPr>
            <w:tcW w:w="138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78594D7" w14:textId="77777777" w:rsidR="00366CB9" w:rsidRPr="0079021A" w:rsidRDefault="009D0C1D" w:rsidP="00457B0A">
            <w:pPr>
              <w:pStyle w:val="a6"/>
              <w:shd w:val="clear" w:color="auto" w:fill="auto"/>
              <w:rPr>
                <w:sz w:val="18"/>
                <w:szCs w:val="18"/>
              </w:rPr>
            </w:pPr>
            <w:r>
              <w:rPr>
                <w:color w:val="FFFFFF"/>
                <w:sz w:val="18"/>
              </w:rPr>
              <w:t>Виробник</w:t>
            </w:r>
          </w:p>
        </w:tc>
        <w:tc>
          <w:tcPr>
            <w:tcW w:w="133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AABDCD7" w14:textId="77777777" w:rsidR="00366CB9" w:rsidRPr="0079021A" w:rsidRDefault="009D0C1D" w:rsidP="00457B0A">
            <w:pPr>
              <w:pStyle w:val="a6"/>
              <w:shd w:val="clear" w:color="auto" w:fill="auto"/>
              <w:rPr>
                <w:sz w:val="18"/>
                <w:szCs w:val="18"/>
              </w:rPr>
            </w:pPr>
            <w:r>
              <w:rPr>
                <w:color w:val="FFFFFF"/>
                <w:sz w:val="18"/>
              </w:rPr>
              <w:t>Прилад(и)</w:t>
            </w:r>
          </w:p>
        </w:tc>
        <w:tc>
          <w:tcPr>
            <w:tcW w:w="91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E43EAAF" w14:textId="3AD12B91" w:rsidR="00366CB9" w:rsidRPr="0079021A" w:rsidRDefault="009D0C1D" w:rsidP="00457B0A">
            <w:pPr>
              <w:pStyle w:val="a6"/>
              <w:shd w:val="clear" w:color="auto" w:fill="auto"/>
              <w:rPr>
                <w:sz w:val="18"/>
                <w:szCs w:val="18"/>
              </w:rPr>
            </w:pPr>
            <w:r>
              <w:rPr>
                <w:color w:val="FFFFFF"/>
                <w:sz w:val="18"/>
              </w:rPr>
              <w:t>Ген(и)-мішень (і)</w:t>
            </w:r>
          </w:p>
        </w:tc>
        <w:tc>
          <w:tcPr>
            <w:tcW w:w="965"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E8F3FD3" w14:textId="77777777" w:rsidR="00366CB9" w:rsidRPr="0079021A" w:rsidRDefault="009D0C1D" w:rsidP="00457B0A">
            <w:pPr>
              <w:pStyle w:val="a6"/>
              <w:shd w:val="clear" w:color="auto" w:fill="auto"/>
              <w:rPr>
                <w:sz w:val="18"/>
                <w:szCs w:val="18"/>
              </w:rPr>
            </w:pPr>
            <w:r>
              <w:rPr>
                <w:color w:val="FFFFFF"/>
                <w:sz w:val="18"/>
              </w:rPr>
              <w:t>ТМЧ</w:t>
            </w:r>
          </w:p>
        </w:tc>
        <w:tc>
          <w:tcPr>
            <w:tcW w:w="931"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8904C0F" w14:textId="77777777" w:rsidR="00366CB9" w:rsidRPr="0079021A" w:rsidRDefault="009D0C1D" w:rsidP="00457B0A">
            <w:pPr>
              <w:pStyle w:val="a6"/>
              <w:shd w:val="clear" w:color="auto" w:fill="auto"/>
              <w:rPr>
                <w:sz w:val="18"/>
                <w:szCs w:val="18"/>
              </w:rPr>
            </w:pPr>
            <w:r>
              <w:rPr>
                <w:color w:val="FFFFFF"/>
                <w:sz w:val="18"/>
              </w:rPr>
              <w:t>Заявлена</w:t>
            </w:r>
          </w:p>
          <w:p w14:paraId="72C29D15" w14:textId="77777777" w:rsidR="00366CB9" w:rsidRPr="0079021A" w:rsidRDefault="009D0C1D" w:rsidP="00457B0A">
            <w:pPr>
              <w:pStyle w:val="a6"/>
              <w:shd w:val="clear" w:color="auto" w:fill="auto"/>
              <w:rPr>
                <w:sz w:val="18"/>
                <w:szCs w:val="18"/>
              </w:rPr>
            </w:pPr>
            <w:r>
              <w:rPr>
                <w:color w:val="FFFFFF"/>
                <w:sz w:val="18"/>
              </w:rPr>
              <w:t>LoD</w:t>
            </w:r>
          </w:p>
        </w:tc>
        <w:tc>
          <w:tcPr>
            <w:tcW w:w="146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F113354" w14:textId="05813325" w:rsidR="00366CB9" w:rsidRPr="0079021A" w:rsidRDefault="009D0C1D" w:rsidP="00457B0A">
            <w:pPr>
              <w:pStyle w:val="a6"/>
              <w:shd w:val="clear" w:color="auto" w:fill="auto"/>
              <w:rPr>
                <w:sz w:val="18"/>
                <w:szCs w:val="18"/>
              </w:rPr>
            </w:pPr>
            <w:r>
              <w:rPr>
                <w:color w:val="FFFFFF"/>
                <w:sz w:val="18"/>
              </w:rPr>
              <w:t>Рекомендваний тип зразка</w:t>
            </w:r>
          </w:p>
        </w:tc>
        <w:tc>
          <w:tcPr>
            <w:tcW w:w="845"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41EAEB5E" w14:textId="08FA606D" w:rsidR="00366CB9" w:rsidRPr="0079021A" w:rsidRDefault="009D0C1D" w:rsidP="00457B0A">
            <w:pPr>
              <w:pStyle w:val="a6"/>
              <w:shd w:val="clear" w:color="auto" w:fill="auto"/>
              <w:rPr>
                <w:sz w:val="18"/>
                <w:szCs w:val="18"/>
              </w:rPr>
            </w:pPr>
            <w:r>
              <w:rPr>
                <w:color w:val="FFFFFF"/>
                <w:sz w:val="18"/>
              </w:rPr>
              <w:t>Час отри</w:t>
            </w:r>
            <w:r w:rsidR="00CE4227" w:rsidRPr="00CE4227">
              <w:rPr>
                <w:color w:val="FFFFFF"/>
                <w:sz w:val="18"/>
                <w:lang w:val="ru-RU"/>
              </w:rPr>
              <w:t>-</w:t>
            </w:r>
            <w:r>
              <w:rPr>
                <w:color w:val="FFFFFF"/>
                <w:sz w:val="18"/>
              </w:rPr>
              <w:t>мання резуль</w:t>
            </w:r>
            <w:r w:rsidR="00CE4227" w:rsidRPr="00CE4227">
              <w:rPr>
                <w:color w:val="FFFFFF"/>
                <w:sz w:val="18"/>
                <w:lang w:val="ru-RU"/>
              </w:rPr>
              <w:t>-</w:t>
            </w:r>
            <w:r>
              <w:rPr>
                <w:color w:val="FFFFFF"/>
                <w:sz w:val="18"/>
              </w:rPr>
              <w:t>татів</w:t>
            </w:r>
          </w:p>
        </w:tc>
        <w:tc>
          <w:tcPr>
            <w:tcW w:w="174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C54446C" w14:textId="77777777" w:rsidR="00366CB9" w:rsidRPr="0079021A" w:rsidRDefault="009D0C1D" w:rsidP="00457B0A">
            <w:pPr>
              <w:pStyle w:val="a6"/>
              <w:shd w:val="clear" w:color="auto" w:fill="auto"/>
              <w:rPr>
                <w:sz w:val="18"/>
                <w:szCs w:val="18"/>
              </w:rPr>
            </w:pPr>
            <w:r>
              <w:rPr>
                <w:color w:val="FFFFFF"/>
                <w:sz w:val="18"/>
              </w:rPr>
              <w:t>Рекомендації ВООЗ</w:t>
            </w:r>
          </w:p>
        </w:tc>
        <w:tc>
          <w:tcPr>
            <w:tcW w:w="138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7D1C3D0" w14:textId="77777777" w:rsidR="00366CB9" w:rsidRPr="0079021A" w:rsidRDefault="009D0C1D" w:rsidP="00457B0A">
            <w:pPr>
              <w:pStyle w:val="a6"/>
              <w:shd w:val="clear" w:color="auto" w:fill="auto"/>
              <w:rPr>
                <w:sz w:val="18"/>
                <w:szCs w:val="18"/>
              </w:rPr>
            </w:pPr>
            <w:r>
              <w:rPr>
                <w:color w:val="FFFFFF"/>
                <w:sz w:val="18"/>
              </w:rPr>
              <w:t>Основні вимоги до виробничих потужностей</w:t>
            </w:r>
          </w:p>
        </w:tc>
        <w:tc>
          <w:tcPr>
            <w:tcW w:w="1008"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45520803" w14:textId="0851E0E9" w:rsidR="00366CB9" w:rsidRPr="0079021A" w:rsidRDefault="009D0C1D" w:rsidP="00457B0A">
            <w:pPr>
              <w:pStyle w:val="a6"/>
              <w:shd w:val="clear" w:color="auto" w:fill="auto"/>
              <w:rPr>
                <w:sz w:val="18"/>
                <w:szCs w:val="18"/>
              </w:rPr>
            </w:pPr>
            <w:r>
              <w:rPr>
                <w:color w:val="FFFFFF"/>
                <w:sz w:val="18"/>
              </w:rPr>
              <w:t>Зберігання реактивів, термін придат</w:t>
            </w:r>
            <w:r w:rsidR="00CE4227" w:rsidRPr="00CE4227">
              <w:rPr>
                <w:color w:val="FFFFFF"/>
                <w:sz w:val="18"/>
                <w:lang w:val="ru-RU"/>
              </w:rPr>
              <w:t>-</w:t>
            </w:r>
            <w:r>
              <w:rPr>
                <w:color w:val="FFFFFF"/>
                <w:sz w:val="18"/>
              </w:rPr>
              <w:t>ності</w:t>
            </w:r>
          </w:p>
        </w:tc>
        <w:tc>
          <w:tcPr>
            <w:tcW w:w="835" w:type="dxa"/>
            <w:tcBorders>
              <w:top w:val="single" w:sz="8" w:space="0" w:color="00B050"/>
              <w:left w:val="single" w:sz="8" w:space="0" w:color="00B050"/>
              <w:bottom w:val="single" w:sz="8" w:space="0" w:color="00B050"/>
              <w:right w:val="single" w:sz="8" w:space="0" w:color="00B050"/>
            </w:tcBorders>
            <w:shd w:val="clear" w:color="auto" w:fill="62A86A"/>
            <w:vAlign w:val="bottom"/>
          </w:tcPr>
          <w:p w14:paraId="770A21E5" w14:textId="482DFDAC" w:rsidR="00366CB9" w:rsidRPr="0079021A" w:rsidRDefault="009D0C1D" w:rsidP="00457B0A">
            <w:pPr>
              <w:pStyle w:val="a6"/>
              <w:shd w:val="clear" w:color="auto" w:fill="auto"/>
              <w:rPr>
                <w:sz w:val="18"/>
                <w:szCs w:val="18"/>
              </w:rPr>
            </w:pPr>
            <w:r>
              <w:rPr>
                <w:color w:val="FFFFFF"/>
                <w:sz w:val="18"/>
              </w:rPr>
              <w:t>Кіль</w:t>
            </w:r>
            <w:r w:rsidR="00CE4227" w:rsidRPr="00CE4227">
              <w:rPr>
                <w:color w:val="FFFFFF"/>
                <w:sz w:val="18"/>
                <w:lang w:val="ru-RU"/>
              </w:rPr>
              <w:t>-</w:t>
            </w:r>
            <w:r>
              <w:rPr>
                <w:color w:val="FFFFFF"/>
                <w:sz w:val="18"/>
              </w:rPr>
              <w:t>кість тестів на 8-годинну зміну</w:t>
            </w:r>
          </w:p>
        </w:tc>
      </w:tr>
      <w:tr w:rsidR="00366CB9" w14:paraId="2ABB2617" w14:textId="77777777" w:rsidTr="00546B4F">
        <w:trPr>
          <w:trHeight w:hRule="exact" w:val="816"/>
        </w:trPr>
        <w:tc>
          <w:tcPr>
            <w:tcW w:w="1109" w:type="dxa"/>
            <w:tcBorders>
              <w:top w:val="single" w:sz="8" w:space="0" w:color="00B050"/>
              <w:bottom w:val="single" w:sz="8" w:space="0" w:color="00B050"/>
            </w:tcBorders>
            <w:shd w:val="clear" w:color="auto" w:fill="FFFFFF"/>
          </w:tcPr>
          <w:p w14:paraId="0FA0C184" w14:textId="77777777" w:rsidR="00366CB9" w:rsidRPr="00CE4227" w:rsidRDefault="00366CB9" w:rsidP="00457B0A">
            <w:pPr>
              <w:rPr>
                <w:sz w:val="14"/>
                <w:szCs w:val="14"/>
              </w:rPr>
            </w:pPr>
          </w:p>
        </w:tc>
        <w:tc>
          <w:tcPr>
            <w:tcW w:w="1051" w:type="dxa"/>
            <w:tcBorders>
              <w:top w:val="single" w:sz="8" w:space="0" w:color="00B050"/>
              <w:bottom w:val="single" w:sz="8" w:space="0" w:color="00B050"/>
            </w:tcBorders>
            <w:shd w:val="clear" w:color="auto" w:fill="FFFFFF"/>
          </w:tcPr>
          <w:p w14:paraId="252CA0BF" w14:textId="77777777" w:rsidR="00366CB9" w:rsidRPr="00CE4227" w:rsidRDefault="009D0C1D" w:rsidP="00457B0A">
            <w:pPr>
              <w:pStyle w:val="a6"/>
              <w:shd w:val="clear" w:color="auto" w:fill="auto"/>
              <w:rPr>
                <w:sz w:val="14"/>
                <w:szCs w:val="14"/>
              </w:rPr>
            </w:pPr>
            <w:r w:rsidRPr="00CE4227">
              <w:rPr>
                <w:b w:val="0"/>
                <w:color w:val="000000"/>
                <w:sz w:val="14"/>
                <w:szCs w:val="14"/>
              </w:rPr>
              <w:t>FluoroType</w:t>
            </w:r>
          </w:p>
          <w:p w14:paraId="3C1F9747" w14:textId="77777777" w:rsidR="00366CB9" w:rsidRPr="00CE4227" w:rsidRDefault="009D0C1D" w:rsidP="00457B0A">
            <w:pPr>
              <w:pStyle w:val="a6"/>
              <w:shd w:val="clear" w:color="auto" w:fill="auto"/>
              <w:rPr>
                <w:sz w:val="14"/>
                <w:szCs w:val="14"/>
              </w:rPr>
            </w:pPr>
            <w:r w:rsidRPr="00CE4227">
              <w:rPr>
                <w:b w:val="0"/>
                <w:color w:val="000000"/>
                <w:sz w:val="14"/>
                <w:szCs w:val="14"/>
              </w:rPr>
              <w:t>MTB</w:t>
            </w:r>
          </w:p>
        </w:tc>
        <w:tc>
          <w:tcPr>
            <w:tcW w:w="1387" w:type="dxa"/>
            <w:tcBorders>
              <w:top w:val="single" w:sz="8" w:space="0" w:color="00B050"/>
              <w:bottom w:val="single" w:sz="8" w:space="0" w:color="00B050"/>
            </w:tcBorders>
            <w:shd w:val="clear" w:color="auto" w:fill="FFFFFF"/>
          </w:tcPr>
          <w:p w14:paraId="22FB5B1B" w14:textId="77777777" w:rsidR="00366CB9" w:rsidRPr="00CE4227" w:rsidRDefault="009D0C1D" w:rsidP="00457B0A">
            <w:pPr>
              <w:pStyle w:val="a6"/>
              <w:shd w:val="clear" w:color="auto" w:fill="auto"/>
              <w:rPr>
                <w:sz w:val="14"/>
                <w:szCs w:val="14"/>
              </w:rPr>
            </w:pPr>
            <w:r w:rsidRPr="00CE4227">
              <w:rPr>
                <w:b w:val="0"/>
                <w:color w:val="000000"/>
                <w:sz w:val="14"/>
                <w:szCs w:val="14"/>
              </w:rPr>
              <w:t>Bruker-Hain</w:t>
            </w:r>
          </w:p>
        </w:tc>
        <w:tc>
          <w:tcPr>
            <w:tcW w:w="1334" w:type="dxa"/>
            <w:tcBorders>
              <w:top w:val="single" w:sz="8" w:space="0" w:color="00B050"/>
              <w:bottom w:val="single" w:sz="8" w:space="0" w:color="00B050"/>
            </w:tcBorders>
            <w:shd w:val="clear" w:color="auto" w:fill="FFFFFF"/>
          </w:tcPr>
          <w:p w14:paraId="1FE2EC42" w14:textId="77777777" w:rsidR="00366CB9" w:rsidRPr="00CE4227" w:rsidRDefault="009D0C1D" w:rsidP="00457B0A">
            <w:pPr>
              <w:pStyle w:val="a6"/>
              <w:shd w:val="clear" w:color="auto" w:fill="auto"/>
              <w:rPr>
                <w:sz w:val="14"/>
                <w:szCs w:val="14"/>
              </w:rPr>
            </w:pPr>
            <w:r w:rsidRPr="00CE4227">
              <w:rPr>
                <w:b w:val="0"/>
                <w:color w:val="000000"/>
                <w:sz w:val="14"/>
                <w:szCs w:val="14"/>
              </w:rPr>
              <w:t>FluoroCycler 12,</w:t>
            </w:r>
          </w:p>
          <w:p w14:paraId="5F8E6476" w14:textId="77777777" w:rsidR="00366CB9" w:rsidRPr="00CE4227" w:rsidRDefault="009D0C1D" w:rsidP="00457B0A">
            <w:pPr>
              <w:pStyle w:val="a6"/>
              <w:shd w:val="clear" w:color="auto" w:fill="auto"/>
              <w:rPr>
                <w:sz w:val="14"/>
                <w:szCs w:val="14"/>
              </w:rPr>
            </w:pPr>
            <w:r w:rsidRPr="00CE4227">
              <w:rPr>
                <w:b w:val="0"/>
                <w:color w:val="000000"/>
                <w:sz w:val="14"/>
                <w:szCs w:val="14"/>
              </w:rPr>
              <w:t>FluoroCycler XT</w:t>
            </w:r>
          </w:p>
        </w:tc>
        <w:tc>
          <w:tcPr>
            <w:tcW w:w="912" w:type="dxa"/>
            <w:tcBorders>
              <w:top w:val="single" w:sz="8" w:space="0" w:color="00B050"/>
              <w:bottom w:val="single" w:sz="8" w:space="0" w:color="00B050"/>
            </w:tcBorders>
            <w:shd w:val="clear" w:color="auto" w:fill="FFFFFF"/>
          </w:tcPr>
          <w:p w14:paraId="74B0DD74" w14:textId="77777777" w:rsidR="00366CB9" w:rsidRPr="00CE4227" w:rsidRDefault="009D0C1D" w:rsidP="00457B0A">
            <w:pPr>
              <w:pStyle w:val="a6"/>
              <w:shd w:val="clear" w:color="auto" w:fill="auto"/>
              <w:rPr>
                <w:sz w:val="14"/>
                <w:szCs w:val="14"/>
              </w:rPr>
            </w:pPr>
            <w:r w:rsidRPr="00CE4227">
              <w:rPr>
                <w:b w:val="0"/>
                <w:color w:val="000000"/>
                <w:sz w:val="14"/>
                <w:szCs w:val="14"/>
              </w:rPr>
              <w:t>IS6110</w:t>
            </w:r>
          </w:p>
        </w:tc>
        <w:tc>
          <w:tcPr>
            <w:tcW w:w="965" w:type="dxa"/>
            <w:tcBorders>
              <w:top w:val="single" w:sz="8" w:space="0" w:color="00B050"/>
              <w:bottom w:val="single" w:sz="8" w:space="0" w:color="00B050"/>
            </w:tcBorders>
            <w:shd w:val="clear" w:color="auto" w:fill="FFFFFF"/>
          </w:tcPr>
          <w:p w14:paraId="402C9C22" w14:textId="77777777" w:rsidR="00366CB9" w:rsidRPr="00CE4227" w:rsidRDefault="009D0C1D" w:rsidP="00457B0A">
            <w:pPr>
              <w:pStyle w:val="a6"/>
              <w:shd w:val="clear" w:color="auto" w:fill="auto"/>
              <w:rPr>
                <w:sz w:val="14"/>
                <w:szCs w:val="14"/>
              </w:rPr>
            </w:pPr>
            <w:r w:rsidRPr="00CE4227">
              <w:rPr>
                <w:b w:val="0"/>
                <w:color w:val="000000"/>
                <w:sz w:val="14"/>
                <w:szCs w:val="14"/>
              </w:rPr>
              <w:t>Ні</w:t>
            </w:r>
          </w:p>
        </w:tc>
        <w:tc>
          <w:tcPr>
            <w:tcW w:w="931" w:type="dxa"/>
            <w:tcBorders>
              <w:top w:val="single" w:sz="8" w:space="0" w:color="00B050"/>
              <w:bottom w:val="single" w:sz="8" w:space="0" w:color="00B050"/>
            </w:tcBorders>
            <w:shd w:val="clear" w:color="auto" w:fill="FFFFFF"/>
          </w:tcPr>
          <w:p w14:paraId="0A6E9AE6" w14:textId="77777777" w:rsidR="00366CB9" w:rsidRPr="00CE4227" w:rsidRDefault="009D0C1D" w:rsidP="00457B0A">
            <w:pPr>
              <w:pStyle w:val="a6"/>
              <w:shd w:val="clear" w:color="auto" w:fill="auto"/>
              <w:rPr>
                <w:sz w:val="14"/>
                <w:szCs w:val="14"/>
              </w:rPr>
            </w:pPr>
            <w:r w:rsidRPr="00CE4227">
              <w:rPr>
                <w:b w:val="0"/>
                <w:color w:val="000000"/>
                <w:sz w:val="14"/>
                <w:szCs w:val="14"/>
              </w:rPr>
              <w:t>15 КУО/мл</w:t>
            </w:r>
          </w:p>
        </w:tc>
        <w:tc>
          <w:tcPr>
            <w:tcW w:w="1464" w:type="dxa"/>
            <w:tcBorders>
              <w:top w:val="single" w:sz="8" w:space="0" w:color="00B050"/>
              <w:bottom w:val="single" w:sz="8" w:space="0" w:color="00B050"/>
            </w:tcBorders>
            <w:shd w:val="clear" w:color="auto" w:fill="FFFFFF"/>
          </w:tcPr>
          <w:p w14:paraId="5039152A" w14:textId="77777777" w:rsidR="00366CB9" w:rsidRPr="00CE4227" w:rsidRDefault="009D0C1D" w:rsidP="00457B0A">
            <w:pPr>
              <w:pStyle w:val="a6"/>
              <w:shd w:val="clear" w:color="auto" w:fill="auto"/>
              <w:rPr>
                <w:sz w:val="14"/>
                <w:szCs w:val="14"/>
              </w:rPr>
            </w:pPr>
            <w:r w:rsidRPr="00CE4227">
              <w:rPr>
                <w:b w:val="0"/>
                <w:color w:val="000000"/>
                <w:sz w:val="14"/>
                <w:szCs w:val="14"/>
              </w:rPr>
              <w:t>Мокротиння, трахеальний матеріал та бронхоальвеолярний лаваж</w:t>
            </w:r>
          </w:p>
        </w:tc>
        <w:tc>
          <w:tcPr>
            <w:tcW w:w="845" w:type="dxa"/>
            <w:tcBorders>
              <w:top w:val="single" w:sz="8" w:space="0" w:color="00B050"/>
              <w:bottom w:val="single" w:sz="8" w:space="0" w:color="00B050"/>
            </w:tcBorders>
            <w:shd w:val="clear" w:color="auto" w:fill="FFFFFF"/>
          </w:tcPr>
          <w:p w14:paraId="38EDBB28" w14:textId="77777777" w:rsidR="00366CB9" w:rsidRPr="00CE4227" w:rsidRDefault="009D0C1D" w:rsidP="00457B0A">
            <w:pPr>
              <w:pStyle w:val="a6"/>
              <w:shd w:val="clear" w:color="auto" w:fill="auto"/>
              <w:rPr>
                <w:sz w:val="14"/>
                <w:szCs w:val="14"/>
              </w:rPr>
            </w:pPr>
            <w:r w:rsidRPr="00CE4227">
              <w:rPr>
                <w:b w:val="0"/>
                <w:color w:val="000000"/>
                <w:sz w:val="14"/>
                <w:szCs w:val="14"/>
              </w:rPr>
              <w:t>2,5 год</w:t>
            </w:r>
          </w:p>
        </w:tc>
        <w:tc>
          <w:tcPr>
            <w:tcW w:w="1747" w:type="dxa"/>
            <w:tcBorders>
              <w:top w:val="single" w:sz="8" w:space="0" w:color="00B050"/>
              <w:bottom w:val="single" w:sz="8" w:space="0" w:color="00B050"/>
            </w:tcBorders>
            <w:shd w:val="clear" w:color="auto" w:fill="FFFFFF"/>
          </w:tcPr>
          <w:p w14:paraId="1331D1A3" w14:textId="77777777" w:rsidR="00366CB9" w:rsidRPr="00CE4227" w:rsidRDefault="009D0C1D" w:rsidP="00457B0A">
            <w:pPr>
              <w:pStyle w:val="a6"/>
              <w:shd w:val="clear" w:color="auto" w:fill="auto"/>
              <w:rPr>
                <w:sz w:val="14"/>
                <w:szCs w:val="14"/>
              </w:rPr>
            </w:pPr>
            <w:r w:rsidRPr="00CE4227">
              <w:rPr>
                <w:b w:val="0"/>
                <w:color w:val="000000"/>
                <w:sz w:val="14"/>
                <w:szCs w:val="14"/>
              </w:rPr>
              <w:t>Початкова діагностика ТБ</w:t>
            </w:r>
          </w:p>
        </w:tc>
        <w:tc>
          <w:tcPr>
            <w:tcW w:w="1387" w:type="dxa"/>
            <w:tcBorders>
              <w:top w:val="single" w:sz="8" w:space="0" w:color="00B050"/>
              <w:bottom w:val="single" w:sz="8" w:space="0" w:color="00B050"/>
            </w:tcBorders>
            <w:shd w:val="clear" w:color="auto" w:fill="FFFFFF"/>
          </w:tcPr>
          <w:p w14:paraId="79442776" w14:textId="77777777" w:rsidR="00366CB9" w:rsidRPr="00CE4227" w:rsidRDefault="009D0C1D" w:rsidP="00457B0A">
            <w:pPr>
              <w:pStyle w:val="a6"/>
              <w:shd w:val="clear" w:color="auto" w:fill="auto"/>
              <w:rPr>
                <w:sz w:val="14"/>
                <w:szCs w:val="14"/>
              </w:rPr>
            </w:pPr>
            <w:r w:rsidRPr="00CE4227">
              <w:rPr>
                <w:b w:val="0"/>
                <w:color w:val="000000"/>
                <w:sz w:val="14"/>
                <w:szCs w:val="14"/>
              </w:rPr>
              <w:t>Безперебійне живлення</w:t>
            </w:r>
          </w:p>
        </w:tc>
        <w:tc>
          <w:tcPr>
            <w:tcW w:w="1008" w:type="dxa"/>
            <w:tcBorders>
              <w:top w:val="single" w:sz="8" w:space="0" w:color="00B050"/>
              <w:bottom w:val="single" w:sz="8" w:space="0" w:color="00B050"/>
            </w:tcBorders>
            <w:shd w:val="clear" w:color="auto" w:fill="FFFFFF"/>
          </w:tcPr>
          <w:p w14:paraId="46AAE47C" w14:textId="77777777" w:rsidR="00366CB9" w:rsidRPr="00CE4227" w:rsidRDefault="009D0C1D" w:rsidP="00457B0A">
            <w:pPr>
              <w:pStyle w:val="a6"/>
              <w:shd w:val="clear" w:color="auto" w:fill="auto"/>
              <w:rPr>
                <w:sz w:val="14"/>
                <w:szCs w:val="14"/>
              </w:rPr>
            </w:pPr>
            <w:r w:rsidRPr="00CE4227">
              <w:rPr>
                <w:b w:val="0"/>
                <w:color w:val="000000"/>
                <w:sz w:val="14"/>
                <w:szCs w:val="14"/>
              </w:rPr>
              <w:t>Від -15 °C до</w:t>
            </w:r>
          </w:p>
          <w:p w14:paraId="250C4463" w14:textId="77777777" w:rsidR="00366CB9" w:rsidRPr="00CE4227" w:rsidRDefault="009D0C1D" w:rsidP="00457B0A">
            <w:pPr>
              <w:pStyle w:val="a6"/>
              <w:shd w:val="clear" w:color="auto" w:fill="auto"/>
              <w:rPr>
                <w:sz w:val="14"/>
                <w:szCs w:val="14"/>
              </w:rPr>
            </w:pPr>
            <w:r w:rsidRPr="00CE4227">
              <w:rPr>
                <w:b w:val="0"/>
                <w:color w:val="000000"/>
                <w:sz w:val="14"/>
                <w:szCs w:val="14"/>
              </w:rPr>
              <w:t>-25 °C,</w:t>
            </w:r>
          </w:p>
          <w:p w14:paraId="62A84D8C"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за запитом</w:t>
            </w:r>
          </w:p>
        </w:tc>
        <w:tc>
          <w:tcPr>
            <w:tcW w:w="835" w:type="dxa"/>
            <w:tcBorders>
              <w:top w:val="single" w:sz="8" w:space="0" w:color="00B050"/>
              <w:bottom w:val="single" w:sz="8" w:space="0" w:color="00B050"/>
            </w:tcBorders>
            <w:shd w:val="clear" w:color="auto" w:fill="FFFFFF"/>
          </w:tcPr>
          <w:p w14:paraId="6DB3EDEA" w14:textId="77777777" w:rsidR="00366CB9" w:rsidRPr="00CE4227" w:rsidRDefault="009D0C1D" w:rsidP="00457B0A">
            <w:pPr>
              <w:pStyle w:val="a6"/>
              <w:shd w:val="clear" w:color="auto" w:fill="auto"/>
              <w:rPr>
                <w:sz w:val="14"/>
                <w:szCs w:val="14"/>
              </w:rPr>
            </w:pPr>
            <w:r w:rsidRPr="00CE4227">
              <w:rPr>
                <w:b w:val="0"/>
                <w:color w:val="000000"/>
                <w:sz w:val="14"/>
                <w:szCs w:val="14"/>
              </w:rPr>
              <w:t>До 94</w:t>
            </w:r>
          </w:p>
        </w:tc>
      </w:tr>
      <w:tr w:rsidR="00366CB9" w14:paraId="7108B164" w14:textId="77777777" w:rsidTr="00546B4F">
        <w:trPr>
          <w:trHeight w:hRule="exact" w:val="994"/>
        </w:trPr>
        <w:tc>
          <w:tcPr>
            <w:tcW w:w="1109" w:type="dxa"/>
            <w:tcBorders>
              <w:top w:val="single" w:sz="8" w:space="0" w:color="00B050"/>
              <w:bottom w:val="single" w:sz="8" w:space="0" w:color="00B050"/>
            </w:tcBorders>
            <w:shd w:val="clear" w:color="auto" w:fill="FFFFFF"/>
          </w:tcPr>
          <w:p w14:paraId="68B11266" w14:textId="77777777" w:rsidR="00366CB9" w:rsidRPr="00CE4227" w:rsidRDefault="00366CB9" w:rsidP="00457B0A">
            <w:pPr>
              <w:rPr>
                <w:sz w:val="14"/>
                <w:szCs w:val="14"/>
              </w:rPr>
            </w:pPr>
          </w:p>
        </w:tc>
        <w:tc>
          <w:tcPr>
            <w:tcW w:w="1051" w:type="dxa"/>
            <w:tcBorders>
              <w:top w:val="single" w:sz="8" w:space="0" w:color="00B050"/>
              <w:bottom w:val="single" w:sz="8" w:space="0" w:color="00B050"/>
            </w:tcBorders>
            <w:shd w:val="clear" w:color="auto" w:fill="FFFFFF"/>
          </w:tcPr>
          <w:p w14:paraId="6C1BCF49" w14:textId="77777777" w:rsidR="00366CB9" w:rsidRPr="00CE4227" w:rsidRDefault="009D0C1D" w:rsidP="00457B0A">
            <w:pPr>
              <w:pStyle w:val="a6"/>
              <w:shd w:val="clear" w:color="auto" w:fill="auto"/>
              <w:rPr>
                <w:sz w:val="14"/>
                <w:szCs w:val="14"/>
              </w:rPr>
            </w:pPr>
            <w:r w:rsidRPr="00CE4227">
              <w:rPr>
                <w:b w:val="0"/>
                <w:color w:val="000000"/>
                <w:sz w:val="14"/>
                <w:szCs w:val="14"/>
              </w:rPr>
              <w:t>FluoroType</w:t>
            </w:r>
          </w:p>
          <w:p w14:paraId="01EC0382" w14:textId="77777777" w:rsidR="00366CB9" w:rsidRPr="00CE4227" w:rsidRDefault="009D0C1D" w:rsidP="00457B0A">
            <w:pPr>
              <w:pStyle w:val="a6"/>
              <w:shd w:val="clear" w:color="auto" w:fill="auto"/>
              <w:rPr>
                <w:sz w:val="14"/>
                <w:szCs w:val="14"/>
              </w:rPr>
            </w:pPr>
            <w:r w:rsidRPr="00CE4227">
              <w:rPr>
                <w:b w:val="0"/>
                <w:color w:val="000000"/>
                <w:sz w:val="14"/>
                <w:szCs w:val="14"/>
              </w:rPr>
              <w:t>MTBDR</w:t>
            </w:r>
          </w:p>
        </w:tc>
        <w:tc>
          <w:tcPr>
            <w:tcW w:w="1387" w:type="dxa"/>
            <w:tcBorders>
              <w:top w:val="single" w:sz="8" w:space="0" w:color="00B050"/>
              <w:bottom w:val="single" w:sz="8" w:space="0" w:color="00B050"/>
            </w:tcBorders>
            <w:shd w:val="clear" w:color="auto" w:fill="FFFFFF"/>
          </w:tcPr>
          <w:p w14:paraId="564F3990" w14:textId="77777777" w:rsidR="00366CB9" w:rsidRPr="00CE4227" w:rsidRDefault="009D0C1D" w:rsidP="00457B0A">
            <w:pPr>
              <w:pStyle w:val="a6"/>
              <w:shd w:val="clear" w:color="auto" w:fill="auto"/>
              <w:rPr>
                <w:sz w:val="14"/>
                <w:szCs w:val="14"/>
              </w:rPr>
            </w:pPr>
            <w:r w:rsidRPr="00CE4227">
              <w:rPr>
                <w:b w:val="0"/>
                <w:color w:val="000000"/>
                <w:sz w:val="14"/>
                <w:szCs w:val="14"/>
              </w:rPr>
              <w:t>Bruker-Hain</w:t>
            </w:r>
          </w:p>
        </w:tc>
        <w:tc>
          <w:tcPr>
            <w:tcW w:w="1334" w:type="dxa"/>
            <w:tcBorders>
              <w:top w:val="single" w:sz="8" w:space="0" w:color="00B050"/>
              <w:bottom w:val="single" w:sz="8" w:space="0" w:color="00B050"/>
            </w:tcBorders>
            <w:shd w:val="clear" w:color="auto" w:fill="FFFFFF"/>
          </w:tcPr>
          <w:p w14:paraId="38603104" w14:textId="77777777" w:rsidR="00366CB9" w:rsidRPr="00CE4227" w:rsidRDefault="009D0C1D" w:rsidP="00457B0A">
            <w:pPr>
              <w:pStyle w:val="a6"/>
              <w:shd w:val="clear" w:color="auto" w:fill="auto"/>
              <w:rPr>
                <w:sz w:val="14"/>
                <w:szCs w:val="14"/>
              </w:rPr>
            </w:pPr>
            <w:r w:rsidRPr="00CE4227">
              <w:rPr>
                <w:b w:val="0"/>
                <w:color w:val="000000"/>
                <w:sz w:val="14"/>
                <w:szCs w:val="14"/>
              </w:rPr>
              <w:t>FluoroCycler 12,</w:t>
            </w:r>
          </w:p>
          <w:p w14:paraId="5D453FEB" w14:textId="77777777" w:rsidR="00366CB9" w:rsidRPr="00CE4227" w:rsidRDefault="009D0C1D" w:rsidP="00457B0A">
            <w:pPr>
              <w:pStyle w:val="a6"/>
              <w:shd w:val="clear" w:color="auto" w:fill="auto"/>
              <w:rPr>
                <w:sz w:val="14"/>
                <w:szCs w:val="14"/>
              </w:rPr>
            </w:pPr>
            <w:r w:rsidRPr="00CE4227">
              <w:rPr>
                <w:b w:val="0"/>
                <w:color w:val="000000"/>
                <w:sz w:val="14"/>
                <w:szCs w:val="14"/>
              </w:rPr>
              <w:t>FluoroCycler XT</w:t>
            </w:r>
          </w:p>
        </w:tc>
        <w:tc>
          <w:tcPr>
            <w:tcW w:w="912" w:type="dxa"/>
            <w:tcBorders>
              <w:top w:val="single" w:sz="8" w:space="0" w:color="00B050"/>
              <w:bottom w:val="single" w:sz="8" w:space="0" w:color="00B050"/>
            </w:tcBorders>
            <w:shd w:val="clear" w:color="auto" w:fill="FFFFFF"/>
          </w:tcPr>
          <w:p w14:paraId="44B1EF91" w14:textId="77777777" w:rsidR="00366CB9" w:rsidRPr="00CE4227" w:rsidRDefault="009D0C1D" w:rsidP="00457B0A">
            <w:pPr>
              <w:pStyle w:val="a6"/>
              <w:shd w:val="clear" w:color="auto" w:fill="auto"/>
              <w:rPr>
                <w:i/>
                <w:iCs/>
                <w:sz w:val="14"/>
                <w:szCs w:val="14"/>
              </w:rPr>
            </w:pPr>
            <w:r w:rsidRPr="00CE4227">
              <w:rPr>
                <w:b w:val="0"/>
                <w:i/>
                <w:color w:val="000000"/>
                <w:sz w:val="14"/>
                <w:szCs w:val="14"/>
              </w:rPr>
              <w:t>rpoB, katG, inhA</w:t>
            </w:r>
          </w:p>
        </w:tc>
        <w:tc>
          <w:tcPr>
            <w:tcW w:w="965" w:type="dxa"/>
            <w:tcBorders>
              <w:top w:val="single" w:sz="8" w:space="0" w:color="00B050"/>
              <w:bottom w:val="single" w:sz="8" w:space="0" w:color="00B050"/>
            </w:tcBorders>
            <w:shd w:val="clear" w:color="auto" w:fill="FFFFFF"/>
          </w:tcPr>
          <w:p w14:paraId="7940554E" w14:textId="77777777" w:rsidR="00366CB9" w:rsidRPr="00CE4227" w:rsidRDefault="009D0C1D" w:rsidP="00457B0A">
            <w:pPr>
              <w:pStyle w:val="a6"/>
              <w:shd w:val="clear" w:color="auto" w:fill="auto"/>
              <w:rPr>
                <w:sz w:val="14"/>
                <w:szCs w:val="14"/>
              </w:rPr>
            </w:pPr>
            <w:r w:rsidRPr="00CE4227">
              <w:rPr>
                <w:b w:val="0"/>
                <w:color w:val="000000"/>
                <w:sz w:val="14"/>
                <w:szCs w:val="14"/>
              </w:rPr>
              <w:t>RIF, INH</w:t>
            </w:r>
          </w:p>
        </w:tc>
        <w:tc>
          <w:tcPr>
            <w:tcW w:w="931" w:type="dxa"/>
            <w:tcBorders>
              <w:top w:val="single" w:sz="8" w:space="0" w:color="00B050"/>
              <w:bottom w:val="single" w:sz="8" w:space="0" w:color="00B050"/>
            </w:tcBorders>
            <w:shd w:val="clear" w:color="auto" w:fill="FFFFFF"/>
          </w:tcPr>
          <w:p w14:paraId="3415840D" w14:textId="77777777" w:rsidR="00366CB9" w:rsidRPr="00CE4227" w:rsidRDefault="009D0C1D" w:rsidP="00457B0A">
            <w:pPr>
              <w:pStyle w:val="a6"/>
              <w:shd w:val="clear" w:color="auto" w:fill="auto"/>
              <w:rPr>
                <w:sz w:val="14"/>
                <w:szCs w:val="14"/>
              </w:rPr>
            </w:pPr>
            <w:r w:rsidRPr="00CE4227">
              <w:rPr>
                <w:b w:val="0"/>
                <w:color w:val="000000"/>
                <w:sz w:val="14"/>
                <w:szCs w:val="14"/>
              </w:rPr>
              <w:t>20 КУО/мл</w:t>
            </w:r>
          </w:p>
        </w:tc>
        <w:tc>
          <w:tcPr>
            <w:tcW w:w="1464" w:type="dxa"/>
            <w:tcBorders>
              <w:top w:val="single" w:sz="8" w:space="0" w:color="00B050"/>
              <w:bottom w:val="single" w:sz="8" w:space="0" w:color="00B050"/>
            </w:tcBorders>
            <w:shd w:val="clear" w:color="auto" w:fill="FFFFFF"/>
          </w:tcPr>
          <w:p w14:paraId="3877C429" w14:textId="77777777" w:rsidR="00366CB9" w:rsidRPr="00CE4227" w:rsidRDefault="009D0C1D" w:rsidP="00457B0A">
            <w:pPr>
              <w:pStyle w:val="a6"/>
              <w:shd w:val="clear" w:color="auto" w:fill="auto"/>
              <w:rPr>
                <w:sz w:val="14"/>
                <w:szCs w:val="14"/>
              </w:rPr>
            </w:pPr>
            <w:r w:rsidRPr="00CE4227">
              <w:rPr>
                <w:b w:val="0"/>
                <w:color w:val="000000"/>
                <w:sz w:val="14"/>
                <w:szCs w:val="14"/>
              </w:rPr>
              <w:t>Мокротиння, трахеальний матеріал та бронхоальвеолярний лаваж</w:t>
            </w:r>
          </w:p>
        </w:tc>
        <w:tc>
          <w:tcPr>
            <w:tcW w:w="845" w:type="dxa"/>
            <w:tcBorders>
              <w:top w:val="single" w:sz="8" w:space="0" w:color="00B050"/>
              <w:bottom w:val="single" w:sz="8" w:space="0" w:color="00B050"/>
            </w:tcBorders>
            <w:shd w:val="clear" w:color="auto" w:fill="FFFFFF"/>
          </w:tcPr>
          <w:p w14:paraId="65AD1FC6" w14:textId="77777777" w:rsidR="00366CB9" w:rsidRPr="00CE4227" w:rsidRDefault="009D0C1D" w:rsidP="00457B0A">
            <w:pPr>
              <w:pStyle w:val="a6"/>
              <w:shd w:val="clear" w:color="auto" w:fill="auto"/>
              <w:rPr>
                <w:sz w:val="14"/>
                <w:szCs w:val="14"/>
              </w:rPr>
            </w:pPr>
            <w:r w:rsidRPr="00CE4227">
              <w:rPr>
                <w:b w:val="0"/>
                <w:color w:val="000000"/>
                <w:sz w:val="14"/>
                <w:szCs w:val="14"/>
              </w:rPr>
              <w:t>2,5 год</w:t>
            </w:r>
          </w:p>
        </w:tc>
        <w:tc>
          <w:tcPr>
            <w:tcW w:w="1747" w:type="dxa"/>
            <w:tcBorders>
              <w:top w:val="single" w:sz="8" w:space="0" w:color="00B050"/>
              <w:bottom w:val="single" w:sz="8" w:space="0" w:color="00B050"/>
            </w:tcBorders>
            <w:shd w:val="clear" w:color="auto" w:fill="FFFFFF"/>
          </w:tcPr>
          <w:p w14:paraId="3DA8E8B0" w14:textId="77777777" w:rsidR="00366CB9" w:rsidRPr="00CE4227" w:rsidRDefault="009D0C1D" w:rsidP="00457B0A">
            <w:pPr>
              <w:pStyle w:val="a6"/>
              <w:shd w:val="clear" w:color="auto" w:fill="auto"/>
              <w:rPr>
                <w:sz w:val="14"/>
                <w:szCs w:val="14"/>
              </w:rPr>
            </w:pPr>
            <w:r w:rsidRPr="00CE4227">
              <w:rPr>
                <w:b w:val="0"/>
                <w:color w:val="000000"/>
                <w:sz w:val="14"/>
                <w:szCs w:val="14"/>
              </w:rPr>
              <w:t>Подальше тестування на виявлення резистентності до RIF та INH після тесту FluoroType MTB</w:t>
            </w:r>
          </w:p>
        </w:tc>
        <w:tc>
          <w:tcPr>
            <w:tcW w:w="1387" w:type="dxa"/>
            <w:tcBorders>
              <w:top w:val="single" w:sz="8" w:space="0" w:color="00B050"/>
              <w:bottom w:val="single" w:sz="8" w:space="0" w:color="00B050"/>
            </w:tcBorders>
            <w:shd w:val="clear" w:color="auto" w:fill="FFFFFF"/>
          </w:tcPr>
          <w:p w14:paraId="13F38826" w14:textId="77777777" w:rsidR="00366CB9" w:rsidRPr="00CE4227" w:rsidRDefault="009D0C1D" w:rsidP="00457B0A">
            <w:pPr>
              <w:pStyle w:val="a6"/>
              <w:shd w:val="clear" w:color="auto" w:fill="auto"/>
              <w:rPr>
                <w:sz w:val="14"/>
                <w:szCs w:val="14"/>
              </w:rPr>
            </w:pPr>
            <w:r w:rsidRPr="00CE4227">
              <w:rPr>
                <w:b w:val="0"/>
                <w:color w:val="000000"/>
                <w:sz w:val="14"/>
                <w:szCs w:val="14"/>
              </w:rPr>
              <w:t>Безперебійне живлення</w:t>
            </w:r>
          </w:p>
        </w:tc>
        <w:tc>
          <w:tcPr>
            <w:tcW w:w="1008" w:type="dxa"/>
            <w:tcBorders>
              <w:top w:val="single" w:sz="8" w:space="0" w:color="00B050"/>
              <w:bottom w:val="single" w:sz="8" w:space="0" w:color="00B050"/>
            </w:tcBorders>
            <w:shd w:val="clear" w:color="auto" w:fill="FFFFFF"/>
          </w:tcPr>
          <w:p w14:paraId="00BAD5FA" w14:textId="77777777" w:rsidR="00366CB9" w:rsidRPr="00CE4227" w:rsidRDefault="009D0C1D" w:rsidP="00457B0A">
            <w:pPr>
              <w:pStyle w:val="a6"/>
              <w:shd w:val="clear" w:color="auto" w:fill="auto"/>
              <w:rPr>
                <w:sz w:val="14"/>
                <w:szCs w:val="14"/>
              </w:rPr>
            </w:pPr>
            <w:r w:rsidRPr="00CE4227">
              <w:rPr>
                <w:b w:val="0"/>
                <w:color w:val="000000"/>
                <w:sz w:val="14"/>
                <w:szCs w:val="14"/>
              </w:rPr>
              <w:t>Від -15 °C до</w:t>
            </w:r>
          </w:p>
          <w:p w14:paraId="1AAF85D4" w14:textId="77777777" w:rsidR="00366CB9" w:rsidRPr="00CE4227" w:rsidRDefault="009D0C1D" w:rsidP="00457B0A">
            <w:pPr>
              <w:pStyle w:val="a6"/>
              <w:shd w:val="clear" w:color="auto" w:fill="auto"/>
              <w:rPr>
                <w:sz w:val="14"/>
                <w:szCs w:val="14"/>
              </w:rPr>
            </w:pPr>
            <w:r w:rsidRPr="00CE4227">
              <w:rPr>
                <w:b w:val="0"/>
                <w:color w:val="000000"/>
                <w:sz w:val="14"/>
                <w:szCs w:val="14"/>
              </w:rPr>
              <w:t>-25 °C,</w:t>
            </w:r>
          </w:p>
          <w:p w14:paraId="5AADDDB9"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за запитом</w:t>
            </w:r>
          </w:p>
        </w:tc>
        <w:tc>
          <w:tcPr>
            <w:tcW w:w="835" w:type="dxa"/>
            <w:tcBorders>
              <w:top w:val="single" w:sz="8" w:space="0" w:color="00B050"/>
              <w:bottom w:val="single" w:sz="8" w:space="0" w:color="00B050"/>
            </w:tcBorders>
            <w:shd w:val="clear" w:color="auto" w:fill="FFFFFF"/>
          </w:tcPr>
          <w:p w14:paraId="5B1FE107" w14:textId="77777777" w:rsidR="00366CB9" w:rsidRPr="00CE4227" w:rsidRDefault="009D0C1D" w:rsidP="00457B0A">
            <w:pPr>
              <w:pStyle w:val="a6"/>
              <w:shd w:val="clear" w:color="auto" w:fill="auto"/>
              <w:rPr>
                <w:sz w:val="14"/>
                <w:szCs w:val="14"/>
              </w:rPr>
            </w:pPr>
            <w:r w:rsidRPr="00CE4227">
              <w:rPr>
                <w:b w:val="0"/>
                <w:color w:val="000000"/>
                <w:sz w:val="14"/>
                <w:szCs w:val="14"/>
              </w:rPr>
              <w:t>До 94</w:t>
            </w:r>
          </w:p>
        </w:tc>
      </w:tr>
      <w:tr w:rsidR="00366CB9" w14:paraId="27F21BFE" w14:textId="77777777" w:rsidTr="00546B4F">
        <w:trPr>
          <w:trHeight w:hRule="exact" w:val="881"/>
        </w:trPr>
        <w:tc>
          <w:tcPr>
            <w:tcW w:w="1109" w:type="dxa"/>
            <w:tcBorders>
              <w:top w:val="single" w:sz="8" w:space="0" w:color="00B050"/>
              <w:bottom w:val="single" w:sz="8" w:space="0" w:color="00B050"/>
            </w:tcBorders>
            <w:shd w:val="clear" w:color="auto" w:fill="FFFFFF"/>
          </w:tcPr>
          <w:p w14:paraId="758A4016" w14:textId="77777777" w:rsidR="00366CB9" w:rsidRPr="00CE4227" w:rsidRDefault="00366CB9" w:rsidP="00457B0A">
            <w:pPr>
              <w:rPr>
                <w:sz w:val="14"/>
                <w:szCs w:val="14"/>
              </w:rPr>
            </w:pPr>
          </w:p>
        </w:tc>
        <w:tc>
          <w:tcPr>
            <w:tcW w:w="1051" w:type="dxa"/>
            <w:tcBorders>
              <w:top w:val="single" w:sz="8" w:space="0" w:color="00B050"/>
              <w:bottom w:val="single" w:sz="8" w:space="0" w:color="00B050"/>
            </w:tcBorders>
            <w:shd w:val="clear" w:color="auto" w:fill="FFFFFF"/>
          </w:tcPr>
          <w:p w14:paraId="53C98872" w14:textId="77777777" w:rsidR="00366CB9" w:rsidRPr="00CE4227" w:rsidRDefault="009D0C1D" w:rsidP="00457B0A">
            <w:pPr>
              <w:pStyle w:val="a6"/>
              <w:shd w:val="clear" w:color="auto" w:fill="auto"/>
              <w:rPr>
                <w:sz w:val="14"/>
                <w:szCs w:val="14"/>
              </w:rPr>
            </w:pPr>
            <w:r w:rsidRPr="00CE4227">
              <w:rPr>
                <w:b w:val="0"/>
                <w:color w:val="000000"/>
                <w:sz w:val="14"/>
                <w:szCs w:val="14"/>
              </w:rPr>
              <w:t>cobas MTB</w:t>
            </w:r>
          </w:p>
        </w:tc>
        <w:tc>
          <w:tcPr>
            <w:tcW w:w="1387" w:type="dxa"/>
            <w:tcBorders>
              <w:top w:val="single" w:sz="8" w:space="0" w:color="00B050"/>
              <w:bottom w:val="single" w:sz="8" w:space="0" w:color="00B050"/>
            </w:tcBorders>
            <w:shd w:val="clear" w:color="auto" w:fill="FFFFFF"/>
          </w:tcPr>
          <w:p w14:paraId="75847260" w14:textId="77777777" w:rsidR="00366CB9" w:rsidRPr="00CE4227" w:rsidRDefault="009D0C1D" w:rsidP="00457B0A">
            <w:pPr>
              <w:pStyle w:val="a6"/>
              <w:shd w:val="clear" w:color="auto" w:fill="auto"/>
              <w:rPr>
                <w:sz w:val="14"/>
                <w:szCs w:val="14"/>
              </w:rPr>
            </w:pPr>
            <w:r w:rsidRPr="00CE4227">
              <w:rPr>
                <w:b w:val="0"/>
                <w:color w:val="000000"/>
                <w:sz w:val="14"/>
                <w:szCs w:val="14"/>
              </w:rPr>
              <w:t>Roche</w:t>
            </w:r>
          </w:p>
        </w:tc>
        <w:tc>
          <w:tcPr>
            <w:tcW w:w="1334" w:type="dxa"/>
            <w:tcBorders>
              <w:top w:val="single" w:sz="8" w:space="0" w:color="00B050"/>
              <w:bottom w:val="single" w:sz="8" w:space="0" w:color="00B050"/>
            </w:tcBorders>
            <w:shd w:val="clear" w:color="auto" w:fill="FFFFFF"/>
          </w:tcPr>
          <w:p w14:paraId="7524BB77" w14:textId="77777777" w:rsidR="00366CB9" w:rsidRPr="00CE4227" w:rsidRDefault="009D0C1D" w:rsidP="00457B0A">
            <w:pPr>
              <w:pStyle w:val="a6"/>
              <w:shd w:val="clear" w:color="auto" w:fill="auto"/>
              <w:rPr>
                <w:sz w:val="14"/>
                <w:szCs w:val="14"/>
              </w:rPr>
            </w:pPr>
            <w:r w:rsidRPr="00CE4227">
              <w:rPr>
                <w:b w:val="0"/>
                <w:color w:val="000000"/>
                <w:sz w:val="14"/>
                <w:szCs w:val="14"/>
              </w:rPr>
              <w:t>cobas 5800,</w:t>
            </w:r>
          </w:p>
          <w:p w14:paraId="1D38C855"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6800, 8800</w:t>
            </w:r>
          </w:p>
        </w:tc>
        <w:tc>
          <w:tcPr>
            <w:tcW w:w="912" w:type="dxa"/>
            <w:tcBorders>
              <w:top w:val="single" w:sz="8" w:space="0" w:color="00B050"/>
              <w:bottom w:val="single" w:sz="8" w:space="0" w:color="00B050"/>
            </w:tcBorders>
            <w:shd w:val="clear" w:color="auto" w:fill="FFFFFF"/>
          </w:tcPr>
          <w:p w14:paraId="266A2159" w14:textId="77777777" w:rsidR="00366CB9" w:rsidRPr="00CE4227" w:rsidRDefault="009D0C1D" w:rsidP="00457B0A">
            <w:pPr>
              <w:pStyle w:val="a6"/>
              <w:shd w:val="clear" w:color="auto" w:fill="auto"/>
              <w:spacing w:line="233" w:lineRule="auto"/>
              <w:rPr>
                <w:i/>
                <w:iCs/>
                <w:sz w:val="14"/>
                <w:szCs w:val="14"/>
              </w:rPr>
            </w:pPr>
            <w:r w:rsidRPr="00CE4227">
              <w:rPr>
                <w:b w:val="0"/>
                <w:i/>
                <w:color w:val="000000"/>
                <w:sz w:val="14"/>
                <w:szCs w:val="14"/>
              </w:rPr>
              <w:t>16S rRNA, esx</w:t>
            </w:r>
          </w:p>
        </w:tc>
        <w:tc>
          <w:tcPr>
            <w:tcW w:w="965" w:type="dxa"/>
            <w:tcBorders>
              <w:top w:val="single" w:sz="8" w:space="0" w:color="00B050"/>
              <w:bottom w:val="single" w:sz="8" w:space="0" w:color="00B050"/>
            </w:tcBorders>
            <w:shd w:val="clear" w:color="auto" w:fill="FFFFFF"/>
          </w:tcPr>
          <w:p w14:paraId="508E1D36" w14:textId="77777777" w:rsidR="00366CB9" w:rsidRPr="00CE4227" w:rsidRDefault="009D0C1D" w:rsidP="00457B0A">
            <w:pPr>
              <w:pStyle w:val="a6"/>
              <w:shd w:val="clear" w:color="auto" w:fill="auto"/>
              <w:rPr>
                <w:sz w:val="14"/>
                <w:szCs w:val="14"/>
              </w:rPr>
            </w:pPr>
            <w:r w:rsidRPr="00CE4227">
              <w:rPr>
                <w:b w:val="0"/>
                <w:color w:val="000000"/>
                <w:sz w:val="14"/>
                <w:szCs w:val="14"/>
              </w:rPr>
              <w:t>Ні</w:t>
            </w:r>
          </w:p>
        </w:tc>
        <w:tc>
          <w:tcPr>
            <w:tcW w:w="931" w:type="dxa"/>
            <w:tcBorders>
              <w:top w:val="single" w:sz="8" w:space="0" w:color="00B050"/>
              <w:bottom w:val="single" w:sz="8" w:space="0" w:color="00B050"/>
            </w:tcBorders>
            <w:shd w:val="clear" w:color="auto" w:fill="FFFFFF"/>
          </w:tcPr>
          <w:p w14:paraId="77037E33" w14:textId="77777777" w:rsidR="00366CB9" w:rsidRPr="00CE4227" w:rsidRDefault="009D0C1D" w:rsidP="00457B0A">
            <w:pPr>
              <w:pStyle w:val="a6"/>
              <w:shd w:val="clear" w:color="auto" w:fill="auto"/>
              <w:rPr>
                <w:sz w:val="14"/>
                <w:szCs w:val="14"/>
              </w:rPr>
            </w:pPr>
            <w:r w:rsidRPr="00CE4227">
              <w:rPr>
                <w:b w:val="0"/>
                <w:color w:val="000000"/>
                <w:sz w:val="14"/>
                <w:szCs w:val="14"/>
              </w:rPr>
              <w:t>9 КУО/мл</w:t>
            </w:r>
          </w:p>
        </w:tc>
        <w:tc>
          <w:tcPr>
            <w:tcW w:w="1464" w:type="dxa"/>
            <w:tcBorders>
              <w:top w:val="single" w:sz="8" w:space="0" w:color="00B050"/>
              <w:bottom w:val="single" w:sz="8" w:space="0" w:color="00B050"/>
            </w:tcBorders>
            <w:shd w:val="clear" w:color="auto" w:fill="FFFFFF"/>
          </w:tcPr>
          <w:p w14:paraId="5C0D65B5" w14:textId="77777777" w:rsidR="00366CB9" w:rsidRPr="00CE4227" w:rsidRDefault="009D0C1D" w:rsidP="00457B0A">
            <w:pPr>
              <w:pStyle w:val="a6"/>
              <w:shd w:val="clear" w:color="auto" w:fill="auto"/>
              <w:spacing w:line="233" w:lineRule="auto"/>
              <w:rPr>
                <w:sz w:val="14"/>
                <w:szCs w:val="14"/>
              </w:rPr>
            </w:pPr>
            <w:r w:rsidRPr="00CE4227">
              <w:rPr>
                <w:b w:val="0"/>
                <w:color w:val="000000"/>
                <w:sz w:val="14"/>
                <w:szCs w:val="14"/>
              </w:rPr>
              <w:t>Мокротиння, трахеальний матеріал та бронхоальвеолярний лаваж</w:t>
            </w:r>
          </w:p>
        </w:tc>
        <w:tc>
          <w:tcPr>
            <w:tcW w:w="845" w:type="dxa"/>
            <w:tcBorders>
              <w:top w:val="single" w:sz="8" w:space="0" w:color="00B050"/>
              <w:bottom w:val="single" w:sz="8" w:space="0" w:color="00B050"/>
            </w:tcBorders>
            <w:shd w:val="clear" w:color="auto" w:fill="FFFFFF"/>
          </w:tcPr>
          <w:p w14:paraId="0903C246" w14:textId="77777777" w:rsidR="00366CB9" w:rsidRPr="00CE4227" w:rsidRDefault="009D0C1D" w:rsidP="00457B0A">
            <w:pPr>
              <w:pStyle w:val="a6"/>
              <w:shd w:val="clear" w:color="auto" w:fill="auto"/>
              <w:rPr>
                <w:sz w:val="14"/>
                <w:szCs w:val="14"/>
              </w:rPr>
            </w:pPr>
            <w:r w:rsidRPr="00CE4227">
              <w:rPr>
                <w:b w:val="0"/>
                <w:color w:val="000000"/>
                <w:sz w:val="14"/>
                <w:szCs w:val="14"/>
              </w:rPr>
              <w:t>3,5 год</w:t>
            </w:r>
          </w:p>
        </w:tc>
        <w:tc>
          <w:tcPr>
            <w:tcW w:w="1747" w:type="dxa"/>
            <w:tcBorders>
              <w:top w:val="single" w:sz="8" w:space="0" w:color="00B050"/>
              <w:bottom w:val="single" w:sz="8" w:space="0" w:color="00B050"/>
            </w:tcBorders>
            <w:shd w:val="clear" w:color="auto" w:fill="FFFFFF"/>
          </w:tcPr>
          <w:p w14:paraId="7040B205" w14:textId="77777777" w:rsidR="00366CB9" w:rsidRPr="00CE4227" w:rsidRDefault="009D0C1D" w:rsidP="00457B0A">
            <w:pPr>
              <w:pStyle w:val="a6"/>
              <w:shd w:val="clear" w:color="auto" w:fill="auto"/>
              <w:spacing w:line="233" w:lineRule="auto"/>
              <w:rPr>
                <w:sz w:val="14"/>
                <w:szCs w:val="14"/>
              </w:rPr>
            </w:pPr>
            <w:r w:rsidRPr="00CE4227">
              <w:rPr>
                <w:b w:val="0"/>
                <w:color w:val="000000"/>
                <w:sz w:val="14"/>
                <w:szCs w:val="14"/>
              </w:rPr>
              <w:t>Початкова діагностика ТБ</w:t>
            </w:r>
          </w:p>
        </w:tc>
        <w:tc>
          <w:tcPr>
            <w:tcW w:w="1387" w:type="dxa"/>
            <w:tcBorders>
              <w:top w:val="single" w:sz="8" w:space="0" w:color="00B050"/>
              <w:bottom w:val="single" w:sz="8" w:space="0" w:color="00B050"/>
            </w:tcBorders>
            <w:shd w:val="clear" w:color="auto" w:fill="FFFFFF"/>
          </w:tcPr>
          <w:p w14:paraId="7CFA6BAA" w14:textId="77777777" w:rsidR="00366CB9" w:rsidRPr="00CE4227" w:rsidRDefault="009D0C1D" w:rsidP="00457B0A">
            <w:pPr>
              <w:pStyle w:val="a6"/>
              <w:shd w:val="clear" w:color="auto" w:fill="auto"/>
              <w:spacing w:line="233" w:lineRule="auto"/>
              <w:rPr>
                <w:sz w:val="14"/>
                <w:szCs w:val="14"/>
              </w:rPr>
            </w:pPr>
            <w:r w:rsidRPr="00CE4227">
              <w:rPr>
                <w:b w:val="0"/>
                <w:color w:val="000000"/>
                <w:sz w:val="14"/>
                <w:szCs w:val="14"/>
              </w:rPr>
              <w:t>Безперебійне живлення, підлоговий прилад, маса &gt; 600 кг</w:t>
            </w:r>
          </w:p>
        </w:tc>
        <w:tc>
          <w:tcPr>
            <w:tcW w:w="1008" w:type="dxa"/>
            <w:tcBorders>
              <w:top w:val="single" w:sz="8" w:space="0" w:color="00B050"/>
              <w:bottom w:val="single" w:sz="8" w:space="0" w:color="00B050"/>
            </w:tcBorders>
            <w:shd w:val="clear" w:color="auto" w:fill="FFFFFF"/>
          </w:tcPr>
          <w:p w14:paraId="2E0150B8" w14:textId="77777777" w:rsidR="00366CB9" w:rsidRPr="00CE4227" w:rsidRDefault="009D0C1D" w:rsidP="00457B0A">
            <w:pPr>
              <w:pStyle w:val="a6"/>
              <w:shd w:val="clear" w:color="auto" w:fill="auto"/>
              <w:rPr>
                <w:sz w:val="14"/>
                <w:szCs w:val="14"/>
              </w:rPr>
            </w:pPr>
            <w:r w:rsidRPr="00CE4227">
              <w:rPr>
                <w:b w:val="0"/>
                <w:color w:val="000000"/>
                <w:sz w:val="14"/>
                <w:szCs w:val="14"/>
              </w:rPr>
              <w:t>2-8 °C,</w:t>
            </w:r>
          </w:p>
          <w:p w14:paraId="03827558"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18 місяців</w:t>
            </w:r>
          </w:p>
        </w:tc>
        <w:tc>
          <w:tcPr>
            <w:tcW w:w="835" w:type="dxa"/>
            <w:tcBorders>
              <w:top w:val="single" w:sz="8" w:space="0" w:color="00B050"/>
              <w:bottom w:val="single" w:sz="8" w:space="0" w:color="00B050"/>
            </w:tcBorders>
            <w:shd w:val="clear" w:color="auto" w:fill="FFFFFF"/>
          </w:tcPr>
          <w:p w14:paraId="3EDC63EC" w14:textId="77777777" w:rsidR="00366CB9" w:rsidRPr="00CE4227" w:rsidRDefault="009D0C1D" w:rsidP="00457B0A">
            <w:pPr>
              <w:pStyle w:val="a6"/>
              <w:shd w:val="clear" w:color="auto" w:fill="auto"/>
              <w:rPr>
                <w:sz w:val="14"/>
                <w:szCs w:val="14"/>
              </w:rPr>
            </w:pPr>
            <w:r w:rsidRPr="00CE4227">
              <w:rPr>
                <w:b w:val="0"/>
                <w:color w:val="000000"/>
                <w:sz w:val="14"/>
                <w:szCs w:val="14"/>
              </w:rPr>
              <w:t>94</w:t>
            </w:r>
          </w:p>
        </w:tc>
      </w:tr>
      <w:tr w:rsidR="00366CB9" w14:paraId="1B8B9701" w14:textId="77777777" w:rsidTr="00546B4F">
        <w:trPr>
          <w:trHeight w:hRule="exact" w:val="994"/>
        </w:trPr>
        <w:tc>
          <w:tcPr>
            <w:tcW w:w="1109" w:type="dxa"/>
            <w:tcBorders>
              <w:top w:val="single" w:sz="8" w:space="0" w:color="00B050"/>
              <w:bottom w:val="single" w:sz="8" w:space="0" w:color="00B050"/>
            </w:tcBorders>
            <w:shd w:val="clear" w:color="auto" w:fill="FFFFFF"/>
          </w:tcPr>
          <w:p w14:paraId="0E28AF26" w14:textId="77777777" w:rsidR="00366CB9" w:rsidRPr="00CE4227" w:rsidRDefault="00366CB9" w:rsidP="00457B0A">
            <w:pPr>
              <w:rPr>
                <w:sz w:val="14"/>
                <w:szCs w:val="14"/>
              </w:rPr>
            </w:pPr>
          </w:p>
        </w:tc>
        <w:tc>
          <w:tcPr>
            <w:tcW w:w="1051" w:type="dxa"/>
            <w:tcBorders>
              <w:top w:val="single" w:sz="8" w:space="0" w:color="00B050"/>
              <w:bottom w:val="single" w:sz="8" w:space="0" w:color="00B050"/>
            </w:tcBorders>
            <w:shd w:val="clear" w:color="auto" w:fill="FFFFFF"/>
          </w:tcPr>
          <w:p w14:paraId="49D41068" w14:textId="77777777" w:rsidR="00366CB9" w:rsidRPr="00CE4227" w:rsidRDefault="009D0C1D" w:rsidP="00457B0A">
            <w:pPr>
              <w:pStyle w:val="a6"/>
              <w:shd w:val="clear" w:color="auto" w:fill="auto"/>
              <w:rPr>
                <w:sz w:val="14"/>
                <w:szCs w:val="14"/>
              </w:rPr>
            </w:pPr>
            <w:r w:rsidRPr="00CE4227">
              <w:rPr>
                <w:b w:val="0"/>
                <w:color w:val="000000"/>
                <w:sz w:val="14"/>
                <w:szCs w:val="14"/>
              </w:rPr>
              <w:t>cobas</w:t>
            </w:r>
          </w:p>
          <w:p w14:paraId="67864A2F" w14:textId="77777777" w:rsidR="00366CB9" w:rsidRPr="00CE4227" w:rsidRDefault="009D0C1D" w:rsidP="00457B0A">
            <w:pPr>
              <w:pStyle w:val="a6"/>
              <w:shd w:val="clear" w:color="auto" w:fill="auto"/>
              <w:rPr>
                <w:sz w:val="14"/>
                <w:szCs w:val="14"/>
              </w:rPr>
            </w:pPr>
            <w:r w:rsidRPr="00CE4227">
              <w:rPr>
                <w:b w:val="0"/>
                <w:color w:val="000000"/>
                <w:sz w:val="14"/>
                <w:szCs w:val="14"/>
              </w:rPr>
              <w:t>MTB-RIF/</w:t>
            </w:r>
          </w:p>
          <w:p w14:paraId="25D8D633"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INH</w:t>
            </w:r>
          </w:p>
        </w:tc>
        <w:tc>
          <w:tcPr>
            <w:tcW w:w="1387" w:type="dxa"/>
            <w:tcBorders>
              <w:top w:val="single" w:sz="8" w:space="0" w:color="00B050"/>
              <w:bottom w:val="single" w:sz="8" w:space="0" w:color="00B050"/>
            </w:tcBorders>
            <w:shd w:val="clear" w:color="auto" w:fill="FFFFFF"/>
          </w:tcPr>
          <w:p w14:paraId="0A9E364D" w14:textId="77777777" w:rsidR="00366CB9" w:rsidRPr="00CE4227" w:rsidRDefault="009D0C1D" w:rsidP="00457B0A">
            <w:pPr>
              <w:pStyle w:val="a6"/>
              <w:shd w:val="clear" w:color="auto" w:fill="auto"/>
              <w:rPr>
                <w:sz w:val="14"/>
                <w:szCs w:val="14"/>
              </w:rPr>
            </w:pPr>
            <w:r w:rsidRPr="00CE4227">
              <w:rPr>
                <w:b w:val="0"/>
                <w:color w:val="000000"/>
                <w:sz w:val="14"/>
                <w:szCs w:val="14"/>
              </w:rPr>
              <w:t>Roche</w:t>
            </w:r>
          </w:p>
        </w:tc>
        <w:tc>
          <w:tcPr>
            <w:tcW w:w="1334" w:type="dxa"/>
            <w:tcBorders>
              <w:top w:val="single" w:sz="8" w:space="0" w:color="00B050"/>
              <w:bottom w:val="single" w:sz="8" w:space="0" w:color="00B050"/>
            </w:tcBorders>
            <w:shd w:val="clear" w:color="auto" w:fill="FFFFFF"/>
          </w:tcPr>
          <w:p w14:paraId="7295DE4B" w14:textId="77777777" w:rsidR="00366CB9" w:rsidRPr="00CE4227" w:rsidRDefault="009D0C1D" w:rsidP="00457B0A">
            <w:pPr>
              <w:pStyle w:val="a6"/>
              <w:shd w:val="clear" w:color="auto" w:fill="auto"/>
              <w:rPr>
                <w:sz w:val="14"/>
                <w:szCs w:val="14"/>
              </w:rPr>
            </w:pPr>
            <w:r w:rsidRPr="00CE4227">
              <w:rPr>
                <w:b w:val="0"/>
                <w:color w:val="000000"/>
                <w:sz w:val="14"/>
                <w:szCs w:val="14"/>
              </w:rPr>
              <w:t>cobas 5800,</w:t>
            </w:r>
          </w:p>
          <w:p w14:paraId="7A7DD788" w14:textId="77777777" w:rsidR="00366CB9" w:rsidRPr="00CE4227" w:rsidRDefault="009D0C1D" w:rsidP="00457B0A">
            <w:pPr>
              <w:pStyle w:val="a6"/>
              <w:shd w:val="clear" w:color="auto" w:fill="auto"/>
              <w:rPr>
                <w:sz w:val="14"/>
                <w:szCs w:val="14"/>
              </w:rPr>
            </w:pPr>
            <w:r w:rsidRPr="00CE4227">
              <w:rPr>
                <w:b w:val="0"/>
                <w:color w:val="000000"/>
                <w:sz w:val="14"/>
                <w:szCs w:val="14"/>
              </w:rPr>
              <w:t>6800, 8800</w:t>
            </w:r>
          </w:p>
        </w:tc>
        <w:tc>
          <w:tcPr>
            <w:tcW w:w="912" w:type="dxa"/>
            <w:tcBorders>
              <w:top w:val="single" w:sz="8" w:space="0" w:color="00B050"/>
              <w:bottom w:val="single" w:sz="8" w:space="0" w:color="00B050"/>
            </w:tcBorders>
            <w:shd w:val="clear" w:color="auto" w:fill="FFFFFF"/>
          </w:tcPr>
          <w:p w14:paraId="48C27903" w14:textId="77777777" w:rsidR="00366CB9" w:rsidRPr="00CE4227" w:rsidRDefault="009D0C1D" w:rsidP="00457B0A">
            <w:pPr>
              <w:pStyle w:val="a6"/>
              <w:shd w:val="clear" w:color="auto" w:fill="auto"/>
              <w:rPr>
                <w:i/>
                <w:iCs/>
                <w:sz w:val="14"/>
                <w:szCs w:val="14"/>
              </w:rPr>
            </w:pPr>
            <w:r w:rsidRPr="00CE4227">
              <w:rPr>
                <w:b w:val="0"/>
                <w:i/>
                <w:color w:val="000000"/>
                <w:sz w:val="14"/>
                <w:szCs w:val="14"/>
              </w:rPr>
              <w:t>rpoB, katG, inhA</w:t>
            </w:r>
          </w:p>
        </w:tc>
        <w:tc>
          <w:tcPr>
            <w:tcW w:w="965" w:type="dxa"/>
            <w:tcBorders>
              <w:top w:val="single" w:sz="8" w:space="0" w:color="00B050"/>
              <w:bottom w:val="single" w:sz="8" w:space="0" w:color="00B050"/>
            </w:tcBorders>
            <w:shd w:val="clear" w:color="auto" w:fill="FFFFFF"/>
          </w:tcPr>
          <w:p w14:paraId="67A944A0" w14:textId="77777777" w:rsidR="00366CB9" w:rsidRPr="00CE4227" w:rsidRDefault="009D0C1D" w:rsidP="00457B0A">
            <w:pPr>
              <w:pStyle w:val="a6"/>
              <w:shd w:val="clear" w:color="auto" w:fill="auto"/>
              <w:rPr>
                <w:sz w:val="14"/>
                <w:szCs w:val="14"/>
              </w:rPr>
            </w:pPr>
            <w:r w:rsidRPr="00CE4227">
              <w:rPr>
                <w:b w:val="0"/>
                <w:color w:val="000000"/>
                <w:sz w:val="14"/>
                <w:szCs w:val="14"/>
              </w:rPr>
              <w:t>рифампіцин, ізоніазид</w:t>
            </w:r>
          </w:p>
        </w:tc>
        <w:tc>
          <w:tcPr>
            <w:tcW w:w="931" w:type="dxa"/>
            <w:tcBorders>
              <w:top w:val="single" w:sz="8" w:space="0" w:color="00B050"/>
              <w:bottom w:val="single" w:sz="8" w:space="0" w:color="00B050"/>
            </w:tcBorders>
            <w:shd w:val="clear" w:color="auto" w:fill="FFFFFF"/>
          </w:tcPr>
          <w:p w14:paraId="63BA947A" w14:textId="77777777" w:rsidR="00366CB9" w:rsidRPr="00CE4227" w:rsidRDefault="009D0C1D" w:rsidP="00457B0A">
            <w:pPr>
              <w:pStyle w:val="a6"/>
              <w:shd w:val="clear" w:color="auto" w:fill="auto"/>
              <w:rPr>
                <w:sz w:val="14"/>
                <w:szCs w:val="14"/>
              </w:rPr>
            </w:pPr>
            <w:r w:rsidRPr="00CE4227">
              <w:rPr>
                <w:b w:val="0"/>
                <w:color w:val="000000"/>
                <w:sz w:val="14"/>
                <w:szCs w:val="14"/>
              </w:rPr>
              <w:t>180 КУО/мл</w:t>
            </w:r>
          </w:p>
        </w:tc>
        <w:tc>
          <w:tcPr>
            <w:tcW w:w="1464" w:type="dxa"/>
            <w:tcBorders>
              <w:top w:val="single" w:sz="8" w:space="0" w:color="00B050"/>
              <w:bottom w:val="single" w:sz="8" w:space="0" w:color="00B050"/>
            </w:tcBorders>
            <w:shd w:val="clear" w:color="auto" w:fill="FFFFFF"/>
          </w:tcPr>
          <w:p w14:paraId="07DEEACF" w14:textId="77777777" w:rsidR="00366CB9" w:rsidRPr="00CE4227" w:rsidRDefault="009D0C1D" w:rsidP="00457B0A">
            <w:pPr>
              <w:pStyle w:val="a6"/>
              <w:shd w:val="clear" w:color="auto" w:fill="auto"/>
              <w:rPr>
                <w:sz w:val="14"/>
                <w:szCs w:val="14"/>
              </w:rPr>
            </w:pPr>
            <w:r w:rsidRPr="00CE4227">
              <w:rPr>
                <w:b w:val="0"/>
                <w:color w:val="000000"/>
                <w:sz w:val="14"/>
                <w:szCs w:val="14"/>
              </w:rPr>
              <w:t>Мокротиння, трахеальний матеріал та бронхоальвеолярний лаваж</w:t>
            </w:r>
          </w:p>
        </w:tc>
        <w:tc>
          <w:tcPr>
            <w:tcW w:w="845" w:type="dxa"/>
            <w:tcBorders>
              <w:top w:val="single" w:sz="8" w:space="0" w:color="00B050"/>
              <w:bottom w:val="single" w:sz="8" w:space="0" w:color="00B050"/>
            </w:tcBorders>
            <w:shd w:val="clear" w:color="auto" w:fill="FFFFFF"/>
          </w:tcPr>
          <w:p w14:paraId="0DE2BC8D" w14:textId="77777777" w:rsidR="00366CB9" w:rsidRPr="00CE4227" w:rsidRDefault="009D0C1D" w:rsidP="00457B0A">
            <w:pPr>
              <w:pStyle w:val="a6"/>
              <w:shd w:val="clear" w:color="auto" w:fill="auto"/>
              <w:rPr>
                <w:sz w:val="14"/>
                <w:szCs w:val="14"/>
              </w:rPr>
            </w:pPr>
            <w:r w:rsidRPr="00CE4227">
              <w:rPr>
                <w:b w:val="0"/>
                <w:color w:val="000000"/>
                <w:sz w:val="14"/>
                <w:szCs w:val="14"/>
              </w:rPr>
              <w:t>3,5 год</w:t>
            </w:r>
          </w:p>
        </w:tc>
        <w:tc>
          <w:tcPr>
            <w:tcW w:w="1747" w:type="dxa"/>
            <w:tcBorders>
              <w:top w:val="single" w:sz="8" w:space="0" w:color="00B050"/>
              <w:bottom w:val="single" w:sz="8" w:space="0" w:color="00B050"/>
            </w:tcBorders>
            <w:shd w:val="clear" w:color="auto" w:fill="FFFFFF"/>
          </w:tcPr>
          <w:p w14:paraId="4E682D49" w14:textId="77777777" w:rsidR="00366CB9" w:rsidRPr="00CE4227" w:rsidRDefault="009D0C1D" w:rsidP="00457B0A">
            <w:pPr>
              <w:pStyle w:val="a6"/>
              <w:shd w:val="clear" w:color="auto" w:fill="auto"/>
              <w:rPr>
                <w:sz w:val="14"/>
                <w:szCs w:val="14"/>
              </w:rPr>
            </w:pPr>
            <w:r w:rsidRPr="00CE4227">
              <w:rPr>
                <w:b w:val="0"/>
                <w:color w:val="000000"/>
                <w:sz w:val="14"/>
                <w:szCs w:val="14"/>
              </w:rPr>
              <w:t>Подальше тестування на виявлення резистентності до RIF та INH після тесту cobas MTB</w:t>
            </w:r>
          </w:p>
        </w:tc>
        <w:tc>
          <w:tcPr>
            <w:tcW w:w="1387" w:type="dxa"/>
            <w:tcBorders>
              <w:top w:val="single" w:sz="8" w:space="0" w:color="00B050"/>
              <w:bottom w:val="single" w:sz="8" w:space="0" w:color="00B050"/>
            </w:tcBorders>
            <w:shd w:val="clear" w:color="auto" w:fill="FFFFFF"/>
          </w:tcPr>
          <w:p w14:paraId="0D9E2EFA" w14:textId="77777777" w:rsidR="00366CB9" w:rsidRPr="00CE4227" w:rsidRDefault="009D0C1D" w:rsidP="00457B0A">
            <w:pPr>
              <w:pStyle w:val="a6"/>
              <w:shd w:val="clear" w:color="auto" w:fill="auto"/>
              <w:rPr>
                <w:sz w:val="14"/>
                <w:szCs w:val="14"/>
              </w:rPr>
            </w:pPr>
            <w:r w:rsidRPr="00CE4227">
              <w:rPr>
                <w:b w:val="0"/>
                <w:color w:val="000000"/>
                <w:sz w:val="14"/>
                <w:szCs w:val="14"/>
              </w:rPr>
              <w:t>Безперебійне живлення, підлоговий прилад, маса &gt; 600 кг</w:t>
            </w:r>
          </w:p>
        </w:tc>
        <w:tc>
          <w:tcPr>
            <w:tcW w:w="1008" w:type="dxa"/>
            <w:tcBorders>
              <w:top w:val="single" w:sz="8" w:space="0" w:color="00B050"/>
              <w:bottom w:val="single" w:sz="8" w:space="0" w:color="00B050"/>
            </w:tcBorders>
            <w:shd w:val="clear" w:color="auto" w:fill="FFFFFF"/>
          </w:tcPr>
          <w:p w14:paraId="087CDE0D" w14:textId="77777777" w:rsidR="00366CB9" w:rsidRPr="00CE4227" w:rsidRDefault="009D0C1D" w:rsidP="00457B0A">
            <w:pPr>
              <w:pStyle w:val="a6"/>
              <w:shd w:val="clear" w:color="auto" w:fill="auto"/>
              <w:rPr>
                <w:sz w:val="14"/>
                <w:szCs w:val="14"/>
              </w:rPr>
            </w:pPr>
            <w:r w:rsidRPr="00CE4227">
              <w:rPr>
                <w:b w:val="0"/>
                <w:color w:val="000000"/>
                <w:sz w:val="14"/>
                <w:szCs w:val="14"/>
              </w:rPr>
              <w:t>2-8 °C,</w:t>
            </w:r>
          </w:p>
          <w:p w14:paraId="395F5929" w14:textId="77777777" w:rsidR="00366CB9" w:rsidRPr="00CE4227" w:rsidRDefault="009D0C1D" w:rsidP="00457B0A">
            <w:pPr>
              <w:pStyle w:val="a6"/>
              <w:shd w:val="clear" w:color="auto" w:fill="auto"/>
              <w:rPr>
                <w:sz w:val="14"/>
                <w:szCs w:val="14"/>
              </w:rPr>
            </w:pPr>
            <w:r w:rsidRPr="00CE4227">
              <w:rPr>
                <w:b w:val="0"/>
                <w:color w:val="000000"/>
                <w:sz w:val="14"/>
                <w:szCs w:val="14"/>
              </w:rPr>
              <w:t>16 місяців</w:t>
            </w:r>
          </w:p>
        </w:tc>
        <w:tc>
          <w:tcPr>
            <w:tcW w:w="835" w:type="dxa"/>
            <w:tcBorders>
              <w:top w:val="single" w:sz="8" w:space="0" w:color="00B050"/>
              <w:bottom w:val="single" w:sz="8" w:space="0" w:color="00B050"/>
            </w:tcBorders>
            <w:shd w:val="clear" w:color="auto" w:fill="FFFFFF"/>
          </w:tcPr>
          <w:p w14:paraId="19EC5BD4" w14:textId="77777777" w:rsidR="00366CB9" w:rsidRPr="00CE4227" w:rsidRDefault="009D0C1D" w:rsidP="00457B0A">
            <w:pPr>
              <w:pStyle w:val="a6"/>
              <w:shd w:val="clear" w:color="auto" w:fill="auto"/>
              <w:rPr>
                <w:sz w:val="14"/>
                <w:szCs w:val="14"/>
              </w:rPr>
            </w:pPr>
            <w:r w:rsidRPr="00CE4227">
              <w:rPr>
                <w:b w:val="0"/>
                <w:color w:val="000000"/>
                <w:sz w:val="14"/>
                <w:szCs w:val="14"/>
              </w:rPr>
              <w:t>94</w:t>
            </w:r>
          </w:p>
        </w:tc>
      </w:tr>
      <w:tr w:rsidR="00366CB9" w14:paraId="03814A7E" w14:textId="77777777" w:rsidTr="00546B4F">
        <w:trPr>
          <w:trHeight w:hRule="exact" w:val="1064"/>
        </w:trPr>
        <w:tc>
          <w:tcPr>
            <w:tcW w:w="1109" w:type="dxa"/>
            <w:tcBorders>
              <w:top w:val="single" w:sz="8" w:space="0" w:color="00B050"/>
              <w:bottom w:val="single" w:sz="8" w:space="0" w:color="00B050"/>
            </w:tcBorders>
            <w:shd w:val="clear" w:color="auto" w:fill="FFFFFF"/>
          </w:tcPr>
          <w:p w14:paraId="552CC3AD" w14:textId="77777777" w:rsidR="00366CB9" w:rsidRPr="00CE4227" w:rsidRDefault="009D0C1D" w:rsidP="00457B0A">
            <w:pPr>
              <w:pStyle w:val="a6"/>
              <w:shd w:val="clear" w:color="auto" w:fill="auto"/>
              <w:spacing w:line="221" w:lineRule="auto"/>
              <w:rPr>
                <w:sz w:val="14"/>
                <w:szCs w:val="14"/>
              </w:rPr>
            </w:pPr>
            <w:r w:rsidRPr="00CE4227">
              <w:rPr>
                <w:color w:val="000000"/>
                <w:sz w:val="14"/>
                <w:szCs w:val="14"/>
              </w:rPr>
              <w:t>Ручний NAAT низької складності</w:t>
            </w:r>
          </w:p>
        </w:tc>
        <w:tc>
          <w:tcPr>
            <w:tcW w:w="1051" w:type="dxa"/>
            <w:tcBorders>
              <w:top w:val="single" w:sz="8" w:space="0" w:color="00B050"/>
              <w:bottom w:val="single" w:sz="8" w:space="0" w:color="00B050"/>
            </w:tcBorders>
            <w:shd w:val="clear" w:color="auto" w:fill="FFFFFF"/>
          </w:tcPr>
          <w:p w14:paraId="315B942C" w14:textId="77777777" w:rsidR="00366CB9" w:rsidRPr="00CE4227" w:rsidRDefault="009D0C1D" w:rsidP="00457B0A">
            <w:pPr>
              <w:pStyle w:val="a6"/>
              <w:shd w:val="clear" w:color="auto" w:fill="auto"/>
              <w:rPr>
                <w:sz w:val="14"/>
                <w:szCs w:val="14"/>
              </w:rPr>
            </w:pPr>
            <w:r w:rsidRPr="00CE4227">
              <w:rPr>
                <w:b w:val="0"/>
                <w:color w:val="000000"/>
                <w:sz w:val="14"/>
                <w:szCs w:val="14"/>
              </w:rPr>
              <w:t>TB-LAMP</w:t>
            </w:r>
          </w:p>
        </w:tc>
        <w:tc>
          <w:tcPr>
            <w:tcW w:w="1387" w:type="dxa"/>
            <w:tcBorders>
              <w:top w:val="single" w:sz="8" w:space="0" w:color="00B050"/>
              <w:bottom w:val="single" w:sz="8" w:space="0" w:color="00B050"/>
            </w:tcBorders>
            <w:shd w:val="clear" w:color="auto" w:fill="FFFFFF"/>
          </w:tcPr>
          <w:p w14:paraId="21502B09" w14:textId="77777777" w:rsidR="00366CB9" w:rsidRPr="00CE4227" w:rsidRDefault="009D0C1D" w:rsidP="00457B0A">
            <w:pPr>
              <w:pStyle w:val="a6"/>
              <w:shd w:val="clear" w:color="auto" w:fill="auto"/>
              <w:rPr>
                <w:sz w:val="14"/>
                <w:szCs w:val="14"/>
              </w:rPr>
            </w:pPr>
            <w:r w:rsidRPr="00CE4227">
              <w:rPr>
                <w:b w:val="0"/>
                <w:color w:val="000000"/>
                <w:sz w:val="14"/>
                <w:szCs w:val="14"/>
              </w:rPr>
              <w:t>Eiken Chemical</w:t>
            </w:r>
          </w:p>
        </w:tc>
        <w:tc>
          <w:tcPr>
            <w:tcW w:w="1334" w:type="dxa"/>
            <w:tcBorders>
              <w:top w:val="single" w:sz="8" w:space="0" w:color="00B050"/>
              <w:bottom w:val="single" w:sz="8" w:space="0" w:color="00B050"/>
            </w:tcBorders>
            <w:shd w:val="clear" w:color="auto" w:fill="FFFFFF"/>
          </w:tcPr>
          <w:p w14:paraId="1B8FC3F3" w14:textId="77777777" w:rsidR="00366CB9" w:rsidRPr="00CE4227" w:rsidRDefault="009D0C1D" w:rsidP="00457B0A">
            <w:pPr>
              <w:pStyle w:val="a6"/>
              <w:shd w:val="clear" w:color="auto" w:fill="auto"/>
              <w:rPr>
                <w:sz w:val="14"/>
                <w:szCs w:val="14"/>
              </w:rPr>
            </w:pPr>
            <w:r w:rsidRPr="00CE4227">
              <w:rPr>
                <w:b w:val="0"/>
                <w:color w:val="000000"/>
                <w:sz w:val="14"/>
                <w:szCs w:val="14"/>
              </w:rPr>
              <w:t>HumaLoop T</w:t>
            </w:r>
          </w:p>
        </w:tc>
        <w:tc>
          <w:tcPr>
            <w:tcW w:w="912" w:type="dxa"/>
            <w:tcBorders>
              <w:top w:val="single" w:sz="8" w:space="0" w:color="00B050"/>
              <w:bottom w:val="single" w:sz="8" w:space="0" w:color="00B050"/>
            </w:tcBorders>
            <w:shd w:val="clear" w:color="auto" w:fill="FFFFFF"/>
          </w:tcPr>
          <w:p w14:paraId="755D0649" w14:textId="77777777" w:rsidR="00366CB9" w:rsidRPr="00CE4227" w:rsidRDefault="009D0C1D" w:rsidP="00457B0A">
            <w:pPr>
              <w:pStyle w:val="a6"/>
              <w:shd w:val="clear" w:color="auto" w:fill="auto"/>
              <w:spacing w:line="233" w:lineRule="auto"/>
              <w:rPr>
                <w:i/>
                <w:iCs/>
                <w:sz w:val="14"/>
                <w:szCs w:val="14"/>
              </w:rPr>
            </w:pPr>
            <w:r w:rsidRPr="00CE4227">
              <w:rPr>
                <w:b w:val="0"/>
                <w:color w:val="000000"/>
                <w:sz w:val="14"/>
                <w:szCs w:val="14"/>
              </w:rPr>
              <w:t>IS6110,</w:t>
            </w:r>
            <w:r w:rsidRPr="00CE4227">
              <w:rPr>
                <w:b w:val="0"/>
                <w:i/>
                <w:color w:val="000000"/>
                <w:sz w:val="14"/>
                <w:szCs w:val="14"/>
              </w:rPr>
              <w:t xml:space="preserve"> gyrB</w:t>
            </w:r>
          </w:p>
        </w:tc>
        <w:tc>
          <w:tcPr>
            <w:tcW w:w="965" w:type="dxa"/>
            <w:tcBorders>
              <w:top w:val="single" w:sz="8" w:space="0" w:color="00B050"/>
              <w:bottom w:val="single" w:sz="8" w:space="0" w:color="00B050"/>
            </w:tcBorders>
            <w:shd w:val="clear" w:color="auto" w:fill="FFFFFF"/>
          </w:tcPr>
          <w:p w14:paraId="0CC70387" w14:textId="77777777" w:rsidR="00366CB9" w:rsidRPr="00CE4227" w:rsidRDefault="009D0C1D" w:rsidP="00457B0A">
            <w:pPr>
              <w:pStyle w:val="a6"/>
              <w:shd w:val="clear" w:color="auto" w:fill="auto"/>
              <w:rPr>
                <w:sz w:val="14"/>
                <w:szCs w:val="14"/>
              </w:rPr>
            </w:pPr>
            <w:r w:rsidRPr="00CE4227">
              <w:rPr>
                <w:b w:val="0"/>
                <w:color w:val="000000"/>
                <w:sz w:val="14"/>
                <w:szCs w:val="14"/>
              </w:rPr>
              <w:t>Ні</w:t>
            </w:r>
          </w:p>
        </w:tc>
        <w:tc>
          <w:tcPr>
            <w:tcW w:w="931" w:type="dxa"/>
            <w:tcBorders>
              <w:top w:val="single" w:sz="8" w:space="0" w:color="00B050"/>
              <w:bottom w:val="single" w:sz="8" w:space="0" w:color="00B050"/>
            </w:tcBorders>
            <w:shd w:val="clear" w:color="auto" w:fill="FFFFFF"/>
          </w:tcPr>
          <w:p w14:paraId="49DEFFD3" w14:textId="77777777" w:rsidR="00366CB9" w:rsidRPr="00CE4227" w:rsidRDefault="009D0C1D" w:rsidP="00457B0A">
            <w:pPr>
              <w:pStyle w:val="a6"/>
              <w:shd w:val="clear" w:color="auto" w:fill="auto"/>
              <w:rPr>
                <w:sz w:val="14"/>
                <w:szCs w:val="14"/>
              </w:rPr>
            </w:pPr>
            <w:r w:rsidRPr="00CE4227">
              <w:rPr>
                <w:b w:val="0"/>
                <w:color w:val="000000"/>
                <w:sz w:val="14"/>
                <w:szCs w:val="14"/>
              </w:rPr>
              <w:t>Н/З</w:t>
            </w:r>
          </w:p>
        </w:tc>
        <w:tc>
          <w:tcPr>
            <w:tcW w:w="1464" w:type="dxa"/>
            <w:tcBorders>
              <w:top w:val="single" w:sz="8" w:space="0" w:color="00B050"/>
              <w:bottom w:val="single" w:sz="8" w:space="0" w:color="00B050"/>
            </w:tcBorders>
            <w:shd w:val="clear" w:color="auto" w:fill="FFFFFF"/>
          </w:tcPr>
          <w:p w14:paraId="0B091AD2" w14:textId="77777777" w:rsidR="00366CB9" w:rsidRPr="00CE4227" w:rsidRDefault="009D0C1D" w:rsidP="00457B0A">
            <w:pPr>
              <w:pStyle w:val="a6"/>
              <w:shd w:val="clear" w:color="auto" w:fill="auto"/>
              <w:rPr>
                <w:sz w:val="14"/>
                <w:szCs w:val="14"/>
              </w:rPr>
            </w:pPr>
            <w:r w:rsidRPr="00CE4227">
              <w:rPr>
                <w:b w:val="0"/>
                <w:color w:val="000000"/>
                <w:sz w:val="14"/>
                <w:szCs w:val="14"/>
              </w:rPr>
              <w:t>Мокротиння, трахеальний матеріал, бронхоальвеолярний лаваж та вміст шлунку</w:t>
            </w:r>
          </w:p>
        </w:tc>
        <w:tc>
          <w:tcPr>
            <w:tcW w:w="845" w:type="dxa"/>
            <w:tcBorders>
              <w:top w:val="single" w:sz="8" w:space="0" w:color="00B050"/>
              <w:bottom w:val="single" w:sz="8" w:space="0" w:color="00B050"/>
            </w:tcBorders>
            <w:shd w:val="clear" w:color="auto" w:fill="FFFFFF"/>
          </w:tcPr>
          <w:p w14:paraId="7756A39B" w14:textId="77777777" w:rsidR="00366CB9" w:rsidRPr="00CE4227" w:rsidRDefault="009D0C1D" w:rsidP="00457B0A">
            <w:pPr>
              <w:pStyle w:val="a6"/>
              <w:shd w:val="clear" w:color="auto" w:fill="auto"/>
              <w:rPr>
                <w:sz w:val="14"/>
                <w:szCs w:val="14"/>
              </w:rPr>
            </w:pPr>
            <w:r w:rsidRPr="00CE4227">
              <w:rPr>
                <w:b w:val="0"/>
                <w:color w:val="000000"/>
                <w:sz w:val="14"/>
                <w:szCs w:val="14"/>
              </w:rPr>
              <w:t>90 хв</w:t>
            </w:r>
          </w:p>
        </w:tc>
        <w:tc>
          <w:tcPr>
            <w:tcW w:w="1747" w:type="dxa"/>
            <w:tcBorders>
              <w:top w:val="single" w:sz="8" w:space="0" w:color="00B050"/>
              <w:bottom w:val="single" w:sz="8" w:space="0" w:color="00B050"/>
            </w:tcBorders>
            <w:shd w:val="clear" w:color="auto" w:fill="FFFFFF"/>
          </w:tcPr>
          <w:p w14:paraId="51CF6FC9" w14:textId="77777777" w:rsidR="00366CB9" w:rsidRPr="00CE4227" w:rsidRDefault="009D0C1D" w:rsidP="00457B0A">
            <w:pPr>
              <w:pStyle w:val="a6"/>
              <w:shd w:val="clear" w:color="auto" w:fill="auto"/>
              <w:spacing w:line="233" w:lineRule="auto"/>
              <w:rPr>
                <w:sz w:val="14"/>
                <w:szCs w:val="14"/>
              </w:rPr>
            </w:pPr>
            <w:r w:rsidRPr="00CE4227">
              <w:rPr>
                <w:b w:val="0"/>
                <w:color w:val="000000"/>
                <w:sz w:val="14"/>
                <w:szCs w:val="14"/>
              </w:rPr>
              <w:t>Початкова діагностика ТБ</w:t>
            </w:r>
          </w:p>
        </w:tc>
        <w:tc>
          <w:tcPr>
            <w:tcW w:w="1387" w:type="dxa"/>
            <w:tcBorders>
              <w:top w:val="single" w:sz="8" w:space="0" w:color="00B050"/>
              <w:bottom w:val="single" w:sz="8" w:space="0" w:color="00B050"/>
            </w:tcBorders>
            <w:shd w:val="clear" w:color="auto" w:fill="FFFFFF"/>
          </w:tcPr>
          <w:p w14:paraId="1E00633D" w14:textId="77777777" w:rsidR="00366CB9" w:rsidRPr="00CE4227" w:rsidRDefault="009D0C1D" w:rsidP="00457B0A">
            <w:pPr>
              <w:pStyle w:val="a6"/>
              <w:shd w:val="clear" w:color="auto" w:fill="auto"/>
              <w:rPr>
                <w:sz w:val="14"/>
                <w:szCs w:val="14"/>
              </w:rPr>
            </w:pPr>
            <w:r w:rsidRPr="00CE4227">
              <w:rPr>
                <w:b w:val="0"/>
                <w:color w:val="000000"/>
                <w:sz w:val="14"/>
                <w:szCs w:val="14"/>
              </w:rPr>
              <w:t>Живлення від акумулятора, потужність для заряджання, робоча температура</w:t>
            </w:r>
          </w:p>
          <w:p w14:paraId="0FEBE03F" w14:textId="77777777" w:rsidR="00366CB9" w:rsidRPr="00CE4227" w:rsidRDefault="009D0C1D" w:rsidP="00457B0A">
            <w:pPr>
              <w:pStyle w:val="a6"/>
              <w:shd w:val="clear" w:color="auto" w:fill="auto"/>
              <w:rPr>
                <w:sz w:val="14"/>
                <w:szCs w:val="14"/>
              </w:rPr>
            </w:pPr>
            <w:r w:rsidRPr="00CE4227">
              <w:rPr>
                <w:b w:val="0"/>
                <w:color w:val="000000"/>
                <w:sz w:val="14"/>
                <w:szCs w:val="14"/>
              </w:rPr>
              <w:t>15-40 °C</w:t>
            </w:r>
          </w:p>
        </w:tc>
        <w:tc>
          <w:tcPr>
            <w:tcW w:w="1008" w:type="dxa"/>
            <w:tcBorders>
              <w:top w:val="single" w:sz="8" w:space="0" w:color="00B050"/>
              <w:bottom w:val="single" w:sz="8" w:space="0" w:color="00B050"/>
            </w:tcBorders>
            <w:shd w:val="clear" w:color="auto" w:fill="FFFFFF"/>
          </w:tcPr>
          <w:p w14:paraId="6706967E" w14:textId="77777777" w:rsidR="00366CB9" w:rsidRPr="00CE4227" w:rsidRDefault="009D0C1D" w:rsidP="00457B0A">
            <w:pPr>
              <w:pStyle w:val="a6"/>
              <w:shd w:val="clear" w:color="auto" w:fill="auto"/>
              <w:rPr>
                <w:sz w:val="14"/>
                <w:szCs w:val="14"/>
              </w:rPr>
            </w:pPr>
            <w:r w:rsidRPr="00CE4227">
              <w:rPr>
                <w:b w:val="0"/>
                <w:color w:val="000000"/>
                <w:sz w:val="14"/>
                <w:szCs w:val="14"/>
              </w:rPr>
              <w:t>2-30 °C,</w:t>
            </w:r>
          </w:p>
          <w:p w14:paraId="02C8562A"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14 місяців</w:t>
            </w:r>
          </w:p>
        </w:tc>
        <w:tc>
          <w:tcPr>
            <w:tcW w:w="835" w:type="dxa"/>
            <w:tcBorders>
              <w:top w:val="single" w:sz="8" w:space="0" w:color="00B050"/>
              <w:bottom w:val="single" w:sz="8" w:space="0" w:color="00B050"/>
            </w:tcBorders>
            <w:shd w:val="clear" w:color="auto" w:fill="FFFFFF"/>
          </w:tcPr>
          <w:p w14:paraId="5A9E3C6F" w14:textId="77777777" w:rsidR="00366CB9" w:rsidRPr="00CE4227" w:rsidRDefault="009D0C1D" w:rsidP="00457B0A">
            <w:pPr>
              <w:pStyle w:val="a6"/>
              <w:shd w:val="clear" w:color="auto" w:fill="auto"/>
              <w:rPr>
                <w:sz w:val="14"/>
                <w:szCs w:val="14"/>
              </w:rPr>
            </w:pPr>
            <w:r w:rsidRPr="00CE4227">
              <w:rPr>
                <w:b w:val="0"/>
                <w:color w:val="000000"/>
                <w:sz w:val="14"/>
                <w:szCs w:val="14"/>
              </w:rPr>
              <w:t>70</w:t>
            </w:r>
          </w:p>
        </w:tc>
      </w:tr>
      <w:tr w:rsidR="00366CB9" w14:paraId="127BFBEA" w14:textId="77777777" w:rsidTr="00546B4F">
        <w:trPr>
          <w:trHeight w:hRule="exact" w:val="1136"/>
        </w:trPr>
        <w:tc>
          <w:tcPr>
            <w:tcW w:w="1109" w:type="dxa"/>
            <w:tcBorders>
              <w:top w:val="single" w:sz="8" w:space="0" w:color="00B050"/>
              <w:bottom w:val="single" w:sz="8" w:space="0" w:color="00B050"/>
            </w:tcBorders>
            <w:shd w:val="clear" w:color="auto" w:fill="FFFFFF"/>
          </w:tcPr>
          <w:p w14:paraId="121377ED" w14:textId="56D6CE68" w:rsidR="00366CB9" w:rsidRPr="00CE4227" w:rsidRDefault="009D0C1D" w:rsidP="00457B0A">
            <w:pPr>
              <w:pStyle w:val="a6"/>
              <w:shd w:val="clear" w:color="auto" w:fill="auto"/>
              <w:spacing w:line="221" w:lineRule="auto"/>
              <w:rPr>
                <w:sz w:val="14"/>
                <w:szCs w:val="14"/>
              </w:rPr>
            </w:pPr>
            <w:r w:rsidRPr="00CE4227">
              <w:rPr>
                <w:color w:val="000000"/>
                <w:sz w:val="14"/>
                <w:szCs w:val="14"/>
              </w:rPr>
              <w:t>Ліпоарабіно</w:t>
            </w:r>
            <w:r w:rsidR="006E22E5">
              <w:rPr>
                <w:color w:val="000000"/>
                <w:sz w:val="14"/>
                <w:szCs w:val="14"/>
              </w:rPr>
              <w:t>-</w:t>
            </w:r>
            <w:r w:rsidRPr="00CE4227">
              <w:rPr>
                <w:color w:val="000000"/>
                <w:sz w:val="14"/>
                <w:szCs w:val="14"/>
              </w:rPr>
              <w:t>маннановий тест бокового зсуву</w:t>
            </w:r>
          </w:p>
        </w:tc>
        <w:tc>
          <w:tcPr>
            <w:tcW w:w="1051" w:type="dxa"/>
            <w:tcBorders>
              <w:top w:val="single" w:sz="8" w:space="0" w:color="00B050"/>
              <w:bottom w:val="single" w:sz="8" w:space="0" w:color="00B050"/>
            </w:tcBorders>
            <w:shd w:val="clear" w:color="auto" w:fill="FFFFFF"/>
          </w:tcPr>
          <w:p w14:paraId="0FEC82C3" w14:textId="77777777" w:rsidR="00366CB9" w:rsidRPr="00CE4227" w:rsidRDefault="009D0C1D" w:rsidP="00457B0A">
            <w:pPr>
              <w:pStyle w:val="a6"/>
              <w:shd w:val="clear" w:color="auto" w:fill="auto"/>
              <w:rPr>
                <w:sz w:val="14"/>
                <w:szCs w:val="14"/>
              </w:rPr>
            </w:pPr>
            <w:r w:rsidRPr="00CE4227">
              <w:rPr>
                <w:b w:val="0"/>
                <w:color w:val="000000"/>
                <w:sz w:val="14"/>
                <w:szCs w:val="14"/>
              </w:rPr>
              <w:t>Determine</w:t>
            </w:r>
          </w:p>
          <w:p w14:paraId="7F612723"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TB LAM Ag</w:t>
            </w:r>
          </w:p>
        </w:tc>
        <w:tc>
          <w:tcPr>
            <w:tcW w:w="1387" w:type="dxa"/>
            <w:tcBorders>
              <w:top w:val="single" w:sz="8" w:space="0" w:color="00B050"/>
              <w:bottom w:val="single" w:sz="8" w:space="0" w:color="00B050"/>
            </w:tcBorders>
            <w:shd w:val="clear" w:color="auto" w:fill="FFFFFF"/>
          </w:tcPr>
          <w:p w14:paraId="4D2761AD" w14:textId="77777777" w:rsidR="00366CB9" w:rsidRPr="00CE4227" w:rsidRDefault="009D0C1D" w:rsidP="00457B0A">
            <w:pPr>
              <w:pStyle w:val="a6"/>
              <w:shd w:val="clear" w:color="auto" w:fill="auto"/>
              <w:rPr>
                <w:sz w:val="14"/>
                <w:szCs w:val="14"/>
              </w:rPr>
            </w:pPr>
            <w:r w:rsidRPr="00CE4227">
              <w:rPr>
                <w:b w:val="0"/>
                <w:color w:val="000000"/>
                <w:sz w:val="14"/>
                <w:szCs w:val="14"/>
              </w:rPr>
              <w:t>Abbott</w:t>
            </w:r>
          </w:p>
        </w:tc>
        <w:tc>
          <w:tcPr>
            <w:tcW w:w="1334" w:type="dxa"/>
            <w:tcBorders>
              <w:top w:val="single" w:sz="8" w:space="0" w:color="00B050"/>
              <w:bottom w:val="single" w:sz="8" w:space="0" w:color="00B050"/>
            </w:tcBorders>
            <w:shd w:val="clear" w:color="auto" w:fill="FFFFFF"/>
          </w:tcPr>
          <w:p w14:paraId="7ADAFC57" w14:textId="77777777" w:rsidR="00366CB9" w:rsidRPr="00CE4227" w:rsidRDefault="009D0C1D" w:rsidP="00457B0A">
            <w:pPr>
              <w:pStyle w:val="a6"/>
              <w:shd w:val="clear" w:color="auto" w:fill="auto"/>
              <w:rPr>
                <w:sz w:val="14"/>
                <w:szCs w:val="14"/>
              </w:rPr>
            </w:pPr>
            <w:r w:rsidRPr="00CE4227">
              <w:rPr>
                <w:b w:val="0"/>
                <w:color w:val="000000"/>
                <w:sz w:val="14"/>
                <w:szCs w:val="14"/>
              </w:rPr>
              <w:t>Н/З</w:t>
            </w:r>
          </w:p>
        </w:tc>
        <w:tc>
          <w:tcPr>
            <w:tcW w:w="912" w:type="dxa"/>
            <w:tcBorders>
              <w:top w:val="single" w:sz="8" w:space="0" w:color="00B050"/>
              <w:bottom w:val="single" w:sz="8" w:space="0" w:color="00B050"/>
            </w:tcBorders>
            <w:shd w:val="clear" w:color="auto" w:fill="FFFFFF"/>
          </w:tcPr>
          <w:p w14:paraId="3E0F9549" w14:textId="77777777" w:rsidR="00366CB9" w:rsidRPr="00CE4227" w:rsidRDefault="009D0C1D" w:rsidP="00457B0A">
            <w:pPr>
              <w:pStyle w:val="a6"/>
              <w:shd w:val="clear" w:color="auto" w:fill="auto"/>
              <w:rPr>
                <w:sz w:val="14"/>
                <w:szCs w:val="14"/>
              </w:rPr>
            </w:pPr>
            <w:r w:rsidRPr="00CE4227">
              <w:rPr>
                <w:b w:val="0"/>
                <w:color w:val="000000"/>
                <w:sz w:val="14"/>
                <w:szCs w:val="14"/>
              </w:rPr>
              <w:t>Виявлення антигену LF-LAM</w:t>
            </w:r>
          </w:p>
        </w:tc>
        <w:tc>
          <w:tcPr>
            <w:tcW w:w="965" w:type="dxa"/>
            <w:tcBorders>
              <w:top w:val="single" w:sz="8" w:space="0" w:color="00B050"/>
              <w:bottom w:val="single" w:sz="8" w:space="0" w:color="00B050"/>
            </w:tcBorders>
            <w:shd w:val="clear" w:color="auto" w:fill="FFFFFF"/>
          </w:tcPr>
          <w:p w14:paraId="76DED8C6" w14:textId="77777777" w:rsidR="00366CB9" w:rsidRPr="00CE4227" w:rsidRDefault="009D0C1D" w:rsidP="00457B0A">
            <w:pPr>
              <w:pStyle w:val="a6"/>
              <w:shd w:val="clear" w:color="auto" w:fill="auto"/>
              <w:rPr>
                <w:sz w:val="14"/>
                <w:szCs w:val="14"/>
              </w:rPr>
            </w:pPr>
            <w:r w:rsidRPr="00CE4227">
              <w:rPr>
                <w:b w:val="0"/>
                <w:color w:val="000000"/>
                <w:sz w:val="14"/>
                <w:szCs w:val="14"/>
              </w:rPr>
              <w:t>Ні</w:t>
            </w:r>
          </w:p>
        </w:tc>
        <w:tc>
          <w:tcPr>
            <w:tcW w:w="931" w:type="dxa"/>
            <w:tcBorders>
              <w:top w:val="single" w:sz="8" w:space="0" w:color="00B050"/>
              <w:bottom w:val="single" w:sz="8" w:space="0" w:color="00B050"/>
            </w:tcBorders>
            <w:shd w:val="clear" w:color="auto" w:fill="FFFFFF"/>
          </w:tcPr>
          <w:p w14:paraId="5E2F1A2A" w14:textId="77777777" w:rsidR="00366CB9" w:rsidRPr="00CE4227" w:rsidRDefault="009D0C1D" w:rsidP="00457B0A">
            <w:pPr>
              <w:pStyle w:val="a6"/>
              <w:shd w:val="clear" w:color="auto" w:fill="auto"/>
              <w:rPr>
                <w:sz w:val="14"/>
                <w:szCs w:val="14"/>
              </w:rPr>
            </w:pPr>
            <w:r w:rsidRPr="00CE4227">
              <w:rPr>
                <w:b w:val="0"/>
                <w:color w:val="000000"/>
                <w:sz w:val="14"/>
                <w:szCs w:val="14"/>
              </w:rPr>
              <w:t>Н/З</w:t>
            </w:r>
          </w:p>
        </w:tc>
        <w:tc>
          <w:tcPr>
            <w:tcW w:w="1464" w:type="dxa"/>
            <w:tcBorders>
              <w:top w:val="single" w:sz="8" w:space="0" w:color="00B050"/>
              <w:bottom w:val="single" w:sz="8" w:space="0" w:color="00B050"/>
            </w:tcBorders>
            <w:shd w:val="clear" w:color="auto" w:fill="FFFFFF"/>
          </w:tcPr>
          <w:p w14:paraId="500BAF5F" w14:textId="77777777" w:rsidR="00366CB9" w:rsidRPr="00CE4227" w:rsidRDefault="009D0C1D" w:rsidP="00457B0A">
            <w:pPr>
              <w:pStyle w:val="a6"/>
              <w:shd w:val="clear" w:color="auto" w:fill="auto"/>
              <w:rPr>
                <w:sz w:val="14"/>
                <w:szCs w:val="14"/>
              </w:rPr>
            </w:pPr>
            <w:r w:rsidRPr="00CE4227">
              <w:rPr>
                <w:b w:val="0"/>
                <w:color w:val="000000"/>
                <w:sz w:val="14"/>
                <w:szCs w:val="14"/>
              </w:rPr>
              <w:t>Сеча</w:t>
            </w:r>
          </w:p>
        </w:tc>
        <w:tc>
          <w:tcPr>
            <w:tcW w:w="845" w:type="dxa"/>
            <w:tcBorders>
              <w:top w:val="single" w:sz="8" w:space="0" w:color="00B050"/>
              <w:bottom w:val="single" w:sz="8" w:space="0" w:color="00B050"/>
            </w:tcBorders>
            <w:shd w:val="clear" w:color="auto" w:fill="FFFFFF"/>
          </w:tcPr>
          <w:p w14:paraId="6B53C1DA" w14:textId="77777777" w:rsidR="00366CB9" w:rsidRPr="00CE4227" w:rsidRDefault="009D0C1D" w:rsidP="00457B0A">
            <w:pPr>
              <w:pStyle w:val="a6"/>
              <w:shd w:val="clear" w:color="auto" w:fill="auto"/>
              <w:rPr>
                <w:sz w:val="14"/>
                <w:szCs w:val="14"/>
              </w:rPr>
            </w:pPr>
            <w:r w:rsidRPr="00CE4227">
              <w:rPr>
                <w:b w:val="0"/>
                <w:color w:val="000000"/>
                <w:sz w:val="14"/>
                <w:szCs w:val="14"/>
              </w:rPr>
              <w:t>25 хв</w:t>
            </w:r>
          </w:p>
        </w:tc>
        <w:tc>
          <w:tcPr>
            <w:tcW w:w="1747" w:type="dxa"/>
            <w:tcBorders>
              <w:top w:val="single" w:sz="8" w:space="0" w:color="00B050"/>
              <w:bottom w:val="single" w:sz="8" w:space="0" w:color="00B050"/>
            </w:tcBorders>
            <w:shd w:val="clear" w:color="auto" w:fill="FFFFFF"/>
          </w:tcPr>
          <w:p w14:paraId="0740A915" w14:textId="77777777" w:rsidR="00366CB9" w:rsidRPr="00CE4227" w:rsidRDefault="009D0C1D" w:rsidP="00457B0A">
            <w:pPr>
              <w:pStyle w:val="a6"/>
              <w:shd w:val="clear" w:color="auto" w:fill="auto"/>
              <w:rPr>
                <w:sz w:val="14"/>
                <w:szCs w:val="14"/>
              </w:rPr>
            </w:pPr>
            <w:r w:rsidRPr="00CE4227">
              <w:rPr>
                <w:b w:val="0"/>
                <w:color w:val="000000"/>
                <w:sz w:val="14"/>
                <w:szCs w:val="14"/>
              </w:rPr>
              <w:t>Початкова діагностика ТБ у ЛЖВІЛ</w:t>
            </w:r>
          </w:p>
        </w:tc>
        <w:tc>
          <w:tcPr>
            <w:tcW w:w="1387" w:type="dxa"/>
            <w:tcBorders>
              <w:top w:val="single" w:sz="8" w:space="0" w:color="00B050"/>
              <w:bottom w:val="single" w:sz="8" w:space="0" w:color="00B050"/>
            </w:tcBorders>
            <w:shd w:val="clear" w:color="auto" w:fill="FFFFFF"/>
          </w:tcPr>
          <w:p w14:paraId="56A338DC" w14:textId="77777777" w:rsidR="00366CB9" w:rsidRPr="00CE4227" w:rsidRDefault="009D0C1D" w:rsidP="00457B0A">
            <w:pPr>
              <w:pStyle w:val="a6"/>
              <w:shd w:val="clear" w:color="auto" w:fill="auto"/>
              <w:rPr>
                <w:sz w:val="14"/>
                <w:szCs w:val="14"/>
              </w:rPr>
            </w:pPr>
            <w:r w:rsidRPr="00CE4227">
              <w:rPr>
                <w:b w:val="0"/>
                <w:color w:val="000000"/>
                <w:sz w:val="14"/>
                <w:szCs w:val="14"/>
              </w:rPr>
              <w:t>Відсутність виробничих потужностей; приватні виробничі потужності для забору сечі</w:t>
            </w:r>
          </w:p>
        </w:tc>
        <w:tc>
          <w:tcPr>
            <w:tcW w:w="1008" w:type="dxa"/>
            <w:tcBorders>
              <w:top w:val="single" w:sz="8" w:space="0" w:color="00B050"/>
              <w:bottom w:val="single" w:sz="8" w:space="0" w:color="00B050"/>
            </w:tcBorders>
            <w:shd w:val="clear" w:color="auto" w:fill="FFFFFF"/>
          </w:tcPr>
          <w:p w14:paraId="4EC92C88" w14:textId="77777777" w:rsidR="00366CB9" w:rsidRPr="00CE4227" w:rsidRDefault="009D0C1D" w:rsidP="00457B0A">
            <w:pPr>
              <w:pStyle w:val="a6"/>
              <w:shd w:val="clear" w:color="auto" w:fill="auto"/>
              <w:rPr>
                <w:sz w:val="14"/>
                <w:szCs w:val="14"/>
              </w:rPr>
            </w:pPr>
            <w:r w:rsidRPr="00CE4227">
              <w:rPr>
                <w:b w:val="0"/>
                <w:color w:val="000000"/>
                <w:sz w:val="14"/>
                <w:szCs w:val="14"/>
              </w:rPr>
              <w:t>2-30 °C,</w:t>
            </w:r>
          </w:p>
          <w:p w14:paraId="16BE4ABB" w14:textId="77777777" w:rsidR="00366CB9" w:rsidRPr="00CE4227" w:rsidRDefault="009D0C1D" w:rsidP="00457B0A">
            <w:pPr>
              <w:pStyle w:val="a6"/>
              <w:shd w:val="clear" w:color="auto" w:fill="auto"/>
              <w:spacing w:line="230" w:lineRule="auto"/>
              <w:rPr>
                <w:sz w:val="14"/>
                <w:szCs w:val="14"/>
              </w:rPr>
            </w:pPr>
            <w:r w:rsidRPr="00CE4227">
              <w:rPr>
                <w:b w:val="0"/>
                <w:color w:val="000000"/>
                <w:sz w:val="14"/>
                <w:szCs w:val="14"/>
              </w:rPr>
              <w:t>18 місяців</w:t>
            </w:r>
          </w:p>
        </w:tc>
        <w:tc>
          <w:tcPr>
            <w:tcW w:w="835" w:type="dxa"/>
            <w:tcBorders>
              <w:top w:val="single" w:sz="8" w:space="0" w:color="00B050"/>
              <w:bottom w:val="single" w:sz="8" w:space="0" w:color="00B050"/>
            </w:tcBorders>
            <w:shd w:val="clear" w:color="auto" w:fill="FFFFFF"/>
          </w:tcPr>
          <w:p w14:paraId="1D459BF0" w14:textId="77777777" w:rsidR="00366CB9" w:rsidRPr="00CE4227" w:rsidRDefault="009D0C1D" w:rsidP="00457B0A">
            <w:pPr>
              <w:pStyle w:val="a6"/>
              <w:shd w:val="clear" w:color="auto" w:fill="auto"/>
              <w:rPr>
                <w:sz w:val="14"/>
                <w:szCs w:val="14"/>
              </w:rPr>
            </w:pPr>
            <w:r w:rsidRPr="00CE4227">
              <w:rPr>
                <w:b w:val="0"/>
                <w:color w:val="000000"/>
                <w:sz w:val="14"/>
                <w:szCs w:val="14"/>
              </w:rPr>
              <w:t>Н/З</w:t>
            </w:r>
          </w:p>
        </w:tc>
      </w:tr>
      <w:tr w:rsidR="00366CB9" w14:paraId="2FB55201" w14:textId="77777777" w:rsidTr="00546B4F">
        <w:trPr>
          <w:trHeight w:hRule="exact" w:val="996"/>
        </w:trPr>
        <w:tc>
          <w:tcPr>
            <w:tcW w:w="14975" w:type="dxa"/>
            <w:gridSpan w:val="13"/>
            <w:tcBorders>
              <w:top w:val="single" w:sz="8" w:space="0" w:color="00B050"/>
            </w:tcBorders>
            <w:shd w:val="clear" w:color="auto" w:fill="FFFFFF"/>
          </w:tcPr>
          <w:p w14:paraId="397BFC8D" w14:textId="77777777" w:rsidR="00366CB9" w:rsidRDefault="009D0C1D" w:rsidP="00457B0A">
            <w:pPr>
              <w:pStyle w:val="a6"/>
              <w:shd w:val="clear" w:color="auto" w:fill="auto"/>
              <w:rPr>
                <w:sz w:val="17"/>
                <w:szCs w:val="17"/>
              </w:rPr>
            </w:pPr>
            <w:r>
              <w:rPr>
                <w:b w:val="0"/>
                <w:color w:val="000000"/>
                <w:sz w:val="17"/>
              </w:rPr>
              <w:t>КУО: колонієутворюючі одиниці; СМР: спинномозкова рідина; ТМЧ: тестування медикаментозної чутливості; ВІЛ: вірус імунодефіциту людини; LF-LAM: ліпоарабіноманнановий тест бокового зсуву;</w:t>
            </w:r>
          </w:p>
          <w:p w14:paraId="64947E12" w14:textId="77777777" w:rsidR="00366CB9" w:rsidRDefault="009D0C1D" w:rsidP="00457B0A">
            <w:pPr>
              <w:pStyle w:val="a6"/>
              <w:shd w:val="clear" w:color="auto" w:fill="auto"/>
              <w:spacing w:line="336" w:lineRule="auto"/>
              <w:rPr>
                <w:sz w:val="17"/>
                <w:szCs w:val="17"/>
              </w:rPr>
            </w:pPr>
            <w:r>
              <w:rPr>
                <w:b w:val="0"/>
                <w:color w:val="000000"/>
                <w:sz w:val="17"/>
              </w:rPr>
              <w:t xml:space="preserve">LoD: межа виявлення; MTBC: комплекс </w:t>
            </w:r>
            <w:r>
              <w:rPr>
                <w:b w:val="0"/>
                <w:i/>
                <w:color w:val="000000"/>
                <w:sz w:val="17"/>
              </w:rPr>
              <w:t>Mycobacterium tuberculosis</w:t>
            </w:r>
            <w:r>
              <w:rPr>
                <w:b w:val="0"/>
                <w:color w:val="000000"/>
                <w:sz w:val="17"/>
              </w:rPr>
              <w:t>; Н/З: не застосовується; NAAT: аналіз ампліфікації нуклеїнових кислот; ЛЖВІЛ: люди, які живуть з ВІЛ; ТБ: туберкульоз. Лікарські засоби: INH: ізоніазид; RIF: рифампіцин.</w:t>
            </w:r>
          </w:p>
        </w:tc>
      </w:tr>
    </w:tbl>
    <w:tbl>
      <w:tblPr>
        <w:tblOverlap w:val="never"/>
        <w:tblW w:w="0" w:type="auto"/>
        <w:tblLayout w:type="fixed"/>
        <w:tblCellMar>
          <w:left w:w="10" w:type="dxa"/>
          <w:right w:w="10" w:type="dxa"/>
        </w:tblCellMar>
        <w:tblLook w:val="0000" w:firstRow="0" w:lastRow="0" w:firstColumn="0" w:lastColumn="0" w:noHBand="0" w:noVBand="0"/>
      </w:tblPr>
      <w:tblGrid>
        <w:gridCol w:w="173"/>
      </w:tblGrid>
      <w:tr w:rsidR="00366CB9" w14:paraId="5D02C694" w14:textId="77777777">
        <w:trPr>
          <w:trHeight w:hRule="exact" w:val="2880"/>
        </w:trPr>
        <w:tc>
          <w:tcPr>
            <w:tcW w:w="173" w:type="dxa"/>
            <w:shd w:val="clear" w:color="auto" w:fill="FFFFFF"/>
            <w:textDirection w:val="tbRl"/>
          </w:tcPr>
          <w:p w14:paraId="5A17C58E" w14:textId="77777777" w:rsidR="00366CB9" w:rsidRDefault="009D0C1D" w:rsidP="00425523">
            <w:pPr>
              <w:pStyle w:val="a6"/>
              <w:framePr w:w="173" w:h="3480" w:wrap="none" w:vAnchor="page" w:hAnchor="page" w:x="709" w:y="7630"/>
              <w:shd w:val="clear" w:color="auto" w:fill="auto"/>
              <w:rPr>
                <w:sz w:val="15"/>
                <w:szCs w:val="15"/>
              </w:rPr>
            </w:pPr>
            <w:r>
              <w:rPr>
                <w:b w:val="0"/>
                <w:color w:val="019648"/>
                <w:sz w:val="15"/>
              </w:rPr>
              <w:t>2. Тести на ТБ з рекомендаціями ВООЗ</w:t>
            </w:r>
          </w:p>
        </w:tc>
      </w:tr>
      <w:tr w:rsidR="00366CB9" w14:paraId="7AFD620A" w14:textId="77777777">
        <w:trPr>
          <w:trHeight w:hRule="exact" w:val="600"/>
        </w:trPr>
        <w:tc>
          <w:tcPr>
            <w:tcW w:w="173" w:type="dxa"/>
            <w:shd w:val="clear" w:color="auto" w:fill="FFFFFF"/>
            <w:textDirection w:val="tbRl"/>
          </w:tcPr>
          <w:p w14:paraId="4E890E7B" w14:textId="77777777" w:rsidR="00366CB9" w:rsidRDefault="009D0C1D" w:rsidP="00425523">
            <w:pPr>
              <w:pStyle w:val="a6"/>
              <w:framePr w:w="173" w:h="3480" w:wrap="none" w:vAnchor="page" w:hAnchor="page" w:x="709" w:y="7630"/>
              <w:shd w:val="clear" w:color="auto" w:fill="auto"/>
              <w:ind w:firstLine="380"/>
              <w:rPr>
                <w:sz w:val="15"/>
                <w:szCs w:val="15"/>
              </w:rPr>
            </w:pPr>
            <w:r>
              <w:rPr>
                <w:b w:val="0"/>
                <w:color w:val="019648"/>
                <w:sz w:val="15"/>
              </w:rPr>
              <w:t>17</w:t>
            </w:r>
          </w:p>
        </w:tc>
      </w:tr>
    </w:tbl>
    <w:p w14:paraId="65A72645" w14:textId="77777777" w:rsidR="00366CB9" w:rsidRDefault="00366CB9" w:rsidP="00425523">
      <w:pPr>
        <w:spacing w:line="1" w:lineRule="exact"/>
        <w:sectPr w:rsidR="00366CB9" w:rsidSect="00457B0A">
          <w:footerReference w:type="default" r:id="rId44"/>
          <w:type w:val="nextColumn"/>
          <w:pgSz w:w="16840" w:h="11913" w:orient="landscape"/>
          <w:pgMar w:top="1406" w:right="352" w:bottom="851" w:left="1514" w:header="0" w:footer="6" w:gutter="0"/>
          <w:paperSrc w:first="15" w:other="15"/>
          <w:cols w:space="720"/>
          <w:noEndnote/>
          <w:docGrid w:linePitch="360"/>
        </w:sectPr>
      </w:pPr>
    </w:p>
    <w:p w14:paraId="58742305" w14:textId="77777777" w:rsidR="00366CB9" w:rsidRDefault="00366CB9" w:rsidP="00425523">
      <w:pPr>
        <w:spacing w:line="1" w:lineRule="exact"/>
      </w:pPr>
    </w:p>
    <w:p w14:paraId="7A705D9D" w14:textId="77777777" w:rsidR="00366CB9" w:rsidRDefault="009D0C1D" w:rsidP="00457B0A">
      <w:pPr>
        <w:pStyle w:val="22"/>
        <w:numPr>
          <w:ilvl w:val="1"/>
          <w:numId w:val="61"/>
        </w:numPr>
        <w:shd w:val="clear" w:color="auto" w:fill="auto"/>
        <w:tabs>
          <w:tab w:val="left" w:pos="697"/>
        </w:tabs>
        <w:spacing w:after="180" w:line="264" w:lineRule="auto"/>
        <w:jc w:val="both"/>
      </w:pPr>
      <w:bookmarkStart w:id="35" w:name="bookmark33"/>
      <w:bookmarkStart w:id="36" w:name="bookmark34"/>
      <w:bookmarkStart w:id="37" w:name="bookmark32"/>
      <w:r>
        <w:t>Початкові тести для діагностики ТБ з виявленням медикаментозної резистентності</w:t>
      </w:r>
      <w:bookmarkEnd w:id="35"/>
      <w:bookmarkEnd w:id="36"/>
      <w:bookmarkEnd w:id="37"/>
    </w:p>
    <w:p w14:paraId="43C45854" w14:textId="77777777" w:rsidR="00366CB9" w:rsidRDefault="009D0C1D" w:rsidP="00457B0A">
      <w:pPr>
        <w:pStyle w:val="a6"/>
        <w:numPr>
          <w:ilvl w:val="2"/>
          <w:numId w:val="61"/>
        </w:numPr>
        <w:shd w:val="clear" w:color="auto" w:fill="auto"/>
        <w:tabs>
          <w:tab w:val="left" w:pos="769"/>
        </w:tabs>
        <w:spacing w:after="180"/>
        <w:jc w:val="both"/>
      </w:pPr>
      <w:r>
        <w:rPr>
          <w:b w:val="0"/>
          <w:color w:val="019648"/>
        </w:rPr>
        <w:t>Автоматизований NAAT низької складності</w:t>
      </w:r>
    </w:p>
    <w:p w14:paraId="5E7D77F0" w14:textId="77777777" w:rsidR="00366CB9" w:rsidRPr="006E22E5" w:rsidRDefault="009D0C1D" w:rsidP="00457B0A">
      <w:pPr>
        <w:pStyle w:val="1"/>
        <w:shd w:val="clear" w:color="auto" w:fill="auto"/>
        <w:spacing w:after="360" w:line="324" w:lineRule="auto"/>
        <w:jc w:val="both"/>
        <w:rPr>
          <w:sz w:val="18"/>
          <w:szCs w:val="18"/>
        </w:rPr>
      </w:pPr>
      <w:r w:rsidRPr="006E22E5">
        <w:rPr>
          <w:sz w:val="18"/>
          <w:szCs w:val="18"/>
        </w:rPr>
        <w:t xml:space="preserve">Клас LC-aNAAT визначено у </w:t>
      </w:r>
      <w:r w:rsidRPr="006E22E5">
        <w:rPr>
          <w:b/>
          <w:bCs/>
          <w:sz w:val="18"/>
          <w:szCs w:val="18"/>
        </w:rPr>
        <w:t>Таблиці 2.3</w:t>
      </w:r>
      <w:r w:rsidRPr="006E22E5">
        <w:rPr>
          <w:sz w:val="18"/>
          <w:szCs w:val="18"/>
        </w:rPr>
        <w:t>. Очікується поступове збільшення кількості тестів, що відповідають критеріям цього класу; це підвищуватиме конкурентноспроможність середовища для кращого обслуговування та підтримки продуктів, збільшення кількості варіантів для різних умов та зниження цін. Нові продукти, що відповідають визначенню класу відповідно до експрес-оцінки ВООЗ/GTB, відправляють на ПК ВООЗ (</w:t>
      </w:r>
      <w:hyperlink w:anchor="bookmark196" w:tooltip="Поточний документ">
        <w:r w:rsidR="00366CB9" w:rsidRPr="006E22E5">
          <w:rPr>
            <w:sz w:val="18"/>
            <w:szCs w:val="18"/>
          </w:rPr>
          <w:t>17</w:t>
        </w:r>
      </w:hyperlink>
      <w:r w:rsidRPr="006E22E5">
        <w:rPr>
          <w:sz w:val="18"/>
          <w:szCs w:val="18"/>
        </w:rPr>
        <w:t xml:space="preserve">). Див. перелік продуктів, що наразі проходять оцінку, на веб-сайті ПК ВООЗ. Продукти, що успішно пройшли попередню кваліфікацію ВООЗ, вносять до </w:t>
      </w:r>
      <w:r w:rsidRPr="006E22E5">
        <w:rPr>
          <w:i/>
          <w:iCs/>
          <w:sz w:val="18"/>
          <w:szCs w:val="18"/>
        </w:rPr>
        <w:t>переліку попередньо кваліфікованих продуктів ВООЗ для діагностики in vitro</w:t>
      </w:r>
      <w:r w:rsidRPr="006E22E5">
        <w:rPr>
          <w:sz w:val="18"/>
          <w:szCs w:val="18"/>
        </w:rPr>
        <w:t xml:space="preserve"> та включають як продукти «у межах класу» (</w:t>
      </w:r>
      <w:hyperlink w:anchor="bookmark196" w:tooltip="Поточний документ">
        <w:r w:rsidR="00366CB9" w:rsidRPr="006E22E5">
          <w:rPr>
            <w:sz w:val="18"/>
            <w:szCs w:val="18"/>
          </w:rPr>
          <w:t>18</w:t>
        </w:r>
      </w:hyperlink>
      <w:r w:rsidRPr="006E22E5">
        <w:rPr>
          <w:sz w:val="18"/>
          <w:szCs w:val="18"/>
        </w:rPr>
        <w:t>).</w:t>
      </w:r>
    </w:p>
    <w:tbl>
      <w:tblPr>
        <w:tblOverlap w:val="never"/>
        <w:tblW w:w="0" w:type="auto"/>
        <w:tblLayout w:type="fixed"/>
        <w:tblCellMar>
          <w:left w:w="10" w:type="dxa"/>
          <w:right w:w="10" w:type="dxa"/>
        </w:tblCellMar>
        <w:tblLook w:val="0000" w:firstRow="0" w:lastRow="0" w:firstColumn="0" w:lastColumn="0" w:noHBand="0" w:noVBand="0"/>
      </w:tblPr>
      <w:tblGrid>
        <w:gridCol w:w="1642"/>
        <w:gridCol w:w="1589"/>
        <w:gridCol w:w="5875"/>
      </w:tblGrid>
      <w:tr w:rsidR="00366CB9" w14:paraId="5871B494" w14:textId="77777777">
        <w:trPr>
          <w:trHeight w:hRule="exact" w:val="533"/>
        </w:trPr>
        <w:tc>
          <w:tcPr>
            <w:tcW w:w="9106" w:type="dxa"/>
            <w:gridSpan w:val="3"/>
            <w:shd w:val="clear" w:color="auto" w:fill="FFFFFF"/>
          </w:tcPr>
          <w:p w14:paraId="0E6F21D6" w14:textId="77777777" w:rsidR="00366CB9" w:rsidRPr="0079021A" w:rsidRDefault="009D0C1D" w:rsidP="00457B0A">
            <w:pPr>
              <w:pStyle w:val="a6"/>
              <w:shd w:val="clear" w:color="auto" w:fill="auto"/>
              <w:rPr>
                <w:sz w:val="24"/>
                <w:szCs w:val="24"/>
              </w:rPr>
            </w:pPr>
            <w:bookmarkStart w:id="38" w:name="bookmark35"/>
            <w:r>
              <w:rPr>
                <w:color w:val="636466"/>
                <w:sz w:val="24"/>
              </w:rPr>
              <w:t>Таблиця 2.3. Визначення класу LC-aNAAT</w:t>
            </w:r>
            <w:bookmarkEnd w:id="38"/>
          </w:p>
        </w:tc>
      </w:tr>
      <w:tr w:rsidR="00366CB9" w14:paraId="4C08C1CA" w14:textId="77777777" w:rsidTr="00546B4F">
        <w:trPr>
          <w:trHeight w:hRule="exact" w:val="432"/>
        </w:trPr>
        <w:tc>
          <w:tcPr>
            <w:tcW w:w="3231" w:type="dxa"/>
            <w:gridSpan w:val="2"/>
            <w:shd w:val="clear" w:color="auto" w:fill="62A86A"/>
            <w:vAlign w:val="center"/>
          </w:tcPr>
          <w:p w14:paraId="1D29878E" w14:textId="77777777" w:rsidR="00366CB9" w:rsidRPr="006E22E5" w:rsidRDefault="009D0C1D" w:rsidP="005A6F1A">
            <w:pPr>
              <w:pStyle w:val="a6"/>
              <w:shd w:val="clear" w:color="auto" w:fill="auto"/>
              <w:ind w:firstLine="140"/>
              <w:rPr>
                <w:sz w:val="18"/>
                <w:szCs w:val="24"/>
              </w:rPr>
            </w:pPr>
            <w:r w:rsidRPr="006E22E5">
              <w:rPr>
                <w:color w:val="FFFFFF"/>
                <w:sz w:val="18"/>
                <w:szCs w:val="24"/>
              </w:rPr>
              <w:t>Мета</w:t>
            </w:r>
          </w:p>
        </w:tc>
        <w:tc>
          <w:tcPr>
            <w:tcW w:w="5875" w:type="dxa"/>
            <w:shd w:val="clear" w:color="auto" w:fill="62A86A"/>
            <w:vAlign w:val="center"/>
          </w:tcPr>
          <w:p w14:paraId="5D421ABE" w14:textId="77777777" w:rsidR="00366CB9" w:rsidRPr="006E22E5" w:rsidRDefault="009D0C1D" w:rsidP="005A6F1A">
            <w:pPr>
              <w:pStyle w:val="a6"/>
              <w:shd w:val="clear" w:color="auto" w:fill="auto"/>
              <w:rPr>
                <w:sz w:val="18"/>
                <w:szCs w:val="24"/>
              </w:rPr>
            </w:pPr>
            <w:r w:rsidRPr="006E22E5">
              <w:rPr>
                <w:color w:val="FFFFFF"/>
                <w:sz w:val="18"/>
                <w:szCs w:val="24"/>
              </w:rPr>
              <w:t>Виявлення ТБ та резистентності до RIF</w:t>
            </w:r>
          </w:p>
        </w:tc>
      </w:tr>
      <w:tr w:rsidR="00366CB9" w14:paraId="4313E39A" w14:textId="77777777" w:rsidTr="00546B4F">
        <w:trPr>
          <w:trHeight w:hRule="exact" w:val="456"/>
        </w:trPr>
        <w:tc>
          <w:tcPr>
            <w:tcW w:w="3231" w:type="dxa"/>
            <w:gridSpan w:val="2"/>
            <w:tcBorders>
              <w:bottom w:val="single" w:sz="8" w:space="0" w:color="00B050"/>
            </w:tcBorders>
            <w:shd w:val="clear" w:color="auto" w:fill="FFFFFF"/>
          </w:tcPr>
          <w:p w14:paraId="06FF4943" w14:textId="77777777" w:rsidR="00366CB9" w:rsidRPr="006E22E5" w:rsidRDefault="009D0C1D" w:rsidP="00457B0A">
            <w:pPr>
              <w:pStyle w:val="a6"/>
              <w:shd w:val="clear" w:color="auto" w:fill="auto"/>
              <w:ind w:firstLine="140"/>
              <w:rPr>
                <w:sz w:val="18"/>
                <w:szCs w:val="24"/>
              </w:rPr>
            </w:pPr>
            <w:r w:rsidRPr="006E22E5">
              <w:rPr>
                <w:color w:val="000000"/>
                <w:sz w:val="18"/>
                <w:szCs w:val="24"/>
              </w:rPr>
              <w:t>Принцип дії</w:t>
            </w:r>
          </w:p>
        </w:tc>
        <w:tc>
          <w:tcPr>
            <w:tcW w:w="5875" w:type="dxa"/>
            <w:tcBorders>
              <w:bottom w:val="single" w:sz="8" w:space="0" w:color="00B050"/>
            </w:tcBorders>
            <w:shd w:val="clear" w:color="auto" w:fill="FFFFFF"/>
          </w:tcPr>
          <w:p w14:paraId="0AAA51E1" w14:textId="77777777" w:rsidR="00366CB9" w:rsidRPr="006E22E5" w:rsidRDefault="009D0C1D" w:rsidP="00457B0A">
            <w:pPr>
              <w:pStyle w:val="a6"/>
              <w:shd w:val="clear" w:color="auto" w:fill="auto"/>
              <w:rPr>
                <w:sz w:val="18"/>
                <w:szCs w:val="24"/>
              </w:rPr>
            </w:pPr>
            <w:r w:rsidRPr="006E22E5">
              <w:rPr>
                <w:b w:val="0"/>
                <w:color w:val="000000"/>
                <w:sz w:val="18"/>
                <w:szCs w:val="24"/>
              </w:rPr>
              <w:t>Тестування на ампліфікацію нуклеїнових кислот</w:t>
            </w:r>
          </w:p>
        </w:tc>
      </w:tr>
      <w:tr w:rsidR="00366CB9" w14:paraId="1968B490" w14:textId="77777777" w:rsidTr="00546B4F">
        <w:trPr>
          <w:trHeight w:hRule="exact" w:val="1098"/>
        </w:trPr>
        <w:tc>
          <w:tcPr>
            <w:tcW w:w="1642" w:type="dxa"/>
            <w:tcBorders>
              <w:top w:val="single" w:sz="8" w:space="0" w:color="00B050"/>
              <w:bottom w:val="single" w:sz="8" w:space="0" w:color="00B050"/>
            </w:tcBorders>
            <w:shd w:val="clear" w:color="auto" w:fill="FFFFFF"/>
          </w:tcPr>
          <w:p w14:paraId="6D0F73FE" w14:textId="77777777" w:rsidR="00366CB9" w:rsidRPr="0079021A" w:rsidRDefault="009D0C1D" w:rsidP="00457B0A">
            <w:pPr>
              <w:pStyle w:val="a6"/>
              <w:shd w:val="clear" w:color="auto" w:fill="auto"/>
              <w:spacing w:before="100"/>
              <w:ind w:firstLine="140"/>
              <w:rPr>
                <w:sz w:val="20"/>
                <w:szCs w:val="20"/>
              </w:rPr>
            </w:pPr>
            <w:r>
              <w:rPr>
                <w:color w:val="000000"/>
                <w:sz w:val="20"/>
              </w:rPr>
              <w:t>Складність</w:t>
            </w:r>
          </w:p>
        </w:tc>
        <w:tc>
          <w:tcPr>
            <w:tcW w:w="1589" w:type="dxa"/>
            <w:tcBorders>
              <w:top w:val="single" w:sz="8" w:space="0" w:color="00B050"/>
              <w:bottom w:val="single" w:sz="8" w:space="0" w:color="00B050"/>
            </w:tcBorders>
            <w:shd w:val="clear" w:color="auto" w:fill="FFFFFF"/>
          </w:tcPr>
          <w:p w14:paraId="04E1CA71" w14:textId="77777777" w:rsidR="00366CB9" w:rsidRPr="006E22E5" w:rsidRDefault="009D0C1D" w:rsidP="00457B0A">
            <w:pPr>
              <w:pStyle w:val="a6"/>
              <w:shd w:val="clear" w:color="auto" w:fill="auto"/>
              <w:spacing w:before="100"/>
              <w:rPr>
                <w:sz w:val="18"/>
                <w:szCs w:val="24"/>
              </w:rPr>
            </w:pPr>
            <w:r w:rsidRPr="006E22E5">
              <w:rPr>
                <w:b w:val="0"/>
                <w:color w:val="000000"/>
                <w:sz w:val="18"/>
                <w:szCs w:val="24"/>
              </w:rPr>
              <w:t>Реактиви</w:t>
            </w:r>
          </w:p>
        </w:tc>
        <w:tc>
          <w:tcPr>
            <w:tcW w:w="5875" w:type="dxa"/>
            <w:tcBorders>
              <w:top w:val="single" w:sz="8" w:space="0" w:color="00B050"/>
              <w:bottom w:val="single" w:sz="8" w:space="0" w:color="00B050"/>
            </w:tcBorders>
            <w:shd w:val="clear" w:color="auto" w:fill="FFFFFF"/>
          </w:tcPr>
          <w:p w14:paraId="65200B91" w14:textId="77777777" w:rsidR="00366CB9" w:rsidRPr="006E22E5" w:rsidRDefault="009D0C1D" w:rsidP="00457B0A">
            <w:pPr>
              <w:pStyle w:val="a6"/>
              <w:shd w:val="clear" w:color="auto" w:fill="auto"/>
              <w:spacing w:line="276" w:lineRule="auto"/>
              <w:rPr>
                <w:sz w:val="18"/>
                <w:szCs w:val="24"/>
              </w:rPr>
            </w:pPr>
            <w:r w:rsidRPr="006E22E5">
              <w:rPr>
                <w:b w:val="0"/>
                <w:color w:val="000000"/>
                <w:sz w:val="18"/>
                <w:szCs w:val="24"/>
              </w:rPr>
              <w:t>Більшість реактивів упаковано в одноразовий герметичний контейнер, до якого додається клінічний зразок; одноразовий герметичний контейнер не має особливих вимог до зберігання.</w:t>
            </w:r>
          </w:p>
        </w:tc>
      </w:tr>
      <w:tr w:rsidR="00366CB9" w14:paraId="6FA1DB30" w14:textId="77777777" w:rsidTr="00546B4F">
        <w:trPr>
          <w:trHeight w:hRule="exact" w:val="710"/>
        </w:trPr>
        <w:tc>
          <w:tcPr>
            <w:tcW w:w="1642" w:type="dxa"/>
            <w:tcBorders>
              <w:top w:val="single" w:sz="8" w:space="0" w:color="00B050"/>
              <w:bottom w:val="single" w:sz="8" w:space="0" w:color="00B050"/>
            </w:tcBorders>
            <w:shd w:val="clear" w:color="auto" w:fill="FFFFFF"/>
          </w:tcPr>
          <w:p w14:paraId="60E3A797" w14:textId="77777777" w:rsidR="00366CB9" w:rsidRDefault="00366CB9" w:rsidP="00457B0A">
            <w:pPr>
              <w:rPr>
                <w:sz w:val="10"/>
                <w:szCs w:val="10"/>
              </w:rPr>
            </w:pPr>
          </w:p>
        </w:tc>
        <w:tc>
          <w:tcPr>
            <w:tcW w:w="1589" w:type="dxa"/>
            <w:tcBorders>
              <w:top w:val="single" w:sz="8" w:space="0" w:color="00B050"/>
              <w:bottom w:val="single" w:sz="8" w:space="0" w:color="00B050"/>
            </w:tcBorders>
            <w:shd w:val="clear" w:color="auto" w:fill="FFFFFF"/>
          </w:tcPr>
          <w:p w14:paraId="18A13D4D" w14:textId="77777777" w:rsidR="00366CB9" w:rsidRPr="006E22E5" w:rsidRDefault="009D0C1D" w:rsidP="00457B0A">
            <w:pPr>
              <w:pStyle w:val="a6"/>
              <w:shd w:val="clear" w:color="auto" w:fill="auto"/>
              <w:rPr>
                <w:sz w:val="18"/>
                <w:szCs w:val="24"/>
              </w:rPr>
            </w:pPr>
            <w:r w:rsidRPr="006E22E5">
              <w:rPr>
                <w:b w:val="0"/>
                <w:color w:val="000000"/>
                <w:sz w:val="18"/>
                <w:szCs w:val="24"/>
              </w:rPr>
              <w:t>Навички</w:t>
            </w:r>
          </w:p>
        </w:tc>
        <w:tc>
          <w:tcPr>
            <w:tcW w:w="5875" w:type="dxa"/>
            <w:tcBorders>
              <w:top w:val="single" w:sz="8" w:space="0" w:color="00B050"/>
              <w:bottom w:val="single" w:sz="8" w:space="0" w:color="00B050"/>
            </w:tcBorders>
            <w:shd w:val="clear" w:color="auto" w:fill="FFFFFF"/>
          </w:tcPr>
          <w:p w14:paraId="7CB96698" w14:textId="77777777" w:rsidR="00366CB9" w:rsidRPr="006E22E5" w:rsidRDefault="009D0C1D" w:rsidP="00457B0A">
            <w:pPr>
              <w:pStyle w:val="a6"/>
              <w:shd w:val="clear" w:color="auto" w:fill="auto"/>
              <w:spacing w:line="271" w:lineRule="auto"/>
              <w:rPr>
                <w:sz w:val="18"/>
                <w:szCs w:val="24"/>
              </w:rPr>
            </w:pPr>
            <w:r w:rsidRPr="006E22E5">
              <w:rPr>
                <w:b w:val="0"/>
                <w:color w:val="000000"/>
                <w:sz w:val="18"/>
                <w:szCs w:val="24"/>
              </w:rPr>
              <w:t>Основні технічні навички (наприклад, основне піпетування, точність некритична)</w:t>
            </w:r>
          </w:p>
        </w:tc>
      </w:tr>
      <w:tr w:rsidR="00366CB9" w14:paraId="50793152" w14:textId="77777777" w:rsidTr="00546B4F">
        <w:trPr>
          <w:trHeight w:hRule="exact" w:val="574"/>
        </w:trPr>
        <w:tc>
          <w:tcPr>
            <w:tcW w:w="1642" w:type="dxa"/>
            <w:tcBorders>
              <w:top w:val="single" w:sz="8" w:space="0" w:color="00B050"/>
              <w:bottom w:val="single" w:sz="8" w:space="0" w:color="00B050"/>
            </w:tcBorders>
            <w:shd w:val="clear" w:color="auto" w:fill="FFFFFF"/>
          </w:tcPr>
          <w:p w14:paraId="2F62B7F3" w14:textId="77777777" w:rsidR="00366CB9" w:rsidRDefault="00366CB9" w:rsidP="00457B0A">
            <w:pPr>
              <w:rPr>
                <w:sz w:val="10"/>
                <w:szCs w:val="10"/>
              </w:rPr>
            </w:pPr>
          </w:p>
        </w:tc>
        <w:tc>
          <w:tcPr>
            <w:tcW w:w="1589" w:type="dxa"/>
            <w:tcBorders>
              <w:top w:val="single" w:sz="8" w:space="0" w:color="00B050"/>
              <w:bottom w:val="single" w:sz="8" w:space="0" w:color="00B050"/>
            </w:tcBorders>
            <w:shd w:val="clear" w:color="auto" w:fill="FFFFFF"/>
          </w:tcPr>
          <w:p w14:paraId="7937B453" w14:textId="77777777" w:rsidR="00366CB9" w:rsidRPr="006E22E5" w:rsidRDefault="009D0C1D" w:rsidP="00457B0A">
            <w:pPr>
              <w:pStyle w:val="a6"/>
              <w:shd w:val="clear" w:color="auto" w:fill="auto"/>
              <w:rPr>
                <w:sz w:val="18"/>
                <w:szCs w:val="24"/>
              </w:rPr>
            </w:pPr>
            <w:r w:rsidRPr="006E22E5">
              <w:rPr>
                <w:b w:val="0"/>
                <w:color w:val="000000"/>
                <w:sz w:val="18"/>
                <w:szCs w:val="24"/>
              </w:rPr>
              <w:t>Піпетування</w:t>
            </w:r>
          </w:p>
        </w:tc>
        <w:tc>
          <w:tcPr>
            <w:tcW w:w="5875" w:type="dxa"/>
            <w:tcBorders>
              <w:top w:val="single" w:sz="8" w:space="0" w:color="00B050"/>
              <w:bottom w:val="single" w:sz="8" w:space="0" w:color="00B050"/>
            </w:tcBorders>
            <w:shd w:val="clear" w:color="auto" w:fill="FFFFFF"/>
          </w:tcPr>
          <w:p w14:paraId="690DC631" w14:textId="77777777" w:rsidR="00366CB9" w:rsidRPr="006E22E5" w:rsidRDefault="009D0C1D" w:rsidP="00457B0A">
            <w:pPr>
              <w:pStyle w:val="a6"/>
              <w:shd w:val="clear" w:color="auto" w:fill="auto"/>
              <w:rPr>
                <w:sz w:val="18"/>
                <w:szCs w:val="24"/>
              </w:rPr>
            </w:pPr>
            <w:r w:rsidRPr="006E22E5">
              <w:rPr>
                <w:b w:val="0"/>
                <w:color w:val="000000"/>
                <w:sz w:val="18"/>
                <w:szCs w:val="24"/>
              </w:rPr>
              <w:t>Або відсутній або лише один етап піпетування протягом процесу</w:t>
            </w:r>
          </w:p>
        </w:tc>
      </w:tr>
      <w:tr w:rsidR="00366CB9" w14:paraId="51B8AAAC" w14:textId="77777777" w:rsidTr="00546B4F">
        <w:trPr>
          <w:trHeight w:hRule="exact" w:val="379"/>
        </w:trPr>
        <w:tc>
          <w:tcPr>
            <w:tcW w:w="1642" w:type="dxa"/>
            <w:tcBorders>
              <w:top w:val="single" w:sz="8" w:space="0" w:color="00B050"/>
            </w:tcBorders>
            <w:shd w:val="clear" w:color="auto" w:fill="FFFFFF"/>
          </w:tcPr>
          <w:p w14:paraId="546609BA" w14:textId="77777777" w:rsidR="00366CB9" w:rsidRDefault="00366CB9" w:rsidP="00457B0A">
            <w:pPr>
              <w:rPr>
                <w:sz w:val="10"/>
                <w:szCs w:val="10"/>
              </w:rPr>
            </w:pPr>
          </w:p>
        </w:tc>
        <w:tc>
          <w:tcPr>
            <w:tcW w:w="1589" w:type="dxa"/>
            <w:tcBorders>
              <w:top w:val="single" w:sz="8" w:space="0" w:color="00B050"/>
            </w:tcBorders>
            <w:shd w:val="clear" w:color="auto" w:fill="FFFFFF"/>
          </w:tcPr>
          <w:p w14:paraId="699016D5" w14:textId="77777777" w:rsidR="00366CB9" w:rsidRPr="006E22E5" w:rsidRDefault="009D0C1D" w:rsidP="00457B0A">
            <w:pPr>
              <w:pStyle w:val="a6"/>
              <w:shd w:val="clear" w:color="auto" w:fill="auto"/>
              <w:rPr>
                <w:sz w:val="18"/>
                <w:szCs w:val="24"/>
              </w:rPr>
            </w:pPr>
            <w:r w:rsidRPr="006E22E5">
              <w:rPr>
                <w:b w:val="0"/>
                <w:color w:val="000000"/>
                <w:sz w:val="18"/>
                <w:szCs w:val="24"/>
              </w:rPr>
              <w:t>Тестування</w:t>
            </w:r>
          </w:p>
        </w:tc>
        <w:tc>
          <w:tcPr>
            <w:tcW w:w="5875" w:type="dxa"/>
            <w:tcBorders>
              <w:top w:val="single" w:sz="8" w:space="0" w:color="00B050"/>
            </w:tcBorders>
            <w:shd w:val="clear" w:color="auto" w:fill="FFFFFF"/>
          </w:tcPr>
          <w:p w14:paraId="57C8E9A8" w14:textId="77777777" w:rsidR="00366CB9" w:rsidRPr="006E22E5" w:rsidRDefault="009D0C1D" w:rsidP="00457B0A">
            <w:pPr>
              <w:pStyle w:val="a6"/>
              <w:shd w:val="clear" w:color="auto" w:fill="auto"/>
              <w:rPr>
                <w:sz w:val="18"/>
                <w:szCs w:val="24"/>
              </w:rPr>
            </w:pPr>
            <w:r w:rsidRPr="006E22E5">
              <w:rPr>
                <w:b w:val="0"/>
                <w:color w:val="000000"/>
                <w:sz w:val="18"/>
                <w:szCs w:val="24"/>
              </w:rPr>
              <w:t>Може вимагати початкову процедуру ручної обробки</w:t>
            </w:r>
          </w:p>
        </w:tc>
      </w:tr>
      <w:tr w:rsidR="00366CB9" w14:paraId="000FFE8E" w14:textId="77777777" w:rsidTr="00546B4F">
        <w:trPr>
          <w:trHeight w:hRule="exact" w:val="1282"/>
        </w:trPr>
        <w:tc>
          <w:tcPr>
            <w:tcW w:w="1642" w:type="dxa"/>
            <w:tcBorders>
              <w:bottom w:val="single" w:sz="8" w:space="0" w:color="00B050"/>
            </w:tcBorders>
            <w:shd w:val="clear" w:color="auto" w:fill="FFFFFF"/>
          </w:tcPr>
          <w:p w14:paraId="34785DC1" w14:textId="77777777" w:rsidR="00366CB9" w:rsidRDefault="00366CB9" w:rsidP="00457B0A">
            <w:pPr>
              <w:rPr>
                <w:sz w:val="10"/>
                <w:szCs w:val="10"/>
              </w:rPr>
            </w:pPr>
          </w:p>
        </w:tc>
        <w:tc>
          <w:tcPr>
            <w:tcW w:w="1589" w:type="dxa"/>
            <w:tcBorders>
              <w:bottom w:val="single" w:sz="8" w:space="0" w:color="00B050"/>
            </w:tcBorders>
            <w:shd w:val="clear" w:color="auto" w:fill="FFFFFF"/>
          </w:tcPr>
          <w:p w14:paraId="08B183B7" w14:textId="77777777" w:rsidR="00366CB9" w:rsidRPr="006E22E5" w:rsidRDefault="009D0C1D" w:rsidP="00457B0A">
            <w:pPr>
              <w:pStyle w:val="a6"/>
              <w:shd w:val="clear" w:color="auto" w:fill="auto"/>
              <w:rPr>
                <w:sz w:val="18"/>
                <w:szCs w:val="24"/>
              </w:rPr>
            </w:pPr>
            <w:r w:rsidRPr="006E22E5">
              <w:rPr>
                <w:b w:val="0"/>
                <w:color w:val="000000"/>
                <w:sz w:val="18"/>
                <w:szCs w:val="24"/>
              </w:rPr>
              <w:t>зразка</w:t>
            </w:r>
          </w:p>
        </w:tc>
        <w:tc>
          <w:tcPr>
            <w:tcW w:w="5875" w:type="dxa"/>
            <w:tcBorders>
              <w:bottom w:val="single" w:sz="8" w:space="0" w:color="00B050"/>
            </w:tcBorders>
            <w:shd w:val="clear" w:color="auto" w:fill="FFFFFF"/>
          </w:tcPr>
          <w:p w14:paraId="1D16CBB7" w14:textId="77777777" w:rsidR="00366CB9" w:rsidRPr="006E22E5" w:rsidRDefault="009D0C1D" w:rsidP="00457B0A">
            <w:pPr>
              <w:pStyle w:val="a6"/>
              <w:shd w:val="clear" w:color="auto" w:fill="auto"/>
              <w:spacing w:after="60" w:line="276" w:lineRule="auto"/>
              <w:rPr>
                <w:sz w:val="18"/>
                <w:szCs w:val="24"/>
              </w:rPr>
            </w:pPr>
            <w:r w:rsidRPr="006E22E5">
              <w:rPr>
                <w:b w:val="0"/>
                <w:color w:val="000000"/>
                <w:sz w:val="18"/>
                <w:szCs w:val="24"/>
              </w:rPr>
              <w:t>перед перенесенням зразка в одноразовий герметичний контейнер для автоматизованої обробки</w:t>
            </w:r>
          </w:p>
          <w:p w14:paraId="0E91E2DB" w14:textId="77777777" w:rsidR="00366CB9" w:rsidRPr="006E22E5" w:rsidRDefault="009D0C1D" w:rsidP="00457B0A">
            <w:pPr>
              <w:pStyle w:val="a6"/>
              <w:shd w:val="clear" w:color="auto" w:fill="auto"/>
              <w:spacing w:after="60" w:line="276" w:lineRule="auto"/>
              <w:rPr>
                <w:sz w:val="18"/>
                <w:szCs w:val="24"/>
              </w:rPr>
            </w:pPr>
            <w:r w:rsidRPr="006E22E5">
              <w:rPr>
                <w:b w:val="0"/>
                <w:color w:val="000000"/>
                <w:sz w:val="18"/>
                <w:szCs w:val="24"/>
              </w:rPr>
              <w:t>Автоматизоване виділення ДНК</w:t>
            </w:r>
          </w:p>
          <w:p w14:paraId="0DB8A7F4" w14:textId="77777777" w:rsidR="00366CB9" w:rsidRPr="006E22E5" w:rsidRDefault="009D0C1D" w:rsidP="00457B0A">
            <w:pPr>
              <w:pStyle w:val="a6"/>
              <w:shd w:val="clear" w:color="auto" w:fill="auto"/>
              <w:spacing w:after="60" w:line="276" w:lineRule="auto"/>
              <w:rPr>
                <w:sz w:val="18"/>
                <w:szCs w:val="24"/>
              </w:rPr>
            </w:pPr>
            <w:r w:rsidRPr="006E22E5">
              <w:rPr>
                <w:b w:val="0"/>
                <w:color w:val="000000"/>
                <w:sz w:val="18"/>
                <w:szCs w:val="24"/>
              </w:rPr>
              <w:t>Автоматизована ПЛР у режимі реального часу</w:t>
            </w:r>
          </w:p>
        </w:tc>
      </w:tr>
      <w:tr w:rsidR="00366CB9" w14:paraId="6E6EEE9C" w14:textId="77777777" w:rsidTr="00546B4F">
        <w:trPr>
          <w:trHeight w:hRule="exact" w:val="478"/>
        </w:trPr>
        <w:tc>
          <w:tcPr>
            <w:tcW w:w="3231" w:type="dxa"/>
            <w:gridSpan w:val="2"/>
            <w:tcBorders>
              <w:top w:val="single" w:sz="8" w:space="0" w:color="00B050"/>
              <w:bottom w:val="single" w:sz="8" w:space="0" w:color="00B050"/>
            </w:tcBorders>
            <w:shd w:val="clear" w:color="auto" w:fill="FFFFFF"/>
          </w:tcPr>
          <w:p w14:paraId="00A548EF" w14:textId="77777777" w:rsidR="00366CB9" w:rsidRPr="006E22E5" w:rsidRDefault="009D0C1D" w:rsidP="005A6F1A">
            <w:pPr>
              <w:pStyle w:val="a6"/>
              <w:shd w:val="clear" w:color="auto" w:fill="auto"/>
              <w:ind w:left="130"/>
              <w:rPr>
                <w:sz w:val="18"/>
                <w:szCs w:val="24"/>
              </w:rPr>
            </w:pPr>
            <w:r w:rsidRPr="006E22E5">
              <w:rPr>
                <w:color w:val="000000"/>
                <w:sz w:val="18"/>
                <w:szCs w:val="24"/>
              </w:rPr>
              <w:t>Тип звітування про результати тесту</w:t>
            </w:r>
          </w:p>
        </w:tc>
        <w:tc>
          <w:tcPr>
            <w:tcW w:w="5875" w:type="dxa"/>
            <w:tcBorders>
              <w:top w:val="single" w:sz="8" w:space="0" w:color="00B050"/>
              <w:bottom w:val="single" w:sz="8" w:space="0" w:color="00B050"/>
            </w:tcBorders>
            <w:shd w:val="clear" w:color="auto" w:fill="FFFFFF"/>
          </w:tcPr>
          <w:p w14:paraId="5FEBA6E8" w14:textId="77777777" w:rsidR="00366CB9" w:rsidRPr="006E22E5" w:rsidRDefault="009D0C1D" w:rsidP="00457B0A">
            <w:pPr>
              <w:pStyle w:val="a6"/>
              <w:shd w:val="clear" w:color="auto" w:fill="auto"/>
              <w:rPr>
                <w:sz w:val="18"/>
                <w:szCs w:val="24"/>
              </w:rPr>
            </w:pPr>
            <w:r w:rsidRPr="006E22E5">
              <w:rPr>
                <w:b w:val="0"/>
                <w:color w:val="000000"/>
                <w:sz w:val="18"/>
                <w:szCs w:val="24"/>
              </w:rPr>
              <w:t>Автоматизоване</w:t>
            </w:r>
          </w:p>
        </w:tc>
      </w:tr>
      <w:tr w:rsidR="00366CB9" w14:paraId="6D933086" w14:textId="77777777" w:rsidTr="00546B4F">
        <w:trPr>
          <w:trHeight w:hRule="exact" w:val="597"/>
        </w:trPr>
        <w:tc>
          <w:tcPr>
            <w:tcW w:w="3231" w:type="dxa"/>
            <w:gridSpan w:val="2"/>
            <w:tcBorders>
              <w:top w:val="single" w:sz="8" w:space="0" w:color="00B050"/>
              <w:bottom w:val="single" w:sz="8" w:space="0" w:color="00B050"/>
            </w:tcBorders>
            <w:shd w:val="clear" w:color="auto" w:fill="FFFFFF"/>
          </w:tcPr>
          <w:p w14:paraId="30C4C0EC" w14:textId="77777777" w:rsidR="00366CB9" w:rsidRPr="006E22E5" w:rsidRDefault="009D0C1D" w:rsidP="00457B0A">
            <w:pPr>
              <w:pStyle w:val="a6"/>
              <w:shd w:val="clear" w:color="auto" w:fill="auto"/>
              <w:ind w:firstLine="140"/>
              <w:rPr>
                <w:sz w:val="18"/>
                <w:szCs w:val="24"/>
              </w:rPr>
            </w:pPr>
            <w:r w:rsidRPr="006E22E5">
              <w:rPr>
                <w:color w:val="000000"/>
                <w:sz w:val="18"/>
                <w:szCs w:val="24"/>
              </w:rPr>
              <w:t>Умова використання</w:t>
            </w:r>
          </w:p>
        </w:tc>
        <w:tc>
          <w:tcPr>
            <w:tcW w:w="5875" w:type="dxa"/>
            <w:tcBorders>
              <w:top w:val="single" w:sz="8" w:space="0" w:color="00B050"/>
              <w:bottom w:val="single" w:sz="8" w:space="0" w:color="00B050"/>
            </w:tcBorders>
            <w:shd w:val="clear" w:color="auto" w:fill="FFFFFF"/>
          </w:tcPr>
          <w:p w14:paraId="0729E718" w14:textId="77777777" w:rsidR="00366CB9" w:rsidRPr="006E22E5" w:rsidRDefault="009D0C1D" w:rsidP="00457B0A">
            <w:pPr>
              <w:pStyle w:val="a6"/>
              <w:shd w:val="clear" w:color="auto" w:fill="auto"/>
              <w:rPr>
                <w:sz w:val="18"/>
                <w:szCs w:val="24"/>
              </w:rPr>
            </w:pPr>
            <w:r w:rsidRPr="006E22E5">
              <w:rPr>
                <w:b w:val="0"/>
                <w:color w:val="000000"/>
                <w:sz w:val="18"/>
                <w:szCs w:val="24"/>
              </w:rPr>
              <w:t>Звичайна лабораторія (без спеціальних виробничих потужностей)</w:t>
            </w:r>
          </w:p>
        </w:tc>
      </w:tr>
      <w:tr w:rsidR="00366CB9" w14:paraId="2DDD5D67" w14:textId="77777777" w:rsidTr="00546B4F">
        <w:trPr>
          <w:trHeight w:hRule="exact" w:val="874"/>
        </w:trPr>
        <w:tc>
          <w:tcPr>
            <w:tcW w:w="9106" w:type="dxa"/>
            <w:gridSpan w:val="3"/>
            <w:tcBorders>
              <w:top w:val="single" w:sz="8" w:space="0" w:color="00B050"/>
            </w:tcBorders>
            <w:shd w:val="clear" w:color="auto" w:fill="FFFFFF"/>
          </w:tcPr>
          <w:p w14:paraId="42B97659" w14:textId="77777777" w:rsidR="00366CB9" w:rsidRDefault="009D0C1D" w:rsidP="00457B0A">
            <w:pPr>
              <w:pStyle w:val="a6"/>
              <w:shd w:val="clear" w:color="auto" w:fill="auto"/>
              <w:spacing w:after="40" w:line="266" w:lineRule="auto"/>
              <w:rPr>
                <w:sz w:val="17"/>
                <w:szCs w:val="17"/>
              </w:rPr>
            </w:pPr>
            <w:r>
              <w:rPr>
                <w:b w:val="0"/>
                <w:color w:val="000000"/>
                <w:sz w:val="17"/>
              </w:rPr>
              <w:t>ДНК: дезоксирибонуклеїнова кислота; LC-aNAAT: автоматизований аналіз ампліфікації нуклеїнових кислот низької складності; ПЛР: полімеразна ланцюгова реакція; ТБ: туберкульоз.</w:t>
            </w:r>
          </w:p>
          <w:p w14:paraId="5FFDFCF0" w14:textId="77777777" w:rsidR="00366CB9" w:rsidRDefault="009D0C1D" w:rsidP="00457B0A">
            <w:pPr>
              <w:pStyle w:val="a6"/>
              <w:shd w:val="clear" w:color="auto" w:fill="auto"/>
              <w:spacing w:line="266" w:lineRule="auto"/>
              <w:rPr>
                <w:sz w:val="17"/>
                <w:szCs w:val="17"/>
              </w:rPr>
            </w:pPr>
            <w:r>
              <w:rPr>
                <w:b w:val="0"/>
                <w:color w:val="000000"/>
                <w:sz w:val="17"/>
              </w:rPr>
              <w:t>Лікарський засіб: RIF: рифампіцин.</w:t>
            </w:r>
          </w:p>
        </w:tc>
      </w:tr>
    </w:tbl>
    <w:p w14:paraId="20550692" w14:textId="77777777" w:rsidR="00366CB9" w:rsidRPr="006E22E5" w:rsidRDefault="009D0C1D" w:rsidP="005A6F1A">
      <w:pPr>
        <w:pStyle w:val="1"/>
        <w:shd w:val="clear" w:color="auto" w:fill="auto"/>
        <w:spacing w:before="240" w:line="324" w:lineRule="auto"/>
        <w:jc w:val="both"/>
        <w:rPr>
          <w:sz w:val="18"/>
          <w:szCs w:val="18"/>
        </w:rPr>
      </w:pPr>
      <w:r w:rsidRPr="006E22E5">
        <w:rPr>
          <w:sz w:val="18"/>
          <w:szCs w:val="18"/>
        </w:rPr>
        <w:t>ВООЗ рекомендує використовувати клас LC-aNAAT для виявлення ТБ легень та позалегеневого ТБ у дорослих, дітей (у віці &lt; 10 років) та людей (будь-якого віку), які живуть з ВІЛ (</w:t>
      </w:r>
      <w:r w:rsidRPr="006E22E5">
        <w:rPr>
          <w:b/>
          <w:bCs/>
          <w:sz w:val="18"/>
          <w:szCs w:val="18"/>
        </w:rPr>
        <w:t>Вставка 2.1</w:t>
      </w:r>
      <w:r w:rsidRPr="006E22E5">
        <w:rPr>
          <w:sz w:val="18"/>
          <w:szCs w:val="18"/>
        </w:rPr>
        <w:t>). Для ТБ легень у дорослих зведена чутливість становила 90,4 % (95 % довірчий інтервал [ДІ]: 88,0-92,4), а зведена специфічність – 94,9 % (95 % ДІ: 93,0-96,3). Два тести, що відповідають критеріям включення до класу – Xpert MTB/RIF Ultra (Xpert Ultra) та Truenat MTB Plus з MTB-RIF Dx – також демонструють резистентність до RIF. Для тесту Xpert Ultra це передбачає інтеграцію виявлення MTBC та мутацій у ділянці,</w:t>
      </w:r>
    </w:p>
    <w:p w14:paraId="78E9D3D2" w14:textId="77777777" w:rsidR="00366CB9" w:rsidRDefault="00366CB9" w:rsidP="00425523">
      <w:pPr>
        <w:spacing w:line="1" w:lineRule="exact"/>
        <w:sectPr w:rsidR="00366CB9" w:rsidSect="00457B0A">
          <w:footerReference w:type="even" r:id="rId45"/>
          <w:pgSz w:w="11913" w:h="16840"/>
          <w:pgMar w:top="1469" w:right="1378" w:bottom="851" w:left="1372" w:header="0" w:footer="6" w:gutter="0"/>
          <w:paperSrc w:first="15" w:other="15"/>
          <w:cols w:space="720"/>
          <w:noEndnote/>
          <w:docGrid w:linePitch="360"/>
        </w:sectPr>
      </w:pPr>
    </w:p>
    <w:p w14:paraId="3D7015C0" w14:textId="77777777" w:rsidR="00366CB9" w:rsidRDefault="00366CB9" w:rsidP="00425523">
      <w:pPr>
        <w:spacing w:line="1" w:lineRule="exact"/>
      </w:pPr>
    </w:p>
    <w:p w14:paraId="0FFF4756" w14:textId="77777777" w:rsidR="00366CB9" w:rsidRPr="006E22E5" w:rsidRDefault="009D0C1D" w:rsidP="00457B0A">
      <w:pPr>
        <w:pStyle w:val="1"/>
        <w:shd w:val="clear" w:color="auto" w:fill="auto"/>
        <w:spacing w:after="140" w:line="324" w:lineRule="auto"/>
        <w:jc w:val="both"/>
        <w:rPr>
          <w:sz w:val="18"/>
          <w:szCs w:val="18"/>
        </w:rPr>
      </w:pPr>
      <w:r w:rsidRPr="006E22E5">
        <w:rPr>
          <w:sz w:val="18"/>
          <w:szCs w:val="18"/>
        </w:rPr>
        <w:t>що визначає резистентність до RIF (RRDR), в одному картриджі. Для тесту Truenat контрольний аналіз з використанням MTB-RIF Dx необхідно проводити після отримання позитивного результату тесту MTB Plus. Зведена чутливість класу для виявлення резистентності до RIF становить 95,1 % (95 % ДІ: 83,1-98,7), а зведена специфічність – 98,1 % (95 % ДІ: 97,0-98,7).</w:t>
      </w:r>
    </w:p>
    <w:p w14:paraId="4F6066E3" w14:textId="77777777" w:rsidR="00366CB9" w:rsidRPr="006E22E5" w:rsidRDefault="009D0C1D" w:rsidP="00457B0A">
      <w:pPr>
        <w:pStyle w:val="1"/>
        <w:shd w:val="clear" w:color="auto" w:fill="auto"/>
        <w:spacing w:after="140" w:line="324" w:lineRule="auto"/>
        <w:jc w:val="both"/>
        <w:rPr>
          <w:sz w:val="18"/>
          <w:szCs w:val="18"/>
        </w:rPr>
      </w:pPr>
      <w:r w:rsidRPr="006E22E5">
        <w:rPr>
          <w:sz w:val="18"/>
          <w:szCs w:val="18"/>
        </w:rPr>
        <w:t xml:space="preserve">Під час використання LC-aNAAT для діагностики ТБ у дітей рекомендується супутнє тестування однієї дихальної проби (тобто мокротиння, вмісту шлунку або назофарингеального матеріалу) та одного зразка калу. Якщо у дитини позитивний ВІЛ-статус, стратегія супутнього тестування також має включати тестування LF-LAM на зразку сечі (див. </w:t>
      </w:r>
      <w:r w:rsidRPr="006E22E5">
        <w:rPr>
          <w:b/>
          <w:bCs/>
          <w:sz w:val="18"/>
          <w:szCs w:val="18"/>
        </w:rPr>
        <w:t>розділ 3.4</w:t>
      </w:r>
      <w:r w:rsidRPr="006E22E5">
        <w:rPr>
          <w:sz w:val="18"/>
          <w:szCs w:val="18"/>
        </w:rPr>
        <w:t xml:space="preserve">). Супутнє тестування зразка з дихальних шляхів (за допомогою LC-aNAAT) та сечі (за допомогою LF-LAM) також рекомендується для дорослих та підлітків, які живуть з ВІЛ (див. </w:t>
      </w:r>
      <w:r w:rsidRPr="006E22E5">
        <w:rPr>
          <w:b/>
          <w:bCs/>
          <w:sz w:val="18"/>
          <w:szCs w:val="18"/>
        </w:rPr>
        <w:t>розділ 3.4</w:t>
      </w:r>
      <w:r w:rsidRPr="006E22E5">
        <w:rPr>
          <w:sz w:val="18"/>
          <w:szCs w:val="18"/>
        </w:rPr>
        <w:t>).</w:t>
      </w:r>
    </w:p>
    <w:p w14:paraId="4057F898" w14:textId="77777777" w:rsidR="00366CB9" w:rsidRPr="006E22E5" w:rsidRDefault="009D0C1D" w:rsidP="00457B0A">
      <w:pPr>
        <w:pStyle w:val="1"/>
        <w:shd w:val="clear" w:color="auto" w:fill="auto"/>
        <w:spacing w:after="140" w:line="324" w:lineRule="auto"/>
        <w:jc w:val="both"/>
        <w:rPr>
          <w:sz w:val="18"/>
          <w:szCs w:val="18"/>
        </w:rPr>
      </w:pPr>
      <w:r w:rsidRPr="006E22E5">
        <w:rPr>
          <w:sz w:val="18"/>
          <w:szCs w:val="18"/>
        </w:rPr>
        <w:t>LC-aNAAT також рекомендуються для виявлення туберкульозного менінгіту за допомогою спинномозкової рідини (СМР) та позалегеневого ТБ за допомогою матеріалів лімфатичних вузлів, плевральної тканини, плевральної рідини, синовіального матеріалу, перитонеальної або перикардіальної рідини. Слід підкреслити, що бацилярне навантаження зразків з позалегеневих ділянок зазвичай є низьким; тому зразки з достатнім об’ємом для тестування необхідно збирати та концентрувати, за можливості, з метою досягнення виявленого рівня бактеріальної ДНК.</w:t>
      </w:r>
    </w:p>
    <w:p w14:paraId="09E8A8CD" w14:textId="77777777" w:rsidR="00366CB9" w:rsidRPr="006E22E5" w:rsidRDefault="009D0C1D" w:rsidP="00457B0A">
      <w:pPr>
        <w:pStyle w:val="1"/>
        <w:shd w:val="clear" w:color="auto" w:fill="auto"/>
        <w:spacing w:after="140" w:line="324" w:lineRule="auto"/>
        <w:jc w:val="both"/>
        <w:rPr>
          <w:sz w:val="18"/>
          <w:szCs w:val="18"/>
        </w:rPr>
      </w:pPr>
      <w:r w:rsidRPr="006E22E5">
        <w:rPr>
          <w:sz w:val="18"/>
          <w:szCs w:val="18"/>
        </w:rPr>
        <w:t xml:space="preserve">Прилади, необхідні для проведення тестів, мають різні вимоги до виробничих потужностей лабораторії. Наприклад, прилад GeneXpert вимагає середовища без пилу, безперебійного живлення та максимальної температури 30 °C, тоді як прилади Trueprep та Truelab можуть працювати від акумулятора та є менш чутливими до температури навколишнього середовища (див. </w:t>
      </w:r>
      <w:r w:rsidRPr="006E22E5">
        <w:rPr>
          <w:b/>
          <w:bCs/>
          <w:sz w:val="18"/>
          <w:szCs w:val="18"/>
        </w:rPr>
        <w:t>Таблицю 2.2</w:t>
      </w:r>
      <w:r w:rsidRPr="006E22E5">
        <w:rPr>
          <w:sz w:val="18"/>
          <w:szCs w:val="18"/>
        </w:rPr>
        <w:t>). Деякі прилади LC-aNAAT також можна застосовувати для тестування на виявлення інших захворювань (наприклад, тяжкий гострий респіраторний синдром коронавірус 2 [SARS-CoV-2], ВІЛ та гепатити B та C), що може гарантувати надання системних послуг та заходів розподілу витрат між програмами з профілактики захворювань.</w:t>
      </w:r>
    </w:p>
    <w:p w14:paraId="3DA0822F" w14:textId="77777777" w:rsidR="00366CB9" w:rsidRDefault="009D0C1D" w:rsidP="00457B0A">
      <w:pPr>
        <w:pStyle w:val="1"/>
        <w:shd w:val="clear" w:color="auto" w:fill="auto"/>
        <w:spacing w:line="324" w:lineRule="auto"/>
        <w:jc w:val="both"/>
      </w:pPr>
      <w:r w:rsidRPr="006E22E5">
        <w:rPr>
          <w:sz w:val="18"/>
          <w:szCs w:val="18"/>
        </w:rPr>
        <w:t>Персонал, що відповідає за проведення тестів, повинен розуміти принципи молекулярного тестування та мати навички роботи з комп’ютером. Тести низької складності можуть мати різні вимоги до піпетування; наприклад, Xpert MTB/RIF Ultra не вимагає точного піпетування, тоді як Molbio Truenat MTB Plus вимагає точного піпетування невеликого об’єму рідини. Потрібне технічне обслуговування та щорічне калібрування; таким чином, виробники або представники з країн часто навчають «суперкористувачів» контролювати або проводити базове обслуговування та щорічне калібрування. Також доступні договори з виробниками на обслуговування, деякі з яких об’єднують витрати на обслуговування та технічне обслуговування приладів у прозору вартість одиниці тесту</w:t>
      </w:r>
      <w:r>
        <w:t>.</w:t>
      </w:r>
    </w:p>
    <w:p w14:paraId="51AF2A60" w14:textId="77777777" w:rsidR="00366CB9" w:rsidRDefault="00366CB9" w:rsidP="00425523">
      <w:pPr>
        <w:spacing w:line="1" w:lineRule="exact"/>
        <w:sectPr w:rsidR="00366CB9" w:rsidSect="00F03360">
          <w:footerReference w:type="default" r:id="rId46"/>
          <w:type w:val="nextColumn"/>
          <w:pgSz w:w="11913" w:h="16840"/>
          <w:pgMar w:top="1469" w:right="1378" w:bottom="851" w:left="1372" w:header="0" w:footer="6" w:gutter="0"/>
          <w:paperSrc w:first="15" w:other="15"/>
          <w:cols w:space="720"/>
          <w:noEndnote/>
          <w:docGrid w:linePitch="360"/>
        </w:sectPr>
      </w:pPr>
    </w:p>
    <w:p w14:paraId="47F994E5" w14:textId="77777777" w:rsidR="00366CB9" w:rsidRDefault="00366CB9" w:rsidP="00425523">
      <w:pPr>
        <w:spacing w:line="1" w:lineRule="exact"/>
      </w:pPr>
    </w:p>
    <w:p w14:paraId="4CD1DDDF" w14:textId="26C4C281" w:rsidR="00366CB9" w:rsidRDefault="008E6497" w:rsidP="00457B0A">
      <w:pPr>
        <w:sectPr w:rsidR="00366CB9" w:rsidSect="00F03360">
          <w:type w:val="nextColumn"/>
          <w:pgSz w:w="11913" w:h="16840"/>
          <w:pgMar w:top="1469" w:right="1378" w:bottom="851" w:left="1372" w:header="0" w:footer="6" w:gutter="0"/>
          <w:paperSrc w:first="15" w:other="15"/>
          <w:cols w:space="720"/>
          <w:noEndnote/>
          <w:docGrid w:linePitch="360"/>
        </w:sectPr>
      </w:pPr>
      <w:r>
        <w:rPr>
          <w:noProof/>
        </w:rPr>
        <mc:AlternateContent>
          <mc:Choice Requires="wps">
            <w:drawing>
              <wp:anchor distT="0" distB="0" distL="114300" distR="114300" simplePos="0" relativeHeight="251435008" behindDoc="0" locked="0" layoutInCell="1" allowOverlap="1" wp14:anchorId="6105D6E0" wp14:editId="24C1A235">
                <wp:simplePos x="0" y="0"/>
                <wp:positionH relativeFrom="column">
                  <wp:posOffset>114300</wp:posOffset>
                </wp:positionH>
                <wp:positionV relativeFrom="paragraph">
                  <wp:posOffset>281940</wp:posOffset>
                </wp:positionV>
                <wp:extent cx="4062730" cy="152400"/>
                <wp:effectExtent l="0" t="0" r="0" b="0"/>
                <wp:wrapNone/>
                <wp:docPr id="3" name="Прямокутник 2"/>
                <wp:cNvGraphicFramePr/>
                <a:graphic xmlns:a="http://schemas.openxmlformats.org/drawingml/2006/main">
                  <a:graphicData uri="http://schemas.microsoft.com/office/word/2010/wordprocessingShape">
                    <wps:wsp>
                      <wps:cNvSpPr/>
                      <wps:spPr>
                        <a:xfrm>
                          <a:off x="0" y="0"/>
                          <a:ext cx="4062730" cy="152400"/>
                        </a:xfrm>
                        <a:prstGeom prst="rect">
                          <a:avLst/>
                        </a:prstGeom>
                        <a:solidFill>
                          <a:srgbClr val="009649"/>
                        </a:solidFill>
                      </wps:spPr>
                      <wps:txbx>
                        <w:txbxContent>
                          <w:p w14:paraId="2E66F0B8" w14:textId="77777777" w:rsidR="009D0C1D" w:rsidRPr="0079021A" w:rsidRDefault="009D0C1D" w:rsidP="008E6497">
                            <w:pPr>
                              <w:rPr>
                                <w:rFonts w:eastAsia="+mn-ea" w:cs="+mn-cs"/>
                                <w:b/>
                                <w:bCs/>
                                <w:color w:val="FFFFFF"/>
                                <w:kern w:val="24"/>
                                <w:sz w:val="20"/>
                                <w:szCs w:val="20"/>
                              </w:rPr>
                            </w:pPr>
                            <w:r>
                              <w:rPr>
                                <w:b/>
                                <w:color w:val="FFFFFF"/>
                                <w:sz w:val="20"/>
                              </w:rPr>
                              <w:t xml:space="preserve">Вставка 2.1. Рекомендації ВООЗ щодо застосування LC-aNAAT </w:t>
                            </w:r>
                            <w:r>
                              <w:rPr>
                                <w:b/>
                                <w:i/>
                                <w:color w:val="FFFFFF"/>
                                <w:sz w:val="20"/>
                              </w:rPr>
                              <w:t>(6)</w:t>
                            </w:r>
                          </w:p>
                        </w:txbxContent>
                      </wps:txbx>
                      <wps:bodyPr wrap="square" lIns="0" tIns="0" rIns="0" bIns="0">
                        <a:noAutofit/>
                      </wps:bodyPr>
                    </wps:wsp>
                  </a:graphicData>
                </a:graphic>
              </wp:anchor>
            </w:drawing>
          </mc:Choice>
          <mc:Fallback>
            <w:pict>
              <v:rect w14:anchorId="6105D6E0" id="Прямокутник 2" o:spid="_x0000_s1053" style="position:absolute;margin-left:9pt;margin-top:22.2pt;width:319.9pt;height:12pt;z-index:25143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" fillcolor="#009649" stroked="f">
                <v:textbox inset="0,0,0,0">
                  <w:txbxContent>
                    <w:p w14:paraId="2E66F0B8" w14:textId="77777777" w:rsidR="009D0C1D" w:rsidRPr="0079021A" w:rsidRDefault="009D0C1D" w:rsidP="008E6497">
                      <w:pPr>
                        <w:rPr>
                          <w:rFonts w:eastAsia="+mn-ea" w:cs="+mn-cs"/>
                          <w:b/>
                          <w:bCs/>
                          <w:color w:val="FFFFFF"/>
                          <w:kern w:val="24"/>
                          <w:sz w:val="20"/>
                          <w:szCs w:val="20"/>
                        </w:rPr>
                      </w:pPr>
                      <w:r>
                        <w:rPr>
                          <w:b/>
                          <w:color w:val="FFFFFF"/>
                          <w:sz w:val="20"/>
                        </w:rPr>
                        <w:t xml:space="preserve">Вставка 2.1. Рекомендації ВООЗ щодо застосування LC-aNAAT </w:t>
                      </w:r>
                      <w:r>
                        <w:rPr>
                          <w:b/>
                          <w:i/>
                          <w:color w:val="FFFFFF"/>
                          <w:sz w:val="20"/>
                        </w:rPr>
                        <w:t>(6)</w:t>
                      </w:r>
                    </w:p>
                  </w:txbxContent>
                </v:textbox>
              </v:rect>
            </w:pict>
          </mc:Fallback>
        </mc:AlternateContent>
      </w:r>
      <w:r>
        <w:rPr>
          <w:noProof/>
        </w:rPr>
        <mc:AlternateContent>
          <mc:Choice Requires="wps">
            <w:drawing>
              <wp:anchor distT="0" distB="0" distL="114300" distR="114300" simplePos="0" relativeHeight="251436032" behindDoc="0" locked="0" layoutInCell="1" allowOverlap="1" wp14:anchorId="0824551A" wp14:editId="337882ED">
                <wp:simplePos x="0" y="0"/>
                <wp:positionH relativeFrom="column">
                  <wp:posOffset>321755</wp:posOffset>
                </wp:positionH>
                <wp:positionV relativeFrom="paragraph">
                  <wp:posOffset>632460</wp:posOffset>
                </wp:positionV>
                <wp:extent cx="5229860" cy="7522210"/>
                <wp:effectExtent l="0" t="0" r="8890" b="2540"/>
                <wp:wrapNone/>
                <wp:docPr id="473415183" name="Прямокутник 3"/>
                <wp:cNvGraphicFramePr/>
                <a:graphic xmlns:a="http://schemas.openxmlformats.org/drawingml/2006/main">
                  <a:graphicData uri="http://schemas.microsoft.com/office/word/2010/wordprocessingShape">
                    <wps:wsp>
                      <wps:cNvSpPr/>
                      <wps:spPr>
                        <a:xfrm>
                          <a:off x="0" y="0"/>
                          <a:ext cx="5229860" cy="7522210"/>
                        </a:xfrm>
                        <a:prstGeom prst="rect">
                          <a:avLst/>
                        </a:prstGeom>
                        <a:solidFill>
                          <a:srgbClr val="C6E0CE"/>
                        </a:solidFill>
                      </wps:spPr>
                      <wps:txbx>
                        <w:txbxContent>
                          <w:p w14:paraId="73E419A5" w14:textId="77777777" w:rsidR="009D0C1D" w:rsidRDefault="009D0C1D" w:rsidP="008E6497">
                            <w:pPr>
                              <w:spacing w:after="56" w:line="314" w:lineRule="auto"/>
                              <w:jc w:val="both"/>
                              <w:rPr>
                                <w:rFonts w:eastAsia="+mn-ea" w:cs="+mn-cs"/>
                                <w:kern w:val="24"/>
                                <w:sz w:val="20"/>
                                <w:szCs w:val="20"/>
                              </w:rPr>
                            </w:pPr>
                            <w:r>
                              <w:rPr>
                                <w:sz w:val="20"/>
                              </w:rPr>
                              <w:t>Для дорослих та підлітків з ознаками або симптомами ТБ, або позитивним результатом скринінг-тесту на ТБ легень, початковими діагностичними тестами на ТБ мають бути автоматизовані NAAT низької складності на зразках з дихальних шляхів, а не мікроскопія мазка або посів.</w:t>
                            </w:r>
                          </w:p>
                          <w:p w14:paraId="10B8BE5D" w14:textId="77777777" w:rsidR="009D0C1D" w:rsidRPr="00356397" w:rsidRDefault="009D0C1D" w:rsidP="008E6497">
                            <w:pPr>
                              <w:spacing w:after="56" w:line="314" w:lineRule="auto"/>
                              <w:jc w:val="both"/>
                              <w:rPr>
                                <w:rFonts w:eastAsia="+mn-ea" w:cs="+mn-cs"/>
                                <w:i/>
                                <w:iCs/>
                                <w:kern w:val="24"/>
                                <w:sz w:val="20"/>
                                <w:szCs w:val="20"/>
                              </w:rPr>
                            </w:pPr>
                            <w:r>
                              <w:rPr>
                                <w:i/>
                                <w:sz w:val="20"/>
                              </w:rPr>
                              <w:t>(Сильна рекомендація, високий рівень достовірності доказів)</w:t>
                            </w:r>
                          </w:p>
                          <w:p w14:paraId="1A6BAD29" w14:textId="77777777" w:rsidR="009D0C1D" w:rsidRDefault="009D0C1D" w:rsidP="008E6497">
                            <w:pPr>
                              <w:spacing w:after="56" w:line="314" w:lineRule="auto"/>
                              <w:jc w:val="both"/>
                              <w:rPr>
                                <w:rFonts w:eastAsia="+mn-ea" w:cs="+mn-cs"/>
                                <w:kern w:val="24"/>
                                <w:sz w:val="20"/>
                                <w:szCs w:val="20"/>
                              </w:rPr>
                            </w:pPr>
                            <w:r>
                              <w:rPr>
                                <w:sz w:val="20"/>
                              </w:rPr>
                              <w:t>Примітки:</w:t>
                            </w:r>
                          </w:p>
                          <w:p w14:paraId="2FDEBA4A" w14:textId="2BC1ABC1"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Зразки з дихальних шляхів включають мокротиння (відхаркувальне або індуковане), трахеальний матеріал або бронхоальвеолярний лаваж.</w:t>
                            </w:r>
                          </w:p>
                          <w:p w14:paraId="0E9D6BCC" w14:textId="7629C3FA" w:rsidR="009D0C1D" w:rsidRDefault="009D0C1D" w:rsidP="00914714">
                            <w:pPr>
                              <w:spacing w:after="56" w:line="316"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Особа з позитивним результатом скринінг-тесту: особа, яка отримала позитивний результат скринінг-тесту.</w:t>
                            </w:r>
                          </w:p>
                          <w:p w14:paraId="483D2C74" w14:textId="7CB8CBC5"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Див. рекомендацію для дітей нижче.</w:t>
                            </w:r>
                          </w:p>
                          <w:p w14:paraId="6DDF3295" w14:textId="42D599E6" w:rsidR="009D0C1D" w:rsidRDefault="009D0C1D" w:rsidP="008E6497">
                            <w:pPr>
                              <w:spacing w:after="56" w:line="316"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 xml:space="preserve">Див. рекомендації щодо супутнього тестування для дорослих, підлітків та дітей, які живуть з ВІЛ, у </w:t>
                            </w:r>
                            <w:r>
                              <w:rPr>
                                <w:b/>
                                <w:sz w:val="20"/>
                              </w:rPr>
                              <w:t>Вставці 2.4.</w:t>
                            </w:r>
                          </w:p>
                          <w:p w14:paraId="26A4732B" w14:textId="222F5A17"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Див. розділ про супутнє застосування діагностичних тестів на ТБ для дітей з ВІЛ.</w:t>
                            </w:r>
                          </w:p>
                          <w:p w14:paraId="0DE307F9" w14:textId="77777777" w:rsidR="009D0C1D" w:rsidRDefault="009D0C1D" w:rsidP="008E6497">
                            <w:pPr>
                              <w:spacing w:after="56" w:line="314" w:lineRule="auto"/>
                              <w:jc w:val="both"/>
                              <w:rPr>
                                <w:rFonts w:eastAsia="+mn-ea" w:cs="+mn-cs"/>
                                <w:kern w:val="24"/>
                                <w:sz w:val="20"/>
                                <w:szCs w:val="20"/>
                              </w:rPr>
                            </w:pPr>
                            <w:r>
                              <w:rPr>
                                <w:sz w:val="20"/>
                              </w:rPr>
                              <w:t>Для осіб з бактеріологічно підтвердженим ТБ початковими тестами для виявлення резистентності до рифампіцину на зразках з дихальних шляхів мають бути автоматизовані NAAT низької складності, а не культуральне ТМЧ.</w:t>
                            </w:r>
                          </w:p>
                          <w:p w14:paraId="59B59CA5" w14:textId="77777777" w:rsidR="009D0C1D" w:rsidRPr="00356397" w:rsidRDefault="009D0C1D" w:rsidP="008E6497">
                            <w:pPr>
                              <w:spacing w:after="56" w:line="314" w:lineRule="auto"/>
                              <w:jc w:val="both"/>
                              <w:rPr>
                                <w:rFonts w:eastAsia="+mn-ea" w:cs="+mn-cs"/>
                                <w:i/>
                                <w:iCs/>
                                <w:kern w:val="24"/>
                                <w:sz w:val="20"/>
                                <w:szCs w:val="20"/>
                              </w:rPr>
                            </w:pPr>
                            <w:r>
                              <w:rPr>
                                <w:i/>
                                <w:sz w:val="20"/>
                              </w:rPr>
                              <w:t>(Сильна рекомендація, високий рівень достовірності доказів)</w:t>
                            </w:r>
                          </w:p>
                          <w:p w14:paraId="274740D5" w14:textId="77777777" w:rsidR="009D0C1D" w:rsidRDefault="009D0C1D" w:rsidP="008E6497">
                            <w:pPr>
                              <w:spacing w:after="56" w:line="314" w:lineRule="auto"/>
                              <w:jc w:val="both"/>
                              <w:rPr>
                                <w:rFonts w:eastAsia="+mn-ea" w:cs="+mn-cs"/>
                                <w:kern w:val="24"/>
                                <w:sz w:val="20"/>
                                <w:szCs w:val="20"/>
                              </w:rPr>
                            </w:pPr>
                            <w:r>
                              <w:rPr>
                                <w:sz w:val="20"/>
                              </w:rPr>
                              <w:t>Примітки:</w:t>
                            </w:r>
                          </w:p>
                          <w:p w14:paraId="738EEB84" w14:textId="2DC8EF6F"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Ця рекомендація застосовується до усіх людей, які живуть з ВІЛ.</w:t>
                            </w:r>
                          </w:p>
                          <w:p w14:paraId="4CEE1360" w14:textId="5E47080C"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Рекомендацію було екстрапольовано на дітей на основі узагальнення даних, отриманих від дорослих, та дуже обмежених даних, отриманих від дітей.</w:t>
                            </w:r>
                          </w:p>
                          <w:p w14:paraId="646A1D6B" w14:textId="3239A1CF"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Рекомендацію було екстрапольовано на позалегеневий ТБ на основі узагальнення даних, отриманих від дорослих.</w:t>
                            </w:r>
                          </w:p>
                          <w:p w14:paraId="55F78004" w14:textId="77777777" w:rsidR="009D0C1D" w:rsidRDefault="009D0C1D" w:rsidP="008E6497">
                            <w:pPr>
                              <w:spacing w:after="56" w:line="314" w:lineRule="auto"/>
                              <w:jc w:val="both"/>
                              <w:rPr>
                                <w:rFonts w:eastAsia="+mn-ea" w:cs="+mn-cs"/>
                                <w:kern w:val="24"/>
                                <w:sz w:val="20"/>
                                <w:szCs w:val="20"/>
                              </w:rPr>
                            </w:pPr>
                            <w:r>
                              <w:rPr>
                                <w:sz w:val="20"/>
                              </w:rPr>
                              <w:t>Для дітей з негативним або невідомим ВІЛ-статусом, ознаками або симптомами, або позитивним результатом тесту на ТБ легень, початковою діагностичною стратегією для діагностики ТБ мають бути одночасні автоматизовані NAAT низької складності на дихальних пробах та зразках калу, а не лише автоматизовані NAAT низької складності на дихальних пробах або зразках калу.</w:t>
                            </w:r>
                          </w:p>
                          <w:p w14:paraId="12F6F3BF" w14:textId="77777777" w:rsidR="009D0C1D" w:rsidRPr="00356397" w:rsidRDefault="009D0C1D" w:rsidP="008E6497">
                            <w:pPr>
                              <w:spacing w:after="56" w:line="314" w:lineRule="auto"/>
                              <w:jc w:val="both"/>
                              <w:rPr>
                                <w:rFonts w:eastAsia="+mn-ea" w:cs="+mn-cs"/>
                                <w:i/>
                                <w:iCs/>
                                <w:kern w:val="24"/>
                                <w:sz w:val="20"/>
                                <w:szCs w:val="20"/>
                              </w:rPr>
                            </w:pPr>
                            <w:r>
                              <w:rPr>
                                <w:i/>
                                <w:sz w:val="20"/>
                              </w:rPr>
                              <w:t>(Сильна рекомендація, низький рівень достовірності доказів)</w:t>
                            </w:r>
                          </w:p>
                          <w:p w14:paraId="26F19525" w14:textId="77777777" w:rsidR="009D0C1D" w:rsidRDefault="009D0C1D" w:rsidP="008E6497">
                            <w:pPr>
                              <w:spacing w:after="56" w:line="314" w:lineRule="auto"/>
                              <w:jc w:val="both"/>
                              <w:rPr>
                                <w:rFonts w:eastAsia="+mn-ea" w:cs="+mn-cs"/>
                                <w:kern w:val="24"/>
                                <w:sz w:val="20"/>
                                <w:szCs w:val="20"/>
                              </w:rPr>
                            </w:pPr>
                            <w:r>
                              <w:rPr>
                                <w:sz w:val="20"/>
                              </w:rPr>
                              <w:t>Примітка:</w:t>
                            </w:r>
                          </w:p>
                          <w:p w14:paraId="1CF36D1B" w14:textId="5CCEABC2"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Ця рекомендація ставить у пріоритет супутнє тестування двох різних типів зразків, а не використання одного молекулярного тесту для діагностики ТБ у дітей.</w:t>
                            </w:r>
                          </w:p>
                        </w:txbxContent>
                      </wps:txbx>
                      <wps:bodyPr wrap="square" lIns="0" tIns="0" rIns="0" bIns="0">
                        <a:noAutofit/>
                      </wps:bodyPr>
                    </wps:wsp>
                  </a:graphicData>
                </a:graphic>
              </wp:anchor>
            </w:drawing>
          </mc:Choice>
          <mc:Fallback>
            <w:pict>
              <v:rect w14:anchorId="0824551A" id="Прямокутник 3" o:spid="_x0000_s1054" style="position:absolute;margin-left:25.35pt;margin-top:49.8pt;width:411.8pt;height:592.3pt;z-index:25143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" fillcolor="#c6e0ce" stroked="f">
                <v:textbox inset="0,0,0,0">
                  <w:txbxContent>
                    <w:p w14:paraId="73E419A5" w14:textId="77777777" w:rsidR="009D0C1D" w:rsidRDefault="009D0C1D" w:rsidP="008E6497">
                      <w:pPr>
                        <w:spacing w:after="56" w:line="314" w:lineRule="auto"/>
                        <w:jc w:val="both"/>
                        <w:rPr>
                          <w:rFonts w:eastAsia="+mn-ea" w:cs="+mn-cs"/>
                          <w:kern w:val="24"/>
                          <w:sz w:val="20"/>
                          <w:szCs w:val="20"/>
                        </w:rPr>
                      </w:pPr>
                      <w:r>
                        <w:rPr>
                          <w:sz w:val="20"/>
                        </w:rPr>
                        <w:t>Для дорослих та підлітків з ознаками або симптомами ТБ, або позитивним результатом скринінг-тесту на ТБ легень, початковими діагностичними тестами на ТБ мають бути автоматизовані NAAT низької складності на зразках з дихальних шляхів, а не мікроскопія мазка або посів.</w:t>
                      </w:r>
                    </w:p>
                    <w:p w14:paraId="10B8BE5D" w14:textId="77777777" w:rsidR="009D0C1D" w:rsidRPr="00356397" w:rsidRDefault="009D0C1D" w:rsidP="008E6497">
                      <w:pPr>
                        <w:spacing w:after="56" w:line="314" w:lineRule="auto"/>
                        <w:jc w:val="both"/>
                        <w:rPr>
                          <w:rFonts w:eastAsia="+mn-ea" w:cs="+mn-cs"/>
                          <w:i/>
                          <w:iCs/>
                          <w:kern w:val="24"/>
                          <w:sz w:val="20"/>
                          <w:szCs w:val="20"/>
                        </w:rPr>
                      </w:pPr>
                      <w:r>
                        <w:rPr>
                          <w:i/>
                          <w:sz w:val="20"/>
                        </w:rPr>
                        <w:t>(Сильна рекомендація, високий рівень достовірності доказів)</w:t>
                      </w:r>
                    </w:p>
                    <w:p w14:paraId="1A6BAD29" w14:textId="77777777" w:rsidR="009D0C1D" w:rsidRDefault="009D0C1D" w:rsidP="008E6497">
                      <w:pPr>
                        <w:spacing w:after="56" w:line="314" w:lineRule="auto"/>
                        <w:jc w:val="both"/>
                        <w:rPr>
                          <w:rFonts w:eastAsia="+mn-ea" w:cs="+mn-cs"/>
                          <w:kern w:val="24"/>
                          <w:sz w:val="20"/>
                          <w:szCs w:val="20"/>
                        </w:rPr>
                      </w:pPr>
                      <w:r>
                        <w:rPr>
                          <w:sz w:val="20"/>
                        </w:rPr>
                        <w:t>Примітки:</w:t>
                      </w:r>
                    </w:p>
                    <w:p w14:paraId="2FDEBA4A" w14:textId="2BC1ABC1"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Зразки з дихальних шляхів включають мокротиння (відхаркувальне або індуковане), трахеальний матеріал або бронхоальвеолярний лаваж.</w:t>
                      </w:r>
                    </w:p>
                    <w:p w14:paraId="0E9D6BCC" w14:textId="7629C3FA" w:rsidR="009D0C1D" w:rsidRDefault="009D0C1D" w:rsidP="00914714">
                      <w:pPr>
                        <w:spacing w:after="56" w:line="316"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Особа з позитивним результатом скринінг-тесту: особа, яка отримала позитивний результат скринінг-тесту.</w:t>
                      </w:r>
                    </w:p>
                    <w:p w14:paraId="483D2C74" w14:textId="7CB8CBC5"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Див. рекомендацію для дітей нижче.</w:t>
                      </w:r>
                    </w:p>
                    <w:p w14:paraId="6DDF3295" w14:textId="42D599E6" w:rsidR="009D0C1D" w:rsidRDefault="009D0C1D" w:rsidP="008E6497">
                      <w:pPr>
                        <w:spacing w:after="56" w:line="316"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 xml:space="preserve">Див. рекомендації щодо супутнього тестування для дорослих, підлітків та дітей, які живуть з ВІЛ, у </w:t>
                      </w:r>
                      <w:r>
                        <w:rPr>
                          <w:b/>
                          <w:sz w:val="20"/>
                        </w:rPr>
                        <w:t>Вставці 2.4.</w:t>
                      </w:r>
                    </w:p>
                    <w:p w14:paraId="26A4732B" w14:textId="222F5A17"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Див. розділ про супутнє застосування діагностичних тестів на ТБ для дітей з ВІЛ.</w:t>
                      </w:r>
                    </w:p>
                    <w:p w14:paraId="0DE307F9" w14:textId="77777777" w:rsidR="009D0C1D" w:rsidRDefault="009D0C1D" w:rsidP="008E6497">
                      <w:pPr>
                        <w:spacing w:after="56" w:line="314" w:lineRule="auto"/>
                        <w:jc w:val="both"/>
                        <w:rPr>
                          <w:rFonts w:eastAsia="+mn-ea" w:cs="+mn-cs"/>
                          <w:kern w:val="24"/>
                          <w:sz w:val="20"/>
                          <w:szCs w:val="20"/>
                        </w:rPr>
                      </w:pPr>
                      <w:r>
                        <w:rPr>
                          <w:sz w:val="20"/>
                        </w:rPr>
                        <w:t>Для осіб з бактеріологічно підтвердженим ТБ початковими тестами для виявлення резистентності до рифампіцину на зразках з дихальних шляхів мають бути автоматизовані NAAT низької складності, а не культуральне ТМЧ.</w:t>
                      </w:r>
                    </w:p>
                    <w:p w14:paraId="59B59CA5" w14:textId="77777777" w:rsidR="009D0C1D" w:rsidRPr="00356397" w:rsidRDefault="009D0C1D" w:rsidP="008E6497">
                      <w:pPr>
                        <w:spacing w:after="56" w:line="314" w:lineRule="auto"/>
                        <w:jc w:val="both"/>
                        <w:rPr>
                          <w:rFonts w:eastAsia="+mn-ea" w:cs="+mn-cs"/>
                          <w:i/>
                          <w:iCs/>
                          <w:kern w:val="24"/>
                          <w:sz w:val="20"/>
                          <w:szCs w:val="20"/>
                        </w:rPr>
                      </w:pPr>
                      <w:r>
                        <w:rPr>
                          <w:i/>
                          <w:sz w:val="20"/>
                        </w:rPr>
                        <w:t>(Сильна рекомендація, високий рівень достовірності доказів)</w:t>
                      </w:r>
                    </w:p>
                    <w:p w14:paraId="274740D5" w14:textId="77777777" w:rsidR="009D0C1D" w:rsidRDefault="009D0C1D" w:rsidP="008E6497">
                      <w:pPr>
                        <w:spacing w:after="56" w:line="314" w:lineRule="auto"/>
                        <w:jc w:val="both"/>
                        <w:rPr>
                          <w:rFonts w:eastAsia="+mn-ea" w:cs="+mn-cs"/>
                          <w:kern w:val="24"/>
                          <w:sz w:val="20"/>
                          <w:szCs w:val="20"/>
                        </w:rPr>
                      </w:pPr>
                      <w:r>
                        <w:rPr>
                          <w:sz w:val="20"/>
                        </w:rPr>
                        <w:t>Примітки:</w:t>
                      </w:r>
                    </w:p>
                    <w:p w14:paraId="738EEB84" w14:textId="2DC8EF6F"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Ця рекомендація застосовується до усіх людей, які живуть з ВІЛ.</w:t>
                      </w:r>
                    </w:p>
                    <w:p w14:paraId="4CEE1360" w14:textId="5E47080C"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Рекомендацію було екстрапольовано на дітей на основі узагальнення даних, отриманих від дорослих, та дуже обмежених даних, отриманих від дітей.</w:t>
                      </w:r>
                    </w:p>
                    <w:p w14:paraId="646A1D6B" w14:textId="3239A1CF"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Рекомендацію було екстрапольовано на позалегеневий ТБ на основі узагальнення даних, отриманих від дорослих.</w:t>
                      </w:r>
                    </w:p>
                    <w:p w14:paraId="55F78004" w14:textId="77777777" w:rsidR="009D0C1D" w:rsidRDefault="009D0C1D" w:rsidP="008E6497">
                      <w:pPr>
                        <w:spacing w:after="56" w:line="314" w:lineRule="auto"/>
                        <w:jc w:val="both"/>
                        <w:rPr>
                          <w:rFonts w:eastAsia="+mn-ea" w:cs="+mn-cs"/>
                          <w:kern w:val="24"/>
                          <w:sz w:val="20"/>
                          <w:szCs w:val="20"/>
                        </w:rPr>
                      </w:pPr>
                      <w:r>
                        <w:rPr>
                          <w:sz w:val="20"/>
                        </w:rPr>
                        <w:t>Для дітей з негативним або невідомим ВІЛ-статусом, ознаками або симптомами, або позитивним результатом тесту на ТБ легень, початковою діагностичною стратегією для діагностики ТБ мають бути одночасні автоматизовані NAAT низької складності на дихальних пробах та зразках калу, а не лише автоматизовані NAAT низької складності на дихальних пробах або зразках калу.</w:t>
                      </w:r>
                    </w:p>
                    <w:p w14:paraId="12F6F3BF" w14:textId="77777777" w:rsidR="009D0C1D" w:rsidRPr="00356397" w:rsidRDefault="009D0C1D" w:rsidP="008E6497">
                      <w:pPr>
                        <w:spacing w:after="56" w:line="314" w:lineRule="auto"/>
                        <w:jc w:val="both"/>
                        <w:rPr>
                          <w:rFonts w:eastAsia="+mn-ea" w:cs="+mn-cs"/>
                          <w:i/>
                          <w:iCs/>
                          <w:kern w:val="24"/>
                          <w:sz w:val="20"/>
                          <w:szCs w:val="20"/>
                        </w:rPr>
                      </w:pPr>
                      <w:r>
                        <w:rPr>
                          <w:i/>
                          <w:sz w:val="20"/>
                        </w:rPr>
                        <w:t>(Сильна рекомендація, низький рівень достовірності доказів)</w:t>
                      </w:r>
                    </w:p>
                    <w:p w14:paraId="26F19525" w14:textId="77777777" w:rsidR="009D0C1D" w:rsidRDefault="009D0C1D" w:rsidP="008E6497">
                      <w:pPr>
                        <w:spacing w:after="56" w:line="314" w:lineRule="auto"/>
                        <w:jc w:val="both"/>
                        <w:rPr>
                          <w:rFonts w:eastAsia="+mn-ea" w:cs="+mn-cs"/>
                          <w:kern w:val="24"/>
                          <w:sz w:val="20"/>
                          <w:szCs w:val="20"/>
                        </w:rPr>
                      </w:pPr>
                      <w:r>
                        <w:rPr>
                          <w:sz w:val="20"/>
                        </w:rPr>
                        <w:t>Примітка:</w:t>
                      </w:r>
                    </w:p>
                    <w:p w14:paraId="1CF36D1B" w14:textId="5CCEABC2"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Ця рекомендація ставить у пріоритет супутнє тестування двох різних типів зразків, а не використання одного молекулярного тесту для діагностики ТБ у дітей.</w:t>
                      </w:r>
                    </w:p>
                  </w:txbxContent>
                </v:textbox>
              </v:rect>
            </w:pict>
          </mc:Fallback>
        </mc:AlternateContent>
      </w:r>
      <w:r>
        <w:rPr>
          <w:noProof/>
        </w:rPr>
        <w:drawing>
          <wp:inline distT="0" distB="0" distL="0" distR="0" wp14:anchorId="544ACD6F" wp14:editId="6D9E1EA6">
            <wp:extent cx="5782310" cy="8329930"/>
            <wp:effectExtent l="0" t="0" r="8890" b="0"/>
            <wp:docPr id="32" name="Shape 32"/>
            <wp:cNvGraphicFramePr/>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47" cstate="print">
                      <a:extLst>
                        <a:ext uri="{28A0092B-C50C-407E-A947-70E740481C1C}">
                          <a14:useLocalDpi xmlns:a14="http://schemas.microsoft.com/office/drawing/2010/main" val="0"/>
                        </a:ext>
                      </a:extLst>
                    </a:blip>
                    <a:stretch/>
                  </pic:blipFill>
                  <pic:spPr>
                    <a:xfrm>
                      <a:off x="0" y="0"/>
                      <a:ext cx="5782310" cy="8329930"/>
                    </a:xfrm>
                    <a:prstGeom prst="rect">
                      <a:avLst/>
                    </a:prstGeom>
                  </pic:spPr>
                </pic:pic>
              </a:graphicData>
            </a:graphic>
          </wp:inline>
        </w:drawing>
      </w:r>
    </w:p>
    <w:p w14:paraId="2A399532" w14:textId="696839EE" w:rsidR="00366CB9" w:rsidRDefault="00366CB9" w:rsidP="00425523">
      <w:pPr>
        <w:spacing w:line="1" w:lineRule="exact"/>
      </w:pPr>
    </w:p>
    <w:p w14:paraId="7E1D6931" w14:textId="29717038" w:rsidR="00366CB9" w:rsidRDefault="008E6497" w:rsidP="00457B0A">
      <w:pPr>
        <w:sectPr w:rsidR="00366CB9" w:rsidSect="00F03360">
          <w:type w:val="nextColumn"/>
          <w:pgSz w:w="11913" w:h="16840"/>
          <w:pgMar w:top="1469" w:right="1378" w:bottom="851" w:left="1372" w:header="0" w:footer="6" w:gutter="0"/>
          <w:paperSrc w:first="15" w:other="15"/>
          <w:cols w:space="720"/>
          <w:noEndnote/>
          <w:docGrid w:linePitch="360"/>
        </w:sectPr>
      </w:pPr>
      <w:r>
        <w:rPr>
          <w:noProof/>
        </w:rPr>
        <mc:AlternateContent>
          <mc:Choice Requires="wps">
            <w:drawing>
              <wp:anchor distT="0" distB="0" distL="114300" distR="114300" simplePos="0" relativeHeight="251437056" behindDoc="0" locked="0" layoutInCell="1" allowOverlap="1" wp14:anchorId="37AF4660" wp14:editId="3143965D">
                <wp:simplePos x="0" y="0"/>
                <wp:positionH relativeFrom="column">
                  <wp:posOffset>319215</wp:posOffset>
                </wp:positionH>
                <wp:positionV relativeFrom="paragraph">
                  <wp:posOffset>224790</wp:posOffset>
                </wp:positionV>
                <wp:extent cx="5233416" cy="4200144"/>
                <wp:effectExtent l="0" t="0" r="5715" b="0"/>
                <wp:wrapNone/>
                <wp:docPr id="2054068380" name="Прямокутник 2"/>
                <wp:cNvGraphicFramePr/>
                <a:graphic xmlns:a="http://schemas.openxmlformats.org/drawingml/2006/main">
                  <a:graphicData uri="http://schemas.microsoft.com/office/word/2010/wordprocessingShape">
                    <wps:wsp>
                      <wps:cNvSpPr/>
                      <wps:spPr>
                        <a:xfrm>
                          <a:off x="0" y="0"/>
                          <a:ext cx="5233416" cy="4200144"/>
                        </a:xfrm>
                        <a:prstGeom prst="rect">
                          <a:avLst/>
                        </a:prstGeom>
                        <a:solidFill>
                          <a:srgbClr val="C4E1CF"/>
                        </a:solidFill>
                      </wps:spPr>
                      <wps:txbx>
                        <w:txbxContent>
                          <w:p w14:paraId="2A404A65" w14:textId="77777777" w:rsidR="009D0C1D" w:rsidRDefault="009D0C1D" w:rsidP="008E6497">
                            <w:pPr>
                              <w:spacing w:after="56" w:line="314" w:lineRule="auto"/>
                              <w:rPr>
                                <w:rFonts w:eastAsia="+mn-ea" w:cs="+mn-cs"/>
                                <w:kern w:val="24"/>
                                <w:sz w:val="20"/>
                                <w:szCs w:val="20"/>
                              </w:rPr>
                            </w:pPr>
                            <w:r>
                              <w:rPr>
                                <w:sz w:val="20"/>
                              </w:rPr>
                              <w:t>Для осіб з ознаками та симптомами туберкульозного менінгіту для первинної діагностики туберкульозного менінгіту необхідно застосовувати автоматизовані NAAT низької складності на спинномозкову рідину, а не мікроскопія мазка або посів.</w:t>
                            </w:r>
                          </w:p>
                          <w:p w14:paraId="7F72D04A" w14:textId="77777777" w:rsidR="009D0C1D" w:rsidRPr="00356397" w:rsidRDefault="009D0C1D" w:rsidP="008E6497">
                            <w:pPr>
                              <w:spacing w:after="56" w:line="314" w:lineRule="auto"/>
                              <w:rPr>
                                <w:rFonts w:eastAsia="+mn-ea" w:cs="+mn-cs"/>
                                <w:i/>
                                <w:iCs/>
                                <w:kern w:val="24"/>
                                <w:sz w:val="20"/>
                                <w:szCs w:val="20"/>
                              </w:rPr>
                            </w:pPr>
                            <w:r>
                              <w:rPr>
                                <w:i/>
                                <w:sz w:val="20"/>
                              </w:rPr>
                              <w:t>(Сильна рекомендація, середній рівень достовірності доказів)</w:t>
                            </w:r>
                          </w:p>
                          <w:p w14:paraId="72ADB1A6" w14:textId="77777777" w:rsidR="009D0C1D" w:rsidRDefault="009D0C1D" w:rsidP="008E6497">
                            <w:pPr>
                              <w:spacing w:after="56" w:line="314" w:lineRule="auto"/>
                              <w:rPr>
                                <w:rFonts w:eastAsia="+mn-ea" w:cs="+mn-cs"/>
                                <w:kern w:val="24"/>
                                <w:sz w:val="20"/>
                                <w:szCs w:val="20"/>
                              </w:rPr>
                            </w:pPr>
                            <w:r>
                              <w:rPr>
                                <w:sz w:val="20"/>
                              </w:rPr>
                              <w:t>Примітка:</w:t>
                            </w:r>
                          </w:p>
                          <w:p w14:paraId="0C85166F" w14:textId="3DDFBFE4" w:rsidR="009D0C1D" w:rsidRDefault="009D0C1D" w:rsidP="00454445">
                            <w:pPr>
                              <w:spacing w:after="56" w:line="316"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Ця рекомендація застосовується до всіх пацієнтів з ознаками та симптомами туберкульозного менінгіту, включаючи людей, які живуть з ВІЛ, та дітей.</w:t>
                            </w:r>
                          </w:p>
                          <w:p w14:paraId="68BA4DCE" w14:textId="77777777" w:rsidR="009D0C1D" w:rsidRDefault="009D0C1D" w:rsidP="008E6497">
                            <w:pPr>
                              <w:spacing w:after="56" w:line="312" w:lineRule="auto"/>
                              <w:jc w:val="both"/>
                              <w:rPr>
                                <w:rFonts w:eastAsia="+mn-ea" w:cs="+mn-cs"/>
                                <w:kern w:val="24"/>
                                <w:sz w:val="20"/>
                                <w:szCs w:val="20"/>
                              </w:rPr>
                            </w:pPr>
                            <w:r>
                              <w:rPr>
                                <w:sz w:val="20"/>
                              </w:rPr>
                              <w:t>Для осіб з ознаками та симптомами позалегеневого ТБ для початкової діагностики ТБ необхідно застосовувати автоматизовані NAAT низької складності на матеріалі тканини лімфатичних вузлів, плевральній тканині, плевральній, синовіальній, перитонеальній або перикардіальній рідині, а не мікроскопію мазка або посів.</w:t>
                            </w:r>
                          </w:p>
                          <w:p w14:paraId="4E47BB7D" w14:textId="77777777" w:rsidR="009D0C1D" w:rsidRPr="0079021A" w:rsidRDefault="009D0C1D" w:rsidP="008E6497">
                            <w:pPr>
                              <w:spacing w:after="56" w:line="314" w:lineRule="auto"/>
                              <w:jc w:val="both"/>
                              <w:rPr>
                                <w:rFonts w:eastAsia="+mn-ea" w:cs="+mn-cs"/>
                                <w:i/>
                                <w:iCs/>
                                <w:kern w:val="24"/>
                                <w:sz w:val="20"/>
                                <w:szCs w:val="20"/>
                              </w:rPr>
                            </w:pPr>
                            <w:r>
                              <w:rPr>
                                <w:i/>
                                <w:sz w:val="20"/>
                              </w:rPr>
                              <w:t>(Сильна рекомендація, низький рівень достовірності доказів для синовіальної та перикардіальної рідини; дуже низький рівень достовірності доказів для матеріалу тканини лімфатичних вузлів, плевральної тканини, плевральної рідини та перитонеальної рідини)</w:t>
                            </w:r>
                          </w:p>
                          <w:p w14:paraId="30F09A94" w14:textId="77777777" w:rsidR="009D0C1D" w:rsidRDefault="009D0C1D" w:rsidP="008E6497">
                            <w:pPr>
                              <w:spacing w:after="56" w:line="314" w:lineRule="auto"/>
                              <w:jc w:val="both"/>
                              <w:rPr>
                                <w:rFonts w:eastAsia="+mn-ea" w:cs="+mn-cs"/>
                                <w:kern w:val="24"/>
                                <w:sz w:val="20"/>
                                <w:szCs w:val="20"/>
                              </w:rPr>
                            </w:pPr>
                            <w:r>
                              <w:rPr>
                                <w:sz w:val="20"/>
                              </w:rPr>
                              <w:t>Примітки:</w:t>
                            </w:r>
                          </w:p>
                          <w:p w14:paraId="1966F663" w14:textId="66C0154E" w:rsidR="009D0C1D" w:rsidRDefault="009D0C1D" w:rsidP="00454445">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Ця рекомендація застосовується до всіх пацієнтів з ознаками та симптомами відповідної форми позалегеневого ТБ, включаючи людей, які живуть з ВІЛ, та дітей.</w:t>
                            </w:r>
                          </w:p>
                          <w:p w14:paraId="1E06E68B" w14:textId="1661142E" w:rsidR="009D0C1D" w:rsidRDefault="009D0C1D" w:rsidP="00454445">
                            <w:pPr>
                              <w:spacing w:line="316"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Дані про ефективність LC-aNAAT на перикардіальній рідині, сечі та крові були обмеженими або непослідовними.</w:t>
                            </w:r>
                          </w:p>
                        </w:txbxContent>
                      </wps:txbx>
                      <wps:bodyPr lIns="0" tIns="0" rIns="0" bIns="0">
                        <a:noAutofit/>
                      </wps:bodyPr>
                    </wps:wsp>
                  </a:graphicData>
                </a:graphic>
              </wp:anchor>
            </w:drawing>
          </mc:Choice>
          <mc:Fallback>
            <w:pict>
              <v:rect w14:anchorId="37AF4660" id="_x0000_s1055" style="position:absolute;margin-left:25.15pt;margin-top:17.7pt;width:412.1pt;height:330.7pt;z-index:25143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" fillcolor="#c4e1cf" stroked="f">
                <v:textbox inset="0,0,0,0">
                  <w:txbxContent>
                    <w:p w14:paraId="2A404A65" w14:textId="77777777" w:rsidR="009D0C1D" w:rsidRDefault="009D0C1D" w:rsidP="008E6497">
                      <w:pPr>
                        <w:spacing w:after="56" w:line="314" w:lineRule="auto"/>
                        <w:rPr>
                          <w:rFonts w:eastAsia="+mn-ea" w:cs="+mn-cs"/>
                          <w:kern w:val="24"/>
                          <w:sz w:val="20"/>
                          <w:szCs w:val="20"/>
                        </w:rPr>
                      </w:pPr>
                      <w:r>
                        <w:rPr>
                          <w:sz w:val="20"/>
                        </w:rPr>
                        <w:t>Для осіб з ознаками та симптомами туберкульозного менінгіту для первинної діагностики туберкульозного менінгіту необхідно застосовувати автоматизовані NAAT низької складності на спинномозкову рідину, а не мікроскопія мазка або посів.</w:t>
                      </w:r>
                    </w:p>
                    <w:p w14:paraId="7F72D04A" w14:textId="77777777" w:rsidR="009D0C1D" w:rsidRPr="00356397" w:rsidRDefault="009D0C1D" w:rsidP="008E6497">
                      <w:pPr>
                        <w:spacing w:after="56" w:line="314" w:lineRule="auto"/>
                        <w:rPr>
                          <w:rFonts w:eastAsia="+mn-ea" w:cs="+mn-cs"/>
                          <w:i/>
                          <w:iCs/>
                          <w:kern w:val="24"/>
                          <w:sz w:val="20"/>
                          <w:szCs w:val="20"/>
                        </w:rPr>
                      </w:pPr>
                      <w:r>
                        <w:rPr>
                          <w:i/>
                          <w:sz w:val="20"/>
                        </w:rPr>
                        <w:t>(Сильна рекомендація, середній рівень достовірності доказів)</w:t>
                      </w:r>
                    </w:p>
                    <w:p w14:paraId="72ADB1A6" w14:textId="77777777" w:rsidR="009D0C1D" w:rsidRDefault="009D0C1D" w:rsidP="008E6497">
                      <w:pPr>
                        <w:spacing w:after="56" w:line="314" w:lineRule="auto"/>
                        <w:rPr>
                          <w:rFonts w:eastAsia="+mn-ea" w:cs="+mn-cs"/>
                          <w:kern w:val="24"/>
                          <w:sz w:val="20"/>
                          <w:szCs w:val="20"/>
                        </w:rPr>
                      </w:pPr>
                      <w:r>
                        <w:rPr>
                          <w:sz w:val="20"/>
                        </w:rPr>
                        <w:t>Примітка:</w:t>
                      </w:r>
                    </w:p>
                    <w:p w14:paraId="0C85166F" w14:textId="3DDFBFE4" w:rsidR="009D0C1D" w:rsidRDefault="009D0C1D" w:rsidP="00454445">
                      <w:pPr>
                        <w:spacing w:after="56" w:line="316"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Ця рекомендація застосовується до всіх пацієнтів з ознаками та симптомами туберкульозного менінгіту, включаючи людей, які живуть з ВІЛ, та дітей.</w:t>
                      </w:r>
                    </w:p>
                    <w:p w14:paraId="68BA4DCE" w14:textId="77777777" w:rsidR="009D0C1D" w:rsidRDefault="009D0C1D" w:rsidP="008E6497">
                      <w:pPr>
                        <w:spacing w:after="56" w:line="312" w:lineRule="auto"/>
                        <w:jc w:val="both"/>
                        <w:rPr>
                          <w:rFonts w:eastAsia="+mn-ea" w:cs="+mn-cs"/>
                          <w:kern w:val="24"/>
                          <w:sz w:val="20"/>
                          <w:szCs w:val="20"/>
                        </w:rPr>
                      </w:pPr>
                      <w:r>
                        <w:rPr>
                          <w:sz w:val="20"/>
                        </w:rPr>
                        <w:t>Для осіб з ознаками та симптомами позалегеневого ТБ для початкової діагностики ТБ необхідно застосовувати автоматизовані NAAT низької складності на матеріалі тканини лімфатичних вузлів, плевральній тканині, плевральній, синовіальній, перитонеальній або перикардіальній рідині, а не мікроскопію мазка або посів.</w:t>
                      </w:r>
                    </w:p>
                    <w:p w14:paraId="4E47BB7D" w14:textId="77777777" w:rsidR="009D0C1D" w:rsidRPr="0079021A" w:rsidRDefault="009D0C1D" w:rsidP="008E6497">
                      <w:pPr>
                        <w:spacing w:after="56" w:line="314" w:lineRule="auto"/>
                        <w:jc w:val="both"/>
                        <w:rPr>
                          <w:rFonts w:eastAsia="+mn-ea" w:cs="+mn-cs"/>
                          <w:i/>
                          <w:iCs/>
                          <w:kern w:val="24"/>
                          <w:sz w:val="20"/>
                          <w:szCs w:val="20"/>
                        </w:rPr>
                      </w:pPr>
                      <w:r>
                        <w:rPr>
                          <w:i/>
                          <w:sz w:val="20"/>
                        </w:rPr>
                        <w:t>(Сильна рекомендація, низький рівень достовірності доказів для синовіальної та перикардіальної рідини; дуже низький рівень достовірності доказів для матеріалу тканини лімфатичних вузлів, плевральної тканини, плевральної рідини та перитонеальної рідини)</w:t>
                      </w:r>
                    </w:p>
                    <w:p w14:paraId="30F09A94" w14:textId="77777777" w:rsidR="009D0C1D" w:rsidRDefault="009D0C1D" w:rsidP="008E6497">
                      <w:pPr>
                        <w:spacing w:after="56" w:line="314" w:lineRule="auto"/>
                        <w:jc w:val="both"/>
                        <w:rPr>
                          <w:rFonts w:eastAsia="+mn-ea" w:cs="+mn-cs"/>
                          <w:kern w:val="24"/>
                          <w:sz w:val="20"/>
                          <w:szCs w:val="20"/>
                        </w:rPr>
                      </w:pPr>
                      <w:r>
                        <w:rPr>
                          <w:sz w:val="20"/>
                        </w:rPr>
                        <w:t>Примітки:</w:t>
                      </w:r>
                    </w:p>
                    <w:p w14:paraId="1966F663" w14:textId="66C0154E" w:rsidR="009D0C1D" w:rsidRDefault="009D0C1D" w:rsidP="00454445">
                      <w:pPr>
                        <w:spacing w:after="56" w:line="312"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Ця рекомендація застосовується до всіх пацієнтів з ознаками та симптомами відповідної форми позалегеневого ТБ, включаючи людей, які живуть з ВІЛ, та дітей.</w:t>
                      </w:r>
                    </w:p>
                    <w:p w14:paraId="1E06E68B" w14:textId="1661142E" w:rsidR="009D0C1D" w:rsidRDefault="009D0C1D" w:rsidP="00454445">
                      <w:pPr>
                        <w:spacing w:line="316" w:lineRule="auto"/>
                        <w:ind w:left="403" w:hanging="403"/>
                        <w:jc w:val="both"/>
                        <w:rPr>
                          <w:rFonts w:eastAsia="+mn-ea" w:cs="+mn-cs"/>
                          <w:color w:val="019648"/>
                          <w:kern w:val="24"/>
                          <w:sz w:val="20"/>
                          <w:szCs w:val="20"/>
                        </w:rPr>
                      </w:pPr>
                      <w:r>
                        <w:rPr>
                          <w:rFonts w:ascii="Wingdings" w:hAnsi="Wingdings"/>
                          <w:color w:val="019648"/>
                          <w:sz w:val="22"/>
                        </w:rPr>
                        <w:t></w:t>
                      </w:r>
                      <w:r>
                        <w:rPr>
                          <w:color w:val="019648"/>
                          <w:sz w:val="20"/>
                        </w:rPr>
                        <w:t xml:space="preserve"> </w:t>
                      </w:r>
                      <w:r>
                        <w:tab/>
                      </w:r>
                      <w:r>
                        <w:rPr>
                          <w:sz w:val="20"/>
                        </w:rPr>
                        <w:t>Дані про ефективність LC-aNAAT на перикардіальній рідині, сечі та крові були обмеженими або непослідовними.</w:t>
                      </w:r>
                    </w:p>
                  </w:txbxContent>
                </v:textbox>
              </v:rect>
            </w:pict>
          </mc:Fallback>
        </mc:AlternateContent>
      </w:r>
      <w:r>
        <w:rPr>
          <w:noProof/>
        </w:rPr>
        <w:drawing>
          <wp:inline distT="0" distB="0" distL="0" distR="0" wp14:anchorId="3295434A" wp14:editId="22D201DC">
            <wp:extent cx="5782310" cy="4599305"/>
            <wp:effectExtent l="0" t="0" r="8890" b="0"/>
            <wp:docPr id="34" name="Shape 34"/>
            <wp:cNvGraphicFramePr/>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48" cstate="print">
                      <a:extLst>
                        <a:ext uri="{28A0092B-C50C-407E-A947-70E740481C1C}">
                          <a14:useLocalDpi xmlns:a14="http://schemas.microsoft.com/office/drawing/2010/main" val="0"/>
                        </a:ext>
                      </a:extLst>
                    </a:blip>
                    <a:stretch/>
                  </pic:blipFill>
                  <pic:spPr>
                    <a:xfrm>
                      <a:off x="0" y="0"/>
                      <a:ext cx="5782310" cy="4599305"/>
                    </a:xfrm>
                    <a:prstGeom prst="rect">
                      <a:avLst/>
                    </a:prstGeom>
                  </pic:spPr>
                </pic:pic>
              </a:graphicData>
            </a:graphic>
          </wp:inline>
        </w:drawing>
      </w:r>
    </w:p>
    <w:p w14:paraId="49596853"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526"/>
        <w:gridCol w:w="1699"/>
        <w:gridCol w:w="5880"/>
      </w:tblGrid>
      <w:tr w:rsidR="00366CB9" w14:paraId="2268668D" w14:textId="77777777">
        <w:trPr>
          <w:trHeight w:hRule="exact" w:val="1046"/>
        </w:trPr>
        <w:tc>
          <w:tcPr>
            <w:tcW w:w="9105" w:type="dxa"/>
            <w:gridSpan w:val="3"/>
            <w:shd w:val="clear" w:color="auto" w:fill="FFFFFF"/>
          </w:tcPr>
          <w:p w14:paraId="060404CF" w14:textId="77777777" w:rsidR="00366CB9" w:rsidRDefault="009D0C1D" w:rsidP="00457B0A">
            <w:pPr>
              <w:pStyle w:val="a6"/>
              <w:shd w:val="clear" w:color="auto" w:fill="auto"/>
              <w:spacing w:after="200"/>
            </w:pPr>
            <w:r>
              <w:rPr>
                <w:b w:val="0"/>
                <w:color w:val="019648"/>
              </w:rPr>
              <w:t>2.2.2 Автоматизовані NAAT середньої складності</w:t>
            </w:r>
          </w:p>
          <w:p w14:paraId="633925B4" w14:textId="77777777" w:rsidR="00366CB9" w:rsidRDefault="009D0C1D" w:rsidP="00457B0A">
            <w:pPr>
              <w:pStyle w:val="a6"/>
              <w:shd w:val="clear" w:color="auto" w:fill="auto"/>
              <w:rPr>
                <w:sz w:val="20"/>
                <w:szCs w:val="20"/>
              </w:rPr>
            </w:pPr>
            <w:r>
              <w:rPr>
                <w:b w:val="0"/>
                <w:color w:val="000000"/>
                <w:sz w:val="20"/>
              </w:rPr>
              <w:t xml:space="preserve">MC-aNAAT визначені у </w:t>
            </w:r>
            <w:r>
              <w:rPr>
                <w:color w:val="000000"/>
                <w:sz w:val="20"/>
              </w:rPr>
              <w:t>Таблиці 2.4</w:t>
            </w:r>
            <w:r>
              <w:rPr>
                <w:b w:val="0"/>
                <w:color w:val="000000"/>
                <w:sz w:val="20"/>
              </w:rPr>
              <w:t>.</w:t>
            </w:r>
          </w:p>
        </w:tc>
      </w:tr>
      <w:tr w:rsidR="00366CB9" w:rsidRPr="0079021A" w14:paraId="2D102020" w14:textId="77777777" w:rsidTr="005A6F1A">
        <w:trPr>
          <w:trHeight w:hRule="exact" w:val="369"/>
        </w:trPr>
        <w:tc>
          <w:tcPr>
            <w:tcW w:w="9105" w:type="dxa"/>
            <w:gridSpan w:val="3"/>
            <w:shd w:val="clear" w:color="auto" w:fill="FFFFFF"/>
          </w:tcPr>
          <w:p w14:paraId="1A32E1E0" w14:textId="77777777" w:rsidR="00366CB9" w:rsidRPr="0079021A" w:rsidRDefault="009D0C1D" w:rsidP="00457B0A">
            <w:pPr>
              <w:pStyle w:val="a6"/>
              <w:shd w:val="clear" w:color="auto" w:fill="auto"/>
              <w:rPr>
                <w:sz w:val="24"/>
                <w:szCs w:val="24"/>
              </w:rPr>
            </w:pPr>
            <w:r>
              <w:rPr>
                <w:color w:val="636466"/>
                <w:sz w:val="24"/>
              </w:rPr>
              <w:t>Таблиця 2.4. Визначення класу MC-aNAAT</w:t>
            </w:r>
          </w:p>
        </w:tc>
      </w:tr>
      <w:tr w:rsidR="00366CB9" w14:paraId="2C0C26C7" w14:textId="77777777" w:rsidTr="00546B4F">
        <w:trPr>
          <w:trHeight w:hRule="exact" w:val="432"/>
        </w:trPr>
        <w:tc>
          <w:tcPr>
            <w:tcW w:w="3225" w:type="dxa"/>
            <w:gridSpan w:val="2"/>
            <w:shd w:val="clear" w:color="auto" w:fill="62A86A"/>
            <w:vAlign w:val="center"/>
          </w:tcPr>
          <w:p w14:paraId="5EAD259E" w14:textId="77777777" w:rsidR="00366CB9" w:rsidRPr="006E22E5" w:rsidRDefault="009D0C1D" w:rsidP="005A6F1A">
            <w:pPr>
              <w:pStyle w:val="a6"/>
              <w:shd w:val="clear" w:color="auto" w:fill="auto"/>
              <w:ind w:firstLine="140"/>
              <w:rPr>
                <w:sz w:val="18"/>
                <w:szCs w:val="24"/>
              </w:rPr>
            </w:pPr>
            <w:r w:rsidRPr="006E22E5">
              <w:rPr>
                <w:color w:val="FFFFFF"/>
                <w:sz w:val="18"/>
                <w:szCs w:val="24"/>
              </w:rPr>
              <w:t>Мета</w:t>
            </w:r>
          </w:p>
        </w:tc>
        <w:tc>
          <w:tcPr>
            <w:tcW w:w="5880" w:type="dxa"/>
            <w:shd w:val="clear" w:color="auto" w:fill="62A86A"/>
            <w:vAlign w:val="center"/>
          </w:tcPr>
          <w:p w14:paraId="33890EDE" w14:textId="77777777" w:rsidR="00366CB9" w:rsidRPr="006E22E5" w:rsidRDefault="009D0C1D" w:rsidP="005A6F1A">
            <w:pPr>
              <w:pStyle w:val="a6"/>
              <w:shd w:val="clear" w:color="auto" w:fill="auto"/>
              <w:rPr>
                <w:sz w:val="18"/>
                <w:szCs w:val="24"/>
              </w:rPr>
            </w:pPr>
            <w:r w:rsidRPr="006E22E5">
              <w:rPr>
                <w:color w:val="FFFFFF"/>
                <w:sz w:val="18"/>
                <w:szCs w:val="24"/>
              </w:rPr>
              <w:t>Виявлення ТБ та резистентності до RIF та INH</w:t>
            </w:r>
          </w:p>
        </w:tc>
      </w:tr>
      <w:tr w:rsidR="00366CB9" w14:paraId="7EE594EF" w14:textId="77777777" w:rsidTr="00546B4F">
        <w:trPr>
          <w:trHeight w:hRule="exact" w:val="408"/>
        </w:trPr>
        <w:tc>
          <w:tcPr>
            <w:tcW w:w="3225" w:type="dxa"/>
            <w:gridSpan w:val="2"/>
            <w:tcBorders>
              <w:bottom w:val="single" w:sz="8" w:space="0" w:color="00B050"/>
            </w:tcBorders>
            <w:shd w:val="clear" w:color="auto" w:fill="FFFFFF"/>
            <w:vAlign w:val="center"/>
          </w:tcPr>
          <w:p w14:paraId="693868BF" w14:textId="77777777" w:rsidR="00366CB9" w:rsidRPr="006E22E5" w:rsidRDefault="009D0C1D" w:rsidP="005A6F1A">
            <w:pPr>
              <w:pStyle w:val="a6"/>
              <w:shd w:val="clear" w:color="auto" w:fill="auto"/>
              <w:ind w:firstLine="140"/>
              <w:rPr>
                <w:sz w:val="18"/>
                <w:szCs w:val="24"/>
              </w:rPr>
            </w:pPr>
            <w:r w:rsidRPr="006E22E5">
              <w:rPr>
                <w:color w:val="000000"/>
                <w:sz w:val="18"/>
                <w:szCs w:val="24"/>
              </w:rPr>
              <w:t>Принцип дії</w:t>
            </w:r>
          </w:p>
        </w:tc>
        <w:tc>
          <w:tcPr>
            <w:tcW w:w="5880" w:type="dxa"/>
            <w:tcBorders>
              <w:bottom w:val="single" w:sz="8" w:space="0" w:color="00B050"/>
            </w:tcBorders>
            <w:shd w:val="clear" w:color="auto" w:fill="FFFFFF"/>
            <w:vAlign w:val="center"/>
          </w:tcPr>
          <w:p w14:paraId="34175A07" w14:textId="77777777" w:rsidR="00366CB9" w:rsidRPr="006E22E5" w:rsidRDefault="009D0C1D" w:rsidP="005A6F1A">
            <w:pPr>
              <w:pStyle w:val="a6"/>
              <w:shd w:val="clear" w:color="auto" w:fill="auto"/>
              <w:rPr>
                <w:sz w:val="18"/>
                <w:szCs w:val="24"/>
              </w:rPr>
            </w:pPr>
            <w:r w:rsidRPr="006E22E5">
              <w:rPr>
                <w:b w:val="0"/>
                <w:color w:val="000000"/>
                <w:sz w:val="18"/>
                <w:szCs w:val="24"/>
              </w:rPr>
              <w:t>Тестування на ампліфікацію нуклеїнових кислот</w:t>
            </w:r>
          </w:p>
        </w:tc>
      </w:tr>
      <w:tr w:rsidR="00546B4F" w14:paraId="566E71BB" w14:textId="77777777" w:rsidTr="00546B4F">
        <w:trPr>
          <w:trHeight w:hRule="exact" w:val="1104"/>
        </w:trPr>
        <w:tc>
          <w:tcPr>
            <w:tcW w:w="1526" w:type="dxa"/>
            <w:vMerge w:val="restart"/>
            <w:tcBorders>
              <w:top w:val="single" w:sz="8" w:space="0" w:color="00B050"/>
            </w:tcBorders>
            <w:shd w:val="clear" w:color="auto" w:fill="FFFFFF"/>
          </w:tcPr>
          <w:p w14:paraId="488F7F39" w14:textId="77777777" w:rsidR="00546B4F" w:rsidRPr="0079021A" w:rsidRDefault="00546B4F" w:rsidP="005A6F1A">
            <w:pPr>
              <w:pStyle w:val="a6"/>
              <w:shd w:val="clear" w:color="auto" w:fill="auto"/>
              <w:spacing w:before="100"/>
              <w:ind w:firstLine="130"/>
              <w:rPr>
                <w:sz w:val="20"/>
                <w:szCs w:val="20"/>
              </w:rPr>
            </w:pPr>
            <w:r>
              <w:rPr>
                <w:color w:val="000000"/>
                <w:sz w:val="20"/>
              </w:rPr>
              <w:t>Складність</w:t>
            </w:r>
          </w:p>
        </w:tc>
        <w:tc>
          <w:tcPr>
            <w:tcW w:w="1699" w:type="dxa"/>
            <w:tcBorders>
              <w:top w:val="single" w:sz="8" w:space="0" w:color="00B050"/>
              <w:bottom w:val="single" w:sz="8" w:space="0" w:color="00B050"/>
            </w:tcBorders>
            <w:shd w:val="clear" w:color="auto" w:fill="FFFFFF"/>
          </w:tcPr>
          <w:p w14:paraId="441084D9" w14:textId="77777777" w:rsidR="00546B4F" w:rsidRPr="006E22E5" w:rsidRDefault="00546B4F" w:rsidP="00457B0A">
            <w:pPr>
              <w:pStyle w:val="a6"/>
              <w:shd w:val="clear" w:color="auto" w:fill="auto"/>
              <w:spacing w:before="100"/>
              <w:rPr>
                <w:sz w:val="18"/>
                <w:szCs w:val="24"/>
              </w:rPr>
            </w:pPr>
            <w:r w:rsidRPr="006E22E5">
              <w:rPr>
                <w:b w:val="0"/>
                <w:color w:val="000000"/>
                <w:sz w:val="18"/>
                <w:szCs w:val="24"/>
              </w:rPr>
              <w:t>Реактиви</w:t>
            </w:r>
          </w:p>
        </w:tc>
        <w:tc>
          <w:tcPr>
            <w:tcW w:w="5880" w:type="dxa"/>
            <w:tcBorders>
              <w:top w:val="single" w:sz="8" w:space="0" w:color="00B050"/>
              <w:bottom w:val="single" w:sz="8" w:space="0" w:color="00B050"/>
            </w:tcBorders>
            <w:shd w:val="clear" w:color="auto" w:fill="FFFFFF"/>
            <w:vAlign w:val="center"/>
          </w:tcPr>
          <w:p w14:paraId="48C55C30" w14:textId="77777777" w:rsidR="00546B4F" w:rsidRPr="006E22E5" w:rsidRDefault="00546B4F" w:rsidP="005A6F1A">
            <w:pPr>
              <w:pStyle w:val="a6"/>
              <w:shd w:val="clear" w:color="auto" w:fill="auto"/>
              <w:spacing w:line="276" w:lineRule="auto"/>
              <w:rPr>
                <w:sz w:val="18"/>
                <w:szCs w:val="24"/>
              </w:rPr>
            </w:pPr>
            <w:r w:rsidRPr="006E22E5">
              <w:rPr>
                <w:b w:val="0"/>
                <w:color w:val="000000"/>
                <w:sz w:val="18"/>
                <w:szCs w:val="24"/>
              </w:rPr>
              <w:t>Реагенти представлені у стандартизованих наборах та можуть мати вимоги до температури зберігання; зразок додається в одноразовий герметичний контейнер для тестування автоматично або вручну.</w:t>
            </w:r>
          </w:p>
        </w:tc>
      </w:tr>
      <w:tr w:rsidR="00546B4F" w14:paraId="6C62FF5B" w14:textId="77777777" w:rsidTr="00546B4F">
        <w:trPr>
          <w:trHeight w:hRule="exact" w:val="1150"/>
        </w:trPr>
        <w:tc>
          <w:tcPr>
            <w:tcW w:w="1526" w:type="dxa"/>
            <w:vMerge/>
            <w:shd w:val="clear" w:color="auto" w:fill="FFFFFF"/>
          </w:tcPr>
          <w:p w14:paraId="660DFA08" w14:textId="77777777" w:rsidR="00546B4F" w:rsidRDefault="00546B4F" w:rsidP="00457B0A">
            <w:pPr>
              <w:rPr>
                <w:sz w:val="10"/>
                <w:szCs w:val="10"/>
              </w:rPr>
            </w:pPr>
          </w:p>
        </w:tc>
        <w:tc>
          <w:tcPr>
            <w:tcW w:w="1699" w:type="dxa"/>
            <w:tcBorders>
              <w:top w:val="single" w:sz="8" w:space="0" w:color="00B050"/>
              <w:bottom w:val="single" w:sz="8" w:space="0" w:color="00B050"/>
            </w:tcBorders>
            <w:shd w:val="clear" w:color="auto" w:fill="FFFFFF"/>
          </w:tcPr>
          <w:p w14:paraId="413E02B6" w14:textId="77777777" w:rsidR="00546B4F" w:rsidRPr="006E22E5" w:rsidRDefault="00546B4F" w:rsidP="00457B0A">
            <w:pPr>
              <w:pStyle w:val="a6"/>
              <w:shd w:val="clear" w:color="auto" w:fill="auto"/>
              <w:spacing w:before="100"/>
              <w:rPr>
                <w:sz w:val="18"/>
                <w:szCs w:val="24"/>
              </w:rPr>
            </w:pPr>
            <w:r w:rsidRPr="006E22E5">
              <w:rPr>
                <w:b w:val="0"/>
                <w:color w:val="000000"/>
                <w:sz w:val="18"/>
                <w:szCs w:val="24"/>
              </w:rPr>
              <w:t>Навички</w:t>
            </w:r>
          </w:p>
        </w:tc>
        <w:tc>
          <w:tcPr>
            <w:tcW w:w="5880" w:type="dxa"/>
            <w:tcBorders>
              <w:top w:val="single" w:sz="8" w:space="0" w:color="00B050"/>
              <w:bottom w:val="single" w:sz="8" w:space="0" w:color="00B050"/>
            </w:tcBorders>
            <w:shd w:val="clear" w:color="auto" w:fill="FFFFFF"/>
            <w:vAlign w:val="center"/>
          </w:tcPr>
          <w:p w14:paraId="02FAD8FC" w14:textId="77777777" w:rsidR="00546B4F" w:rsidRPr="006E22E5" w:rsidRDefault="00546B4F" w:rsidP="005A6F1A">
            <w:pPr>
              <w:pStyle w:val="a6"/>
              <w:shd w:val="clear" w:color="auto" w:fill="auto"/>
              <w:spacing w:line="276" w:lineRule="auto"/>
              <w:rPr>
                <w:sz w:val="18"/>
                <w:szCs w:val="24"/>
              </w:rPr>
            </w:pPr>
            <w:r w:rsidRPr="006E22E5">
              <w:rPr>
                <w:b w:val="0"/>
                <w:color w:val="000000"/>
                <w:sz w:val="18"/>
                <w:szCs w:val="24"/>
              </w:rPr>
              <w:t>Середні технічні навички (наприклад, виконання кількох етапів обробки зразків або реактивів, може вимагатись точне піпетування, можуть вимагатись робочі процеси молекулярного тестування)</w:t>
            </w:r>
          </w:p>
        </w:tc>
      </w:tr>
      <w:tr w:rsidR="00366CB9" w14:paraId="30B3A95D" w14:textId="77777777" w:rsidTr="00546B4F">
        <w:trPr>
          <w:trHeight w:hRule="exact" w:val="571"/>
        </w:trPr>
        <w:tc>
          <w:tcPr>
            <w:tcW w:w="1526" w:type="dxa"/>
            <w:shd w:val="clear" w:color="auto" w:fill="FFFFFF"/>
          </w:tcPr>
          <w:p w14:paraId="2CEB2EAA" w14:textId="77777777" w:rsidR="00366CB9" w:rsidRDefault="00366CB9" w:rsidP="00457B0A">
            <w:pPr>
              <w:rPr>
                <w:sz w:val="10"/>
                <w:szCs w:val="10"/>
              </w:rPr>
            </w:pPr>
          </w:p>
        </w:tc>
        <w:tc>
          <w:tcPr>
            <w:tcW w:w="1699" w:type="dxa"/>
            <w:tcBorders>
              <w:top w:val="single" w:sz="8" w:space="0" w:color="00B050"/>
              <w:bottom w:val="single" w:sz="8" w:space="0" w:color="00B050"/>
            </w:tcBorders>
            <w:shd w:val="clear" w:color="auto" w:fill="FFFFFF"/>
            <w:vAlign w:val="center"/>
          </w:tcPr>
          <w:p w14:paraId="5569E9D4" w14:textId="77777777" w:rsidR="00366CB9" w:rsidRPr="006E22E5" w:rsidRDefault="009D0C1D" w:rsidP="00457B0A">
            <w:pPr>
              <w:pStyle w:val="a6"/>
              <w:shd w:val="clear" w:color="auto" w:fill="auto"/>
              <w:rPr>
                <w:sz w:val="18"/>
                <w:szCs w:val="24"/>
              </w:rPr>
            </w:pPr>
            <w:r w:rsidRPr="006E22E5">
              <w:rPr>
                <w:b w:val="0"/>
                <w:color w:val="000000"/>
                <w:sz w:val="18"/>
                <w:szCs w:val="24"/>
              </w:rPr>
              <w:t>Піпетування</w:t>
            </w:r>
          </w:p>
        </w:tc>
        <w:tc>
          <w:tcPr>
            <w:tcW w:w="5880" w:type="dxa"/>
            <w:tcBorders>
              <w:top w:val="single" w:sz="8" w:space="0" w:color="00B050"/>
              <w:bottom w:val="single" w:sz="8" w:space="0" w:color="00B050"/>
            </w:tcBorders>
            <w:shd w:val="clear" w:color="auto" w:fill="FFFFFF"/>
            <w:vAlign w:val="center"/>
          </w:tcPr>
          <w:p w14:paraId="5B3C3B16" w14:textId="77777777" w:rsidR="00366CB9" w:rsidRPr="006E22E5" w:rsidRDefault="009D0C1D" w:rsidP="005A6F1A">
            <w:pPr>
              <w:pStyle w:val="a6"/>
              <w:shd w:val="clear" w:color="auto" w:fill="auto"/>
              <w:spacing w:line="271" w:lineRule="auto"/>
              <w:rPr>
                <w:sz w:val="18"/>
                <w:szCs w:val="24"/>
              </w:rPr>
            </w:pPr>
            <w:r w:rsidRPr="006E22E5">
              <w:rPr>
                <w:b w:val="0"/>
                <w:color w:val="000000"/>
                <w:sz w:val="18"/>
                <w:szCs w:val="24"/>
              </w:rPr>
              <w:t>Один або декілька етапів неточного або точного піпетування, що вимагаються в рамках процедури</w:t>
            </w:r>
          </w:p>
        </w:tc>
      </w:tr>
      <w:tr w:rsidR="00366CB9" w14:paraId="24749B93" w14:textId="77777777" w:rsidTr="00546B4F">
        <w:trPr>
          <w:trHeight w:hRule="exact" w:val="1442"/>
        </w:trPr>
        <w:tc>
          <w:tcPr>
            <w:tcW w:w="1526" w:type="dxa"/>
            <w:tcBorders>
              <w:bottom w:val="single" w:sz="8" w:space="0" w:color="00B050"/>
            </w:tcBorders>
            <w:shd w:val="clear" w:color="auto" w:fill="FFFFFF"/>
          </w:tcPr>
          <w:p w14:paraId="77751D9D" w14:textId="77777777" w:rsidR="00366CB9" w:rsidRDefault="00366CB9" w:rsidP="00457B0A">
            <w:pPr>
              <w:rPr>
                <w:sz w:val="10"/>
                <w:szCs w:val="10"/>
              </w:rPr>
            </w:pPr>
          </w:p>
        </w:tc>
        <w:tc>
          <w:tcPr>
            <w:tcW w:w="1699" w:type="dxa"/>
            <w:tcBorders>
              <w:top w:val="single" w:sz="8" w:space="0" w:color="00B050"/>
              <w:bottom w:val="single" w:sz="8" w:space="0" w:color="00B050"/>
            </w:tcBorders>
            <w:shd w:val="clear" w:color="auto" w:fill="FFFFFF"/>
          </w:tcPr>
          <w:p w14:paraId="62FDFF27" w14:textId="77777777" w:rsidR="00366CB9" w:rsidRPr="006E22E5" w:rsidRDefault="009D0C1D" w:rsidP="00457B0A">
            <w:pPr>
              <w:pStyle w:val="a6"/>
              <w:shd w:val="clear" w:color="auto" w:fill="auto"/>
              <w:spacing w:before="100" w:line="271" w:lineRule="auto"/>
              <w:rPr>
                <w:sz w:val="18"/>
                <w:szCs w:val="24"/>
              </w:rPr>
            </w:pPr>
            <w:r w:rsidRPr="006E22E5">
              <w:rPr>
                <w:b w:val="0"/>
                <w:color w:val="000000"/>
                <w:sz w:val="18"/>
                <w:szCs w:val="24"/>
              </w:rPr>
              <w:t>Процедура тестування</w:t>
            </w:r>
          </w:p>
        </w:tc>
        <w:tc>
          <w:tcPr>
            <w:tcW w:w="5880" w:type="dxa"/>
            <w:tcBorders>
              <w:top w:val="single" w:sz="8" w:space="0" w:color="00B050"/>
              <w:bottom w:val="single" w:sz="8" w:space="0" w:color="00B050"/>
            </w:tcBorders>
            <w:shd w:val="clear" w:color="auto" w:fill="FFFFFF"/>
            <w:vAlign w:val="center"/>
          </w:tcPr>
          <w:p w14:paraId="45326365" w14:textId="77777777" w:rsidR="00366CB9" w:rsidRPr="006E22E5" w:rsidRDefault="009D0C1D" w:rsidP="005A6F1A">
            <w:pPr>
              <w:pStyle w:val="a6"/>
              <w:shd w:val="clear" w:color="auto" w:fill="auto"/>
              <w:spacing w:after="60" w:line="271" w:lineRule="auto"/>
              <w:rPr>
                <w:sz w:val="18"/>
                <w:szCs w:val="24"/>
              </w:rPr>
            </w:pPr>
            <w:r w:rsidRPr="006E22E5">
              <w:rPr>
                <w:b w:val="0"/>
                <w:color w:val="000000"/>
                <w:sz w:val="18"/>
                <w:szCs w:val="24"/>
              </w:rPr>
              <w:t>Може вимагатись кілька етапів обробки зразка перед його перенесенням у герметичний контейнер для тестування для автоматизованої обробки</w:t>
            </w:r>
          </w:p>
          <w:p w14:paraId="391BE692" w14:textId="77777777" w:rsidR="00366CB9" w:rsidRPr="006E22E5" w:rsidRDefault="009D0C1D" w:rsidP="005A6F1A">
            <w:pPr>
              <w:pStyle w:val="a6"/>
              <w:shd w:val="clear" w:color="auto" w:fill="auto"/>
              <w:spacing w:after="60" w:line="271" w:lineRule="auto"/>
              <w:rPr>
                <w:sz w:val="18"/>
                <w:szCs w:val="24"/>
              </w:rPr>
            </w:pPr>
            <w:r w:rsidRPr="006E22E5">
              <w:rPr>
                <w:b w:val="0"/>
                <w:color w:val="000000"/>
                <w:sz w:val="18"/>
                <w:szCs w:val="24"/>
              </w:rPr>
              <w:t>Автоматизоване або ручне виділення ДНК</w:t>
            </w:r>
          </w:p>
          <w:p w14:paraId="7E693073" w14:textId="77777777" w:rsidR="00366CB9" w:rsidRPr="006E22E5" w:rsidRDefault="009D0C1D" w:rsidP="005A6F1A">
            <w:pPr>
              <w:pStyle w:val="a6"/>
              <w:shd w:val="clear" w:color="auto" w:fill="auto"/>
              <w:spacing w:after="60" w:line="271" w:lineRule="auto"/>
              <w:rPr>
                <w:sz w:val="18"/>
                <w:szCs w:val="24"/>
              </w:rPr>
            </w:pPr>
            <w:r w:rsidRPr="006E22E5">
              <w:rPr>
                <w:b w:val="0"/>
                <w:color w:val="000000"/>
                <w:sz w:val="18"/>
                <w:szCs w:val="24"/>
              </w:rPr>
              <w:t>Автоматизована ПЛР у режимі реального часу</w:t>
            </w:r>
          </w:p>
        </w:tc>
      </w:tr>
      <w:tr w:rsidR="00366CB9" w14:paraId="64691318" w14:textId="77777777" w:rsidTr="00546B4F">
        <w:trPr>
          <w:trHeight w:hRule="exact" w:val="503"/>
        </w:trPr>
        <w:tc>
          <w:tcPr>
            <w:tcW w:w="3225" w:type="dxa"/>
            <w:gridSpan w:val="2"/>
            <w:tcBorders>
              <w:top w:val="single" w:sz="8" w:space="0" w:color="00B050"/>
              <w:bottom w:val="single" w:sz="8" w:space="0" w:color="00B050"/>
            </w:tcBorders>
            <w:shd w:val="clear" w:color="auto" w:fill="FFFFFF"/>
            <w:vAlign w:val="center"/>
          </w:tcPr>
          <w:p w14:paraId="28810A2E" w14:textId="77777777" w:rsidR="00366CB9" w:rsidRPr="006E22E5" w:rsidRDefault="009D0C1D" w:rsidP="005A6F1A">
            <w:pPr>
              <w:pStyle w:val="a6"/>
              <w:shd w:val="clear" w:color="auto" w:fill="auto"/>
              <w:ind w:left="130"/>
              <w:rPr>
                <w:sz w:val="18"/>
                <w:szCs w:val="24"/>
              </w:rPr>
            </w:pPr>
            <w:r w:rsidRPr="006E22E5">
              <w:rPr>
                <w:color w:val="000000"/>
                <w:sz w:val="18"/>
                <w:szCs w:val="24"/>
              </w:rPr>
              <w:t>Тип звітування про результати тесту</w:t>
            </w:r>
          </w:p>
        </w:tc>
        <w:tc>
          <w:tcPr>
            <w:tcW w:w="5880" w:type="dxa"/>
            <w:tcBorders>
              <w:top w:val="single" w:sz="8" w:space="0" w:color="00B050"/>
              <w:bottom w:val="single" w:sz="8" w:space="0" w:color="00B050"/>
            </w:tcBorders>
            <w:shd w:val="clear" w:color="auto" w:fill="FFFFFF"/>
            <w:vAlign w:val="center"/>
          </w:tcPr>
          <w:p w14:paraId="79704DE4" w14:textId="77777777" w:rsidR="00366CB9" w:rsidRPr="006E22E5" w:rsidRDefault="009D0C1D" w:rsidP="005A6F1A">
            <w:pPr>
              <w:pStyle w:val="a6"/>
              <w:shd w:val="clear" w:color="auto" w:fill="auto"/>
              <w:rPr>
                <w:sz w:val="18"/>
                <w:szCs w:val="24"/>
              </w:rPr>
            </w:pPr>
            <w:r w:rsidRPr="006E22E5">
              <w:rPr>
                <w:b w:val="0"/>
                <w:color w:val="000000"/>
                <w:sz w:val="18"/>
                <w:szCs w:val="24"/>
              </w:rPr>
              <w:t>Автоматизоване</w:t>
            </w:r>
          </w:p>
        </w:tc>
      </w:tr>
      <w:tr w:rsidR="00366CB9" w14:paraId="07E0CBD3" w14:textId="77777777" w:rsidTr="00546B4F">
        <w:trPr>
          <w:trHeight w:hRule="exact" w:val="541"/>
        </w:trPr>
        <w:tc>
          <w:tcPr>
            <w:tcW w:w="3225" w:type="dxa"/>
            <w:gridSpan w:val="2"/>
            <w:tcBorders>
              <w:top w:val="single" w:sz="8" w:space="0" w:color="00B050"/>
              <w:bottom w:val="single" w:sz="8" w:space="0" w:color="00B050"/>
            </w:tcBorders>
            <w:shd w:val="clear" w:color="auto" w:fill="FFFFFF"/>
            <w:vAlign w:val="center"/>
          </w:tcPr>
          <w:p w14:paraId="2E0E75E2" w14:textId="77777777" w:rsidR="00366CB9" w:rsidRPr="006E22E5" w:rsidRDefault="009D0C1D" w:rsidP="005A6F1A">
            <w:pPr>
              <w:pStyle w:val="a6"/>
              <w:shd w:val="clear" w:color="auto" w:fill="auto"/>
              <w:ind w:left="130"/>
              <w:rPr>
                <w:sz w:val="18"/>
                <w:szCs w:val="24"/>
              </w:rPr>
            </w:pPr>
            <w:r w:rsidRPr="006E22E5">
              <w:rPr>
                <w:color w:val="000000"/>
                <w:sz w:val="18"/>
                <w:szCs w:val="24"/>
              </w:rPr>
              <w:t>Умова використання</w:t>
            </w:r>
          </w:p>
        </w:tc>
        <w:tc>
          <w:tcPr>
            <w:tcW w:w="5880" w:type="dxa"/>
            <w:tcBorders>
              <w:top w:val="single" w:sz="8" w:space="0" w:color="00B050"/>
              <w:bottom w:val="single" w:sz="8" w:space="0" w:color="00B050"/>
            </w:tcBorders>
            <w:shd w:val="clear" w:color="auto" w:fill="FFFFFF"/>
            <w:vAlign w:val="center"/>
          </w:tcPr>
          <w:p w14:paraId="7BCD23BC" w14:textId="77777777" w:rsidR="00366CB9" w:rsidRPr="006E22E5" w:rsidRDefault="009D0C1D" w:rsidP="005A6F1A">
            <w:pPr>
              <w:pStyle w:val="a6"/>
              <w:shd w:val="clear" w:color="auto" w:fill="auto"/>
              <w:rPr>
                <w:sz w:val="18"/>
                <w:szCs w:val="24"/>
              </w:rPr>
            </w:pPr>
            <w:r w:rsidRPr="006E22E5">
              <w:rPr>
                <w:b w:val="0"/>
                <w:color w:val="000000"/>
                <w:sz w:val="18"/>
                <w:szCs w:val="24"/>
              </w:rPr>
              <w:t>Лабораторія (можуть бути вимоги до спеціальних виробничих потужностей)</w:t>
            </w:r>
          </w:p>
        </w:tc>
      </w:tr>
      <w:tr w:rsidR="00366CB9" w14:paraId="0DE116EC" w14:textId="77777777" w:rsidTr="00546B4F">
        <w:trPr>
          <w:trHeight w:hRule="exact" w:val="869"/>
        </w:trPr>
        <w:tc>
          <w:tcPr>
            <w:tcW w:w="9105" w:type="dxa"/>
            <w:gridSpan w:val="3"/>
            <w:tcBorders>
              <w:top w:val="single" w:sz="8" w:space="0" w:color="00B050"/>
            </w:tcBorders>
            <w:shd w:val="clear" w:color="auto" w:fill="FFFFFF"/>
            <w:vAlign w:val="bottom"/>
          </w:tcPr>
          <w:p w14:paraId="55F8201D" w14:textId="77777777" w:rsidR="00366CB9" w:rsidRDefault="009D0C1D" w:rsidP="00457B0A">
            <w:pPr>
              <w:pStyle w:val="a6"/>
              <w:shd w:val="clear" w:color="auto" w:fill="auto"/>
              <w:spacing w:after="40" w:line="266" w:lineRule="auto"/>
              <w:rPr>
                <w:sz w:val="17"/>
                <w:szCs w:val="17"/>
              </w:rPr>
            </w:pPr>
            <w:r>
              <w:rPr>
                <w:b w:val="0"/>
                <w:color w:val="000000"/>
                <w:sz w:val="17"/>
              </w:rPr>
              <w:t>ДНК: дезоксирибонуклеїнова кислота; MC-aNAAT: автоматизований аналіз ампліфікації нуклеїнових кислот середньої складності; ПЛР: полімеразна ланцюгова реакція; ТБ: туберкульоз.</w:t>
            </w:r>
          </w:p>
          <w:p w14:paraId="2AF4D6CC" w14:textId="77777777" w:rsidR="00366CB9" w:rsidRDefault="009D0C1D" w:rsidP="00457B0A">
            <w:pPr>
              <w:pStyle w:val="a6"/>
              <w:shd w:val="clear" w:color="auto" w:fill="auto"/>
              <w:spacing w:line="266" w:lineRule="auto"/>
              <w:rPr>
                <w:sz w:val="17"/>
                <w:szCs w:val="17"/>
              </w:rPr>
            </w:pPr>
            <w:r>
              <w:rPr>
                <w:b w:val="0"/>
                <w:color w:val="000000"/>
                <w:sz w:val="17"/>
              </w:rPr>
              <w:t>Лікарські засоби: INH: ізоніазид; RIF: рифампіцин.</w:t>
            </w:r>
          </w:p>
        </w:tc>
      </w:tr>
    </w:tbl>
    <w:p w14:paraId="0F3901CD" w14:textId="77777777" w:rsidR="00366CB9" w:rsidRPr="006E22E5" w:rsidRDefault="009D0C1D" w:rsidP="005A6F1A">
      <w:pPr>
        <w:pStyle w:val="1"/>
        <w:shd w:val="clear" w:color="auto" w:fill="auto"/>
        <w:spacing w:before="240" w:after="140" w:line="324" w:lineRule="auto"/>
        <w:jc w:val="both"/>
        <w:rPr>
          <w:sz w:val="18"/>
          <w:szCs w:val="18"/>
        </w:rPr>
      </w:pPr>
      <w:r w:rsidRPr="006E22E5">
        <w:rPr>
          <w:sz w:val="18"/>
          <w:szCs w:val="18"/>
        </w:rPr>
        <w:t>Клас MC-aNAAT включає експрес-тести та точні тести для виявлення ТБ легень зі зразків з дихальних шляхів (</w:t>
      </w:r>
      <w:hyperlink w:anchor="bookmark36" w:tooltip="Поточний документ">
        <w:r w:rsidR="00366CB9" w:rsidRPr="006E22E5">
          <w:rPr>
            <w:b/>
            <w:sz w:val="18"/>
            <w:szCs w:val="18"/>
          </w:rPr>
          <w:t>Вставка 2.2</w:t>
        </w:r>
      </w:hyperlink>
      <w:r w:rsidRPr="006E22E5">
        <w:rPr>
          <w:sz w:val="18"/>
          <w:szCs w:val="18"/>
        </w:rPr>
        <w:t>). Загальний об’єднаний показник чутливості щодо виявлення ТБ становив 93,0 % (95 % ДІ: 90,9-94,7 %), а специфічності – 97,7 % (95 % ДІ: 95,6-98,8 %) (</w:t>
      </w:r>
      <w:hyperlink w:anchor="bookmark78" w:tooltip="Поточний документ">
        <w:r w:rsidR="00366CB9" w:rsidRPr="006E22E5">
          <w:rPr>
            <w:b/>
            <w:sz w:val="18"/>
            <w:szCs w:val="18"/>
          </w:rPr>
          <w:t>Таблиця 3.1</w:t>
        </w:r>
      </w:hyperlink>
      <w:r w:rsidRPr="006E22E5">
        <w:rPr>
          <w:sz w:val="18"/>
          <w:szCs w:val="18"/>
        </w:rPr>
        <w:t xml:space="preserve">, </w:t>
      </w:r>
      <w:hyperlink w:anchor="bookmark79" w:tooltip="Поточний документ">
        <w:r w:rsidR="00366CB9" w:rsidRPr="006E22E5">
          <w:rPr>
            <w:b/>
            <w:sz w:val="18"/>
            <w:szCs w:val="18"/>
          </w:rPr>
          <w:t>Таблиця 3.2</w:t>
        </w:r>
      </w:hyperlink>
      <w:r w:rsidRPr="006E22E5">
        <w:rPr>
          <w:sz w:val="18"/>
          <w:szCs w:val="18"/>
        </w:rPr>
        <w:t xml:space="preserve"> та </w:t>
      </w:r>
      <w:hyperlink w:anchor="bookmark80" w:tooltip="Поточний документ">
        <w:r w:rsidR="00366CB9" w:rsidRPr="006E22E5">
          <w:rPr>
            <w:b/>
            <w:sz w:val="18"/>
            <w:szCs w:val="18"/>
          </w:rPr>
          <w:t>Таблиця 3.3</w:t>
        </w:r>
      </w:hyperlink>
      <w:r w:rsidRPr="006E22E5">
        <w:rPr>
          <w:sz w:val="18"/>
          <w:szCs w:val="18"/>
        </w:rPr>
        <w:t xml:space="preserve"> у </w:t>
      </w:r>
      <w:r w:rsidRPr="006E22E5">
        <w:rPr>
          <w:b/>
          <w:sz w:val="18"/>
          <w:szCs w:val="18"/>
        </w:rPr>
        <w:t>розділі 3</w:t>
      </w:r>
      <w:r w:rsidRPr="006E22E5">
        <w:rPr>
          <w:sz w:val="18"/>
          <w:szCs w:val="18"/>
        </w:rPr>
        <w:t xml:space="preserve">). MC-aNAAT можуть одночасно виявляти резистентність як до RIF, так і до INH, та є менш складними у виконанні, ніж фенотипове ТМЧ та LPA. Після етапу підготовки зразків тести стають автоматизованими. Загальний об’єднаний показник чутливості щодо виявлення резистентності до RIF становив 96,7 % (95 % ДІ: 93,1-98,4 %), а специфічності – 98,9 % (95 % ДІ: 97,5-99,5 %). На </w:t>
      </w:r>
      <w:hyperlink w:anchor="bookmark37" w:tooltip="Поточний документ">
        <w:r w:rsidR="00366CB9" w:rsidRPr="006E22E5">
          <w:rPr>
            <w:b/>
            <w:sz w:val="18"/>
            <w:szCs w:val="18"/>
          </w:rPr>
          <w:t>рис. 2.1</w:t>
        </w:r>
      </w:hyperlink>
      <w:r w:rsidRPr="006E22E5">
        <w:rPr>
          <w:sz w:val="18"/>
          <w:szCs w:val="18"/>
        </w:rPr>
        <w:t xml:space="preserve"> описані процедури для кожного тесту. Загальний об’єднаний показник чутливості щодо виявлення резистентності до INH становив 86,4 % (95 % ДІ: 82,8-89,3 %), а специфічності – 99,2 % (95 % ДІ: 98,1-99,7 %).</w:t>
      </w:r>
    </w:p>
    <w:p w14:paraId="1906D371" w14:textId="77777777" w:rsidR="00366CB9" w:rsidRPr="006E22E5" w:rsidRDefault="009D0C1D" w:rsidP="00457B0A">
      <w:pPr>
        <w:pStyle w:val="1"/>
        <w:shd w:val="clear" w:color="auto" w:fill="auto"/>
        <w:spacing w:line="324" w:lineRule="auto"/>
        <w:jc w:val="both"/>
        <w:rPr>
          <w:sz w:val="18"/>
          <w:szCs w:val="18"/>
        </w:rPr>
      </w:pPr>
      <w:r w:rsidRPr="006E22E5">
        <w:rPr>
          <w:sz w:val="18"/>
          <w:szCs w:val="18"/>
        </w:rPr>
        <w:t>Ці аналізи передбачають високу пропускну здатність та високе робоче навантаження, тому їх можна використовувати на територіях з високою густотою населення або поширеністю ТБ. Однак, цей клас підходить переважно для лабораторій та вимагатиме надійної та швидкої системи перенаправлення зразків та звітування про результати. MC-aNAAT можна застосовувати на програмному рівні для інших захворювань (наприклад, SARS-CoV-2, ВІЛ та гепатитів B та C), що може сприяти впровадженню тестування на виявлення ТБ на спільних платформах. Інформаційні аркуші, що узагальнюють окремі технології</w:t>
      </w:r>
    </w:p>
    <w:p w14:paraId="35EA51D8" w14:textId="77777777" w:rsidR="00366CB9" w:rsidRDefault="00366CB9" w:rsidP="00425523">
      <w:pPr>
        <w:spacing w:line="1" w:lineRule="exact"/>
        <w:sectPr w:rsidR="00366CB9" w:rsidSect="005A6F1A">
          <w:type w:val="nextColumn"/>
          <w:pgSz w:w="11913" w:h="16840"/>
          <w:pgMar w:top="1469" w:right="1378" w:bottom="284" w:left="1372" w:header="0" w:footer="6" w:gutter="0"/>
          <w:paperSrc w:first="15" w:other="15"/>
          <w:cols w:space="720"/>
          <w:noEndnote/>
          <w:docGrid w:linePitch="360"/>
        </w:sectPr>
      </w:pPr>
    </w:p>
    <w:p w14:paraId="7952A35B"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14:paraId="498DE9BE" w14:textId="77777777">
        <w:trPr>
          <w:trHeight w:hRule="exact" w:val="1090"/>
        </w:trPr>
        <w:tc>
          <w:tcPr>
            <w:tcW w:w="9106" w:type="dxa"/>
            <w:shd w:val="clear" w:color="auto" w:fill="FFFFFF"/>
          </w:tcPr>
          <w:p w14:paraId="7251DCBB" w14:textId="77777777" w:rsidR="00366CB9" w:rsidRPr="006E22E5" w:rsidRDefault="009D0C1D" w:rsidP="00457B0A">
            <w:pPr>
              <w:pStyle w:val="a6"/>
              <w:shd w:val="clear" w:color="auto" w:fill="auto"/>
              <w:spacing w:line="326" w:lineRule="auto"/>
              <w:rPr>
                <w:sz w:val="18"/>
                <w:szCs w:val="18"/>
              </w:rPr>
            </w:pPr>
            <w:bookmarkStart w:id="39" w:name="bookmark36"/>
            <w:r w:rsidRPr="006E22E5">
              <w:rPr>
                <w:b w:val="0"/>
                <w:color w:val="000000"/>
                <w:sz w:val="18"/>
                <w:szCs w:val="18"/>
              </w:rPr>
              <w:t xml:space="preserve">цього класу, представлені у </w:t>
            </w:r>
            <w:hyperlink r:id="rId49" w:history="1">
              <w:r w:rsidR="00366CB9" w:rsidRPr="006E22E5">
                <w:rPr>
                  <w:color w:val="000000"/>
                  <w:sz w:val="18"/>
                  <w:szCs w:val="18"/>
                </w:rPr>
                <w:t>Вебдодатку A</w:t>
              </w:r>
            </w:hyperlink>
            <w:r w:rsidRPr="006E22E5">
              <w:rPr>
                <w:b w:val="0"/>
                <w:color w:val="000000"/>
                <w:sz w:val="18"/>
                <w:szCs w:val="18"/>
              </w:rPr>
              <w:t>. Також представлено детальне порівняння різних продуктів (</w:t>
            </w:r>
            <w:hyperlink w:anchor="bookmark196" w:tooltip="Поточний документ">
              <w:r w:rsidR="00366CB9" w:rsidRPr="006E22E5">
                <w:rPr>
                  <w:b w:val="0"/>
                  <w:color w:val="000000"/>
                  <w:sz w:val="18"/>
                  <w:szCs w:val="18"/>
                </w:rPr>
                <w:t>15</w:t>
              </w:r>
            </w:hyperlink>
            <w:r w:rsidRPr="006E22E5">
              <w:rPr>
                <w:b w:val="0"/>
                <w:color w:val="000000"/>
                <w:sz w:val="18"/>
                <w:szCs w:val="18"/>
              </w:rPr>
              <w:t>).</w:t>
            </w:r>
            <w:bookmarkEnd w:id="39"/>
          </w:p>
        </w:tc>
      </w:tr>
      <w:tr w:rsidR="00366CB9" w14:paraId="7A5D0D78" w14:textId="77777777">
        <w:trPr>
          <w:trHeight w:hRule="exact" w:val="9062"/>
        </w:trPr>
        <w:tc>
          <w:tcPr>
            <w:tcW w:w="9106" w:type="dxa"/>
            <w:shd w:val="clear" w:color="auto" w:fill="FFFFFF"/>
          </w:tcPr>
          <w:p w14:paraId="644D08F2" w14:textId="78C3C1D8" w:rsidR="00366CB9" w:rsidRDefault="005A6F1A" w:rsidP="00457B0A">
            <w:pPr>
              <w:rPr>
                <w:sz w:val="2"/>
                <w:szCs w:val="2"/>
              </w:rPr>
            </w:pPr>
            <w:r>
              <w:rPr>
                <w:noProof/>
              </w:rPr>
              <mc:AlternateContent>
                <mc:Choice Requires="wps">
                  <w:drawing>
                    <wp:anchor distT="0" distB="0" distL="114300" distR="114300" simplePos="0" relativeHeight="251439104" behindDoc="0" locked="0" layoutInCell="1" allowOverlap="1" wp14:anchorId="24C9150C" wp14:editId="37C536F2">
                      <wp:simplePos x="0" y="0"/>
                      <wp:positionH relativeFrom="column">
                        <wp:posOffset>341630</wp:posOffset>
                      </wp:positionH>
                      <wp:positionV relativeFrom="paragraph">
                        <wp:posOffset>652780</wp:posOffset>
                      </wp:positionV>
                      <wp:extent cx="5236210" cy="5090160"/>
                      <wp:effectExtent l="0" t="0" r="2540" b="0"/>
                      <wp:wrapNone/>
                      <wp:docPr id="806988194" name="Прямокутник 3"/>
                      <wp:cNvGraphicFramePr/>
                      <a:graphic xmlns:a="http://schemas.openxmlformats.org/drawingml/2006/main">
                        <a:graphicData uri="http://schemas.microsoft.com/office/word/2010/wordprocessingShape">
                          <wps:wsp>
                            <wps:cNvSpPr/>
                            <wps:spPr>
                              <a:xfrm>
                                <a:off x="0" y="0"/>
                                <a:ext cx="5236210" cy="5090160"/>
                              </a:xfrm>
                              <a:prstGeom prst="rect">
                                <a:avLst/>
                              </a:prstGeom>
                              <a:solidFill>
                                <a:srgbClr val="C6E0CE"/>
                              </a:solidFill>
                            </wps:spPr>
                            <wps:txbx>
                              <w:txbxContent>
                                <w:p w14:paraId="73E5DEF7" w14:textId="77777777" w:rsidR="009D0C1D" w:rsidRPr="00356397" w:rsidRDefault="009D0C1D" w:rsidP="008E6497">
                                  <w:pPr>
                                    <w:spacing w:after="56" w:line="352" w:lineRule="auto"/>
                                    <w:jc w:val="both"/>
                                    <w:rPr>
                                      <w:rFonts w:eastAsia="+mn-ea" w:cs="+mn-cs"/>
                                      <w:i/>
                                      <w:iCs/>
                                      <w:kern w:val="24"/>
                                      <w:sz w:val="20"/>
                                      <w:szCs w:val="20"/>
                                    </w:rPr>
                                  </w:pPr>
                                  <w:r>
                                    <w:rPr>
                                      <w:sz w:val="20"/>
                                    </w:rPr>
                                    <w:t xml:space="preserve">Для осіб з ознаками та симптомами позалегеневого ТБ для виявлення ТБ легень та резистентності до рифампіцину та ізоніазиду на зразках з дихальних шляхів необхідно застосовувати автоматизовані NAAT середньої складності, а не посіви та фенотипове ТМЧ. </w:t>
                                  </w:r>
                                  <w:r>
                                    <w:rPr>
                                      <w:i/>
                                      <w:sz w:val="20"/>
                                    </w:rPr>
                                    <w:t>(Умовна рекомендація, середній рівень достовірності доказів)</w:t>
                                  </w:r>
                                </w:p>
                                <w:p w14:paraId="54A7969A" w14:textId="77777777" w:rsidR="009D0C1D" w:rsidRDefault="009D0C1D" w:rsidP="008E6497">
                                  <w:pPr>
                                    <w:spacing w:after="56" w:line="314" w:lineRule="auto"/>
                                    <w:jc w:val="both"/>
                                    <w:rPr>
                                      <w:rFonts w:eastAsia="+mn-ea" w:cs="+mn-cs"/>
                                      <w:kern w:val="24"/>
                                      <w:sz w:val="20"/>
                                      <w:szCs w:val="20"/>
                                    </w:rPr>
                                  </w:pPr>
                                  <w:r>
                                    <w:rPr>
                                      <w:sz w:val="20"/>
                                    </w:rPr>
                                    <w:t>Примітки:</w:t>
                                  </w:r>
                                </w:p>
                                <w:p w14:paraId="3C4968F0" w14:textId="34DEEA2A"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rPr>
                                    <w:t></w:t>
                                  </w:r>
                                  <w:r>
                                    <w:rPr>
                                      <w:color w:val="019648"/>
                                      <w:sz w:val="20"/>
                                    </w:rPr>
                                    <w:t xml:space="preserve"> </w:t>
                                  </w:r>
                                  <w:r>
                                    <w:tab/>
                                  </w:r>
                                  <w:r>
                                    <w:rPr>
                                      <w:sz w:val="20"/>
                                    </w:rPr>
                                    <w:t>Ця рекомендація заснована на доказах діагностичної точності зразків з дихальних шляхів дорослих з ознаками та симптомами ТБ легень.</w:t>
                                  </w:r>
                                </w:p>
                                <w:p w14:paraId="674B949B" w14:textId="03D10241" w:rsidR="009D0C1D" w:rsidRDefault="009D0C1D" w:rsidP="008E6497">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Рекомендація застосовується до людей, які живуть з ВІЛ (дослідження включали різну частку таких людей). Результати тестування зразків з негативним мазком були переглянуті, але вони були представлені лише для виявлення ТБ, а не для виявлення резистентності до RIF та INH. Не були представлені дані, стратифіковані за ВІЛ-статусом.</w:t>
                                  </w:r>
                                </w:p>
                                <w:p w14:paraId="5990DAD8" w14:textId="704A2C35" w:rsidR="009D0C1D" w:rsidRDefault="009D0C1D" w:rsidP="008E6497">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Рекомендація застосовується до підлітків та дітей на основі узагальнення даних, отриманих від дорослих. Підвищений рівень сумнівних результатів може спостерігатись при олігобацилярному ТБ у дітей.</w:t>
                                  </w:r>
                                </w:p>
                                <w:p w14:paraId="252876D3" w14:textId="77713C61" w:rsidR="009D0C1D" w:rsidRDefault="009D0C1D" w:rsidP="008E6497">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Екстраполяція для використання у осіб з позалегеневим ТБ та тестування зразків без мокротиння не розглядалась, оскільки дані про діагностичну точність технологій у цьому класі для зразків без мокротиння були обмежені.</w:t>
                                  </w:r>
                                </w:p>
                                <w:p w14:paraId="1C6334C7" w14:textId="4295AD1C" w:rsidR="009D0C1D" w:rsidRDefault="009D0C1D" w:rsidP="008E6497">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Рекомендація застосовується до підлітків та дітей на основі узагальнення даних, отриманих від дорослих. Підвищений рівень сумнівних результатів може спостерігатись при олігобацилярному ТБ у дітей.</w:t>
                                  </w:r>
                                </w:p>
                                <w:p w14:paraId="24EC6BA5" w14:textId="0A95B9FD" w:rsidR="009D0C1D" w:rsidRDefault="009D0C1D" w:rsidP="008E6497">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Екстраполяція для використання у осіб з позалегеневим ТБ та тестування зразків без мокротиння не розглядалась, оскільки дані про діагностичну точність технологій у цьому класі для зразків без мокротиння були обмежені.</w:t>
                                  </w:r>
                                </w:p>
                              </w:txbxContent>
                            </wps:txbx>
                            <wps:bodyPr lIns="0" tIns="0" rIns="0" bIns="0">
                              <a:noAutofit/>
                            </wps:bodyPr>
                          </wps:wsp>
                        </a:graphicData>
                      </a:graphic>
                      <wp14:sizeRelV relativeFrom="margin">
                        <wp14:pctHeight>0</wp14:pctHeight>
                      </wp14:sizeRelV>
                    </wp:anchor>
                  </w:drawing>
                </mc:Choice>
                <mc:Fallback>
                  <w:pict>
                    <v:rect w14:anchorId="24C9150C" id="_x0000_s1056" style="position:absolute;margin-left:26.9pt;margin-top:51.4pt;width:412.3pt;height:400.8pt;z-index:25143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" fillcolor="#c6e0ce" stroked="f">
                      <v:textbox inset="0,0,0,0">
                        <w:txbxContent>
                          <w:p w14:paraId="73E5DEF7" w14:textId="77777777" w:rsidR="009D0C1D" w:rsidRPr="00356397" w:rsidRDefault="009D0C1D" w:rsidP="008E6497">
                            <w:pPr>
                              <w:spacing w:after="56" w:line="352" w:lineRule="auto"/>
                              <w:jc w:val="both"/>
                              <w:rPr>
                                <w:rFonts w:eastAsia="+mn-ea" w:cs="+mn-cs"/>
                                <w:i/>
                                <w:iCs/>
                                <w:kern w:val="24"/>
                                <w:sz w:val="20"/>
                                <w:szCs w:val="20"/>
                              </w:rPr>
                            </w:pPr>
                            <w:r>
                              <w:rPr>
                                <w:sz w:val="20"/>
                              </w:rPr>
                              <w:t xml:space="preserve">Для осіб з ознаками та симптомами позалегеневого ТБ для виявлення ТБ легень та резистентності до рифампіцину та ізоніазиду на зразках з дихальних шляхів необхідно застосовувати автоматизовані NAAT середньої складності, а не посіви та фенотипове ТМЧ. </w:t>
                            </w:r>
                            <w:r>
                              <w:rPr>
                                <w:i/>
                                <w:sz w:val="20"/>
                              </w:rPr>
                              <w:t>(Умовна рекомендація, середній рівень достовірності доказів)</w:t>
                            </w:r>
                          </w:p>
                          <w:p w14:paraId="54A7969A" w14:textId="77777777" w:rsidR="009D0C1D" w:rsidRDefault="009D0C1D" w:rsidP="008E6497">
                            <w:pPr>
                              <w:spacing w:after="56" w:line="314" w:lineRule="auto"/>
                              <w:jc w:val="both"/>
                              <w:rPr>
                                <w:rFonts w:eastAsia="+mn-ea" w:cs="+mn-cs"/>
                                <w:kern w:val="24"/>
                                <w:sz w:val="20"/>
                                <w:szCs w:val="20"/>
                              </w:rPr>
                            </w:pPr>
                            <w:r>
                              <w:rPr>
                                <w:sz w:val="20"/>
                              </w:rPr>
                              <w:t>Примітки:</w:t>
                            </w:r>
                          </w:p>
                          <w:p w14:paraId="3C4968F0" w14:textId="34DEEA2A" w:rsidR="009D0C1D" w:rsidRDefault="009D0C1D" w:rsidP="008E6497">
                            <w:pPr>
                              <w:spacing w:after="56" w:line="312" w:lineRule="auto"/>
                              <w:ind w:left="403" w:hanging="403"/>
                              <w:jc w:val="both"/>
                              <w:rPr>
                                <w:rFonts w:eastAsia="+mn-ea" w:cs="+mn-cs"/>
                                <w:color w:val="019648"/>
                                <w:kern w:val="24"/>
                                <w:sz w:val="20"/>
                                <w:szCs w:val="20"/>
                              </w:rPr>
                            </w:pPr>
                            <w:r>
                              <w:rPr>
                                <w:rFonts w:ascii="Wingdings" w:hAnsi="Wingdings"/>
                                <w:color w:val="019648"/>
                              </w:rPr>
                              <w:t></w:t>
                            </w:r>
                            <w:r>
                              <w:rPr>
                                <w:color w:val="019648"/>
                                <w:sz w:val="20"/>
                              </w:rPr>
                              <w:t xml:space="preserve"> </w:t>
                            </w:r>
                            <w:r>
                              <w:tab/>
                            </w:r>
                            <w:r>
                              <w:rPr>
                                <w:sz w:val="20"/>
                              </w:rPr>
                              <w:t>Ця рекомендація заснована на доказах діагностичної точності зразків з дихальних шляхів дорослих з ознаками та симптомами ТБ легень.</w:t>
                            </w:r>
                          </w:p>
                          <w:p w14:paraId="674B949B" w14:textId="03D10241" w:rsidR="009D0C1D" w:rsidRDefault="009D0C1D" w:rsidP="008E6497">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Рекомендація застосовується до людей, які живуть з ВІЛ (дослідження включали різну частку таких людей). Результати тестування зразків з негативним мазком були переглянуті, але вони були представлені лише для виявлення ТБ, а не для виявлення резистентності до RIF та INH. Не були представлені дані, стратифіковані за ВІЛ-статусом.</w:t>
                            </w:r>
                          </w:p>
                          <w:p w14:paraId="5990DAD8" w14:textId="704A2C35" w:rsidR="009D0C1D" w:rsidRDefault="009D0C1D" w:rsidP="008E6497">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Рекомендація застосовується до підлітків та дітей на основі узагальнення даних, отриманих від дорослих. Підвищений рівень сумнівних результатів може спостерігатись при олігобацилярному ТБ у дітей.</w:t>
                            </w:r>
                          </w:p>
                          <w:p w14:paraId="252876D3" w14:textId="77713C61" w:rsidR="009D0C1D" w:rsidRDefault="009D0C1D" w:rsidP="008E6497">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Екстраполяція для використання у осіб з позалегеневим ТБ та тестування зразків без мокротиння не розглядалась, оскільки дані про діагностичну точність технологій у цьому класі для зразків без мокротиння були обмежені.</w:t>
                            </w:r>
                          </w:p>
                          <w:p w14:paraId="1C6334C7" w14:textId="4295AD1C" w:rsidR="009D0C1D" w:rsidRDefault="009D0C1D" w:rsidP="008E6497">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Рекомендація застосовується до підлітків та дітей на основі узагальнення даних, отриманих від дорослих. Підвищений рівень сумнівних результатів може спостерігатись при олігобацилярному ТБ у дітей.</w:t>
                            </w:r>
                          </w:p>
                          <w:p w14:paraId="24EC6BA5" w14:textId="0A95B9FD" w:rsidR="009D0C1D" w:rsidRDefault="009D0C1D" w:rsidP="008E6497">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Екстраполяція для використання у осіб з позалегеневим ТБ та тестування зразків без мокротиння не розглядалась, оскільки дані про діагностичну точність технологій у цьому класі для зразків без мокротиння були обмежені.</w:t>
                            </w:r>
                          </w:p>
                        </w:txbxContent>
                      </v:textbox>
                    </v:rect>
                  </w:pict>
                </mc:Fallback>
              </mc:AlternateContent>
            </w:r>
            <w:r w:rsidR="008E6497">
              <w:rPr>
                <w:noProof/>
              </w:rPr>
              <mc:AlternateContent>
                <mc:Choice Requires="wps">
                  <w:drawing>
                    <wp:anchor distT="0" distB="0" distL="114300" distR="114300" simplePos="0" relativeHeight="251438080" behindDoc="0" locked="0" layoutInCell="1" allowOverlap="1" wp14:anchorId="7D400983" wp14:editId="1D0DA096">
                      <wp:simplePos x="0" y="0"/>
                      <wp:positionH relativeFrom="column">
                        <wp:posOffset>126587</wp:posOffset>
                      </wp:positionH>
                      <wp:positionV relativeFrom="paragraph">
                        <wp:posOffset>276128</wp:posOffset>
                      </wp:positionV>
                      <wp:extent cx="3360280" cy="154940"/>
                      <wp:effectExtent l="0" t="0" r="0" b="0"/>
                      <wp:wrapNone/>
                      <wp:docPr id="1519305461" name="Прямокутник 2"/>
                      <wp:cNvGraphicFramePr/>
                      <a:graphic xmlns:a="http://schemas.openxmlformats.org/drawingml/2006/main">
                        <a:graphicData uri="http://schemas.microsoft.com/office/word/2010/wordprocessingShape">
                          <wps:wsp>
                            <wps:cNvSpPr/>
                            <wps:spPr>
                              <a:xfrm>
                                <a:off x="0" y="0"/>
                                <a:ext cx="3360280" cy="154940"/>
                              </a:xfrm>
                              <a:prstGeom prst="rect">
                                <a:avLst/>
                              </a:prstGeom>
                              <a:solidFill>
                                <a:srgbClr val="009649"/>
                              </a:solidFill>
                            </wps:spPr>
                            <wps:txbx>
                              <w:txbxContent>
                                <w:p w14:paraId="5C4002C5" w14:textId="77777777" w:rsidR="009D0C1D" w:rsidRPr="0079021A" w:rsidRDefault="009D0C1D" w:rsidP="008E6497">
                                  <w:pPr>
                                    <w:rPr>
                                      <w:rFonts w:eastAsia="+mn-ea" w:cs="+mn-cs"/>
                                      <w:b/>
                                      <w:bCs/>
                                      <w:color w:val="FFFFFF"/>
                                      <w:kern w:val="24"/>
                                      <w:sz w:val="20"/>
                                      <w:szCs w:val="20"/>
                                    </w:rPr>
                                  </w:pPr>
                                  <w:r>
                                    <w:rPr>
                                      <w:b/>
                                      <w:color w:val="FFFFFF"/>
                                      <w:sz w:val="20"/>
                                    </w:rPr>
                                    <w:t xml:space="preserve">Вставка 2.2. Рекомендація ВООЗ щодо MC-aNAAT </w:t>
                                  </w:r>
                                  <w:r>
                                    <w:rPr>
                                      <w:b/>
                                      <w:i/>
                                      <w:color w:val="FFFFFF"/>
                                      <w:sz w:val="20"/>
                                    </w:rPr>
                                    <w:t>(6)</w:t>
                                  </w:r>
                                </w:p>
                              </w:txbxContent>
                            </wps:txbx>
                            <wps:bodyPr wrap="square" lIns="0" tIns="0" rIns="0" bIns="0">
                              <a:noAutofit/>
                            </wps:bodyPr>
                          </wps:wsp>
                        </a:graphicData>
                      </a:graphic>
                      <wp14:sizeRelH relativeFrom="margin">
                        <wp14:pctWidth>0</wp14:pctWidth>
                      </wp14:sizeRelH>
                    </wp:anchor>
                  </w:drawing>
                </mc:Choice>
                <mc:Fallback>
                  <w:pict>
                    <v:rect w14:anchorId="7D400983" id="_x0000_s1057" style="position:absolute;margin-left:9.95pt;margin-top:21.75pt;width:264.6pt;height:12.2pt;z-index:25143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" fillcolor="#009649" stroked="f">
                      <v:textbox inset="0,0,0,0">
                        <w:txbxContent>
                          <w:p w14:paraId="5C4002C5" w14:textId="77777777" w:rsidR="009D0C1D" w:rsidRPr="0079021A" w:rsidRDefault="009D0C1D" w:rsidP="008E6497">
                            <w:pPr>
                              <w:rPr>
                                <w:rFonts w:eastAsia="+mn-ea" w:cs="+mn-cs"/>
                                <w:b/>
                                <w:bCs/>
                                <w:color w:val="FFFFFF"/>
                                <w:kern w:val="24"/>
                                <w:sz w:val="20"/>
                                <w:szCs w:val="20"/>
                              </w:rPr>
                            </w:pPr>
                            <w:r>
                              <w:rPr>
                                <w:b/>
                                <w:color w:val="FFFFFF"/>
                                <w:sz w:val="20"/>
                              </w:rPr>
                              <w:t xml:space="preserve">Вставка 2.2. Рекомендація ВООЗ щодо MC-aNAAT </w:t>
                            </w:r>
                            <w:r>
                              <w:rPr>
                                <w:b/>
                                <w:i/>
                                <w:color w:val="FFFFFF"/>
                                <w:sz w:val="20"/>
                              </w:rPr>
                              <w:t>(6)</w:t>
                            </w:r>
                          </w:p>
                        </w:txbxContent>
                      </v:textbox>
                    </v:rect>
                  </w:pict>
                </mc:Fallback>
              </mc:AlternateContent>
            </w:r>
            <w:r w:rsidR="008E6497">
              <w:rPr>
                <w:noProof/>
              </w:rPr>
              <w:drawing>
                <wp:inline distT="0" distB="0" distL="0" distR="0" wp14:anchorId="66545F30" wp14:editId="0C33153D">
                  <wp:extent cx="5782310" cy="5935980"/>
                  <wp:effectExtent l="0" t="0" r="889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0"/>
                          <a:stretch/>
                        </pic:blipFill>
                        <pic:spPr>
                          <a:xfrm>
                            <a:off x="0" y="0"/>
                            <a:ext cx="5782310" cy="5935980"/>
                          </a:xfrm>
                          <a:prstGeom prst="rect">
                            <a:avLst/>
                          </a:prstGeom>
                        </pic:spPr>
                      </pic:pic>
                    </a:graphicData>
                  </a:graphic>
                </wp:inline>
              </w:drawing>
            </w:r>
          </w:p>
        </w:tc>
      </w:tr>
    </w:tbl>
    <w:p w14:paraId="5EDAA177" w14:textId="1D1A3124"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0471293A" w14:textId="52F49E96" w:rsidR="00366CB9" w:rsidRDefault="00366CB9" w:rsidP="00425523">
      <w:pPr>
        <w:spacing w:line="1" w:lineRule="exact"/>
      </w:pPr>
    </w:p>
    <w:tbl>
      <w:tblPr>
        <w:tblOverlap w:val="never"/>
        <w:tblW w:w="9187" w:type="dxa"/>
        <w:tblLayout w:type="fixed"/>
        <w:tblCellMar>
          <w:left w:w="10" w:type="dxa"/>
          <w:right w:w="10" w:type="dxa"/>
        </w:tblCellMar>
        <w:tblLook w:val="0000" w:firstRow="0" w:lastRow="0" w:firstColumn="0" w:lastColumn="0" w:noHBand="0" w:noVBand="0"/>
      </w:tblPr>
      <w:tblGrid>
        <w:gridCol w:w="9187"/>
      </w:tblGrid>
      <w:tr w:rsidR="00366CB9" w14:paraId="3D33B929" w14:textId="77777777" w:rsidTr="008E6497">
        <w:trPr>
          <w:trHeight w:hRule="exact" w:val="874"/>
        </w:trPr>
        <w:tc>
          <w:tcPr>
            <w:tcW w:w="9187" w:type="dxa"/>
            <w:shd w:val="clear" w:color="auto" w:fill="FFFFFF"/>
          </w:tcPr>
          <w:p w14:paraId="04474521" w14:textId="61B86D74" w:rsidR="00366CB9" w:rsidRPr="0079021A" w:rsidRDefault="009D0C1D" w:rsidP="00457B0A">
            <w:pPr>
              <w:pStyle w:val="a6"/>
              <w:shd w:val="clear" w:color="auto" w:fill="auto"/>
              <w:rPr>
                <w:sz w:val="24"/>
                <w:szCs w:val="24"/>
              </w:rPr>
            </w:pPr>
            <w:bookmarkStart w:id="40" w:name="bookmark37"/>
            <w:r>
              <w:rPr>
                <w:color w:val="636466"/>
                <w:sz w:val="24"/>
              </w:rPr>
              <w:t>Рис. 2.1. Резюме процедур тестування для Bruker Hain FluoroType MTB та MTBDR</w:t>
            </w:r>
            <w:bookmarkEnd w:id="40"/>
          </w:p>
        </w:tc>
      </w:tr>
      <w:tr w:rsidR="00366CB9" w14:paraId="08D48F60" w14:textId="77777777" w:rsidTr="008E6497">
        <w:trPr>
          <w:trHeight w:hRule="exact" w:val="9998"/>
        </w:trPr>
        <w:tc>
          <w:tcPr>
            <w:tcW w:w="9187" w:type="dxa"/>
            <w:shd w:val="clear" w:color="auto" w:fill="FFFFFF"/>
          </w:tcPr>
          <w:p w14:paraId="04534040" w14:textId="40B0EE92" w:rsidR="00366CB9" w:rsidRDefault="00115639" w:rsidP="00457B0A">
            <w:pPr>
              <w:rPr>
                <w:sz w:val="2"/>
                <w:szCs w:val="2"/>
              </w:rPr>
            </w:pPr>
            <w:r>
              <w:rPr>
                <w:noProof/>
              </w:rPr>
              <mc:AlternateContent>
                <mc:Choice Requires="wps">
                  <w:drawing>
                    <wp:anchor distT="0" distB="0" distL="114300" distR="114300" simplePos="0" relativeHeight="251468800" behindDoc="0" locked="0" layoutInCell="1" allowOverlap="1" wp14:anchorId="119F28B7" wp14:editId="3B5009F8">
                      <wp:simplePos x="0" y="0"/>
                      <wp:positionH relativeFrom="column">
                        <wp:posOffset>4646930</wp:posOffset>
                      </wp:positionH>
                      <wp:positionV relativeFrom="paragraph">
                        <wp:posOffset>5339080</wp:posOffset>
                      </wp:positionV>
                      <wp:extent cx="1002665" cy="449580"/>
                      <wp:effectExtent l="0" t="0" r="6985" b="7620"/>
                      <wp:wrapNone/>
                      <wp:docPr id="1464498169" name="Прямокутник 1180664235"/>
                      <wp:cNvGraphicFramePr/>
                      <a:graphic xmlns:a="http://schemas.openxmlformats.org/drawingml/2006/main">
                        <a:graphicData uri="http://schemas.microsoft.com/office/word/2010/wordprocessingShape">
                          <wps:wsp>
                            <wps:cNvSpPr/>
                            <wps:spPr>
                              <a:xfrm>
                                <a:off x="0" y="0"/>
                                <a:ext cx="1002665" cy="449580"/>
                              </a:xfrm>
                              <a:prstGeom prst="rect">
                                <a:avLst/>
                              </a:prstGeom>
                              <a:solidFill>
                                <a:srgbClr val="CCE9D7"/>
                              </a:solidFill>
                            </wps:spPr>
                            <wps:txbx>
                              <w:txbxContent>
                                <w:p w14:paraId="1E61008F" w14:textId="77777777" w:rsidR="009D0C1D" w:rsidRPr="00115639" w:rsidRDefault="009D0C1D" w:rsidP="008E6497">
                                  <w:pPr>
                                    <w:spacing w:line="232" w:lineRule="auto"/>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2 год 30 хв на цикл, час отримання результатів</w:t>
                                  </w:r>
                                </w:p>
                              </w:txbxContent>
                            </wps:txbx>
                            <wps:bodyPr wrap="square" lIns="0" tIns="0" rIns="0" bIns="0">
                              <a:noAutofit/>
                            </wps:bodyPr>
                          </wps:wsp>
                        </a:graphicData>
                      </a:graphic>
                      <wp14:sizeRelV relativeFrom="margin">
                        <wp14:pctHeight>0</wp14:pctHeight>
                      </wp14:sizeRelV>
                    </wp:anchor>
                  </w:drawing>
                </mc:Choice>
                <mc:Fallback>
                  <w:pict>
                    <v:rect w14:anchorId="119F28B7" id="Прямокутник 1180664235" o:spid="_x0000_s1058" style="position:absolute;margin-left:365.9pt;margin-top:420.4pt;width:78.95pt;height:35.4pt;z-index:25146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" fillcolor="#cce9d7" stroked="f">
                      <v:textbox inset="0,0,0,0">
                        <w:txbxContent>
                          <w:p w14:paraId="1E61008F" w14:textId="77777777" w:rsidR="009D0C1D" w:rsidRPr="00115639" w:rsidRDefault="009D0C1D" w:rsidP="008E6497">
                            <w:pPr>
                              <w:spacing w:line="232" w:lineRule="auto"/>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2 год 30 хв на цикл, час отримання результатів</w:t>
                            </w:r>
                          </w:p>
                        </w:txbxContent>
                      </v:textbox>
                    </v:rect>
                  </w:pict>
                </mc:Fallback>
              </mc:AlternateContent>
            </w:r>
            <w:r>
              <w:rPr>
                <w:noProof/>
              </w:rPr>
              <mc:AlternateContent>
                <mc:Choice Requires="wps">
                  <w:drawing>
                    <wp:anchor distT="0" distB="0" distL="114300" distR="114300" simplePos="0" relativeHeight="251469824" behindDoc="0" locked="0" layoutInCell="1" allowOverlap="1" wp14:anchorId="5228BFD4" wp14:editId="57ACA411">
                      <wp:simplePos x="0" y="0"/>
                      <wp:positionH relativeFrom="column">
                        <wp:posOffset>4685030</wp:posOffset>
                      </wp:positionH>
                      <wp:positionV relativeFrom="paragraph">
                        <wp:posOffset>4927600</wp:posOffset>
                      </wp:positionV>
                      <wp:extent cx="975360" cy="236220"/>
                      <wp:effectExtent l="0" t="0" r="0" b="0"/>
                      <wp:wrapNone/>
                      <wp:docPr id="1506163163" name="Прямокутник 253991484"/>
                      <wp:cNvGraphicFramePr/>
                      <a:graphic xmlns:a="http://schemas.openxmlformats.org/drawingml/2006/main">
                        <a:graphicData uri="http://schemas.microsoft.com/office/word/2010/wordprocessingShape">
                          <wps:wsp>
                            <wps:cNvSpPr/>
                            <wps:spPr>
                              <a:xfrm>
                                <a:off x="0" y="0"/>
                                <a:ext cx="975360" cy="236220"/>
                              </a:xfrm>
                              <a:prstGeom prst="rect">
                                <a:avLst/>
                              </a:prstGeom>
                              <a:solidFill>
                                <a:srgbClr val="CCE9D7"/>
                              </a:solidFill>
                            </wps:spPr>
                            <wps:txbx>
                              <w:txbxContent>
                                <w:p w14:paraId="3620AB86"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Центрифугують протягом 60 с</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228BFD4" id="Прямокутник 253991484" o:spid="_x0000_s1059" style="position:absolute;margin-left:368.9pt;margin-top:388pt;width:76.8pt;height:18.6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" fillcolor="#cce9d7" stroked="f">
                      <v:textbox inset="0,0,0,0">
                        <w:txbxContent>
                          <w:p w14:paraId="3620AB86"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Центрифугують протягом 60 с</w:t>
                            </w:r>
                          </w:p>
                        </w:txbxContent>
                      </v:textbox>
                    </v:rect>
                  </w:pict>
                </mc:Fallback>
              </mc:AlternateContent>
            </w:r>
            <w:r>
              <w:rPr>
                <w:noProof/>
              </w:rPr>
              <mc:AlternateContent>
                <mc:Choice Requires="wps">
                  <w:drawing>
                    <wp:anchor distT="0" distB="0" distL="114300" distR="114300" simplePos="0" relativeHeight="251462656" behindDoc="0" locked="0" layoutInCell="1" allowOverlap="1" wp14:anchorId="66A86D28" wp14:editId="20658A0E">
                      <wp:simplePos x="0" y="0"/>
                      <wp:positionH relativeFrom="column">
                        <wp:posOffset>4654550</wp:posOffset>
                      </wp:positionH>
                      <wp:positionV relativeFrom="paragraph">
                        <wp:posOffset>4386580</wp:posOffset>
                      </wp:positionV>
                      <wp:extent cx="1005840" cy="472440"/>
                      <wp:effectExtent l="0" t="0" r="3810" b="3810"/>
                      <wp:wrapNone/>
                      <wp:docPr id="1226327379" name="Прямокутник 1350692422"/>
                      <wp:cNvGraphicFramePr/>
                      <a:graphic xmlns:a="http://schemas.openxmlformats.org/drawingml/2006/main">
                        <a:graphicData uri="http://schemas.microsoft.com/office/word/2010/wordprocessingShape">
                          <wps:wsp>
                            <wps:cNvSpPr/>
                            <wps:spPr>
                              <a:xfrm>
                                <a:off x="0" y="0"/>
                                <a:ext cx="1005840" cy="472440"/>
                              </a:xfrm>
                              <a:prstGeom prst="rect">
                                <a:avLst/>
                              </a:prstGeom>
                              <a:solidFill>
                                <a:srgbClr val="CCE9D7"/>
                              </a:solidFill>
                            </wps:spPr>
                            <wps:txbx>
                              <w:txbxContent>
                                <w:p w14:paraId="434E83BC" w14:textId="77777777" w:rsidR="009D0C1D" w:rsidRPr="00115639" w:rsidRDefault="009D0C1D" w:rsidP="008E6497">
                                  <w:pPr>
                                    <w:spacing w:line="232" w:lineRule="auto"/>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Обробляють ультразвуком протягом 1 хв на зразок</w:t>
                                  </w:r>
                                </w:p>
                              </w:txbxContent>
                            </wps:txbx>
                            <wps:bodyPr wrap="square" lIns="0" tIns="0" rIns="0" bIns="0">
                              <a:noAutofit/>
                            </wps:bodyPr>
                          </wps:wsp>
                        </a:graphicData>
                      </a:graphic>
                      <wp14:sizeRelV relativeFrom="margin">
                        <wp14:pctHeight>0</wp14:pctHeight>
                      </wp14:sizeRelV>
                    </wp:anchor>
                  </w:drawing>
                </mc:Choice>
                <mc:Fallback>
                  <w:pict>
                    <v:rect w14:anchorId="66A86D28" id="Прямокутник 1350692422" o:spid="_x0000_s1060" style="position:absolute;margin-left:366.5pt;margin-top:345.4pt;width:79.2pt;height:37.2pt;z-index:25146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" fillcolor="#cce9d7" stroked="f">
                      <v:textbox inset="0,0,0,0">
                        <w:txbxContent>
                          <w:p w14:paraId="434E83BC" w14:textId="77777777" w:rsidR="009D0C1D" w:rsidRPr="00115639" w:rsidRDefault="009D0C1D" w:rsidP="008E6497">
                            <w:pPr>
                              <w:spacing w:line="232" w:lineRule="auto"/>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Обробляють ультразвуком протягом 1 хв на зразок</w:t>
                            </w:r>
                          </w:p>
                        </w:txbxContent>
                      </v:textbox>
                    </v:rect>
                  </w:pict>
                </mc:Fallback>
              </mc:AlternateContent>
            </w:r>
            <w:r>
              <w:rPr>
                <w:noProof/>
              </w:rPr>
              <mc:AlternateContent>
                <mc:Choice Requires="wps">
                  <w:drawing>
                    <wp:anchor distT="0" distB="0" distL="114300" distR="114300" simplePos="0" relativeHeight="251450368" behindDoc="0" locked="0" layoutInCell="1" allowOverlap="1" wp14:anchorId="742E5C53" wp14:editId="3980D234">
                      <wp:simplePos x="0" y="0"/>
                      <wp:positionH relativeFrom="column">
                        <wp:posOffset>3602990</wp:posOffset>
                      </wp:positionH>
                      <wp:positionV relativeFrom="paragraph">
                        <wp:posOffset>4919980</wp:posOffset>
                      </wp:positionV>
                      <wp:extent cx="822960" cy="480060"/>
                      <wp:effectExtent l="0" t="0" r="0" b="0"/>
                      <wp:wrapNone/>
                      <wp:docPr id="578824851" name="Прямокутник 1601082839"/>
                      <wp:cNvGraphicFramePr/>
                      <a:graphic xmlns:a="http://schemas.openxmlformats.org/drawingml/2006/main">
                        <a:graphicData uri="http://schemas.microsoft.com/office/word/2010/wordprocessingShape">
                          <wps:wsp>
                            <wps:cNvSpPr/>
                            <wps:spPr>
                              <a:xfrm>
                                <a:off x="0" y="0"/>
                                <a:ext cx="822960" cy="480060"/>
                              </a:xfrm>
                              <a:prstGeom prst="rect">
                                <a:avLst/>
                              </a:prstGeom>
                              <a:solidFill>
                                <a:srgbClr val="CCE9D7"/>
                              </a:solidFill>
                            </wps:spPr>
                            <wps:txbx>
                              <w:txbxContent>
                                <w:p w14:paraId="2CCED324" w14:textId="77777777" w:rsidR="009D0C1D" w:rsidRPr="00115639" w:rsidRDefault="009D0C1D" w:rsidP="008E6497">
                                  <w:pPr>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Герметизують пластину та переносять на прилад</w:t>
                                  </w:r>
                                </w:p>
                              </w:txbxContent>
                            </wps:txbx>
                            <wps:bodyPr wrap="square" lIns="0" tIns="0" rIns="0" bIns="0">
                              <a:noAutofit/>
                            </wps:bodyPr>
                          </wps:wsp>
                        </a:graphicData>
                      </a:graphic>
                      <wp14:sizeRelV relativeFrom="margin">
                        <wp14:pctHeight>0</wp14:pctHeight>
                      </wp14:sizeRelV>
                    </wp:anchor>
                  </w:drawing>
                </mc:Choice>
                <mc:Fallback>
                  <w:pict>
                    <v:rect w14:anchorId="742E5C53" id="Прямокутник 1601082839" o:spid="_x0000_s1061" style="position:absolute;margin-left:283.7pt;margin-top:387.4pt;width:64.8pt;height:37.8pt;z-index:25145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" fillcolor="#cce9d7" stroked="f">
                      <v:textbox inset="0,0,0,0">
                        <w:txbxContent>
                          <w:p w14:paraId="2CCED324" w14:textId="77777777" w:rsidR="009D0C1D" w:rsidRPr="00115639" w:rsidRDefault="009D0C1D" w:rsidP="008E6497">
                            <w:pPr>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Герметизують пластину та переносять на прилад</w:t>
                            </w:r>
                          </w:p>
                        </w:txbxContent>
                      </v:textbox>
                    </v:rect>
                  </w:pict>
                </mc:Fallback>
              </mc:AlternateContent>
            </w:r>
            <w:r>
              <w:rPr>
                <w:noProof/>
              </w:rPr>
              <mc:AlternateContent>
                <mc:Choice Requires="wps">
                  <w:drawing>
                    <wp:anchor distT="0" distB="0" distL="114300" distR="114300" simplePos="0" relativeHeight="251452416" behindDoc="0" locked="0" layoutInCell="1" allowOverlap="1" wp14:anchorId="256A5A5F" wp14:editId="758BC6C9">
                      <wp:simplePos x="0" y="0"/>
                      <wp:positionH relativeFrom="column">
                        <wp:posOffset>2528570</wp:posOffset>
                      </wp:positionH>
                      <wp:positionV relativeFrom="paragraph">
                        <wp:posOffset>4378960</wp:posOffset>
                      </wp:positionV>
                      <wp:extent cx="725170" cy="480060"/>
                      <wp:effectExtent l="0" t="0" r="0" b="0"/>
                      <wp:wrapNone/>
                      <wp:docPr id="653909141" name="Прямокутник 917199529"/>
                      <wp:cNvGraphicFramePr/>
                      <a:graphic xmlns:a="http://schemas.openxmlformats.org/drawingml/2006/main">
                        <a:graphicData uri="http://schemas.microsoft.com/office/word/2010/wordprocessingShape">
                          <wps:wsp>
                            <wps:cNvSpPr/>
                            <wps:spPr>
                              <a:xfrm>
                                <a:off x="0" y="0"/>
                                <a:ext cx="725170" cy="480060"/>
                              </a:xfrm>
                              <a:prstGeom prst="rect">
                                <a:avLst/>
                              </a:prstGeom>
                              <a:solidFill>
                                <a:srgbClr val="CCE9D7"/>
                              </a:solidFill>
                            </wps:spPr>
                            <wps:txbx>
                              <w:txbxContent>
                                <w:p w14:paraId="5A9FE3D4" w14:textId="77777777" w:rsidR="009D0C1D" w:rsidRPr="00115639" w:rsidRDefault="009D0C1D" w:rsidP="008E6497">
                                  <w:pPr>
                                    <w:spacing w:line="232" w:lineRule="auto"/>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3,5 год на цикл, час отримання результатів</w:t>
                                  </w:r>
                                </w:p>
                              </w:txbxContent>
                            </wps:txbx>
                            <wps:bodyPr wrap="square" lIns="0" tIns="0" rIns="0" bIns="0">
                              <a:noAutofit/>
                            </wps:bodyPr>
                          </wps:wsp>
                        </a:graphicData>
                      </a:graphic>
                      <wp14:sizeRelV relativeFrom="margin">
                        <wp14:pctHeight>0</wp14:pctHeight>
                      </wp14:sizeRelV>
                    </wp:anchor>
                  </w:drawing>
                </mc:Choice>
                <mc:Fallback>
                  <w:pict>
                    <v:rect w14:anchorId="256A5A5F" id="Прямокутник 917199529" o:spid="_x0000_s1062" style="position:absolute;margin-left:199.1pt;margin-top:344.8pt;width:57.1pt;height:37.8pt;z-index:25145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" fillcolor="#cce9d7" stroked="f">
                      <v:textbox inset="0,0,0,0">
                        <w:txbxContent>
                          <w:p w14:paraId="5A9FE3D4" w14:textId="77777777" w:rsidR="009D0C1D" w:rsidRPr="00115639" w:rsidRDefault="009D0C1D" w:rsidP="008E6497">
                            <w:pPr>
                              <w:spacing w:line="232" w:lineRule="auto"/>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3,5 год на цикл, час отримання результатів</w:t>
                            </w:r>
                          </w:p>
                        </w:txbxContent>
                      </v:textbox>
                    </v:rect>
                  </w:pict>
                </mc:Fallback>
              </mc:AlternateContent>
            </w:r>
            <w:r>
              <w:rPr>
                <w:noProof/>
              </w:rPr>
              <mc:AlternateContent>
                <mc:Choice Requires="wps">
                  <w:drawing>
                    <wp:anchor distT="0" distB="0" distL="114300" distR="114300" simplePos="0" relativeHeight="251454464" behindDoc="0" locked="0" layoutInCell="1" allowOverlap="1" wp14:anchorId="2CD5B304" wp14:editId="5B9B316D">
                      <wp:simplePos x="0" y="0"/>
                      <wp:positionH relativeFrom="column">
                        <wp:posOffset>1195070</wp:posOffset>
                      </wp:positionH>
                      <wp:positionV relativeFrom="paragraph">
                        <wp:posOffset>5727700</wp:posOffset>
                      </wp:positionV>
                      <wp:extent cx="1087755" cy="262255"/>
                      <wp:effectExtent l="0" t="0" r="0" b="4445"/>
                      <wp:wrapNone/>
                      <wp:docPr id="707234827" name="Прямокутник 608319826"/>
                      <wp:cNvGraphicFramePr/>
                      <a:graphic xmlns:a="http://schemas.openxmlformats.org/drawingml/2006/main">
                        <a:graphicData uri="http://schemas.microsoft.com/office/word/2010/wordprocessingShape">
                          <wps:wsp>
                            <wps:cNvSpPr/>
                            <wps:spPr>
                              <a:xfrm>
                                <a:off x="0" y="0"/>
                                <a:ext cx="1087755" cy="262255"/>
                              </a:xfrm>
                              <a:prstGeom prst="rect">
                                <a:avLst/>
                              </a:prstGeom>
                              <a:solidFill>
                                <a:srgbClr val="CCE9D7"/>
                              </a:solidFill>
                            </wps:spPr>
                            <wps:txbx>
                              <w:txbxContent>
                                <w:p w14:paraId="5B9843F7" w14:textId="6AF3CA5B" w:rsidR="009D0C1D" w:rsidRPr="00115639" w:rsidRDefault="009D0C1D" w:rsidP="008E6497">
                                  <w:pPr>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Ампліфікація та виявлення, 2 год 30 хв</w:t>
                                  </w:r>
                                </w:p>
                              </w:txbxContent>
                            </wps:txbx>
                            <wps:bodyPr wrap="square" lIns="0" tIns="0" rIns="0" bIns="0">
                              <a:noAutofit/>
                            </wps:bodyPr>
                          </wps:wsp>
                        </a:graphicData>
                      </a:graphic>
                      <wp14:sizeRelV relativeFrom="margin">
                        <wp14:pctHeight>0</wp14:pctHeight>
                      </wp14:sizeRelV>
                    </wp:anchor>
                  </w:drawing>
                </mc:Choice>
                <mc:Fallback>
                  <w:pict>
                    <v:rect w14:anchorId="2CD5B304" id="Прямокутник 608319826" o:spid="_x0000_s1063" style="position:absolute;margin-left:94.1pt;margin-top:451pt;width:85.65pt;height:20.65pt;z-index:25145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" fillcolor="#cce9d7" stroked="f">
                      <v:textbox inset="0,0,0,0">
                        <w:txbxContent>
                          <w:p w14:paraId="5B9843F7" w14:textId="6AF3CA5B" w:rsidR="009D0C1D" w:rsidRPr="00115639" w:rsidRDefault="009D0C1D" w:rsidP="008E6497">
                            <w:pPr>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Ампліфікація та виявлення, 2 год 30 хв</w:t>
                            </w:r>
                          </w:p>
                        </w:txbxContent>
                      </v:textbox>
                    </v:rect>
                  </w:pict>
                </mc:Fallback>
              </mc:AlternateContent>
            </w:r>
            <w:r>
              <w:rPr>
                <w:noProof/>
              </w:rPr>
              <mc:AlternateContent>
                <mc:Choice Requires="wps">
                  <w:drawing>
                    <wp:anchor distT="0" distB="0" distL="114300" distR="114300" simplePos="0" relativeHeight="251444224" behindDoc="0" locked="0" layoutInCell="1" allowOverlap="1" wp14:anchorId="67E10DD6" wp14:editId="345200C0">
                      <wp:simplePos x="0" y="0"/>
                      <wp:positionH relativeFrom="column">
                        <wp:posOffset>1324610</wp:posOffset>
                      </wp:positionH>
                      <wp:positionV relativeFrom="paragraph">
                        <wp:posOffset>5049520</wp:posOffset>
                      </wp:positionV>
                      <wp:extent cx="816610" cy="457200"/>
                      <wp:effectExtent l="0" t="0" r="2540" b="0"/>
                      <wp:wrapNone/>
                      <wp:docPr id="230827487" name="Прямокутник 95372007"/>
                      <wp:cNvGraphicFramePr/>
                      <a:graphic xmlns:a="http://schemas.openxmlformats.org/drawingml/2006/main">
                        <a:graphicData uri="http://schemas.microsoft.com/office/word/2010/wordprocessingShape">
                          <wps:wsp>
                            <wps:cNvSpPr/>
                            <wps:spPr>
                              <a:xfrm>
                                <a:off x="0" y="0"/>
                                <a:ext cx="816610" cy="457200"/>
                              </a:xfrm>
                              <a:prstGeom prst="rect">
                                <a:avLst/>
                              </a:prstGeom>
                              <a:solidFill>
                                <a:srgbClr val="CCE9D7"/>
                              </a:solidFill>
                            </wps:spPr>
                            <wps:txbx>
                              <w:txbxContent>
                                <w:p w14:paraId="242C8934" w14:textId="77777777" w:rsidR="009D0C1D" w:rsidRPr="00115639" w:rsidRDefault="009D0C1D" w:rsidP="008E6497">
                                  <w:pPr>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Герметизують пластину та переносять на прилад</w:t>
                                  </w:r>
                                </w:p>
                              </w:txbxContent>
                            </wps:txbx>
                            <wps:bodyPr wrap="square" lIns="0" tIns="0" rIns="0" bIns="0">
                              <a:noAutofit/>
                            </wps:bodyPr>
                          </wps:wsp>
                        </a:graphicData>
                      </a:graphic>
                      <wp14:sizeRelV relativeFrom="margin">
                        <wp14:pctHeight>0</wp14:pctHeight>
                      </wp14:sizeRelV>
                    </wp:anchor>
                  </w:drawing>
                </mc:Choice>
                <mc:Fallback>
                  <w:pict>
                    <v:rect w14:anchorId="67E10DD6" id="Прямокутник 95372007" o:spid="_x0000_s1064" style="position:absolute;margin-left:104.3pt;margin-top:397.6pt;width:64.3pt;height:36pt;z-index:25144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" fillcolor="#cce9d7" stroked="f">
                      <v:textbox inset="0,0,0,0">
                        <w:txbxContent>
                          <w:p w14:paraId="242C8934" w14:textId="77777777" w:rsidR="009D0C1D" w:rsidRPr="00115639" w:rsidRDefault="009D0C1D" w:rsidP="008E6497">
                            <w:pPr>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Герметизують пластину та переносять на прилад</w:t>
                            </w:r>
                          </w:p>
                        </w:txbxContent>
                      </v:textbox>
                    </v:rect>
                  </w:pict>
                </mc:Fallback>
              </mc:AlternateContent>
            </w:r>
            <w:r>
              <w:rPr>
                <w:noProof/>
              </w:rPr>
              <mc:AlternateContent>
                <mc:Choice Requires="wps">
                  <w:drawing>
                    <wp:anchor distT="0" distB="0" distL="114300" distR="114300" simplePos="0" relativeHeight="251461632" behindDoc="0" locked="0" layoutInCell="1" allowOverlap="1" wp14:anchorId="3A019794" wp14:editId="0494BD8F">
                      <wp:simplePos x="0" y="0"/>
                      <wp:positionH relativeFrom="column">
                        <wp:posOffset>105410</wp:posOffset>
                      </wp:positionH>
                      <wp:positionV relativeFrom="paragraph">
                        <wp:posOffset>4371340</wp:posOffset>
                      </wp:positionV>
                      <wp:extent cx="969010" cy="487680"/>
                      <wp:effectExtent l="0" t="0" r="2540" b="7620"/>
                      <wp:wrapNone/>
                      <wp:docPr id="1144199475" name="Прямокутник 200984821"/>
                      <wp:cNvGraphicFramePr/>
                      <a:graphic xmlns:a="http://schemas.openxmlformats.org/drawingml/2006/main">
                        <a:graphicData uri="http://schemas.microsoft.com/office/word/2010/wordprocessingShape">
                          <wps:wsp>
                            <wps:cNvSpPr/>
                            <wps:spPr>
                              <a:xfrm>
                                <a:off x="0" y="0"/>
                                <a:ext cx="969010" cy="487680"/>
                              </a:xfrm>
                              <a:prstGeom prst="rect">
                                <a:avLst/>
                              </a:prstGeom>
                              <a:solidFill>
                                <a:srgbClr val="CCE9D7"/>
                              </a:solidFill>
                            </wps:spPr>
                            <wps:txbx>
                              <w:txbxContent>
                                <w:p w14:paraId="1AAEE670"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Виділення ДНК, ампліфікація та виявлення</w:t>
                                  </w:r>
                                </w:p>
                              </w:txbxContent>
                            </wps:txbx>
                            <wps:bodyPr wrap="square" lIns="0" tIns="0" rIns="0" bIns="0">
                              <a:noAutofit/>
                            </wps:bodyPr>
                          </wps:wsp>
                        </a:graphicData>
                      </a:graphic>
                      <wp14:sizeRelV relativeFrom="margin">
                        <wp14:pctHeight>0</wp14:pctHeight>
                      </wp14:sizeRelV>
                    </wp:anchor>
                  </w:drawing>
                </mc:Choice>
                <mc:Fallback>
                  <w:pict>
                    <v:rect w14:anchorId="3A019794" id="Прямокутник 200984821" o:spid="_x0000_s1065" style="position:absolute;margin-left:8.3pt;margin-top:344.2pt;width:76.3pt;height:38.4pt;z-index:25146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" fillcolor="#cce9d7" stroked="f">
                      <v:textbox inset="0,0,0,0">
                        <w:txbxContent>
                          <w:p w14:paraId="1AAEE670"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Виділення ДНК, ампліфікація та виявлення</w:t>
                            </w:r>
                          </w:p>
                        </w:txbxContent>
                      </v:textbox>
                    </v:rect>
                  </w:pict>
                </mc:Fallback>
              </mc:AlternateContent>
            </w:r>
            <w:r>
              <w:rPr>
                <w:noProof/>
              </w:rPr>
              <mc:AlternateContent>
                <mc:Choice Requires="wps">
                  <w:drawing>
                    <wp:anchor distT="0" distB="0" distL="114300" distR="114300" simplePos="0" relativeHeight="251441152" behindDoc="0" locked="0" layoutInCell="1" allowOverlap="1" wp14:anchorId="1F84C596" wp14:editId="527B05F0">
                      <wp:simplePos x="0" y="0"/>
                      <wp:positionH relativeFrom="column">
                        <wp:posOffset>1187450</wp:posOffset>
                      </wp:positionH>
                      <wp:positionV relativeFrom="paragraph">
                        <wp:posOffset>3822700</wp:posOffset>
                      </wp:positionV>
                      <wp:extent cx="1087755" cy="381000"/>
                      <wp:effectExtent l="0" t="0" r="0" b="0"/>
                      <wp:wrapNone/>
                      <wp:docPr id="132041337" name="Прямокутник 2059229682"/>
                      <wp:cNvGraphicFramePr/>
                      <a:graphic xmlns:a="http://schemas.openxmlformats.org/drawingml/2006/main">
                        <a:graphicData uri="http://schemas.microsoft.com/office/word/2010/wordprocessingShape">
                          <wps:wsp>
                            <wps:cNvSpPr/>
                            <wps:spPr>
                              <a:xfrm>
                                <a:off x="0" y="0"/>
                                <a:ext cx="1087755" cy="381000"/>
                              </a:xfrm>
                              <a:prstGeom prst="rect">
                                <a:avLst/>
                              </a:prstGeom>
                              <a:solidFill>
                                <a:srgbClr val="FDEDCC"/>
                              </a:solidFill>
                            </wps:spPr>
                            <wps:txbx>
                              <w:txbxContent>
                                <w:p w14:paraId="36C6F0F2" w14:textId="77777777" w:rsidR="009D0C1D" w:rsidRPr="00115639" w:rsidRDefault="009D0C1D" w:rsidP="008E6497">
                                  <w:pPr>
                                    <w:jc w:val="center"/>
                                    <w:rPr>
                                      <w:rFonts w:ascii="Century Gothic" w:hAnsi="Century Gothic" w:cstheme="minorBidi"/>
                                      <w:color w:val="000000" w:themeColor="text1"/>
                                      <w:kern w:val="24"/>
                                      <w:sz w:val="12"/>
                                      <w:szCs w:val="12"/>
                                    </w:rPr>
                                  </w:pPr>
                                  <w:r w:rsidRPr="00115639">
                                    <w:rPr>
                                      <w:rFonts w:ascii="Century Gothic" w:hAnsi="Century Gothic"/>
                                      <w:color w:val="000000" w:themeColor="text1"/>
                                      <w:sz w:val="12"/>
                                      <w:szCs w:val="18"/>
                                    </w:rPr>
                                    <w:t>Перемішують на вихровій мішалці протягом 20/30 с при</w:t>
                                  </w:r>
                                </w:p>
                                <w:p w14:paraId="091653FA" w14:textId="77777777" w:rsidR="009D0C1D" w:rsidRPr="00115639" w:rsidRDefault="009D0C1D" w:rsidP="008E6497">
                                  <w:pPr>
                                    <w:spacing w:line="230" w:lineRule="auto"/>
                                    <w:jc w:val="center"/>
                                    <w:rPr>
                                      <w:rFonts w:ascii="Century Gothic" w:hAnsi="Century Gothic" w:cstheme="minorBidi"/>
                                      <w:color w:val="000000" w:themeColor="text1"/>
                                      <w:kern w:val="24"/>
                                      <w:sz w:val="12"/>
                                      <w:szCs w:val="12"/>
                                    </w:rPr>
                                  </w:pPr>
                                  <w:r w:rsidRPr="00115639">
                                    <w:rPr>
                                      <w:rFonts w:ascii="Century Gothic" w:hAnsi="Century Gothic"/>
                                      <w:color w:val="000000" w:themeColor="text1"/>
                                      <w:sz w:val="12"/>
                                      <w:szCs w:val="18"/>
                                    </w:rPr>
                                    <w:t>20 хв</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F84C596" id="Прямокутник 2059229682" o:spid="_x0000_s1066" style="position:absolute;margin-left:93.5pt;margin-top:301pt;width:85.65pt;height:30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" fillcolor="#fdedcc" stroked="f">
                      <v:textbox inset="0,0,0,0">
                        <w:txbxContent>
                          <w:p w14:paraId="36C6F0F2" w14:textId="77777777" w:rsidR="009D0C1D" w:rsidRPr="00115639" w:rsidRDefault="009D0C1D" w:rsidP="008E6497">
                            <w:pPr>
                              <w:jc w:val="center"/>
                              <w:rPr>
                                <w:rFonts w:ascii="Century Gothic" w:hAnsi="Century Gothic" w:cstheme="minorBidi"/>
                                <w:color w:val="000000" w:themeColor="text1"/>
                                <w:kern w:val="24"/>
                                <w:sz w:val="12"/>
                                <w:szCs w:val="12"/>
                              </w:rPr>
                            </w:pPr>
                            <w:r w:rsidRPr="00115639">
                              <w:rPr>
                                <w:rFonts w:ascii="Century Gothic" w:hAnsi="Century Gothic"/>
                                <w:color w:val="000000" w:themeColor="text1"/>
                                <w:sz w:val="12"/>
                                <w:szCs w:val="18"/>
                              </w:rPr>
                              <w:t>Перемішують на вихровій мішалці протягом 20/30 с при</w:t>
                            </w:r>
                          </w:p>
                          <w:p w14:paraId="091653FA" w14:textId="77777777" w:rsidR="009D0C1D" w:rsidRPr="00115639" w:rsidRDefault="009D0C1D" w:rsidP="008E6497">
                            <w:pPr>
                              <w:spacing w:line="230" w:lineRule="auto"/>
                              <w:jc w:val="center"/>
                              <w:rPr>
                                <w:rFonts w:ascii="Century Gothic" w:hAnsi="Century Gothic" w:cstheme="minorBidi"/>
                                <w:color w:val="000000" w:themeColor="text1"/>
                                <w:kern w:val="24"/>
                                <w:sz w:val="12"/>
                                <w:szCs w:val="12"/>
                              </w:rPr>
                            </w:pPr>
                            <w:r w:rsidRPr="00115639">
                              <w:rPr>
                                <w:rFonts w:ascii="Century Gothic" w:hAnsi="Century Gothic"/>
                                <w:color w:val="000000" w:themeColor="text1"/>
                                <w:sz w:val="12"/>
                                <w:szCs w:val="18"/>
                              </w:rPr>
                              <w:t>20 хв</w:t>
                            </w:r>
                          </w:p>
                        </w:txbxContent>
                      </v:textbox>
                    </v:rect>
                  </w:pict>
                </mc:Fallback>
              </mc:AlternateContent>
            </w:r>
            <w:r>
              <w:rPr>
                <w:noProof/>
              </w:rPr>
              <mc:AlternateContent>
                <mc:Choice Requires="wps">
                  <w:drawing>
                    <wp:anchor distT="0" distB="0" distL="114300" distR="114300" simplePos="0" relativeHeight="251460608" behindDoc="0" locked="0" layoutInCell="1" allowOverlap="1" wp14:anchorId="5977D83E" wp14:editId="70E0DB3F">
                      <wp:simplePos x="0" y="0"/>
                      <wp:positionH relativeFrom="column">
                        <wp:posOffset>3823970</wp:posOffset>
                      </wp:positionH>
                      <wp:positionV relativeFrom="paragraph">
                        <wp:posOffset>3464560</wp:posOffset>
                      </wp:positionV>
                      <wp:extent cx="541020" cy="137795"/>
                      <wp:effectExtent l="0" t="0" r="0" b="0"/>
                      <wp:wrapNone/>
                      <wp:docPr id="884088779" name="Прямокутник 1640445189"/>
                      <wp:cNvGraphicFramePr/>
                      <a:graphic xmlns:a="http://schemas.openxmlformats.org/drawingml/2006/main">
                        <a:graphicData uri="http://schemas.microsoft.com/office/word/2010/wordprocessingShape">
                          <wps:wsp>
                            <wps:cNvSpPr/>
                            <wps:spPr>
                              <a:xfrm>
                                <a:off x="0" y="0"/>
                                <a:ext cx="541020" cy="137795"/>
                              </a:xfrm>
                              <a:prstGeom prst="rect">
                                <a:avLst/>
                              </a:prstGeom>
                              <a:solidFill>
                                <a:srgbClr val="FDEDCC"/>
                              </a:solidFill>
                            </wps:spPr>
                            <wps:txbx>
                              <w:txbxContent>
                                <w:p w14:paraId="6D759B2F" w14:textId="77777777" w:rsidR="009D0C1D" w:rsidRPr="00115639" w:rsidRDefault="009D0C1D" w:rsidP="00115639">
                                  <w:pPr>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30 хв</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977D83E" id="Прямокутник 1640445189" o:spid="_x0000_s1067" style="position:absolute;margin-left:301.1pt;margin-top:272.8pt;width:42.6pt;height:10.8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" fillcolor="#fdedcc" stroked="f">
                      <v:textbox inset="0,0,0,0">
                        <w:txbxContent>
                          <w:p w14:paraId="6D759B2F" w14:textId="77777777" w:rsidR="009D0C1D" w:rsidRPr="00115639" w:rsidRDefault="009D0C1D" w:rsidP="00115639">
                            <w:pPr>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30 хв</w:t>
                            </w:r>
                          </w:p>
                        </w:txbxContent>
                      </v:textbox>
                    </v:rect>
                  </w:pict>
                </mc:Fallback>
              </mc:AlternateContent>
            </w:r>
            <w:r>
              <w:rPr>
                <w:noProof/>
              </w:rPr>
              <mc:AlternateContent>
                <mc:Choice Requires="wps">
                  <w:drawing>
                    <wp:anchor distT="0" distB="0" distL="114300" distR="114300" simplePos="0" relativeHeight="251475968" behindDoc="0" locked="0" layoutInCell="1" allowOverlap="1" wp14:anchorId="244B01F8" wp14:editId="1C84D0F8">
                      <wp:simplePos x="0" y="0"/>
                      <wp:positionH relativeFrom="column">
                        <wp:posOffset>2711450</wp:posOffset>
                      </wp:positionH>
                      <wp:positionV relativeFrom="paragraph">
                        <wp:posOffset>3472180</wp:posOffset>
                      </wp:positionV>
                      <wp:extent cx="457200" cy="130175"/>
                      <wp:effectExtent l="0" t="0" r="0" b="3175"/>
                      <wp:wrapNone/>
                      <wp:docPr id="1816873398" name="Прямокутник 1718148241"/>
                      <wp:cNvGraphicFramePr/>
                      <a:graphic xmlns:a="http://schemas.openxmlformats.org/drawingml/2006/main">
                        <a:graphicData uri="http://schemas.microsoft.com/office/word/2010/wordprocessingShape">
                          <wps:wsp>
                            <wps:cNvSpPr/>
                            <wps:spPr>
                              <a:xfrm>
                                <a:off x="0" y="0"/>
                                <a:ext cx="457200" cy="130175"/>
                              </a:xfrm>
                              <a:prstGeom prst="rect">
                                <a:avLst/>
                              </a:prstGeom>
                              <a:solidFill>
                                <a:srgbClr val="FDEDCC"/>
                              </a:solidFill>
                            </wps:spPr>
                            <wps:txbx>
                              <w:txbxContent>
                                <w:p w14:paraId="7655F4DE"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25 хв</w:t>
                                  </w:r>
                                </w:p>
                              </w:txbxContent>
                            </wps:txbx>
                            <wps:bodyPr wrap="square" lIns="0" tIns="0" rIns="0" bIns="0">
                              <a:noAutofit/>
                            </wps:bodyPr>
                          </wps:wsp>
                        </a:graphicData>
                      </a:graphic>
                      <wp14:sizeRelH relativeFrom="margin">
                        <wp14:pctWidth>0</wp14:pctWidth>
                      </wp14:sizeRelH>
                    </wp:anchor>
                  </w:drawing>
                </mc:Choice>
                <mc:Fallback>
                  <w:pict>
                    <v:rect w14:anchorId="244B01F8" id="Прямокутник 1718148241" o:spid="_x0000_s1068" style="position:absolute;margin-left:213.5pt;margin-top:273.4pt;width:36pt;height:10.25pt;z-index:25147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" fillcolor="#fdedcc" stroked="f">
                      <v:textbox inset="0,0,0,0">
                        <w:txbxContent>
                          <w:p w14:paraId="7655F4DE"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25 хв</w:t>
                            </w:r>
                          </w:p>
                        </w:txbxContent>
                      </v:textbox>
                    </v:rect>
                  </w:pict>
                </mc:Fallback>
              </mc:AlternateContent>
            </w:r>
            <w:r>
              <w:rPr>
                <w:noProof/>
              </w:rPr>
              <mc:AlternateContent>
                <mc:Choice Requires="wps">
                  <w:drawing>
                    <wp:anchor distT="0" distB="0" distL="114300" distR="114300" simplePos="0" relativeHeight="251476992" behindDoc="0" locked="0" layoutInCell="1" allowOverlap="1" wp14:anchorId="4349E1B1" wp14:editId="7D9C285F">
                      <wp:simplePos x="0" y="0"/>
                      <wp:positionH relativeFrom="column">
                        <wp:posOffset>1644650</wp:posOffset>
                      </wp:positionH>
                      <wp:positionV relativeFrom="paragraph">
                        <wp:posOffset>3472180</wp:posOffset>
                      </wp:positionV>
                      <wp:extent cx="426720" cy="130175"/>
                      <wp:effectExtent l="0" t="0" r="0" b="3175"/>
                      <wp:wrapNone/>
                      <wp:docPr id="2005381729" name="Прямокутник 224237174"/>
                      <wp:cNvGraphicFramePr/>
                      <a:graphic xmlns:a="http://schemas.openxmlformats.org/drawingml/2006/main">
                        <a:graphicData uri="http://schemas.microsoft.com/office/word/2010/wordprocessingShape">
                          <wps:wsp>
                            <wps:cNvSpPr/>
                            <wps:spPr>
                              <a:xfrm>
                                <a:off x="0" y="0"/>
                                <a:ext cx="426720" cy="130175"/>
                              </a:xfrm>
                              <a:prstGeom prst="rect">
                                <a:avLst/>
                              </a:prstGeom>
                              <a:solidFill>
                                <a:srgbClr val="FDEDCC"/>
                              </a:solidFill>
                            </wps:spPr>
                            <wps:txbx>
                              <w:txbxContent>
                                <w:p w14:paraId="1E3A1F13"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1 год</w:t>
                                  </w:r>
                                </w:p>
                              </w:txbxContent>
                            </wps:txbx>
                            <wps:bodyPr wrap="square" lIns="0" tIns="0" rIns="0" bIns="0">
                              <a:noAutofit/>
                            </wps:bodyPr>
                          </wps:wsp>
                        </a:graphicData>
                      </a:graphic>
                      <wp14:sizeRelH relativeFrom="margin">
                        <wp14:pctWidth>0</wp14:pctWidth>
                      </wp14:sizeRelH>
                    </wp:anchor>
                  </w:drawing>
                </mc:Choice>
                <mc:Fallback>
                  <w:pict>
                    <v:rect w14:anchorId="4349E1B1" id="Прямокутник 224237174" o:spid="_x0000_s1069" style="position:absolute;margin-left:129.5pt;margin-top:273.4pt;width:33.6pt;height:10.25pt;z-index:25147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" fillcolor="#fdedcc" stroked="f">
                      <v:textbox inset="0,0,0,0">
                        <w:txbxContent>
                          <w:p w14:paraId="1E3A1F13"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1 год</w:t>
                            </w:r>
                          </w:p>
                        </w:txbxContent>
                      </v:textbox>
                    </v:rect>
                  </w:pict>
                </mc:Fallback>
              </mc:AlternateContent>
            </w:r>
            <w:r>
              <w:rPr>
                <w:noProof/>
              </w:rPr>
              <mc:AlternateContent>
                <mc:Choice Requires="wps">
                  <w:drawing>
                    <wp:anchor distT="0" distB="0" distL="114300" distR="114300" simplePos="0" relativeHeight="251446272" behindDoc="0" locked="0" layoutInCell="1" allowOverlap="1" wp14:anchorId="7B3649A9" wp14:editId="7587C1EF">
                      <wp:simplePos x="0" y="0"/>
                      <wp:positionH relativeFrom="column">
                        <wp:posOffset>1210310</wp:posOffset>
                      </wp:positionH>
                      <wp:positionV relativeFrom="paragraph">
                        <wp:posOffset>2687320</wp:posOffset>
                      </wp:positionV>
                      <wp:extent cx="929640" cy="548640"/>
                      <wp:effectExtent l="0" t="0" r="3810" b="3810"/>
                      <wp:wrapNone/>
                      <wp:docPr id="256400907" name="Прямокутник 76713910"/>
                      <wp:cNvGraphicFramePr/>
                      <a:graphic xmlns:a="http://schemas.openxmlformats.org/drawingml/2006/main">
                        <a:graphicData uri="http://schemas.microsoft.com/office/word/2010/wordprocessingShape">
                          <wps:wsp>
                            <wps:cNvSpPr/>
                            <wps:spPr>
                              <a:xfrm>
                                <a:off x="0" y="0"/>
                                <a:ext cx="929640" cy="548640"/>
                              </a:xfrm>
                              <a:prstGeom prst="rect">
                                <a:avLst/>
                              </a:prstGeom>
                              <a:solidFill>
                                <a:srgbClr val="FBDDDB"/>
                              </a:solidFill>
                            </wps:spPr>
                            <wps:txbx>
                              <w:txbxContent>
                                <w:p w14:paraId="1B33686F"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Перемішують на вихровій мішалці протягом 20/30 с</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B3649A9" id="Прямокутник 76713910" o:spid="_x0000_s1070" style="position:absolute;margin-left:95.3pt;margin-top:211.6pt;width:73.2pt;height:43.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" fillcolor="#fbdddb" stroked="f">
                      <v:textbox inset="0,0,0,0">
                        <w:txbxContent>
                          <w:p w14:paraId="1B33686F"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Перемішують на вихровій мішалці протягом 20/30 с</w:t>
                            </w:r>
                          </w:p>
                        </w:txbxContent>
                      </v:textbox>
                    </v:rect>
                  </w:pict>
                </mc:Fallback>
              </mc:AlternateContent>
            </w:r>
            <w:r>
              <w:rPr>
                <w:noProof/>
              </w:rPr>
              <mc:AlternateContent>
                <mc:Choice Requires="wps">
                  <w:drawing>
                    <wp:anchor distT="0" distB="0" distL="114300" distR="114300" simplePos="0" relativeHeight="251472896" behindDoc="0" locked="0" layoutInCell="1" allowOverlap="1" wp14:anchorId="106F9DBA" wp14:editId="28497559">
                      <wp:simplePos x="0" y="0"/>
                      <wp:positionH relativeFrom="column">
                        <wp:posOffset>2391410</wp:posOffset>
                      </wp:positionH>
                      <wp:positionV relativeFrom="paragraph">
                        <wp:posOffset>2268220</wp:posOffset>
                      </wp:positionV>
                      <wp:extent cx="968375" cy="182880"/>
                      <wp:effectExtent l="0" t="0" r="3175" b="7620"/>
                      <wp:wrapNone/>
                      <wp:docPr id="1697220156" name="Прямокутник 816708959"/>
                      <wp:cNvGraphicFramePr/>
                      <a:graphic xmlns:a="http://schemas.openxmlformats.org/drawingml/2006/main">
                        <a:graphicData uri="http://schemas.microsoft.com/office/word/2010/wordprocessingShape">
                          <wps:wsp>
                            <wps:cNvSpPr/>
                            <wps:spPr>
                              <a:xfrm>
                                <a:off x="0" y="0"/>
                                <a:ext cx="968375" cy="182880"/>
                              </a:xfrm>
                              <a:prstGeom prst="rect">
                                <a:avLst/>
                              </a:prstGeom>
                              <a:solidFill>
                                <a:srgbClr val="FBDDDB"/>
                              </a:solidFill>
                            </wps:spPr>
                            <wps:txbx>
                              <w:txbxContent>
                                <w:p w14:paraId="4A87BB43"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Струшують 10 разів</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06F9DBA" id="Прямокутник 816708959" o:spid="_x0000_s1071" style="position:absolute;margin-left:188.3pt;margin-top:178.6pt;width:76.25pt;height:14.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" fillcolor="#fbdddb" stroked="f">
                      <v:textbox inset="0,0,0,0">
                        <w:txbxContent>
                          <w:p w14:paraId="4A87BB43"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Струшують 10 разів</w:t>
                            </w:r>
                          </w:p>
                        </w:txbxContent>
                      </v:textbox>
                    </v:rect>
                  </w:pict>
                </mc:Fallback>
              </mc:AlternateContent>
            </w:r>
            <w:r>
              <w:rPr>
                <w:noProof/>
              </w:rPr>
              <mc:AlternateContent>
                <mc:Choice Requires="wps">
                  <w:drawing>
                    <wp:anchor distT="0" distB="0" distL="114300" distR="114300" simplePos="0" relativeHeight="251471872" behindDoc="0" locked="0" layoutInCell="1" allowOverlap="1" wp14:anchorId="3046A08B" wp14:editId="4B68C07E">
                      <wp:simplePos x="0" y="0"/>
                      <wp:positionH relativeFrom="column">
                        <wp:posOffset>2391410</wp:posOffset>
                      </wp:positionH>
                      <wp:positionV relativeFrom="paragraph">
                        <wp:posOffset>3075940</wp:posOffset>
                      </wp:positionV>
                      <wp:extent cx="909320" cy="220980"/>
                      <wp:effectExtent l="0" t="0" r="5080" b="7620"/>
                      <wp:wrapNone/>
                      <wp:docPr id="1688886727" name="Прямокутник 1709513614"/>
                      <wp:cNvGraphicFramePr/>
                      <a:graphic xmlns:a="http://schemas.openxmlformats.org/drawingml/2006/main">
                        <a:graphicData uri="http://schemas.microsoft.com/office/word/2010/wordprocessingShape">
                          <wps:wsp>
                            <wps:cNvSpPr/>
                            <wps:spPr>
                              <a:xfrm>
                                <a:off x="0" y="0"/>
                                <a:ext cx="909320" cy="220980"/>
                              </a:xfrm>
                              <a:prstGeom prst="rect">
                                <a:avLst/>
                              </a:prstGeom>
                              <a:solidFill>
                                <a:srgbClr val="FBDDDB"/>
                              </a:solidFill>
                            </wps:spPr>
                            <wps:txbx>
                              <w:txbxContent>
                                <w:p w14:paraId="18364DDE"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Струшують 10 разів</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046A08B" id="Прямокутник 1709513614" o:spid="_x0000_s1072" style="position:absolute;margin-left:188.3pt;margin-top:242.2pt;width:71.6pt;height:17.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" fillcolor="#fbdddb" stroked="f">
                      <v:textbox inset="0,0,0,0">
                        <w:txbxContent>
                          <w:p w14:paraId="18364DDE"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Струшують 10 разів</w:t>
                            </w:r>
                          </w:p>
                        </w:txbxContent>
                      </v:textbox>
                    </v:rect>
                  </w:pict>
                </mc:Fallback>
              </mc:AlternateContent>
            </w:r>
            <w:r>
              <w:rPr>
                <w:noProof/>
              </w:rPr>
              <mc:AlternateContent>
                <mc:Choice Requires="wps">
                  <w:drawing>
                    <wp:anchor distT="0" distB="0" distL="114300" distR="114300" simplePos="0" relativeHeight="251453440" behindDoc="0" locked="0" layoutInCell="1" allowOverlap="1" wp14:anchorId="07E6CDD7" wp14:editId="423ACF2C">
                      <wp:simplePos x="0" y="0"/>
                      <wp:positionH relativeFrom="column">
                        <wp:posOffset>4700270</wp:posOffset>
                      </wp:positionH>
                      <wp:positionV relativeFrom="paragraph">
                        <wp:posOffset>2268220</wp:posOffset>
                      </wp:positionV>
                      <wp:extent cx="891540" cy="419100"/>
                      <wp:effectExtent l="0" t="0" r="3810" b="0"/>
                      <wp:wrapNone/>
                      <wp:docPr id="657762756" name="Прямокутник 1210966200"/>
                      <wp:cNvGraphicFramePr/>
                      <a:graphic xmlns:a="http://schemas.openxmlformats.org/drawingml/2006/main">
                        <a:graphicData uri="http://schemas.microsoft.com/office/word/2010/wordprocessingShape">
                          <wps:wsp>
                            <wps:cNvSpPr/>
                            <wps:spPr>
                              <a:xfrm>
                                <a:off x="0" y="0"/>
                                <a:ext cx="891540" cy="419100"/>
                              </a:xfrm>
                              <a:prstGeom prst="rect">
                                <a:avLst/>
                              </a:prstGeom>
                              <a:solidFill>
                                <a:srgbClr val="FBDDDB"/>
                              </a:solidFill>
                            </wps:spPr>
                            <wps:txbx>
                              <w:txbxContent>
                                <w:p w14:paraId="74C9CDEB"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Перемішують на вихровій мішалці протягом 30/60 с</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7E6CDD7" id="Прямокутник 1210966200" o:spid="_x0000_s1073" style="position:absolute;margin-left:370.1pt;margin-top:178.6pt;width:70.2pt;height:33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" fillcolor="#fbdddb" stroked="f">
                      <v:textbox inset="0,0,0,0">
                        <w:txbxContent>
                          <w:p w14:paraId="74C9CDEB"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Перемішують на вихровій мішалці протягом 30/60 с</w:t>
                            </w:r>
                          </w:p>
                        </w:txbxContent>
                      </v:textbox>
                    </v:rect>
                  </w:pict>
                </mc:Fallback>
              </mc:AlternateContent>
            </w:r>
            <w:r>
              <w:rPr>
                <w:noProof/>
              </w:rPr>
              <mc:AlternateContent>
                <mc:Choice Requires="wps">
                  <w:drawing>
                    <wp:anchor distT="0" distB="0" distL="114300" distR="114300" simplePos="0" relativeHeight="251457536" behindDoc="0" locked="0" layoutInCell="1" allowOverlap="1" wp14:anchorId="07FD84DB" wp14:editId="4CE71DA4">
                      <wp:simplePos x="0" y="0"/>
                      <wp:positionH relativeFrom="column">
                        <wp:posOffset>3694430</wp:posOffset>
                      </wp:positionH>
                      <wp:positionV relativeFrom="paragraph">
                        <wp:posOffset>2283460</wp:posOffset>
                      </wp:positionV>
                      <wp:extent cx="670560" cy="403860"/>
                      <wp:effectExtent l="0" t="0" r="0" b="0"/>
                      <wp:wrapNone/>
                      <wp:docPr id="787092377" name="Прямокутник 2090546787"/>
                      <wp:cNvGraphicFramePr/>
                      <a:graphic xmlns:a="http://schemas.openxmlformats.org/drawingml/2006/main">
                        <a:graphicData uri="http://schemas.microsoft.com/office/word/2010/wordprocessingShape">
                          <wps:wsp>
                            <wps:cNvSpPr/>
                            <wps:spPr>
                              <a:xfrm>
                                <a:off x="0" y="0"/>
                                <a:ext cx="670560" cy="403860"/>
                              </a:xfrm>
                              <a:prstGeom prst="rect">
                                <a:avLst/>
                              </a:prstGeom>
                              <a:solidFill>
                                <a:srgbClr val="FBDDDB"/>
                              </a:solidFill>
                            </wps:spPr>
                            <wps:txbx>
                              <w:txbxContent>
                                <w:p w14:paraId="5DCF1C18" w14:textId="77777777" w:rsidR="009D0C1D" w:rsidRPr="00115639" w:rsidRDefault="009D0C1D" w:rsidP="00115639">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Перемішують на вихровій мішалці</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7FD84DB" id="Прямокутник 2090546787" o:spid="_x0000_s1074" style="position:absolute;margin-left:290.9pt;margin-top:179.8pt;width:52.8pt;height:31.8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" fillcolor="#fbdddb" stroked="f">
                      <v:textbox inset="0,0,0,0">
                        <w:txbxContent>
                          <w:p w14:paraId="5DCF1C18" w14:textId="77777777" w:rsidR="009D0C1D" w:rsidRPr="00115639" w:rsidRDefault="009D0C1D" w:rsidP="00115639">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Перемішують на вихровій мішалці</w:t>
                            </w:r>
                          </w:p>
                        </w:txbxContent>
                      </v:textbox>
                    </v:rect>
                  </w:pict>
                </mc:Fallback>
              </mc:AlternateContent>
            </w:r>
            <w:r>
              <w:rPr>
                <w:noProof/>
              </w:rPr>
              <mc:AlternateContent>
                <mc:Choice Requires="wps">
                  <w:drawing>
                    <wp:anchor distT="0" distB="0" distL="114300" distR="114300" simplePos="0" relativeHeight="251455488" behindDoc="0" locked="0" layoutInCell="1" allowOverlap="1" wp14:anchorId="1A615855" wp14:editId="480156C8">
                      <wp:simplePos x="0" y="0"/>
                      <wp:positionH relativeFrom="column">
                        <wp:posOffset>3595370</wp:posOffset>
                      </wp:positionH>
                      <wp:positionV relativeFrom="paragraph">
                        <wp:posOffset>1864360</wp:posOffset>
                      </wp:positionV>
                      <wp:extent cx="859155" cy="182880"/>
                      <wp:effectExtent l="0" t="0" r="0" b="7620"/>
                      <wp:wrapNone/>
                      <wp:docPr id="742237437" name="Прямокутник 189726468"/>
                      <wp:cNvGraphicFramePr/>
                      <a:graphic xmlns:a="http://schemas.openxmlformats.org/drawingml/2006/main">
                        <a:graphicData uri="http://schemas.microsoft.com/office/word/2010/wordprocessingShape">
                          <wps:wsp>
                            <wps:cNvSpPr/>
                            <wps:spPr>
                              <a:xfrm>
                                <a:off x="0" y="0"/>
                                <a:ext cx="859155" cy="182880"/>
                              </a:xfrm>
                              <a:prstGeom prst="rect">
                                <a:avLst/>
                              </a:prstGeom>
                              <a:solidFill>
                                <a:srgbClr val="FBDDDB"/>
                              </a:solidFill>
                            </wps:spPr>
                            <wps:txbx>
                              <w:txbxContent>
                                <w:p w14:paraId="2FB8C0F4"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2:1 Liquefaction</w:t>
                                  </w:r>
                                </w:p>
                              </w:txbxContent>
                            </wps:txbx>
                            <wps:bodyPr wrap="square" lIns="0" tIns="0" rIns="0" bIns="0">
                              <a:noAutofit/>
                            </wps:bodyPr>
                          </wps:wsp>
                        </a:graphicData>
                      </a:graphic>
                      <wp14:sizeRelV relativeFrom="margin">
                        <wp14:pctHeight>0</wp14:pctHeight>
                      </wp14:sizeRelV>
                    </wp:anchor>
                  </w:drawing>
                </mc:Choice>
                <mc:Fallback>
                  <w:pict>
                    <v:rect w14:anchorId="1A615855" id="Прямокутник 189726468" o:spid="_x0000_s1075" style="position:absolute;margin-left:283.1pt;margin-top:146.8pt;width:67.65pt;height:14.4pt;z-index:25145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" fillcolor="#fbdddb" stroked="f">
                      <v:textbox inset="0,0,0,0">
                        <w:txbxContent>
                          <w:p w14:paraId="2FB8C0F4"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2:1 Liquefaction</w:t>
                            </w:r>
                          </w:p>
                        </w:txbxContent>
                      </v:textbox>
                    </v:rect>
                  </w:pict>
                </mc:Fallback>
              </mc:AlternateContent>
            </w:r>
            <w:r>
              <w:rPr>
                <w:noProof/>
              </w:rPr>
              <mc:AlternateContent>
                <mc:Choice Requires="wps">
                  <w:drawing>
                    <wp:anchor distT="0" distB="0" distL="114300" distR="114300" simplePos="0" relativeHeight="251445248" behindDoc="0" locked="0" layoutInCell="1" allowOverlap="1" wp14:anchorId="422E80F2" wp14:editId="4B6996C9">
                      <wp:simplePos x="0" y="0"/>
                      <wp:positionH relativeFrom="column">
                        <wp:posOffset>2391410</wp:posOffset>
                      </wp:positionH>
                      <wp:positionV relativeFrom="paragraph">
                        <wp:posOffset>2687320</wp:posOffset>
                      </wp:positionV>
                      <wp:extent cx="1005840" cy="236220"/>
                      <wp:effectExtent l="0" t="0" r="3810" b="0"/>
                      <wp:wrapNone/>
                      <wp:docPr id="247941616" name="Прямокутник 2070904939"/>
                      <wp:cNvGraphicFramePr/>
                      <a:graphic xmlns:a="http://schemas.openxmlformats.org/drawingml/2006/main">
                        <a:graphicData uri="http://schemas.microsoft.com/office/word/2010/wordprocessingShape">
                          <wps:wsp>
                            <wps:cNvSpPr/>
                            <wps:spPr>
                              <a:xfrm>
                                <a:off x="0" y="0"/>
                                <a:ext cx="1005840" cy="236220"/>
                              </a:xfrm>
                              <a:prstGeom prst="rect">
                                <a:avLst/>
                              </a:prstGeom>
                              <a:solidFill>
                                <a:srgbClr val="FBDDDB"/>
                              </a:solidFill>
                            </wps:spPr>
                            <wps:txbx>
                              <w:txbxContent>
                                <w:p w14:paraId="5427DC2B"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Попередньо інкубують протягом 5 хв</w:t>
                                  </w:r>
                                </w:p>
                              </w:txbxContent>
                            </wps:txbx>
                            <wps:bodyPr wrap="square" lIns="0" tIns="0" rIns="0" bIns="0">
                              <a:noAutofit/>
                            </wps:bodyPr>
                          </wps:wsp>
                        </a:graphicData>
                      </a:graphic>
                      <wp14:sizeRelV relativeFrom="margin">
                        <wp14:pctHeight>0</wp14:pctHeight>
                      </wp14:sizeRelV>
                    </wp:anchor>
                  </w:drawing>
                </mc:Choice>
                <mc:Fallback>
                  <w:pict>
                    <v:rect w14:anchorId="422E80F2" id="Прямокутник 2070904939" o:spid="_x0000_s1076" style="position:absolute;margin-left:188.3pt;margin-top:211.6pt;width:79.2pt;height:18.6pt;z-index:25144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" fillcolor="#fbdddb" stroked="f">
                      <v:textbox inset="0,0,0,0">
                        <w:txbxContent>
                          <w:p w14:paraId="5427DC2B"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Попередньо інкубують протягом 5 хв</w:t>
                            </w:r>
                          </w:p>
                        </w:txbxContent>
                      </v:textbox>
                    </v:rect>
                  </w:pict>
                </mc:Fallback>
              </mc:AlternateContent>
            </w:r>
            <w:r>
              <w:rPr>
                <w:noProof/>
              </w:rPr>
              <mc:AlternateContent>
                <mc:Choice Requires="wps">
                  <w:drawing>
                    <wp:anchor distT="0" distB="0" distL="114300" distR="114300" simplePos="0" relativeHeight="251449344" behindDoc="0" locked="0" layoutInCell="1" allowOverlap="1" wp14:anchorId="6AD838CA" wp14:editId="70B73278">
                      <wp:simplePos x="0" y="0"/>
                      <wp:positionH relativeFrom="column">
                        <wp:posOffset>1225550</wp:posOffset>
                      </wp:positionH>
                      <wp:positionV relativeFrom="paragraph">
                        <wp:posOffset>2275840</wp:posOffset>
                      </wp:positionV>
                      <wp:extent cx="1049655" cy="220980"/>
                      <wp:effectExtent l="0" t="0" r="0" b="7620"/>
                      <wp:wrapNone/>
                      <wp:docPr id="439633279" name="Прямокутник 2093524952"/>
                      <wp:cNvGraphicFramePr/>
                      <a:graphic xmlns:a="http://schemas.openxmlformats.org/drawingml/2006/main">
                        <a:graphicData uri="http://schemas.microsoft.com/office/word/2010/wordprocessingShape">
                          <wps:wsp>
                            <wps:cNvSpPr/>
                            <wps:spPr>
                              <a:xfrm>
                                <a:off x="0" y="0"/>
                                <a:ext cx="1049655" cy="220980"/>
                              </a:xfrm>
                              <a:prstGeom prst="rect">
                                <a:avLst/>
                              </a:prstGeom>
                              <a:solidFill>
                                <a:srgbClr val="FBDDDB"/>
                              </a:solidFill>
                            </wps:spPr>
                            <wps:txbx>
                              <w:txbxContent>
                                <w:p w14:paraId="045A6723"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Перевертають кілька разів</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AD838CA" id="Прямокутник 2093524952" o:spid="_x0000_s1077" style="position:absolute;margin-left:96.5pt;margin-top:179.2pt;width:82.65pt;height:17.4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" fillcolor="#fbdddb" stroked="f">
                      <v:textbox inset="0,0,0,0">
                        <w:txbxContent>
                          <w:p w14:paraId="045A6723"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Перевертають кілька разів</w:t>
                            </w:r>
                          </w:p>
                        </w:txbxContent>
                      </v:textbox>
                    </v:rect>
                  </w:pict>
                </mc:Fallback>
              </mc:AlternateContent>
            </w:r>
            <w:r>
              <w:rPr>
                <w:noProof/>
              </w:rPr>
              <mc:AlternateContent>
                <mc:Choice Requires="wps">
                  <w:drawing>
                    <wp:anchor distT="0" distB="0" distL="114300" distR="114300" simplePos="0" relativeHeight="251447296" behindDoc="0" locked="0" layoutInCell="1" allowOverlap="1" wp14:anchorId="37BEA3E9" wp14:editId="51FB45DE">
                      <wp:simplePos x="0" y="0"/>
                      <wp:positionH relativeFrom="column">
                        <wp:posOffset>250190</wp:posOffset>
                      </wp:positionH>
                      <wp:positionV relativeFrom="paragraph">
                        <wp:posOffset>1864360</wp:posOffset>
                      </wp:positionV>
                      <wp:extent cx="636905" cy="182880"/>
                      <wp:effectExtent l="0" t="0" r="0" b="7620"/>
                      <wp:wrapNone/>
                      <wp:docPr id="323980388" name="Прямокутник 625717932"/>
                      <wp:cNvGraphicFramePr/>
                      <a:graphic xmlns:a="http://schemas.openxmlformats.org/drawingml/2006/main">
                        <a:graphicData uri="http://schemas.microsoft.com/office/word/2010/wordprocessingShape">
                          <wps:wsp>
                            <wps:cNvSpPr/>
                            <wps:spPr>
                              <a:xfrm>
                                <a:off x="0" y="0"/>
                                <a:ext cx="636905" cy="182880"/>
                              </a:xfrm>
                              <a:prstGeom prst="rect">
                                <a:avLst/>
                              </a:prstGeom>
                              <a:solidFill>
                                <a:srgbClr val="FBDDDB"/>
                              </a:solidFill>
                            </wps:spPr>
                            <wps:txbx>
                              <w:txbxContent>
                                <w:p w14:paraId="79D7FEA1" w14:textId="77777777" w:rsidR="009D0C1D" w:rsidRPr="00115639" w:rsidRDefault="009D0C1D" w:rsidP="008E6497">
                                  <w:pP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Інактивація</w:t>
                                  </w:r>
                                </w:p>
                              </w:txbxContent>
                            </wps:txbx>
                            <wps:bodyPr wrap="square" lIns="0" tIns="0" rIns="0" bIns="0">
                              <a:noAutofit/>
                            </wps:bodyPr>
                          </wps:wsp>
                        </a:graphicData>
                      </a:graphic>
                      <wp14:sizeRelV relativeFrom="margin">
                        <wp14:pctHeight>0</wp14:pctHeight>
                      </wp14:sizeRelV>
                    </wp:anchor>
                  </w:drawing>
                </mc:Choice>
                <mc:Fallback>
                  <w:pict>
                    <v:rect w14:anchorId="37BEA3E9" id="Прямокутник 625717932" o:spid="_x0000_s1078" style="position:absolute;margin-left:19.7pt;margin-top:146.8pt;width:50.15pt;height:14.4pt;z-index:25144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" fillcolor="#fbdddb" stroked="f">
                      <v:textbox inset="0,0,0,0">
                        <w:txbxContent>
                          <w:p w14:paraId="79D7FEA1" w14:textId="77777777" w:rsidR="009D0C1D" w:rsidRPr="00115639" w:rsidRDefault="009D0C1D" w:rsidP="008E6497">
                            <w:pP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Інактивація</w:t>
                            </w:r>
                          </w:p>
                        </w:txbxContent>
                      </v:textbox>
                    </v:rect>
                  </w:pict>
                </mc:Fallback>
              </mc:AlternateContent>
            </w:r>
            <w:r>
              <w:rPr>
                <w:noProof/>
              </w:rPr>
              <mc:AlternateContent>
                <mc:Choice Requires="wps">
                  <w:drawing>
                    <wp:anchor distT="0" distB="0" distL="114300" distR="114300" simplePos="0" relativeHeight="251443200" behindDoc="0" locked="0" layoutInCell="1" allowOverlap="1" wp14:anchorId="14A9691D" wp14:editId="1D146D91">
                      <wp:simplePos x="0" y="0"/>
                      <wp:positionH relativeFrom="column">
                        <wp:posOffset>4814570</wp:posOffset>
                      </wp:positionH>
                      <wp:positionV relativeFrom="paragraph">
                        <wp:posOffset>1109980</wp:posOffset>
                      </wp:positionV>
                      <wp:extent cx="713105" cy="365760"/>
                      <wp:effectExtent l="0" t="0" r="0" b="0"/>
                      <wp:wrapNone/>
                      <wp:docPr id="151137405" name="Прямокутник 272946047"/>
                      <wp:cNvGraphicFramePr/>
                      <a:graphic xmlns:a="http://schemas.openxmlformats.org/drawingml/2006/main">
                        <a:graphicData uri="http://schemas.microsoft.com/office/word/2010/wordprocessingShape">
                          <wps:wsp>
                            <wps:cNvSpPr/>
                            <wps:spPr>
                              <a:xfrm>
                                <a:off x="0" y="0"/>
                                <a:ext cx="713105" cy="365760"/>
                              </a:xfrm>
                              <a:prstGeom prst="rect">
                                <a:avLst/>
                              </a:prstGeom>
                              <a:solidFill>
                                <a:srgbClr val="FBBE65"/>
                              </a:solidFill>
                            </wps:spPr>
                            <wps:txbx>
                              <w:txbxContent>
                                <w:p w14:paraId="2569C4A1"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3,5 год MTB</w:t>
                                  </w:r>
                                </w:p>
                                <w:p w14:paraId="65A92D93" w14:textId="77777777" w:rsidR="009D0C1D" w:rsidRPr="00115639" w:rsidRDefault="009D0C1D" w:rsidP="008E6497">
                                  <w:pPr>
                                    <w:spacing w:line="230" w:lineRule="auto"/>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3,5 год RIF/INH</w:t>
                                  </w:r>
                                </w:p>
                              </w:txbxContent>
                            </wps:txbx>
                            <wps:bodyPr wrap="square" lIns="0" tIns="0" rIns="0" bIns="0">
                              <a:noAutofit/>
                            </wps:bodyPr>
                          </wps:wsp>
                        </a:graphicData>
                      </a:graphic>
                      <wp14:sizeRelV relativeFrom="margin">
                        <wp14:pctHeight>0</wp14:pctHeight>
                      </wp14:sizeRelV>
                    </wp:anchor>
                  </w:drawing>
                </mc:Choice>
                <mc:Fallback>
                  <w:pict>
                    <v:rect w14:anchorId="14A9691D" id="Прямокутник 272946047" o:spid="_x0000_s1079" style="position:absolute;margin-left:379.1pt;margin-top:87.4pt;width:56.15pt;height:28.8pt;z-index:25144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" fillcolor="#fbbe65" stroked="f">
                      <v:textbox inset="0,0,0,0">
                        <w:txbxContent>
                          <w:p w14:paraId="2569C4A1"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3,5 год MTB</w:t>
                            </w:r>
                          </w:p>
                          <w:p w14:paraId="65A92D93" w14:textId="77777777" w:rsidR="009D0C1D" w:rsidRPr="00115639" w:rsidRDefault="009D0C1D" w:rsidP="008E6497">
                            <w:pPr>
                              <w:spacing w:line="230" w:lineRule="auto"/>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3,5 год RIF/INH</w:t>
                            </w:r>
                          </w:p>
                        </w:txbxContent>
                      </v:textbox>
                    </v:rect>
                  </w:pict>
                </mc:Fallback>
              </mc:AlternateContent>
            </w:r>
            <w:r>
              <w:rPr>
                <w:noProof/>
              </w:rPr>
              <mc:AlternateContent>
                <mc:Choice Requires="wps">
                  <w:drawing>
                    <wp:anchor distT="0" distB="0" distL="114300" distR="114300" simplePos="0" relativeHeight="251459584" behindDoc="0" locked="0" layoutInCell="1" allowOverlap="1" wp14:anchorId="22B42868" wp14:editId="3816FA26">
                      <wp:simplePos x="0" y="0"/>
                      <wp:positionH relativeFrom="column">
                        <wp:posOffset>3732530</wp:posOffset>
                      </wp:positionH>
                      <wp:positionV relativeFrom="paragraph">
                        <wp:posOffset>1109980</wp:posOffset>
                      </wp:positionV>
                      <wp:extent cx="579120" cy="365760"/>
                      <wp:effectExtent l="0" t="0" r="0" b="0"/>
                      <wp:wrapNone/>
                      <wp:docPr id="879210317" name="Прямокутник 873941208"/>
                      <wp:cNvGraphicFramePr/>
                      <a:graphic xmlns:a="http://schemas.openxmlformats.org/drawingml/2006/main">
                        <a:graphicData uri="http://schemas.microsoft.com/office/word/2010/wordprocessingShape">
                          <wps:wsp>
                            <wps:cNvSpPr/>
                            <wps:spPr>
                              <a:xfrm>
                                <a:off x="0" y="0"/>
                                <a:ext cx="579120" cy="365760"/>
                              </a:xfrm>
                              <a:prstGeom prst="rect">
                                <a:avLst/>
                              </a:prstGeom>
                              <a:solidFill>
                                <a:srgbClr val="FBBE65"/>
                              </a:solidFill>
                            </wps:spPr>
                            <wps:txbx>
                              <w:txbxContent>
                                <w:p w14:paraId="2C839B5D"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3 год MTB</w:t>
                                  </w:r>
                                </w:p>
                                <w:p w14:paraId="4FEC1A46" w14:textId="77777777" w:rsidR="009D0C1D" w:rsidRPr="00115639" w:rsidRDefault="009D0C1D" w:rsidP="008E6497">
                                  <w:pPr>
                                    <w:spacing w:line="230" w:lineRule="auto"/>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3 год MTBDR</w:t>
                                  </w:r>
                                </w:p>
                              </w:txbxContent>
                            </wps:txbx>
                            <wps:bodyPr wrap="square" lIns="0" tIns="0" rIns="0" bIns="0">
                              <a:noAutofit/>
                            </wps:bodyPr>
                          </wps:wsp>
                        </a:graphicData>
                      </a:graphic>
                      <wp14:sizeRelV relativeFrom="margin">
                        <wp14:pctHeight>0</wp14:pctHeight>
                      </wp14:sizeRelV>
                    </wp:anchor>
                  </w:drawing>
                </mc:Choice>
                <mc:Fallback>
                  <w:pict>
                    <v:rect w14:anchorId="22B42868" id="Прямокутник 873941208" o:spid="_x0000_s1080" style="position:absolute;margin-left:293.9pt;margin-top:87.4pt;width:45.6pt;height:28.8pt;z-index:25145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" fillcolor="#fbbe65" stroked="f">
                      <v:textbox inset="0,0,0,0">
                        <w:txbxContent>
                          <w:p w14:paraId="2C839B5D"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3 год MTB</w:t>
                            </w:r>
                          </w:p>
                          <w:p w14:paraId="4FEC1A46" w14:textId="77777777" w:rsidR="009D0C1D" w:rsidRPr="00115639" w:rsidRDefault="009D0C1D" w:rsidP="008E6497">
                            <w:pPr>
                              <w:spacing w:line="230" w:lineRule="auto"/>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3 год MTBDR</w:t>
                            </w:r>
                          </w:p>
                        </w:txbxContent>
                      </v:textbox>
                    </v:rect>
                  </w:pict>
                </mc:Fallback>
              </mc:AlternateContent>
            </w:r>
            <w:r>
              <w:rPr>
                <w:noProof/>
              </w:rPr>
              <mc:AlternateContent>
                <mc:Choice Requires="wps">
                  <w:drawing>
                    <wp:anchor distT="0" distB="0" distL="114300" distR="114300" simplePos="0" relativeHeight="251463680" behindDoc="0" locked="0" layoutInCell="1" allowOverlap="1" wp14:anchorId="6ED356B3" wp14:editId="481ADDE8">
                      <wp:simplePos x="0" y="0"/>
                      <wp:positionH relativeFrom="column">
                        <wp:posOffset>2780030</wp:posOffset>
                      </wp:positionH>
                      <wp:positionV relativeFrom="paragraph">
                        <wp:posOffset>1109980</wp:posOffset>
                      </wp:positionV>
                      <wp:extent cx="306070" cy="297180"/>
                      <wp:effectExtent l="0" t="0" r="0" b="7620"/>
                      <wp:wrapNone/>
                      <wp:docPr id="1241313676" name="Прямокутник 904167454"/>
                      <wp:cNvGraphicFramePr/>
                      <a:graphic xmlns:a="http://schemas.openxmlformats.org/drawingml/2006/main">
                        <a:graphicData uri="http://schemas.microsoft.com/office/word/2010/wordprocessingShape">
                          <wps:wsp>
                            <wps:cNvSpPr/>
                            <wps:spPr>
                              <a:xfrm>
                                <a:off x="0" y="0"/>
                                <a:ext cx="306070" cy="297180"/>
                              </a:xfrm>
                              <a:prstGeom prst="rect">
                                <a:avLst/>
                              </a:prstGeom>
                              <a:solidFill>
                                <a:srgbClr val="FBBE65"/>
                              </a:solidFill>
                            </wps:spPr>
                            <wps:txbx>
                              <w:txbxContent>
                                <w:p w14:paraId="357326CE" w14:textId="77777777" w:rsidR="009D0C1D" w:rsidRPr="00115639" w:rsidRDefault="009D0C1D" w:rsidP="008E6497">
                                  <w:pP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4 год</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ED356B3" id="Прямокутник 904167454" o:spid="_x0000_s1081" style="position:absolute;margin-left:218.9pt;margin-top:87.4pt;width:24.1pt;height:23.4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" fillcolor="#fbbe65" stroked="f">
                      <v:textbox inset="0,0,0,0">
                        <w:txbxContent>
                          <w:p w14:paraId="357326CE" w14:textId="77777777" w:rsidR="009D0C1D" w:rsidRPr="00115639" w:rsidRDefault="009D0C1D" w:rsidP="008E6497">
                            <w:pP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4 год</w:t>
                            </w:r>
                          </w:p>
                        </w:txbxContent>
                      </v:textbox>
                    </v:rect>
                  </w:pict>
                </mc:Fallback>
              </mc:AlternateContent>
            </w:r>
            <w:r>
              <w:rPr>
                <w:noProof/>
              </w:rPr>
              <mc:AlternateContent>
                <mc:Choice Requires="wps">
                  <w:drawing>
                    <wp:anchor distT="0" distB="0" distL="114300" distR="114300" simplePos="0" relativeHeight="251458560" behindDoc="0" locked="0" layoutInCell="1" allowOverlap="1" wp14:anchorId="7F20BC01" wp14:editId="1BB7788F">
                      <wp:simplePos x="0" y="0"/>
                      <wp:positionH relativeFrom="column">
                        <wp:posOffset>1416050</wp:posOffset>
                      </wp:positionH>
                      <wp:positionV relativeFrom="paragraph">
                        <wp:posOffset>1109980</wp:posOffset>
                      </wp:positionV>
                      <wp:extent cx="615315" cy="411480"/>
                      <wp:effectExtent l="0" t="0" r="0" b="7620"/>
                      <wp:wrapNone/>
                      <wp:docPr id="841641841" name="Прямокутник 847686930"/>
                      <wp:cNvGraphicFramePr/>
                      <a:graphic xmlns:a="http://schemas.openxmlformats.org/drawingml/2006/main">
                        <a:graphicData uri="http://schemas.microsoft.com/office/word/2010/wordprocessingShape">
                          <wps:wsp>
                            <wps:cNvSpPr/>
                            <wps:spPr>
                              <a:xfrm>
                                <a:off x="0" y="0"/>
                                <a:ext cx="615315" cy="411480"/>
                              </a:xfrm>
                              <a:prstGeom prst="rect">
                                <a:avLst/>
                              </a:prstGeom>
                              <a:solidFill>
                                <a:srgbClr val="FBBE65"/>
                              </a:solidFill>
                            </wps:spPr>
                            <wps:txbx>
                              <w:txbxContent>
                                <w:p w14:paraId="020CC20A"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7,5 год MTB</w:t>
                                  </w:r>
                                </w:p>
                                <w:p w14:paraId="3E7C9C7A" w14:textId="77777777" w:rsidR="009D0C1D" w:rsidRPr="00115639" w:rsidRDefault="009D0C1D" w:rsidP="008E6497">
                                  <w:pPr>
                                    <w:spacing w:line="230" w:lineRule="auto"/>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3 год RIF/INH</w:t>
                                  </w:r>
                                </w:p>
                              </w:txbxContent>
                            </wps:txbx>
                            <wps:bodyPr wrap="square" lIns="0" tIns="0" rIns="0" bIns="0">
                              <a:noAutofit/>
                            </wps:bodyPr>
                          </wps:wsp>
                        </a:graphicData>
                      </a:graphic>
                      <wp14:sizeRelV relativeFrom="margin">
                        <wp14:pctHeight>0</wp14:pctHeight>
                      </wp14:sizeRelV>
                    </wp:anchor>
                  </w:drawing>
                </mc:Choice>
                <mc:Fallback>
                  <w:pict>
                    <v:rect w14:anchorId="7F20BC01" id="Прямокутник 847686930" o:spid="_x0000_s1082" style="position:absolute;margin-left:111.5pt;margin-top:87.4pt;width:48.45pt;height:32.4pt;z-index:25145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" fillcolor="#fbbe65" stroked="f">
                      <v:textbox inset="0,0,0,0">
                        <w:txbxContent>
                          <w:p w14:paraId="020CC20A"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7,5 год MTB</w:t>
                            </w:r>
                          </w:p>
                          <w:p w14:paraId="3E7C9C7A" w14:textId="77777777" w:rsidR="009D0C1D" w:rsidRPr="00115639" w:rsidRDefault="009D0C1D" w:rsidP="008E6497">
                            <w:pPr>
                              <w:spacing w:line="230" w:lineRule="auto"/>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3 год RIF/INH</w:t>
                            </w:r>
                          </w:p>
                        </w:txbxContent>
                      </v:textbox>
                    </v:rect>
                  </w:pict>
                </mc:Fallback>
              </mc:AlternateContent>
            </w:r>
            <w:r>
              <w:rPr>
                <w:noProof/>
              </w:rPr>
              <mc:AlternateContent>
                <mc:Choice Requires="wps">
                  <w:drawing>
                    <wp:anchor distT="0" distB="0" distL="114300" distR="114300" simplePos="0" relativeHeight="251464704" behindDoc="0" locked="0" layoutInCell="1" allowOverlap="1" wp14:anchorId="61434107" wp14:editId="79CDEE99">
                      <wp:simplePos x="0" y="0"/>
                      <wp:positionH relativeFrom="column">
                        <wp:posOffset>59690</wp:posOffset>
                      </wp:positionH>
                      <wp:positionV relativeFrom="paragraph">
                        <wp:posOffset>1102360</wp:posOffset>
                      </wp:positionV>
                      <wp:extent cx="1017905" cy="586740"/>
                      <wp:effectExtent l="0" t="0" r="0" b="3810"/>
                      <wp:wrapNone/>
                      <wp:docPr id="1255848685" name="Прямокутник 823124785"/>
                      <wp:cNvGraphicFramePr/>
                      <a:graphic xmlns:a="http://schemas.openxmlformats.org/drawingml/2006/main">
                        <a:graphicData uri="http://schemas.microsoft.com/office/word/2010/wordprocessingShape">
                          <wps:wsp>
                            <wps:cNvSpPr/>
                            <wps:spPr>
                              <a:xfrm>
                                <a:off x="0" y="0"/>
                                <a:ext cx="1017905" cy="586740"/>
                              </a:xfrm>
                              <a:prstGeom prst="rect">
                                <a:avLst/>
                              </a:prstGeom>
                              <a:solidFill>
                                <a:srgbClr val="FBBE65"/>
                              </a:solidFill>
                            </wps:spPr>
                            <wps:txbx>
                              <w:txbxContent>
                                <w:p w14:paraId="3D54D0B8"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14"/>
                                    </w:rPr>
                                    <w:t>Від отримання зразка до отримання результатів, виміряно для 24 зразків</w:t>
                                  </w:r>
                                </w:p>
                              </w:txbxContent>
                            </wps:txbx>
                            <wps:bodyPr wrap="square" lIns="0" tIns="0" rIns="0" bIns="0">
                              <a:noAutofit/>
                            </wps:bodyPr>
                          </wps:wsp>
                        </a:graphicData>
                      </a:graphic>
                      <wp14:sizeRelV relativeFrom="margin">
                        <wp14:pctHeight>0</wp14:pctHeight>
                      </wp14:sizeRelV>
                    </wp:anchor>
                  </w:drawing>
                </mc:Choice>
                <mc:Fallback>
                  <w:pict>
                    <v:rect w14:anchorId="61434107" id="Прямокутник 823124785" o:spid="_x0000_s1083" style="position:absolute;margin-left:4.7pt;margin-top:86.8pt;width:80.15pt;height:46.2pt;z-index:25146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" fillcolor="#fbbe65" stroked="f">
                      <v:textbox inset="0,0,0,0">
                        <w:txbxContent>
                          <w:p w14:paraId="3D54D0B8"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14"/>
                              </w:rPr>
                              <w:t>Від отримання зразка до отримання результатів, виміряно для 24 зразків</w:t>
                            </w:r>
                          </w:p>
                        </w:txbxContent>
                      </v:textbox>
                    </v:rect>
                  </w:pict>
                </mc:Fallback>
              </mc:AlternateContent>
            </w:r>
            <w:r>
              <w:rPr>
                <w:noProof/>
              </w:rPr>
              <mc:AlternateContent>
                <mc:Choice Requires="wps">
                  <w:drawing>
                    <wp:anchor distT="0" distB="0" distL="114300" distR="114300" simplePos="0" relativeHeight="251473920" behindDoc="0" locked="0" layoutInCell="1" allowOverlap="1" wp14:anchorId="5C8785B1" wp14:editId="196C9E32">
                      <wp:simplePos x="0" y="0"/>
                      <wp:positionH relativeFrom="column">
                        <wp:posOffset>97790</wp:posOffset>
                      </wp:positionH>
                      <wp:positionV relativeFrom="paragraph">
                        <wp:posOffset>584200</wp:posOffset>
                      </wp:positionV>
                      <wp:extent cx="996315" cy="304800"/>
                      <wp:effectExtent l="0" t="0" r="0" b="0"/>
                      <wp:wrapNone/>
                      <wp:docPr id="1741786315" name="Прямокутник 2373701"/>
                      <wp:cNvGraphicFramePr/>
                      <a:graphic xmlns:a="http://schemas.openxmlformats.org/drawingml/2006/main">
                        <a:graphicData uri="http://schemas.microsoft.com/office/word/2010/wordprocessingShape">
                          <wps:wsp>
                            <wps:cNvSpPr/>
                            <wps:spPr>
                              <a:xfrm>
                                <a:off x="0" y="0"/>
                                <a:ext cx="996315" cy="304800"/>
                              </a:xfrm>
                              <a:prstGeom prst="rect">
                                <a:avLst/>
                              </a:prstGeom>
                              <a:solidFill>
                                <a:srgbClr val="DEDEDE"/>
                              </a:solidFill>
                            </wps:spPr>
                            <wps:txbx>
                              <w:txbxContent>
                                <w:p w14:paraId="68DE905B" w14:textId="77777777" w:rsidR="009D0C1D" w:rsidRPr="00115639" w:rsidRDefault="009D0C1D" w:rsidP="008E6497">
                                  <w:pPr>
                                    <w:spacing w:line="232" w:lineRule="auto"/>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Максимальна кількість зразків на цикл</w:t>
                                  </w:r>
                                </w:p>
                              </w:txbxContent>
                            </wps:txbx>
                            <wps:bodyPr wrap="square" lIns="0" tIns="0" rIns="0" bIns="0">
                              <a:noAutofit/>
                            </wps:bodyPr>
                          </wps:wsp>
                        </a:graphicData>
                      </a:graphic>
                      <wp14:sizeRelV relativeFrom="margin">
                        <wp14:pctHeight>0</wp14:pctHeight>
                      </wp14:sizeRelV>
                    </wp:anchor>
                  </w:drawing>
                </mc:Choice>
                <mc:Fallback>
                  <w:pict>
                    <v:rect w14:anchorId="5C8785B1" id="Прямокутник 2373701" o:spid="_x0000_s1084" style="position:absolute;margin-left:7.7pt;margin-top:46pt;width:78.45pt;height:24pt;z-index:25147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" fillcolor="#dedede" stroked="f">
                      <v:textbox inset="0,0,0,0">
                        <w:txbxContent>
                          <w:p w14:paraId="68DE905B" w14:textId="77777777" w:rsidR="009D0C1D" w:rsidRPr="00115639" w:rsidRDefault="009D0C1D" w:rsidP="008E6497">
                            <w:pPr>
                              <w:spacing w:line="232" w:lineRule="auto"/>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Максимальна кількість зразків на цикл</w:t>
                            </w:r>
                          </w:p>
                        </w:txbxContent>
                      </v:textbox>
                    </v:rect>
                  </w:pict>
                </mc:Fallback>
              </mc:AlternateContent>
            </w:r>
            <w:r w:rsidR="008E6497">
              <w:rPr>
                <w:noProof/>
              </w:rPr>
              <mc:AlternateContent>
                <mc:Choice Requires="wps">
                  <w:drawing>
                    <wp:anchor distT="0" distB="0" distL="114300" distR="114300" simplePos="0" relativeHeight="251442176" behindDoc="0" locked="0" layoutInCell="1" allowOverlap="1" wp14:anchorId="07C55FAC" wp14:editId="35A41F64">
                      <wp:simplePos x="0" y="0"/>
                      <wp:positionH relativeFrom="column">
                        <wp:posOffset>3548380</wp:posOffset>
                      </wp:positionH>
                      <wp:positionV relativeFrom="paragraph">
                        <wp:posOffset>5579110</wp:posOffset>
                      </wp:positionV>
                      <wp:extent cx="953770" cy="407035"/>
                      <wp:effectExtent l="0" t="0" r="0" b="0"/>
                      <wp:wrapNone/>
                      <wp:docPr id="146822726" name="Прямокутник 973402789"/>
                      <wp:cNvGraphicFramePr/>
                      <a:graphic xmlns:a="http://schemas.openxmlformats.org/drawingml/2006/main">
                        <a:graphicData uri="http://schemas.microsoft.com/office/word/2010/wordprocessingShape">
                          <wps:wsp>
                            <wps:cNvSpPr/>
                            <wps:spPr>
                              <a:xfrm>
                                <a:off x="0" y="0"/>
                                <a:ext cx="953770" cy="407035"/>
                              </a:xfrm>
                              <a:prstGeom prst="rect">
                                <a:avLst/>
                              </a:prstGeom>
                              <a:solidFill>
                                <a:srgbClr val="CCE9D7"/>
                              </a:solidFill>
                            </wps:spPr>
                            <wps:txbx>
                              <w:txbxContent>
                                <w:p w14:paraId="1586D8BC" w14:textId="77777777" w:rsidR="009D0C1D" w:rsidRPr="00115639" w:rsidRDefault="009D0C1D" w:rsidP="008E6497">
                                  <w:pPr>
                                    <w:spacing w:line="256" w:lineRule="auto"/>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Ампліфікація та виявлення, 1,5 год</w:t>
                                  </w:r>
                                </w:p>
                              </w:txbxContent>
                            </wps:txbx>
                            <wps:bodyPr wrap="square" lIns="0" tIns="0" rIns="0" bIns="0">
                              <a:noAutofit/>
                            </wps:bodyPr>
                          </wps:wsp>
                        </a:graphicData>
                      </a:graphic>
                      <wp14:sizeRelV relativeFrom="margin">
                        <wp14:pctHeight>0</wp14:pctHeight>
                      </wp14:sizeRelV>
                    </wp:anchor>
                  </w:drawing>
                </mc:Choice>
                <mc:Fallback>
                  <w:pict>
                    <v:rect w14:anchorId="07C55FAC" id="Прямокутник 973402789" o:spid="_x0000_s1085" style="position:absolute;margin-left:279.4pt;margin-top:439.3pt;width:75.1pt;height:32.05pt;z-index:25144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" fillcolor="#cce9d7" stroked="f">
                      <v:textbox inset="0,0,0,0">
                        <w:txbxContent>
                          <w:p w14:paraId="1586D8BC" w14:textId="77777777" w:rsidR="009D0C1D" w:rsidRPr="00115639" w:rsidRDefault="009D0C1D" w:rsidP="008E6497">
                            <w:pPr>
                              <w:spacing w:line="256" w:lineRule="auto"/>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Ампліфікація та виявлення, 1,5 год</w:t>
                            </w:r>
                          </w:p>
                        </w:txbxContent>
                      </v:textbox>
                    </v:rect>
                  </w:pict>
                </mc:Fallback>
              </mc:AlternateContent>
            </w:r>
            <w:r w:rsidR="008E6497">
              <w:rPr>
                <w:noProof/>
              </w:rPr>
              <mc:AlternateContent>
                <mc:Choice Requires="wps">
                  <w:drawing>
                    <wp:anchor distT="0" distB="0" distL="114300" distR="114300" simplePos="0" relativeHeight="251465728" behindDoc="0" locked="0" layoutInCell="1" allowOverlap="1" wp14:anchorId="722F8084" wp14:editId="0737B1AB">
                      <wp:simplePos x="0" y="0"/>
                      <wp:positionH relativeFrom="column">
                        <wp:posOffset>272542</wp:posOffset>
                      </wp:positionH>
                      <wp:positionV relativeFrom="paragraph">
                        <wp:posOffset>3470148</wp:posOffset>
                      </wp:positionV>
                      <wp:extent cx="594360" cy="130805"/>
                      <wp:effectExtent l="0" t="0" r="0" b="3175"/>
                      <wp:wrapNone/>
                      <wp:docPr id="1373917156" name="Прямокутник 269786511"/>
                      <wp:cNvGraphicFramePr/>
                      <a:graphic xmlns:a="http://schemas.openxmlformats.org/drawingml/2006/main">
                        <a:graphicData uri="http://schemas.microsoft.com/office/word/2010/wordprocessingShape">
                          <wps:wsp>
                            <wps:cNvSpPr/>
                            <wps:spPr>
                              <a:xfrm>
                                <a:off x="0" y="0"/>
                                <a:ext cx="594360" cy="130805"/>
                              </a:xfrm>
                              <a:prstGeom prst="rect">
                                <a:avLst/>
                              </a:prstGeom>
                              <a:solidFill>
                                <a:srgbClr val="FDEDCC"/>
                              </a:solidFill>
                            </wps:spPr>
                            <wps:txbx>
                              <w:txbxContent>
                                <w:p w14:paraId="6E5053E2" w14:textId="77777777" w:rsidR="009D0C1D" w:rsidRPr="00115639" w:rsidRDefault="009D0C1D" w:rsidP="008E6497">
                                  <w:pP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Інкубація</w:t>
                                  </w:r>
                                </w:p>
                              </w:txbxContent>
                            </wps:txbx>
                            <wps:bodyPr wrap="square" lIns="0" tIns="0" rIns="0" bIns="0">
                              <a:noAutofit/>
                            </wps:bodyPr>
                          </wps:wsp>
                        </a:graphicData>
                      </a:graphic>
                    </wp:anchor>
                  </w:drawing>
                </mc:Choice>
                <mc:Fallback>
                  <w:pict>
                    <v:rect w14:anchorId="722F8084" id="Прямокутник 269786511" o:spid="_x0000_s1086" style="position:absolute;margin-left:21.45pt;margin-top:273.25pt;width:46.8pt;height:10.3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" fillcolor="#fdedcc" stroked="f">
                      <v:textbox inset="0,0,0,0">
                        <w:txbxContent>
                          <w:p w14:paraId="6E5053E2" w14:textId="77777777" w:rsidR="009D0C1D" w:rsidRPr="00115639" w:rsidRDefault="009D0C1D" w:rsidP="008E6497">
                            <w:pP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Інкубація</w:t>
                            </w:r>
                          </w:p>
                        </w:txbxContent>
                      </v:textbox>
                    </v:rect>
                  </w:pict>
                </mc:Fallback>
              </mc:AlternateContent>
            </w:r>
            <w:r w:rsidR="008E6497">
              <w:rPr>
                <w:noProof/>
              </w:rPr>
              <mc:AlternateContent>
                <mc:Choice Requires="wps">
                  <w:drawing>
                    <wp:anchor distT="0" distB="0" distL="114300" distR="114300" simplePos="0" relativeHeight="251448320" behindDoc="0" locked="0" layoutInCell="1" allowOverlap="1" wp14:anchorId="64BA4BB7" wp14:editId="63AD88D7">
                      <wp:simplePos x="0" y="0"/>
                      <wp:positionH relativeFrom="column">
                        <wp:posOffset>1199134</wp:posOffset>
                      </wp:positionH>
                      <wp:positionV relativeFrom="paragraph">
                        <wp:posOffset>99060</wp:posOffset>
                      </wp:positionV>
                      <wp:extent cx="1072896" cy="392415"/>
                      <wp:effectExtent l="0" t="0" r="0" b="8255"/>
                      <wp:wrapNone/>
                      <wp:docPr id="396479565" name="Прямокутник 1398896759"/>
                      <wp:cNvGraphicFramePr/>
                      <a:graphic xmlns:a="http://schemas.openxmlformats.org/drawingml/2006/main">
                        <a:graphicData uri="http://schemas.microsoft.com/office/word/2010/wordprocessingShape">
                          <wps:wsp>
                            <wps:cNvSpPr/>
                            <wps:spPr>
                              <a:xfrm>
                                <a:off x="0" y="0"/>
                                <a:ext cx="1072896" cy="392415"/>
                              </a:xfrm>
                              <a:prstGeom prst="rect">
                                <a:avLst/>
                              </a:prstGeom>
                              <a:solidFill>
                                <a:srgbClr val="FFFFFF"/>
                              </a:solidFill>
                            </wps:spPr>
                            <wps:txbx>
                              <w:txbxContent>
                                <w:p w14:paraId="42CB085D"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Abbott RealTi</w:t>
                                  </w:r>
                                  <w:r w:rsidRPr="00115639">
                                    <w:rPr>
                                      <w:rFonts w:ascii="Century Gothic" w:hAnsi="Century Gothic"/>
                                      <w:b/>
                                      <w:i/>
                                      <w:color w:val="000000" w:themeColor="text1"/>
                                      <w:sz w:val="14"/>
                                      <w:szCs w:val="20"/>
                                    </w:rPr>
                                    <w:t xml:space="preserve">me </w:t>
                                  </w:r>
                                  <w:r w:rsidRPr="00115639">
                                    <w:rPr>
                                      <w:rFonts w:ascii="Century Gothic" w:hAnsi="Century Gothic"/>
                                      <w:b/>
                                      <w:color w:val="000000" w:themeColor="text1"/>
                                      <w:sz w:val="14"/>
                                      <w:szCs w:val="20"/>
                                    </w:rPr>
                                    <w:t>MTB та MTB RIF/INH</w:t>
                                  </w:r>
                                </w:p>
                              </w:txbxContent>
                            </wps:txbx>
                            <wps:bodyPr wrap="square" lIns="0" tIns="0" rIns="0" bIns="0">
                              <a:noAutofit/>
                            </wps:bodyPr>
                          </wps:wsp>
                        </a:graphicData>
                      </a:graphic>
                    </wp:anchor>
                  </w:drawing>
                </mc:Choice>
                <mc:Fallback>
                  <w:pict>
                    <v:rect w14:anchorId="64BA4BB7" id="Прямокутник 1398896759" o:spid="_x0000_s1087" style="position:absolute;margin-left:94.4pt;margin-top:7.8pt;width:84.5pt;height:30.9pt;z-index:25144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" stroked="f">
                      <v:textbox inset="0,0,0,0">
                        <w:txbxContent>
                          <w:p w14:paraId="42CB085D"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Abbott RealTi</w:t>
                            </w:r>
                            <w:r w:rsidRPr="00115639">
                              <w:rPr>
                                <w:rFonts w:ascii="Century Gothic" w:hAnsi="Century Gothic"/>
                                <w:b/>
                                <w:i/>
                                <w:color w:val="000000" w:themeColor="text1"/>
                                <w:sz w:val="14"/>
                                <w:szCs w:val="20"/>
                              </w:rPr>
                              <w:t xml:space="preserve">me </w:t>
                            </w:r>
                            <w:r w:rsidRPr="00115639">
                              <w:rPr>
                                <w:rFonts w:ascii="Century Gothic" w:hAnsi="Century Gothic"/>
                                <w:b/>
                                <w:color w:val="000000" w:themeColor="text1"/>
                                <w:sz w:val="14"/>
                                <w:szCs w:val="20"/>
                              </w:rPr>
                              <w:t>MTB та MTB RIF/INH</w:t>
                            </w:r>
                          </w:p>
                        </w:txbxContent>
                      </v:textbox>
                    </v:rect>
                  </w:pict>
                </mc:Fallback>
              </mc:AlternateContent>
            </w:r>
            <w:r w:rsidR="008E6497">
              <w:rPr>
                <w:noProof/>
              </w:rPr>
              <mc:AlternateContent>
                <mc:Choice Requires="wps">
                  <w:drawing>
                    <wp:anchor distT="0" distB="0" distL="114300" distR="114300" simplePos="0" relativeHeight="251440128" behindDoc="0" locked="0" layoutInCell="1" allowOverlap="1" wp14:anchorId="7E220736" wp14:editId="76C615A4">
                      <wp:simplePos x="0" y="0"/>
                      <wp:positionH relativeFrom="column">
                        <wp:posOffset>1592326</wp:posOffset>
                      </wp:positionH>
                      <wp:positionV relativeFrom="paragraph">
                        <wp:posOffset>1863852</wp:posOffset>
                      </wp:positionV>
                      <wp:extent cx="292608" cy="130805"/>
                      <wp:effectExtent l="0" t="0" r="0" b="3175"/>
                      <wp:wrapNone/>
                      <wp:docPr id="2019876" name="Прямокутник 1969757339"/>
                      <wp:cNvGraphicFramePr/>
                      <a:graphic xmlns:a="http://schemas.openxmlformats.org/drawingml/2006/main">
                        <a:graphicData uri="http://schemas.microsoft.com/office/word/2010/wordprocessingShape">
                          <wps:wsp>
                            <wps:cNvSpPr/>
                            <wps:spPr>
                              <a:xfrm>
                                <a:off x="0" y="0"/>
                                <a:ext cx="292608" cy="130805"/>
                              </a:xfrm>
                              <a:prstGeom prst="rect">
                                <a:avLst/>
                              </a:prstGeom>
                              <a:solidFill>
                                <a:srgbClr val="FBDDDB"/>
                              </a:solidFill>
                            </wps:spPr>
                            <wps:txbx>
                              <w:txbxContent>
                                <w:p w14:paraId="4D8BB98E"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3:1 IR</w:t>
                                  </w:r>
                                </w:p>
                              </w:txbxContent>
                            </wps:txbx>
                            <wps:bodyPr wrap="square" lIns="0" tIns="0" rIns="0" bIns="0">
                              <a:noAutofit/>
                            </wps:bodyPr>
                          </wps:wsp>
                        </a:graphicData>
                      </a:graphic>
                    </wp:anchor>
                  </w:drawing>
                </mc:Choice>
                <mc:Fallback>
                  <w:pict>
                    <v:rect w14:anchorId="7E220736" id="Прямокутник 1969757339" o:spid="_x0000_s1088" style="position:absolute;margin-left:125.4pt;margin-top:146.75pt;width:23.05pt;height:10.3pt;z-index:25144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" fillcolor="#fbdddb" stroked="f">
                      <v:textbox inset="0,0,0,0">
                        <w:txbxContent>
                          <w:p w14:paraId="4D8BB98E"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3:1 IR</w:t>
                            </w:r>
                          </w:p>
                        </w:txbxContent>
                      </v:textbox>
                    </v:rect>
                  </w:pict>
                </mc:Fallback>
              </mc:AlternateContent>
            </w:r>
            <w:r w:rsidR="008E6497">
              <w:rPr>
                <w:noProof/>
              </w:rPr>
              <mc:AlternateContent>
                <mc:Choice Requires="wps">
                  <w:drawing>
                    <wp:anchor distT="0" distB="0" distL="114300" distR="114300" simplePos="0" relativeHeight="251451392" behindDoc="0" locked="0" layoutInCell="1" allowOverlap="1" wp14:anchorId="110281BF" wp14:editId="4E59E691">
                      <wp:simplePos x="0" y="0"/>
                      <wp:positionH relativeFrom="column">
                        <wp:posOffset>1318006</wp:posOffset>
                      </wp:positionH>
                      <wp:positionV relativeFrom="paragraph">
                        <wp:posOffset>4378452</wp:posOffset>
                      </wp:positionV>
                      <wp:extent cx="822960" cy="396240"/>
                      <wp:effectExtent l="0" t="0" r="0" b="3810"/>
                      <wp:wrapNone/>
                      <wp:docPr id="616531262" name="Прямокутник 199906475"/>
                      <wp:cNvGraphicFramePr/>
                      <a:graphic xmlns:a="http://schemas.openxmlformats.org/drawingml/2006/main">
                        <a:graphicData uri="http://schemas.microsoft.com/office/word/2010/wordprocessingShape">
                          <wps:wsp>
                            <wps:cNvSpPr/>
                            <wps:spPr>
                              <a:xfrm>
                                <a:off x="0" y="0"/>
                                <a:ext cx="822960" cy="396240"/>
                              </a:xfrm>
                              <a:prstGeom prst="rect">
                                <a:avLst/>
                              </a:prstGeom>
                              <a:solidFill>
                                <a:srgbClr val="CCE9D7"/>
                              </a:solidFill>
                            </wps:spPr>
                            <wps:txbx>
                              <w:txbxContent>
                                <w:p w14:paraId="38A04C0D" w14:textId="77777777" w:rsidR="009D0C1D" w:rsidRPr="00115639" w:rsidRDefault="009D0C1D" w:rsidP="008E6497">
                                  <w:pPr>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Виділення ДНК</w:t>
                                  </w:r>
                                </w:p>
                                <w:p w14:paraId="78926B55" w14:textId="77777777" w:rsidR="009D0C1D" w:rsidRPr="00115639" w:rsidRDefault="009D0C1D" w:rsidP="008E6497">
                                  <w:pPr>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4 год 22 хв m2000 sp</w:t>
                                  </w:r>
                                </w:p>
                              </w:txbxContent>
                            </wps:txbx>
                            <wps:bodyPr wrap="square" lIns="0" tIns="0" rIns="0" bIns="0">
                              <a:noAutofit/>
                            </wps:bodyPr>
                          </wps:wsp>
                        </a:graphicData>
                      </a:graphic>
                    </wp:anchor>
                  </w:drawing>
                </mc:Choice>
                <mc:Fallback>
                  <w:pict>
                    <v:rect w14:anchorId="110281BF" id="Прямокутник 199906475" o:spid="_x0000_s1089" style="position:absolute;margin-left:103.8pt;margin-top:344.75pt;width:64.8pt;height:31.2pt;z-index:25145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" fillcolor="#cce9d7" stroked="f">
                      <v:textbox inset="0,0,0,0">
                        <w:txbxContent>
                          <w:p w14:paraId="38A04C0D" w14:textId="77777777" w:rsidR="009D0C1D" w:rsidRPr="00115639" w:rsidRDefault="009D0C1D" w:rsidP="008E6497">
                            <w:pPr>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Виділення ДНК</w:t>
                            </w:r>
                          </w:p>
                          <w:p w14:paraId="78926B55" w14:textId="77777777" w:rsidR="009D0C1D" w:rsidRPr="00115639" w:rsidRDefault="009D0C1D" w:rsidP="008E6497">
                            <w:pPr>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4 год 22 хв m2000 sp</w:t>
                            </w:r>
                          </w:p>
                        </w:txbxContent>
                      </v:textbox>
                    </v:rect>
                  </w:pict>
                </mc:Fallback>
              </mc:AlternateContent>
            </w:r>
            <w:r w:rsidR="008E6497">
              <w:rPr>
                <w:noProof/>
              </w:rPr>
              <mc:AlternateContent>
                <mc:Choice Requires="wps">
                  <w:drawing>
                    <wp:anchor distT="0" distB="0" distL="114300" distR="114300" simplePos="0" relativeHeight="251478016" behindDoc="0" locked="0" layoutInCell="1" allowOverlap="1" wp14:anchorId="6CD11867" wp14:editId="4BF850C6">
                      <wp:simplePos x="0" y="0"/>
                      <wp:positionH relativeFrom="column">
                        <wp:posOffset>2674366</wp:posOffset>
                      </wp:positionH>
                      <wp:positionV relativeFrom="paragraph">
                        <wp:posOffset>99060</wp:posOffset>
                      </wp:positionV>
                      <wp:extent cx="435864" cy="261610"/>
                      <wp:effectExtent l="0" t="0" r="2540" b="5715"/>
                      <wp:wrapNone/>
                      <wp:docPr id="2017812469" name="Прямокутник 1279336037"/>
                      <wp:cNvGraphicFramePr/>
                      <a:graphic xmlns:a="http://schemas.openxmlformats.org/drawingml/2006/main">
                        <a:graphicData uri="http://schemas.microsoft.com/office/word/2010/wordprocessingShape">
                          <wps:wsp>
                            <wps:cNvSpPr/>
                            <wps:spPr>
                              <a:xfrm>
                                <a:off x="0" y="0"/>
                                <a:ext cx="435864" cy="261610"/>
                              </a:xfrm>
                              <a:prstGeom prst="rect">
                                <a:avLst/>
                              </a:prstGeom>
                              <a:solidFill>
                                <a:srgbClr val="FFFFFF"/>
                              </a:solidFill>
                            </wps:spPr>
                            <wps:txbx>
                              <w:txbxContent>
                                <w:p w14:paraId="7B743DC8" w14:textId="77777777" w:rsidR="009D0C1D" w:rsidRPr="00115639" w:rsidRDefault="009D0C1D" w:rsidP="008E6497">
                                  <w:pP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BD MAX MDR-TB</w:t>
                                  </w:r>
                                </w:p>
                              </w:txbxContent>
                            </wps:txbx>
                            <wps:bodyPr wrap="square" lIns="0" tIns="0" rIns="0" bIns="0">
                              <a:noAutofit/>
                            </wps:bodyPr>
                          </wps:wsp>
                        </a:graphicData>
                      </a:graphic>
                    </wp:anchor>
                  </w:drawing>
                </mc:Choice>
                <mc:Fallback>
                  <w:pict>
                    <v:rect w14:anchorId="6CD11867" id="Прямокутник 1279336037" o:spid="_x0000_s1090" style="position:absolute;margin-left:210.6pt;margin-top:7.8pt;width:34.3pt;height:20.6pt;z-index:25147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" stroked="f">
                      <v:textbox inset="0,0,0,0">
                        <w:txbxContent>
                          <w:p w14:paraId="7B743DC8" w14:textId="77777777" w:rsidR="009D0C1D" w:rsidRPr="00115639" w:rsidRDefault="009D0C1D" w:rsidP="008E6497">
                            <w:pP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BD MAX MDR-TB</w:t>
                            </w:r>
                          </w:p>
                        </w:txbxContent>
                      </v:textbox>
                    </v:rect>
                  </w:pict>
                </mc:Fallback>
              </mc:AlternateContent>
            </w:r>
            <w:r w:rsidR="008E6497">
              <w:rPr>
                <w:noProof/>
              </w:rPr>
              <mc:AlternateContent>
                <mc:Choice Requires="wps">
                  <w:drawing>
                    <wp:anchor distT="0" distB="0" distL="114300" distR="114300" simplePos="0" relativeHeight="251466752" behindDoc="0" locked="0" layoutInCell="1" allowOverlap="1" wp14:anchorId="75384DA5" wp14:editId="536B97C3">
                      <wp:simplePos x="0" y="0"/>
                      <wp:positionH relativeFrom="column">
                        <wp:posOffset>2488438</wp:posOffset>
                      </wp:positionH>
                      <wp:positionV relativeFrom="paragraph">
                        <wp:posOffset>1857756</wp:posOffset>
                      </wp:positionV>
                      <wp:extent cx="810768" cy="130805"/>
                      <wp:effectExtent l="0" t="0" r="8890" b="3175"/>
                      <wp:wrapNone/>
                      <wp:docPr id="1392852349" name="Прямокутник 1262793539"/>
                      <wp:cNvGraphicFramePr/>
                      <a:graphic xmlns:a="http://schemas.openxmlformats.org/drawingml/2006/main">
                        <a:graphicData uri="http://schemas.microsoft.com/office/word/2010/wordprocessingShape">
                          <wps:wsp>
                            <wps:cNvSpPr/>
                            <wps:spPr>
                              <a:xfrm>
                                <a:off x="0" y="0"/>
                                <a:ext cx="810768" cy="130805"/>
                              </a:xfrm>
                              <a:prstGeom prst="rect">
                                <a:avLst/>
                              </a:prstGeom>
                              <a:solidFill>
                                <a:srgbClr val="FBDDDB"/>
                              </a:solidFill>
                            </wps:spPr>
                            <wps:txbx>
                              <w:txbxContent>
                                <w:p w14:paraId="1DA47E23"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2:1 BD Max STR</w:t>
                                  </w:r>
                                </w:p>
                              </w:txbxContent>
                            </wps:txbx>
                            <wps:bodyPr wrap="square" lIns="0" tIns="0" rIns="0" bIns="0">
                              <a:noAutofit/>
                            </wps:bodyPr>
                          </wps:wsp>
                        </a:graphicData>
                      </a:graphic>
                    </wp:anchor>
                  </w:drawing>
                </mc:Choice>
                <mc:Fallback>
                  <w:pict>
                    <v:rect w14:anchorId="75384DA5" id="Прямокутник 1262793539" o:spid="_x0000_s1091" style="position:absolute;margin-left:195.95pt;margin-top:146.3pt;width:63.85pt;height:10.3pt;z-index:25146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" fillcolor="#fbdddb" stroked="f">
                      <v:textbox inset="0,0,0,0">
                        <w:txbxContent>
                          <w:p w14:paraId="1DA47E23" w14:textId="77777777" w:rsidR="009D0C1D" w:rsidRPr="00115639" w:rsidRDefault="009D0C1D" w:rsidP="008E6497">
                            <w:pP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2:1 BD Max STR</w:t>
                            </w:r>
                          </w:p>
                        </w:txbxContent>
                      </v:textbox>
                    </v:rect>
                  </w:pict>
                </mc:Fallback>
              </mc:AlternateContent>
            </w:r>
            <w:r w:rsidR="008E6497">
              <w:rPr>
                <w:noProof/>
              </w:rPr>
              <mc:AlternateContent>
                <mc:Choice Requires="wps">
                  <w:drawing>
                    <wp:anchor distT="0" distB="0" distL="114300" distR="114300" simplePos="0" relativeHeight="251470848" behindDoc="0" locked="0" layoutInCell="1" allowOverlap="1" wp14:anchorId="47BF6AC6" wp14:editId="65407144">
                      <wp:simplePos x="0" y="0"/>
                      <wp:positionH relativeFrom="column">
                        <wp:posOffset>3597910</wp:posOffset>
                      </wp:positionH>
                      <wp:positionV relativeFrom="paragraph">
                        <wp:posOffset>105156</wp:posOffset>
                      </wp:positionV>
                      <wp:extent cx="829056" cy="392415"/>
                      <wp:effectExtent l="0" t="0" r="9525" b="8255"/>
                      <wp:wrapNone/>
                      <wp:docPr id="1567312638" name="Прямокутник 1451426358"/>
                      <wp:cNvGraphicFramePr/>
                      <a:graphic xmlns:a="http://schemas.openxmlformats.org/drawingml/2006/main">
                        <a:graphicData uri="http://schemas.microsoft.com/office/word/2010/wordprocessingShape">
                          <wps:wsp>
                            <wps:cNvSpPr/>
                            <wps:spPr>
                              <a:xfrm>
                                <a:off x="0" y="0"/>
                                <a:ext cx="829056" cy="392415"/>
                              </a:xfrm>
                              <a:prstGeom prst="rect">
                                <a:avLst/>
                              </a:prstGeom>
                              <a:solidFill>
                                <a:srgbClr val="FFFFFF"/>
                              </a:solidFill>
                            </wps:spPr>
                            <wps:txbx>
                              <w:txbxContent>
                                <w:p w14:paraId="42F42D88"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Bruker-Hain FluoroType MTB та MTBDR</w:t>
                                  </w:r>
                                </w:p>
                              </w:txbxContent>
                            </wps:txbx>
                            <wps:bodyPr wrap="square" lIns="0" tIns="0" rIns="0" bIns="0">
                              <a:noAutofit/>
                            </wps:bodyPr>
                          </wps:wsp>
                        </a:graphicData>
                      </a:graphic>
                    </wp:anchor>
                  </w:drawing>
                </mc:Choice>
                <mc:Fallback>
                  <w:pict>
                    <v:rect w14:anchorId="47BF6AC6" id="Прямокутник 1451426358" o:spid="_x0000_s1092" style="position:absolute;margin-left:283.3pt;margin-top:8.3pt;width:65.3pt;height:30.9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" stroked="f">
                      <v:textbox inset="0,0,0,0">
                        <w:txbxContent>
                          <w:p w14:paraId="42F42D88"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Bruker-Hain FluoroType MTB та MTBDR</w:t>
                            </w:r>
                          </w:p>
                        </w:txbxContent>
                      </v:textbox>
                    </v:rect>
                  </w:pict>
                </mc:Fallback>
              </mc:AlternateContent>
            </w:r>
            <w:r w:rsidR="008E6497">
              <w:rPr>
                <w:noProof/>
              </w:rPr>
              <mc:AlternateContent>
                <mc:Choice Requires="wps">
                  <w:drawing>
                    <wp:anchor distT="0" distB="0" distL="114300" distR="114300" simplePos="0" relativeHeight="251474944" behindDoc="0" locked="0" layoutInCell="1" allowOverlap="1" wp14:anchorId="4ED54D6C" wp14:editId="5A1F7809">
                      <wp:simplePos x="0" y="0"/>
                      <wp:positionH relativeFrom="column">
                        <wp:posOffset>3610102</wp:posOffset>
                      </wp:positionH>
                      <wp:positionV relativeFrom="paragraph">
                        <wp:posOffset>4372356</wp:posOffset>
                      </wp:positionV>
                      <wp:extent cx="853440" cy="256352"/>
                      <wp:effectExtent l="0" t="0" r="3810" b="0"/>
                      <wp:wrapNone/>
                      <wp:docPr id="1814872041" name="Прямокутник 1002476482"/>
                      <wp:cNvGraphicFramePr/>
                      <a:graphic xmlns:a="http://schemas.openxmlformats.org/drawingml/2006/main">
                        <a:graphicData uri="http://schemas.microsoft.com/office/word/2010/wordprocessingShape">
                          <wps:wsp>
                            <wps:cNvSpPr/>
                            <wps:spPr>
                              <a:xfrm>
                                <a:off x="0" y="0"/>
                                <a:ext cx="853440" cy="256352"/>
                              </a:xfrm>
                              <a:prstGeom prst="rect">
                                <a:avLst/>
                              </a:prstGeom>
                              <a:solidFill>
                                <a:srgbClr val="CCE9D7"/>
                              </a:solidFill>
                            </wps:spPr>
                            <wps:txbx>
                              <w:txbxContent>
                                <w:p w14:paraId="53CF4B71" w14:textId="77777777" w:rsidR="009D0C1D" w:rsidRPr="00115639" w:rsidRDefault="009D0C1D" w:rsidP="008E6497">
                                  <w:pPr>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Виділення ДНК</w:t>
                                  </w:r>
                                </w:p>
                                <w:p w14:paraId="528E0125" w14:textId="77777777" w:rsidR="009D0C1D" w:rsidRPr="00115639" w:rsidRDefault="009D0C1D" w:rsidP="008E6497">
                                  <w:pPr>
                                    <w:spacing w:line="230" w:lineRule="auto"/>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2 год GXT 96</w:t>
                                  </w:r>
                                </w:p>
                              </w:txbxContent>
                            </wps:txbx>
                            <wps:bodyPr wrap="square" lIns="0" tIns="0" rIns="0" bIns="0">
                              <a:noAutofit/>
                            </wps:bodyPr>
                          </wps:wsp>
                        </a:graphicData>
                      </a:graphic>
                    </wp:anchor>
                  </w:drawing>
                </mc:Choice>
                <mc:Fallback>
                  <w:pict>
                    <v:rect w14:anchorId="4ED54D6C" id="Прямокутник 1002476482" o:spid="_x0000_s1093" style="position:absolute;margin-left:284.25pt;margin-top:344.3pt;width:67.2pt;height:20.2pt;z-index:25147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" fillcolor="#cce9d7" stroked="f">
                      <v:textbox inset="0,0,0,0">
                        <w:txbxContent>
                          <w:p w14:paraId="53CF4B71" w14:textId="77777777" w:rsidR="009D0C1D" w:rsidRPr="00115639" w:rsidRDefault="009D0C1D" w:rsidP="008E6497">
                            <w:pPr>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Виділення ДНК</w:t>
                            </w:r>
                          </w:p>
                          <w:p w14:paraId="528E0125" w14:textId="77777777" w:rsidR="009D0C1D" w:rsidRPr="00115639" w:rsidRDefault="009D0C1D" w:rsidP="008E6497">
                            <w:pPr>
                              <w:spacing w:line="230" w:lineRule="auto"/>
                              <w:jc w:val="center"/>
                              <w:rPr>
                                <w:rFonts w:ascii="Century Gothic" w:hAnsi="Century Gothic" w:cstheme="minorBidi"/>
                                <w:color w:val="000000" w:themeColor="text1"/>
                                <w:kern w:val="24"/>
                                <w:sz w:val="14"/>
                                <w:szCs w:val="14"/>
                              </w:rPr>
                            </w:pPr>
                            <w:r w:rsidRPr="00115639">
                              <w:rPr>
                                <w:rFonts w:ascii="Century Gothic" w:hAnsi="Century Gothic"/>
                                <w:color w:val="000000" w:themeColor="text1"/>
                                <w:sz w:val="14"/>
                                <w:szCs w:val="20"/>
                              </w:rPr>
                              <w:t>2 год GXT 96</w:t>
                            </w:r>
                          </w:p>
                        </w:txbxContent>
                      </v:textbox>
                    </v:rect>
                  </w:pict>
                </mc:Fallback>
              </mc:AlternateContent>
            </w:r>
            <w:r w:rsidR="008E6497">
              <w:rPr>
                <w:noProof/>
              </w:rPr>
              <mc:AlternateContent>
                <mc:Choice Requires="wps">
                  <w:drawing>
                    <wp:anchor distT="0" distB="0" distL="114300" distR="114300" simplePos="0" relativeHeight="251456512" behindDoc="0" locked="0" layoutInCell="1" allowOverlap="1" wp14:anchorId="090F1E11" wp14:editId="72C44CAD">
                      <wp:simplePos x="0" y="0"/>
                      <wp:positionH relativeFrom="column">
                        <wp:posOffset>4670806</wp:posOffset>
                      </wp:positionH>
                      <wp:positionV relativeFrom="paragraph">
                        <wp:posOffset>105156</wp:posOffset>
                      </wp:positionV>
                      <wp:extent cx="960120" cy="261610"/>
                      <wp:effectExtent l="0" t="0" r="0" b="5715"/>
                      <wp:wrapNone/>
                      <wp:docPr id="745311095" name="Прямокутник 1278634960"/>
                      <wp:cNvGraphicFramePr/>
                      <a:graphic xmlns:a="http://schemas.openxmlformats.org/drawingml/2006/main">
                        <a:graphicData uri="http://schemas.microsoft.com/office/word/2010/wordprocessingShape">
                          <wps:wsp>
                            <wps:cNvSpPr/>
                            <wps:spPr>
                              <a:xfrm>
                                <a:off x="0" y="0"/>
                                <a:ext cx="960120" cy="261610"/>
                              </a:xfrm>
                              <a:prstGeom prst="rect">
                                <a:avLst/>
                              </a:prstGeom>
                              <a:solidFill>
                                <a:srgbClr val="FFFFFF"/>
                              </a:solidFill>
                            </wps:spPr>
                            <wps:txbx>
                              <w:txbxContent>
                                <w:p w14:paraId="713550CD"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Roche cobas MTB та MTB-RIF/INH</w:t>
                                  </w:r>
                                </w:p>
                              </w:txbxContent>
                            </wps:txbx>
                            <wps:bodyPr wrap="square" lIns="0" tIns="0" rIns="0" bIns="0">
                              <a:noAutofit/>
                            </wps:bodyPr>
                          </wps:wsp>
                        </a:graphicData>
                      </a:graphic>
                    </wp:anchor>
                  </w:drawing>
                </mc:Choice>
                <mc:Fallback>
                  <w:pict>
                    <v:rect w14:anchorId="090F1E11" id="Прямокутник 1278634960" o:spid="_x0000_s1094" style="position:absolute;margin-left:367.8pt;margin-top:8.3pt;width:75.6pt;height:20.6pt;z-index:25145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" stroked="f">
                      <v:textbox inset="0,0,0,0">
                        <w:txbxContent>
                          <w:p w14:paraId="713550CD" w14:textId="77777777" w:rsidR="009D0C1D" w:rsidRPr="00115639" w:rsidRDefault="009D0C1D" w:rsidP="008E6497">
                            <w:pPr>
                              <w:jc w:val="center"/>
                              <w:rPr>
                                <w:rFonts w:ascii="Century Gothic" w:hAnsi="Century Gothic" w:cstheme="minorBidi"/>
                                <w:b/>
                                <w:bCs/>
                                <w:color w:val="000000" w:themeColor="text1"/>
                                <w:kern w:val="24"/>
                                <w:sz w:val="14"/>
                                <w:szCs w:val="14"/>
                              </w:rPr>
                            </w:pPr>
                            <w:r w:rsidRPr="00115639">
                              <w:rPr>
                                <w:rFonts w:ascii="Century Gothic" w:hAnsi="Century Gothic"/>
                                <w:b/>
                                <w:color w:val="000000" w:themeColor="text1"/>
                                <w:sz w:val="14"/>
                                <w:szCs w:val="20"/>
                              </w:rPr>
                              <w:t>Roche cobas MTB та MTB-RIF/INH</w:t>
                            </w:r>
                          </w:p>
                        </w:txbxContent>
                      </v:textbox>
                    </v:rect>
                  </w:pict>
                </mc:Fallback>
              </mc:AlternateContent>
            </w:r>
            <w:r w:rsidR="008E6497">
              <w:rPr>
                <w:noProof/>
              </w:rPr>
              <mc:AlternateContent>
                <mc:Choice Requires="wps">
                  <w:drawing>
                    <wp:anchor distT="0" distB="0" distL="114300" distR="114300" simplePos="0" relativeHeight="251467776" behindDoc="0" locked="0" layoutInCell="1" allowOverlap="1" wp14:anchorId="0CE05FBE" wp14:editId="37DF3419">
                      <wp:simplePos x="0" y="0"/>
                      <wp:positionH relativeFrom="column">
                        <wp:posOffset>4774438</wp:posOffset>
                      </wp:positionH>
                      <wp:positionV relativeFrom="paragraph">
                        <wp:posOffset>1863852</wp:posOffset>
                      </wp:positionV>
                      <wp:extent cx="746760" cy="130805"/>
                      <wp:effectExtent l="0" t="0" r="0" b="3175"/>
                      <wp:wrapNone/>
                      <wp:docPr id="1401604768" name="Прямокутник 1465730593"/>
                      <wp:cNvGraphicFramePr/>
                      <a:graphic xmlns:a="http://schemas.openxmlformats.org/drawingml/2006/main">
                        <a:graphicData uri="http://schemas.microsoft.com/office/word/2010/wordprocessingShape">
                          <wps:wsp>
                            <wps:cNvSpPr/>
                            <wps:spPr>
                              <a:xfrm>
                                <a:off x="0" y="0"/>
                                <a:ext cx="746760" cy="130805"/>
                              </a:xfrm>
                              <a:prstGeom prst="rect">
                                <a:avLst/>
                              </a:prstGeom>
                              <a:solidFill>
                                <a:srgbClr val="FBDDDB"/>
                              </a:solidFill>
                            </wps:spPr>
                            <wps:txbx>
                              <w:txbxContent>
                                <w:p w14:paraId="26465F7C" w14:textId="77777777" w:rsidR="009D0C1D" w:rsidRDefault="009D0C1D" w:rsidP="008E6497">
                                  <w:pPr>
                                    <w:rPr>
                                      <w:rFonts w:ascii="Century Gothic" w:hAnsi="Century Gothic" w:cstheme="minorBidi"/>
                                      <w:color w:val="000000" w:themeColor="text1"/>
                                      <w:kern w:val="24"/>
                                      <w:sz w:val="17"/>
                                      <w:szCs w:val="17"/>
                                    </w:rPr>
                                  </w:pPr>
                                  <w:r>
                                    <w:rPr>
                                      <w:rFonts w:ascii="Century Gothic" w:hAnsi="Century Gothic"/>
                                      <w:color w:val="000000" w:themeColor="text1"/>
                                      <w:sz w:val="17"/>
                                    </w:rPr>
                                    <w:t>2:1 Cobas MIS</w:t>
                                  </w:r>
                                </w:p>
                              </w:txbxContent>
                            </wps:txbx>
                            <wps:bodyPr wrap="square" lIns="0" tIns="0" rIns="0" bIns="0">
                              <a:noAutofit/>
                            </wps:bodyPr>
                          </wps:wsp>
                        </a:graphicData>
                      </a:graphic>
                    </wp:anchor>
                  </w:drawing>
                </mc:Choice>
                <mc:Fallback>
                  <w:pict>
                    <v:rect w14:anchorId="0CE05FBE" id="Прямокутник 1465730593" o:spid="_x0000_s1095" style="position:absolute;margin-left:375.95pt;margin-top:146.75pt;width:58.8pt;height:10.3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" fillcolor="#fbdddb" stroked="f">
                      <v:textbox inset="0,0,0,0">
                        <w:txbxContent>
                          <w:p w14:paraId="26465F7C" w14:textId="77777777" w:rsidR="009D0C1D" w:rsidRDefault="009D0C1D" w:rsidP="008E6497">
                            <w:pPr>
                              <w:rPr>
                                <w:rFonts w:ascii="Century Gothic" w:hAnsi="Century Gothic" w:cstheme="minorBidi"/>
                                <w:color w:val="000000" w:themeColor="text1"/>
                                <w:kern w:val="24"/>
                                <w:sz w:val="17"/>
                                <w:szCs w:val="17"/>
                              </w:rPr>
                            </w:pPr>
                            <w:r>
                              <w:rPr>
                                <w:rFonts w:ascii="Century Gothic" w:hAnsi="Century Gothic"/>
                                <w:color w:val="000000" w:themeColor="text1"/>
                                <w:sz w:val="17"/>
                              </w:rPr>
                              <w:t>2:1 Cobas MIS</w:t>
                            </w:r>
                          </w:p>
                        </w:txbxContent>
                      </v:textbox>
                    </v:rect>
                  </w:pict>
                </mc:Fallback>
              </mc:AlternateContent>
            </w:r>
            <w:r w:rsidR="008E6497">
              <w:rPr>
                <w:noProof/>
              </w:rPr>
              <mc:AlternateContent>
                <mc:Choice Requires="wps">
                  <w:drawing>
                    <wp:anchor distT="0" distB="0" distL="114300" distR="114300" simplePos="0" relativeHeight="251479040" behindDoc="0" locked="0" layoutInCell="1" allowOverlap="1" wp14:anchorId="3883A516" wp14:editId="144DAC6F">
                      <wp:simplePos x="0" y="0"/>
                      <wp:positionH relativeFrom="column">
                        <wp:posOffset>5051806</wp:posOffset>
                      </wp:positionH>
                      <wp:positionV relativeFrom="paragraph">
                        <wp:posOffset>3476244</wp:posOffset>
                      </wp:positionV>
                      <wp:extent cx="198120" cy="130805"/>
                      <wp:effectExtent l="0" t="0" r="0" b="3175"/>
                      <wp:wrapNone/>
                      <wp:docPr id="2138935576" name="Прямокутник 1466604137"/>
                      <wp:cNvGraphicFramePr/>
                      <a:graphic xmlns:a="http://schemas.openxmlformats.org/drawingml/2006/main">
                        <a:graphicData uri="http://schemas.microsoft.com/office/word/2010/wordprocessingShape">
                          <wps:wsp>
                            <wps:cNvSpPr/>
                            <wps:spPr>
                              <a:xfrm>
                                <a:off x="0" y="0"/>
                                <a:ext cx="198120" cy="130805"/>
                              </a:xfrm>
                              <a:prstGeom prst="rect">
                                <a:avLst/>
                              </a:prstGeom>
                              <a:solidFill>
                                <a:srgbClr val="FDEDCC"/>
                              </a:solidFill>
                            </wps:spPr>
                            <wps:txbx>
                              <w:txbxContent>
                                <w:p w14:paraId="7CEDA136" w14:textId="77777777" w:rsidR="009D0C1D" w:rsidRDefault="009D0C1D" w:rsidP="008E6497">
                                  <w:pPr>
                                    <w:jc w:val="right"/>
                                    <w:rPr>
                                      <w:rFonts w:ascii="Century Gothic" w:hAnsi="Century Gothic" w:cstheme="minorBidi"/>
                                      <w:color w:val="000000" w:themeColor="text1"/>
                                      <w:kern w:val="24"/>
                                      <w:sz w:val="17"/>
                                      <w:szCs w:val="17"/>
                                    </w:rPr>
                                  </w:pPr>
                                  <w:r>
                                    <w:rPr>
                                      <w:rFonts w:ascii="Century Gothic" w:hAnsi="Century Gothic"/>
                                      <w:color w:val="000000" w:themeColor="text1"/>
                                      <w:sz w:val="17"/>
                                    </w:rPr>
                                    <w:t>1 год</w:t>
                                  </w:r>
                                </w:p>
                              </w:txbxContent>
                            </wps:txbx>
                            <wps:bodyPr wrap="square" lIns="0" tIns="0" rIns="0" bIns="0">
                              <a:noAutofit/>
                            </wps:bodyPr>
                          </wps:wsp>
                        </a:graphicData>
                      </a:graphic>
                    </wp:anchor>
                  </w:drawing>
                </mc:Choice>
                <mc:Fallback>
                  <w:pict>
                    <v:rect w14:anchorId="3883A516" id="Прямокутник 1466604137" o:spid="_x0000_s1096" style="position:absolute;margin-left:397.8pt;margin-top:273.7pt;width:15.6pt;height:10.3pt;z-index:25147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" fillcolor="#fdedcc" stroked="f">
                      <v:textbox inset="0,0,0,0">
                        <w:txbxContent>
                          <w:p w14:paraId="7CEDA136" w14:textId="77777777" w:rsidR="009D0C1D" w:rsidRDefault="009D0C1D" w:rsidP="008E6497">
                            <w:pPr>
                              <w:jc w:val="right"/>
                              <w:rPr>
                                <w:rFonts w:ascii="Century Gothic" w:hAnsi="Century Gothic" w:cstheme="minorBidi"/>
                                <w:color w:val="000000" w:themeColor="text1"/>
                                <w:kern w:val="24"/>
                                <w:sz w:val="17"/>
                                <w:szCs w:val="17"/>
                              </w:rPr>
                            </w:pPr>
                            <w:r>
                              <w:rPr>
                                <w:rFonts w:ascii="Century Gothic" w:hAnsi="Century Gothic"/>
                                <w:color w:val="000000" w:themeColor="text1"/>
                                <w:sz w:val="17"/>
                              </w:rPr>
                              <w:t>1 год</w:t>
                            </w:r>
                          </w:p>
                        </w:txbxContent>
                      </v:textbox>
                    </v:rect>
                  </w:pict>
                </mc:Fallback>
              </mc:AlternateContent>
            </w:r>
            <w:r w:rsidR="008E6497">
              <w:rPr>
                <w:noProof/>
              </w:rPr>
              <w:drawing>
                <wp:inline distT="0" distB="0" distL="0" distR="0" wp14:anchorId="728A9B9D" wp14:editId="4A80B92A">
                  <wp:extent cx="5833745" cy="634873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1"/>
                          <a:stretch/>
                        </pic:blipFill>
                        <pic:spPr>
                          <a:xfrm>
                            <a:off x="0" y="0"/>
                            <a:ext cx="5833745" cy="6348730"/>
                          </a:xfrm>
                          <a:prstGeom prst="rect">
                            <a:avLst/>
                          </a:prstGeom>
                        </pic:spPr>
                      </pic:pic>
                    </a:graphicData>
                  </a:graphic>
                </wp:inline>
              </w:drawing>
            </w:r>
          </w:p>
        </w:tc>
      </w:tr>
      <w:tr w:rsidR="00366CB9" w14:paraId="06F47023" w14:textId="77777777" w:rsidTr="008E6497">
        <w:trPr>
          <w:trHeight w:hRule="exact" w:val="514"/>
        </w:trPr>
        <w:tc>
          <w:tcPr>
            <w:tcW w:w="9187" w:type="dxa"/>
            <w:shd w:val="clear" w:color="auto" w:fill="FFFFFF"/>
            <w:vAlign w:val="bottom"/>
          </w:tcPr>
          <w:p w14:paraId="5D8D0B39" w14:textId="77777777" w:rsidR="00366CB9" w:rsidRDefault="009D0C1D" w:rsidP="00457B0A">
            <w:pPr>
              <w:pStyle w:val="a6"/>
              <w:shd w:val="clear" w:color="auto" w:fill="auto"/>
              <w:spacing w:line="336" w:lineRule="auto"/>
              <w:rPr>
                <w:sz w:val="17"/>
                <w:szCs w:val="17"/>
              </w:rPr>
            </w:pPr>
            <w:r>
              <w:rPr>
                <w:b w:val="0"/>
                <w:color w:val="000000"/>
                <w:sz w:val="17"/>
              </w:rPr>
              <w:t xml:space="preserve">ДНК: дезоксирибонуклеїнова кислота; MC-aNAAT: автоматизований аналіз ампліфікації нуклеїнових кислот середньої складності </w:t>
            </w:r>
            <w:r>
              <w:rPr>
                <w:b w:val="0"/>
                <w:i/>
                <w:iCs/>
                <w:color w:val="000000"/>
                <w:sz w:val="17"/>
              </w:rPr>
              <w:t>Джерело:</w:t>
            </w:r>
            <w:r>
              <w:rPr>
                <w:b w:val="0"/>
                <w:color w:val="000000"/>
                <w:sz w:val="17"/>
              </w:rPr>
              <w:t xml:space="preserve"> Sengstake &amp; Rigouts (2020) (</w:t>
            </w:r>
            <w:hyperlink w:anchor="bookmark196" w:tooltip="Поточний документ">
              <w:r w:rsidR="00366CB9">
                <w:rPr>
                  <w:b w:val="0"/>
                  <w:color w:val="000000"/>
                  <w:sz w:val="17"/>
                </w:rPr>
                <w:t>19</w:t>
              </w:r>
            </w:hyperlink>
            <w:r>
              <w:rPr>
                <w:b w:val="0"/>
                <w:color w:val="000000"/>
                <w:sz w:val="17"/>
              </w:rPr>
              <w:t>).</w:t>
            </w:r>
          </w:p>
        </w:tc>
      </w:tr>
    </w:tbl>
    <w:p w14:paraId="6A7EADCD" w14:textId="2F39711C"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18DE8F6E" w14:textId="77777777" w:rsidR="00366CB9" w:rsidRDefault="00366CB9" w:rsidP="00425523">
      <w:pPr>
        <w:spacing w:line="1" w:lineRule="exact"/>
      </w:pPr>
    </w:p>
    <w:p w14:paraId="2D312F67" w14:textId="77777777" w:rsidR="00366CB9" w:rsidRDefault="009D0C1D" w:rsidP="00457B0A">
      <w:pPr>
        <w:pStyle w:val="22"/>
        <w:numPr>
          <w:ilvl w:val="0"/>
          <w:numId w:val="4"/>
        </w:numPr>
        <w:shd w:val="clear" w:color="auto" w:fill="auto"/>
        <w:tabs>
          <w:tab w:val="left" w:pos="697"/>
        </w:tabs>
        <w:spacing w:after="200" w:line="264" w:lineRule="auto"/>
      </w:pPr>
      <w:bookmarkStart w:id="41" w:name="bookmark39"/>
      <w:bookmarkStart w:id="42" w:name="bookmark40"/>
      <w:bookmarkStart w:id="43" w:name="bookmark38"/>
      <w:r>
        <w:t>Початкові тести для діагностики ТБ без виявлення медикаментозної резистентності</w:t>
      </w:r>
      <w:bookmarkEnd w:id="41"/>
      <w:bookmarkEnd w:id="42"/>
      <w:bookmarkEnd w:id="43"/>
    </w:p>
    <w:p w14:paraId="52F43DFC" w14:textId="77777777" w:rsidR="00366CB9" w:rsidRDefault="009D0C1D" w:rsidP="00457B0A">
      <w:pPr>
        <w:pStyle w:val="80"/>
        <w:numPr>
          <w:ilvl w:val="0"/>
          <w:numId w:val="5"/>
        </w:numPr>
        <w:shd w:val="clear" w:color="auto" w:fill="auto"/>
        <w:tabs>
          <w:tab w:val="left" w:pos="764"/>
        </w:tabs>
      </w:pPr>
      <w:r>
        <w:t>Ручні NAAT низької складності</w:t>
      </w:r>
    </w:p>
    <w:p w14:paraId="7EFAD5E4" w14:textId="77777777" w:rsidR="00366CB9" w:rsidRPr="006E22E5" w:rsidRDefault="009D0C1D" w:rsidP="004E2998">
      <w:pPr>
        <w:pStyle w:val="1"/>
        <w:shd w:val="clear" w:color="auto" w:fill="auto"/>
        <w:spacing w:after="120" w:line="324" w:lineRule="auto"/>
        <w:jc w:val="both"/>
        <w:rPr>
          <w:sz w:val="18"/>
          <w:szCs w:val="18"/>
        </w:rPr>
      </w:pPr>
      <w:r w:rsidRPr="006E22E5">
        <w:rPr>
          <w:sz w:val="18"/>
          <w:szCs w:val="18"/>
        </w:rPr>
        <w:t xml:space="preserve">Клас LC-mNAAT визначено у </w:t>
      </w:r>
      <w:r w:rsidRPr="006E22E5">
        <w:rPr>
          <w:b/>
          <w:bCs/>
          <w:sz w:val="18"/>
          <w:szCs w:val="18"/>
        </w:rPr>
        <w:t>Таблиці 2.5</w:t>
      </w:r>
      <w:r w:rsidRPr="006E22E5">
        <w:rPr>
          <w:sz w:val="18"/>
          <w:szCs w:val="18"/>
        </w:rPr>
        <w:t xml:space="preserve">. Лише один тест відповідав критеріям класу: MTBC Loopamp™ Detection Kit від компанії Eiken Chemical Company у м. Токіо, Японія. Тест виявляє MTBC, але не медикаментозну резистентність, та він застосовується у децентралізованих умовах з обмеженими лабораторними виробничими потужностями. Див. нові продукти, що успішно включено до класу ПК ВООЗ, у </w:t>
      </w:r>
      <w:r w:rsidRPr="006E22E5">
        <w:rPr>
          <w:i/>
          <w:sz w:val="18"/>
          <w:szCs w:val="18"/>
        </w:rPr>
        <w:t>переліку ВООЗ попередньо кваліфікованих продуктів для діагностики in vitro (</w:t>
      </w:r>
      <w:hyperlink w:anchor="bookmark196" w:tooltip="Поточний документ">
        <w:r w:rsidR="00366CB9" w:rsidRPr="006E22E5">
          <w:rPr>
            <w:i/>
            <w:sz w:val="18"/>
            <w:szCs w:val="18"/>
          </w:rPr>
          <w:t>18</w:t>
        </w:r>
      </w:hyperlink>
      <w:r w:rsidRPr="006E22E5">
        <w:rPr>
          <w:i/>
          <w:sz w:val="18"/>
          <w:szCs w:val="18"/>
        </w:rPr>
        <w:t>).</w:t>
      </w:r>
    </w:p>
    <w:p w14:paraId="77EC9ADD" w14:textId="77777777" w:rsidR="00366CB9" w:rsidRPr="0079021A" w:rsidRDefault="009D0C1D" w:rsidP="004E2998">
      <w:pPr>
        <w:pStyle w:val="af"/>
        <w:shd w:val="clear" w:color="auto" w:fill="auto"/>
        <w:spacing w:after="120" w:line="240" w:lineRule="auto"/>
        <w:rPr>
          <w:b/>
          <w:bCs/>
        </w:rPr>
      </w:pPr>
      <w:r>
        <w:rPr>
          <w:b/>
        </w:rPr>
        <w:t>Таблиця 2.5. Визначення класу LC-mNAAT</w:t>
      </w:r>
    </w:p>
    <w:tbl>
      <w:tblPr>
        <w:tblOverlap w:val="never"/>
        <w:tblW w:w="0" w:type="auto"/>
        <w:tblLayout w:type="fixed"/>
        <w:tblCellMar>
          <w:left w:w="10" w:type="dxa"/>
          <w:right w:w="10" w:type="dxa"/>
        </w:tblCellMar>
        <w:tblLook w:val="0000" w:firstRow="0" w:lastRow="0" w:firstColumn="0" w:lastColumn="0" w:noHBand="0" w:noVBand="0"/>
      </w:tblPr>
      <w:tblGrid>
        <w:gridCol w:w="1522"/>
        <w:gridCol w:w="1704"/>
        <w:gridCol w:w="5880"/>
      </w:tblGrid>
      <w:tr w:rsidR="00366CB9" w14:paraId="0BC32663" w14:textId="77777777" w:rsidTr="00546B4F">
        <w:trPr>
          <w:trHeight w:hRule="exact" w:val="442"/>
        </w:trPr>
        <w:tc>
          <w:tcPr>
            <w:tcW w:w="1522" w:type="dxa"/>
            <w:shd w:val="clear" w:color="auto" w:fill="62A86A"/>
            <w:vAlign w:val="center"/>
          </w:tcPr>
          <w:p w14:paraId="4AFE070C" w14:textId="77777777" w:rsidR="00366CB9" w:rsidRPr="006E22E5" w:rsidRDefault="009D0C1D" w:rsidP="004E2998">
            <w:pPr>
              <w:pStyle w:val="a6"/>
              <w:shd w:val="clear" w:color="auto" w:fill="auto"/>
              <w:ind w:firstLine="140"/>
              <w:rPr>
                <w:sz w:val="18"/>
                <w:szCs w:val="24"/>
              </w:rPr>
            </w:pPr>
            <w:r w:rsidRPr="006E22E5">
              <w:rPr>
                <w:color w:val="FFFFFF"/>
                <w:sz w:val="18"/>
                <w:szCs w:val="24"/>
              </w:rPr>
              <w:t>Мета</w:t>
            </w:r>
          </w:p>
        </w:tc>
        <w:tc>
          <w:tcPr>
            <w:tcW w:w="1704" w:type="dxa"/>
            <w:shd w:val="clear" w:color="auto" w:fill="62A86A"/>
            <w:vAlign w:val="center"/>
          </w:tcPr>
          <w:p w14:paraId="0E612D75" w14:textId="77777777" w:rsidR="00366CB9" w:rsidRPr="006E22E5" w:rsidRDefault="00366CB9" w:rsidP="004E2998">
            <w:pPr>
              <w:rPr>
                <w:b/>
                <w:bCs/>
                <w:sz w:val="18"/>
              </w:rPr>
            </w:pPr>
          </w:p>
        </w:tc>
        <w:tc>
          <w:tcPr>
            <w:tcW w:w="5880" w:type="dxa"/>
            <w:shd w:val="clear" w:color="auto" w:fill="62A86A"/>
            <w:vAlign w:val="center"/>
          </w:tcPr>
          <w:p w14:paraId="411989AA" w14:textId="77777777" w:rsidR="00366CB9" w:rsidRPr="006E22E5" w:rsidRDefault="009D0C1D" w:rsidP="004E2998">
            <w:pPr>
              <w:pStyle w:val="a6"/>
              <w:shd w:val="clear" w:color="auto" w:fill="auto"/>
              <w:rPr>
                <w:sz w:val="18"/>
                <w:szCs w:val="24"/>
              </w:rPr>
            </w:pPr>
            <w:r w:rsidRPr="006E22E5">
              <w:rPr>
                <w:color w:val="FFFFFF"/>
                <w:sz w:val="18"/>
                <w:szCs w:val="24"/>
              </w:rPr>
              <w:t>Виявлення ТБ</w:t>
            </w:r>
          </w:p>
        </w:tc>
      </w:tr>
      <w:tr w:rsidR="00366CB9" w14:paraId="4D28E3E6" w14:textId="77777777" w:rsidTr="00546B4F">
        <w:trPr>
          <w:trHeight w:hRule="exact" w:val="461"/>
        </w:trPr>
        <w:tc>
          <w:tcPr>
            <w:tcW w:w="3226" w:type="dxa"/>
            <w:gridSpan w:val="2"/>
            <w:tcBorders>
              <w:bottom w:val="single" w:sz="8" w:space="0" w:color="00B050"/>
            </w:tcBorders>
            <w:shd w:val="clear" w:color="auto" w:fill="FFFFFF"/>
            <w:vAlign w:val="center"/>
          </w:tcPr>
          <w:p w14:paraId="58A45F75" w14:textId="77777777" w:rsidR="00366CB9" w:rsidRPr="006E22E5" w:rsidRDefault="009D0C1D" w:rsidP="004E2998">
            <w:pPr>
              <w:pStyle w:val="a6"/>
              <w:shd w:val="clear" w:color="auto" w:fill="auto"/>
              <w:ind w:firstLine="140"/>
              <w:rPr>
                <w:sz w:val="18"/>
                <w:szCs w:val="24"/>
              </w:rPr>
            </w:pPr>
            <w:r w:rsidRPr="006E22E5">
              <w:rPr>
                <w:color w:val="000000"/>
                <w:sz w:val="18"/>
                <w:szCs w:val="24"/>
              </w:rPr>
              <w:t>Принцип дії</w:t>
            </w:r>
          </w:p>
        </w:tc>
        <w:tc>
          <w:tcPr>
            <w:tcW w:w="5880" w:type="dxa"/>
            <w:tcBorders>
              <w:bottom w:val="single" w:sz="8" w:space="0" w:color="00B050"/>
            </w:tcBorders>
            <w:shd w:val="clear" w:color="auto" w:fill="FFFFFF"/>
            <w:vAlign w:val="center"/>
          </w:tcPr>
          <w:p w14:paraId="34EEEDE3" w14:textId="77777777" w:rsidR="00366CB9" w:rsidRPr="006E22E5" w:rsidRDefault="009D0C1D" w:rsidP="004E2998">
            <w:pPr>
              <w:pStyle w:val="a6"/>
              <w:shd w:val="clear" w:color="auto" w:fill="auto"/>
              <w:rPr>
                <w:sz w:val="18"/>
                <w:szCs w:val="24"/>
              </w:rPr>
            </w:pPr>
            <w:r w:rsidRPr="006E22E5">
              <w:rPr>
                <w:b w:val="0"/>
                <w:color w:val="000000"/>
                <w:sz w:val="18"/>
                <w:szCs w:val="24"/>
              </w:rPr>
              <w:t>Тестування на ампліфікацію нуклеїнових кислот</w:t>
            </w:r>
          </w:p>
        </w:tc>
      </w:tr>
      <w:tr w:rsidR="00546B4F" w14:paraId="464CB2CF" w14:textId="77777777" w:rsidTr="00546B4F">
        <w:trPr>
          <w:trHeight w:hRule="exact" w:val="805"/>
        </w:trPr>
        <w:tc>
          <w:tcPr>
            <w:tcW w:w="1522" w:type="dxa"/>
            <w:vMerge w:val="restart"/>
            <w:tcBorders>
              <w:top w:val="single" w:sz="8" w:space="0" w:color="00B050"/>
            </w:tcBorders>
            <w:shd w:val="clear" w:color="auto" w:fill="FFFFFF"/>
          </w:tcPr>
          <w:p w14:paraId="34BBBE81" w14:textId="77777777" w:rsidR="00546B4F" w:rsidRPr="006E22E5" w:rsidRDefault="00546B4F" w:rsidP="00546B4F">
            <w:pPr>
              <w:pStyle w:val="a6"/>
              <w:shd w:val="clear" w:color="auto" w:fill="auto"/>
              <w:spacing w:before="240"/>
              <w:ind w:firstLine="140"/>
              <w:rPr>
                <w:sz w:val="18"/>
                <w:szCs w:val="24"/>
              </w:rPr>
            </w:pPr>
            <w:r w:rsidRPr="006E22E5">
              <w:rPr>
                <w:color w:val="000000"/>
                <w:sz w:val="18"/>
                <w:szCs w:val="24"/>
              </w:rPr>
              <w:t>Складність</w:t>
            </w:r>
          </w:p>
        </w:tc>
        <w:tc>
          <w:tcPr>
            <w:tcW w:w="1704" w:type="dxa"/>
            <w:tcBorders>
              <w:top w:val="single" w:sz="8" w:space="0" w:color="00B050"/>
              <w:bottom w:val="single" w:sz="8" w:space="0" w:color="00B050"/>
            </w:tcBorders>
            <w:shd w:val="clear" w:color="auto" w:fill="FFFFFF"/>
            <w:vAlign w:val="center"/>
          </w:tcPr>
          <w:p w14:paraId="21882D70" w14:textId="77777777" w:rsidR="00546B4F" w:rsidRPr="006E22E5" w:rsidRDefault="00546B4F" w:rsidP="00457B0A">
            <w:pPr>
              <w:pStyle w:val="a6"/>
              <w:shd w:val="clear" w:color="auto" w:fill="auto"/>
              <w:rPr>
                <w:sz w:val="18"/>
                <w:szCs w:val="24"/>
              </w:rPr>
            </w:pPr>
            <w:r w:rsidRPr="006E22E5">
              <w:rPr>
                <w:b w:val="0"/>
                <w:color w:val="000000"/>
                <w:sz w:val="18"/>
                <w:szCs w:val="24"/>
              </w:rPr>
              <w:t>Реактиви</w:t>
            </w:r>
          </w:p>
        </w:tc>
        <w:tc>
          <w:tcPr>
            <w:tcW w:w="5880" w:type="dxa"/>
            <w:tcBorders>
              <w:top w:val="single" w:sz="8" w:space="0" w:color="00B050"/>
              <w:bottom w:val="single" w:sz="8" w:space="0" w:color="00B050"/>
            </w:tcBorders>
            <w:shd w:val="clear" w:color="auto" w:fill="FFFFFF"/>
            <w:vAlign w:val="center"/>
          </w:tcPr>
          <w:p w14:paraId="0043DB9C" w14:textId="77777777" w:rsidR="00546B4F" w:rsidRPr="006E22E5" w:rsidRDefault="00546B4F" w:rsidP="004E2998">
            <w:pPr>
              <w:pStyle w:val="a6"/>
              <w:shd w:val="clear" w:color="auto" w:fill="auto"/>
              <w:spacing w:line="271" w:lineRule="auto"/>
              <w:rPr>
                <w:sz w:val="18"/>
                <w:szCs w:val="24"/>
              </w:rPr>
            </w:pPr>
            <w:r w:rsidRPr="006E22E5">
              <w:rPr>
                <w:b w:val="0"/>
                <w:color w:val="000000"/>
                <w:sz w:val="18"/>
                <w:szCs w:val="24"/>
              </w:rPr>
              <w:t>Реактиви представлені у кількох одноразових герметичних контейнерах, що не вимагають спеціальних вимог до зберігання.</w:t>
            </w:r>
          </w:p>
        </w:tc>
      </w:tr>
      <w:tr w:rsidR="00546B4F" w14:paraId="006909DA" w14:textId="77777777" w:rsidTr="00546B4F">
        <w:trPr>
          <w:trHeight w:hRule="exact" w:val="710"/>
        </w:trPr>
        <w:tc>
          <w:tcPr>
            <w:tcW w:w="1522" w:type="dxa"/>
            <w:vMerge/>
            <w:shd w:val="clear" w:color="auto" w:fill="FFFFFF"/>
          </w:tcPr>
          <w:p w14:paraId="07747F74" w14:textId="77777777" w:rsidR="00546B4F" w:rsidRPr="006E22E5" w:rsidRDefault="00546B4F" w:rsidP="00457B0A">
            <w:pPr>
              <w:rPr>
                <w:sz w:val="18"/>
              </w:rPr>
            </w:pPr>
          </w:p>
        </w:tc>
        <w:tc>
          <w:tcPr>
            <w:tcW w:w="1704" w:type="dxa"/>
            <w:tcBorders>
              <w:top w:val="single" w:sz="8" w:space="0" w:color="00B050"/>
              <w:bottom w:val="single" w:sz="8" w:space="0" w:color="00B050"/>
            </w:tcBorders>
            <w:shd w:val="clear" w:color="auto" w:fill="FFFFFF"/>
            <w:vAlign w:val="center"/>
          </w:tcPr>
          <w:p w14:paraId="1B4A353F" w14:textId="77777777" w:rsidR="00546B4F" w:rsidRPr="006E22E5" w:rsidRDefault="00546B4F" w:rsidP="00457B0A">
            <w:pPr>
              <w:pStyle w:val="a6"/>
              <w:shd w:val="clear" w:color="auto" w:fill="auto"/>
              <w:rPr>
                <w:sz w:val="18"/>
                <w:szCs w:val="24"/>
              </w:rPr>
            </w:pPr>
            <w:r w:rsidRPr="006E22E5">
              <w:rPr>
                <w:b w:val="0"/>
                <w:color w:val="000000"/>
                <w:sz w:val="18"/>
                <w:szCs w:val="24"/>
              </w:rPr>
              <w:t>Навички</w:t>
            </w:r>
          </w:p>
        </w:tc>
        <w:tc>
          <w:tcPr>
            <w:tcW w:w="5880" w:type="dxa"/>
            <w:tcBorders>
              <w:top w:val="single" w:sz="8" w:space="0" w:color="00B050"/>
              <w:bottom w:val="single" w:sz="8" w:space="0" w:color="00B050"/>
            </w:tcBorders>
            <w:shd w:val="clear" w:color="auto" w:fill="FFFFFF"/>
            <w:vAlign w:val="center"/>
          </w:tcPr>
          <w:p w14:paraId="08E97CE5" w14:textId="77777777" w:rsidR="00546B4F" w:rsidRPr="006E22E5" w:rsidRDefault="00546B4F" w:rsidP="004E2998">
            <w:pPr>
              <w:pStyle w:val="a6"/>
              <w:shd w:val="clear" w:color="auto" w:fill="auto"/>
              <w:spacing w:line="271" w:lineRule="auto"/>
              <w:rPr>
                <w:sz w:val="18"/>
                <w:szCs w:val="24"/>
              </w:rPr>
            </w:pPr>
            <w:r w:rsidRPr="006E22E5">
              <w:rPr>
                <w:b w:val="0"/>
                <w:color w:val="000000"/>
                <w:sz w:val="18"/>
                <w:szCs w:val="24"/>
              </w:rPr>
              <w:t>Основні технічні навички (наприклад, основне піпетування, точність некритична)</w:t>
            </w:r>
          </w:p>
        </w:tc>
      </w:tr>
      <w:tr w:rsidR="00366CB9" w14:paraId="55AB0FE5" w14:textId="77777777" w:rsidTr="00546B4F">
        <w:trPr>
          <w:trHeight w:hRule="exact" w:val="706"/>
        </w:trPr>
        <w:tc>
          <w:tcPr>
            <w:tcW w:w="1522" w:type="dxa"/>
            <w:shd w:val="clear" w:color="auto" w:fill="FFFFFF"/>
          </w:tcPr>
          <w:p w14:paraId="58ABAD8F" w14:textId="77777777" w:rsidR="00366CB9" w:rsidRPr="006E22E5" w:rsidRDefault="00366CB9" w:rsidP="00457B0A">
            <w:pPr>
              <w:rPr>
                <w:sz w:val="18"/>
              </w:rPr>
            </w:pPr>
          </w:p>
        </w:tc>
        <w:tc>
          <w:tcPr>
            <w:tcW w:w="1704" w:type="dxa"/>
            <w:tcBorders>
              <w:top w:val="single" w:sz="8" w:space="0" w:color="00B050"/>
              <w:bottom w:val="single" w:sz="8" w:space="0" w:color="00B050"/>
            </w:tcBorders>
            <w:shd w:val="clear" w:color="auto" w:fill="FFFFFF"/>
            <w:vAlign w:val="center"/>
          </w:tcPr>
          <w:p w14:paraId="4D2E3E16" w14:textId="77777777" w:rsidR="00366CB9" w:rsidRPr="006E22E5" w:rsidRDefault="009D0C1D" w:rsidP="00457B0A">
            <w:pPr>
              <w:pStyle w:val="a6"/>
              <w:shd w:val="clear" w:color="auto" w:fill="auto"/>
              <w:rPr>
                <w:sz w:val="18"/>
                <w:szCs w:val="24"/>
              </w:rPr>
            </w:pPr>
            <w:r w:rsidRPr="006E22E5">
              <w:rPr>
                <w:b w:val="0"/>
                <w:color w:val="000000"/>
                <w:sz w:val="18"/>
                <w:szCs w:val="24"/>
              </w:rPr>
              <w:t>Піпетування</w:t>
            </w:r>
          </w:p>
        </w:tc>
        <w:tc>
          <w:tcPr>
            <w:tcW w:w="5880" w:type="dxa"/>
            <w:tcBorders>
              <w:top w:val="single" w:sz="8" w:space="0" w:color="00B050"/>
              <w:bottom w:val="single" w:sz="8" w:space="0" w:color="00B050"/>
            </w:tcBorders>
            <w:shd w:val="clear" w:color="auto" w:fill="FFFFFF"/>
            <w:vAlign w:val="center"/>
          </w:tcPr>
          <w:p w14:paraId="0210B2E1" w14:textId="77777777" w:rsidR="00366CB9" w:rsidRPr="006E22E5" w:rsidRDefault="009D0C1D" w:rsidP="004E2998">
            <w:pPr>
              <w:pStyle w:val="a6"/>
              <w:shd w:val="clear" w:color="auto" w:fill="auto"/>
              <w:spacing w:line="271" w:lineRule="auto"/>
              <w:rPr>
                <w:sz w:val="18"/>
                <w:szCs w:val="24"/>
              </w:rPr>
            </w:pPr>
            <w:r w:rsidRPr="006E22E5">
              <w:rPr>
                <w:b w:val="0"/>
                <w:color w:val="000000"/>
                <w:sz w:val="18"/>
                <w:szCs w:val="24"/>
              </w:rPr>
              <w:t>Кілька етапів піпетування (максимум 10) від обробки зразка до генерування результатів</w:t>
            </w:r>
          </w:p>
        </w:tc>
      </w:tr>
      <w:tr w:rsidR="00366CB9" w14:paraId="184E2AA8" w14:textId="77777777" w:rsidTr="00546B4F">
        <w:trPr>
          <w:trHeight w:hRule="exact" w:val="1985"/>
        </w:trPr>
        <w:tc>
          <w:tcPr>
            <w:tcW w:w="1522" w:type="dxa"/>
            <w:tcBorders>
              <w:bottom w:val="single" w:sz="8" w:space="0" w:color="00B050"/>
            </w:tcBorders>
            <w:shd w:val="clear" w:color="auto" w:fill="FFFFFF"/>
          </w:tcPr>
          <w:p w14:paraId="1E8D99D7" w14:textId="77777777" w:rsidR="00366CB9" w:rsidRPr="006E22E5" w:rsidRDefault="00366CB9" w:rsidP="00457B0A">
            <w:pPr>
              <w:rPr>
                <w:sz w:val="18"/>
              </w:rPr>
            </w:pPr>
          </w:p>
        </w:tc>
        <w:tc>
          <w:tcPr>
            <w:tcW w:w="1704" w:type="dxa"/>
            <w:tcBorders>
              <w:top w:val="single" w:sz="8" w:space="0" w:color="00B050"/>
              <w:bottom w:val="single" w:sz="8" w:space="0" w:color="00B050"/>
            </w:tcBorders>
            <w:shd w:val="clear" w:color="auto" w:fill="FFFFFF"/>
          </w:tcPr>
          <w:p w14:paraId="395388D3" w14:textId="77777777" w:rsidR="00366CB9" w:rsidRPr="006E22E5" w:rsidRDefault="009D0C1D" w:rsidP="00457B0A">
            <w:pPr>
              <w:pStyle w:val="a6"/>
              <w:shd w:val="clear" w:color="auto" w:fill="auto"/>
              <w:spacing w:before="100" w:line="271" w:lineRule="auto"/>
              <w:rPr>
                <w:sz w:val="18"/>
                <w:szCs w:val="24"/>
              </w:rPr>
            </w:pPr>
            <w:r w:rsidRPr="006E22E5">
              <w:rPr>
                <w:b w:val="0"/>
                <w:color w:val="000000"/>
                <w:sz w:val="18"/>
                <w:szCs w:val="24"/>
              </w:rPr>
              <w:t>Процедура тестування</w:t>
            </w:r>
          </w:p>
        </w:tc>
        <w:tc>
          <w:tcPr>
            <w:tcW w:w="5880" w:type="dxa"/>
            <w:tcBorders>
              <w:top w:val="single" w:sz="8" w:space="0" w:color="00B050"/>
              <w:bottom w:val="single" w:sz="8" w:space="0" w:color="00B050"/>
            </w:tcBorders>
            <w:shd w:val="clear" w:color="auto" w:fill="FFFFFF"/>
            <w:vAlign w:val="center"/>
          </w:tcPr>
          <w:p w14:paraId="54B4D793" w14:textId="77777777" w:rsidR="00366CB9" w:rsidRPr="006E22E5" w:rsidRDefault="009D0C1D" w:rsidP="004E2998">
            <w:pPr>
              <w:pStyle w:val="a6"/>
              <w:shd w:val="clear" w:color="auto" w:fill="auto"/>
              <w:spacing w:line="317" w:lineRule="auto"/>
              <w:rPr>
                <w:sz w:val="18"/>
                <w:szCs w:val="24"/>
              </w:rPr>
            </w:pPr>
            <w:r w:rsidRPr="006E22E5">
              <w:rPr>
                <w:b w:val="0"/>
                <w:color w:val="000000"/>
                <w:sz w:val="18"/>
                <w:szCs w:val="24"/>
              </w:rPr>
              <w:t>Принаймні чотири окремі етапи:</w:t>
            </w:r>
          </w:p>
          <w:p w14:paraId="38BF02D6" w14:textId="3989B952" w:rsidR="00366CB9" w:rsidRPr="006E22E5" w:rsidRDefault="009D0C1D" w:rsidP="004E2998">
            <w:pPr>
              <w:pStyle w:val="a6"/>
              <w:shd w:val="clear" w:color="auto" w:fill="auto"/>
              <w:spacing w:line="317" w:lineRule="auto"/>
              <w:rPr>
                <w:sz w:val="18"/>
                <w:szCs w:val="24"/>
              </w:rPr>
            </w:pPr>
            <w:r w:rsidRPr="006E22E5">
              <w:rPr>
                <w:b w:val="0"/>
                <w:color w:val="000000"/>
                <w:sz w:val="18"/>
                <w:szCs w:val="24"/>
              </w:rPr>
              <w:t>Етап обробки зразка перед перенесенням зразка в одноразовий герметичний контейнер</w:t>
            </w:r>
            <w:r w:rsidRPr="006E22E5">
              <w:rPr>
                <w:b w:val="0"/>
                <w:color w:val="000000"/>
                <w:sz w:val="18"/>
                <w:szCs w:val="24"/>
              </w:rPr>
              <w:cr/>
              <w:t>Виділення ДНК</w:t>
            </w:r>
          </w:p>
          <w:p w14:paraId="12DC9CD1" w14:textId="77777777" w:rsidR="00366CB9" w:rsidRPr="006E22E5" w:rsidRDefault="009D0C1D" w:rsidP="004E2998">
            <w:pPr>
              <w:pStyle w:val="a6"/>
              <w:shd w:val="clear" w:color="auto" w:fill="auto"/>
              <w:spacing w:line="317" w:lineRule="auto"/>
              <w:rPr>
                <w:sz w:val="18"/>
                <w:szCs w:val="24"/>
              </w:rPr>
            </w:pPr>
            <w:r w:rsidRPr="006E22E5">
              <w:rPr>
                <w:b w:val="0"/>
                <w:color w:val="000000"/>
                <w:sz w:val="18"/>
                <w:szCs w:val="24"/>
              </w:rPr>
              <w:t>ПЛР-ампліфікація</w:t>
            </w:r>
          </w:p>
          <w:p w14:paraId="3478C5EF" w14:textId="77777777" w:rsidR="00366CB9" w:rsidRPr="006E22E5" w:rsidRDefault="009D0C1D" w:rsidP="004E2998">
            <w:pPr>
              <w:pStyle w:val="a6"/>
              <w:shd w:val="clear" w:color="auto" w:fill="auto"/>
              <w:spacing w:line="317" w:lineRule="auto"/>
              <w:rPr>
                <w:sz w:val="18"/>
                <w:szCs w:val="24"/>
              </w:rPr>
            </w:pPr>
            <w:r w:rsidRPr="006E22E5">
              <w:rPr>
                <w:b w:val="0"/>
                <w:color w:val="000000"/>
                <w:sz w:val="18"/>
                <w:szCs w:val="24"/>
              </w:rPr>
              <w:t>Візуалізація результатів</w:t>
            </w:r>
          </w:p>
        </w:tc>
      </w:tr>
      <w:tr w:rsidR="00366CB9" w14:paraId="26C417E5" w14:textId="77777777" w:rsidTr="00546B4F">
        <w:trPr>
          <w:trHeight w:hRule="exact" w:val="567"/>
        </w:trPr>
        <w:tc>
          <w:tcPr>
            <w:tcW w:w="3226" w:type="dxa"/>
            <w:gridSpan w:val="2"/>
            <w:tcBorders>
              <w:top w:val="single" w:sz="8" w:space="0" w:color="00B050"/>
              <w:bottom w:val="single" w:sz="8" w:space="0" w:color="00B050"/>
            </w:tcBorders>
            <w:shd w:val="clear" w:color="auto" w:fill="FFFFFF"/>
            <w:vAlign w:val="center"/>
          </w:tcPr>
          <w:p w14:paraId="09C737CA" w14:textId="77777777" w:rsidR="00366CB9" w:rsidRPr="006E22E5" w:rsidRDefault="009D0C1D" w:rsidP="004E2998">
            <w:pPr>
              <w:pStyle w:val="a6"/>
              <w:shd w:val="clear" w:color="auto" w:fill="auto"/>
              <w:ind w:left="130"/>
              <w:rPr>
                <w:sz w:val="18"/>
                <w:szCs w:val="24"/>
              </w:rPr>
            </w:pPr>
            <w:r w:rsidRPr="006E22E5">
              <w:rPr>
                <w:color w:val="000000"/>
                <w:sz w:val="18"/>
                <w:szCs w:val="24"/>
              </w:rPr>
              <w:t>Тип звітування про результати тесту</w:t>
            </w:r>
          </w:p>
        </w:tc>
        <w:tc>
          <w:tcPr>
            <w:tcW w:w="5880" w:type="dxa"/>
            <w:tcBorders>
              <w:top w:val="single" w:sz="8" w:space="0" w:color="00B050"/>
              <w:bottom w:val="single" w:sz="8" w:space="0" w:color="00B050"/>
            </w:tcBorders>
            <w:shd w:val="clear" w:color="auto" w:fill="FFFFFF"/>
            <w:vAlign w:val="center"/>
          </w:tcPr>
          <w:p w14:paraId="3AB4022C" w14:textId="77777777" w:rsidR="00366CB9" w:rsidRPr="006E22E5" w:rsidRDefault="009D0C1D" w:rsidP="004E2998">
            <w:pPr>
              <w:pStyle w:val="a6"/>
              <w:shd w:val="clear" w:color="auto" w:fill="auto"/>
              <w:rPr>
                <w:sz w:val="18"/>
                <w:szCs w:val="24"/>
              </w:rPr>
            </w:pPr>
            <w:r w:rsidRPr="006E22E5">
              <w:rPr>
                <w:b w:val="0"/>
                <w:color w:val="000000"/>
                <w:sz w:val="18"/>
                <w:szCs w:val="24"/>
              </w:rPr>
              <w:t>Автоматизоване або ручне</w:t>
            </w:r>
          </w:p>
        </w:tc>
      </w:tr>
      <w:tr w:rsidR="00366CB9" w14:paraId="6FDC98C8" w14:textId="77777777" w:rsidTr="00546B4F">
        <w:trPr>
          <w:trHeight w:hRule="exact" w:val="575"/>
        </w:trPr>
        <w:tc>
          <w:tcPr>
            <w:tcW w:w="3226" w:type="dxa"/>
            <w:gridSpan w:val="2"/>
            <w:tcBorders>
              <w:top w:val="single" w:sz="8" w:space="0" w:color="00B050"/>
              <w:bottom w:val="single" w:sz="8" w:space="0" w:color="00B050"/>
            </w:tcBorders>
            <w:shd w:val="clear" w:color="auto" w:fill="FFFFFF"/>
            <w:vAlign w:val="center"/>
          </w:tcPr>
          <w:p w14:paraId="4BD571B9" w14:textId="77777777" w:rsidR="00366CB9" w:rsidRPr="006E22E5" w:rsidRDefault="009D0C1D" w:rsidP="004E2998">
            <w:pPr>
              <w:pStyle w:val="a6"/>
              <w:shd w:val="clear" w:color="auto" w:fill="auto"/>
              <w:ind w:left="130"/>
              <w:rPr>
                <w:sz w:val="18"/>
                <w:szCs w:val="24"/>
              </w:rPr>
            </w:pPr>
            <w:r w:rsidRPr="006E22E5">
              <w:rPr>
                <w:color w:val="000000"/>
                <w:sz w:val="18"/>
                <w:szCs w:val="24"/>
              </w:rPr>
              <w:t>Умова використання</w:t>
            </w:r>
          </w:p>
        </w:tc>
        <w:tc>
          <w:tcPr>
            <w:tcW w:w="5880" w:type="dxa"/>
            <w:tcBorders>
              <w:top w:val="single" w:sz="8" w:space="0" w:color="00B050"/>
              <w:bottom w:val="single" w:sz="8" w:space="0" w:color="00B050"/>
            </w:tcBorders>
            <w:shd w:val="clear" w:color="auto" w:fill="FFFFFF"/>
            <w:vAlign w:val="center"/>
          </w:tcPr>
          <w:p w14:paraId="5678B5A0" w14:textId="77777777" w:rsidR="00366CB9" w:rsidRPr="006E22E5" w:rsidRDefault="009D0C1D" w:rsidP="004E2998">
            <w:pPr>
              <w:pStyle w:val="a6"/>
              <w:shd w:val="clear" w:color="auto" w:fill="auto"/>
              <w:rPr>
                <w:sz w:val="18"/>
                <w:szCs w:val="24"/>
              </w:rPr>
            </w:pPr>
            <w:r w:rsidRPr="006E22E5">
              <w:rPr>
                <w:b w:val="0"/>
                <w:color w:val="000000"/>
                <w:sz w:val="18"/>
                <w:szCs w:val="24"/>
              </w:rPr>
              <w:t>Звичайна лабораторія (без спеціальних виробничих потужностей)</w:t>
            </w:r>
          </w:p>
        </w:tc>
      </w:tr>
      <w:tr w:rsidR="00366CB9" w14:paraId="734FF64E" w14:textId="77777777" w:rsidTr="00546B4F">
        <w:trPr>
          <w:trHeight w:hRule="exact" w:val="586"/>
        </w:trPr>
        <w:tc>
          <w:tcPr>
            <w:tcW w:w="9106" w:type="dxa"/>
            <w:gridSpan w:val="3"/>
            <w:tcBorders>
              <w:top w:val="single" w:sz="8" w:space="0" w:color="00B050"/>
            </w:tcBorders>
            <w:shd w:val="clear" w:color="auto" w:fill="FFFFFF"/>
            <w:vAlign w:val="bottom"/>
          </w:tcPr>
          <w:p w14:paraId="7CDE32CE" w14:textId="77777777" w:rsidR="00366CB9" w:rsidRDefault="009D0C1D" w:rsidP="00457B0A">
            <w:pPr>
              <w:pStyle w:val="a6"/>
              <w:shd w:val="clear" w:color="auto" w:fill="auto"/>
              <w:spacing w:line="266" w:lineRule="auto"/>
              <w:rPr>
                <w:sz w:val="17"/>
                <w:szCs w:val="17"/>
              </w:rPr>
            </w:pPr>
            <w:r>
              <w:rPr>
                <w:b w:val="0"/>
                <w:color w:val="000000"/>
                <w:sz w:val="17"/>
              </w:rPr>
              <w:t>ДНК: дезоксирибонуклеїнова кислота; LC-mNAAT: ручний аналіз ампліфікації нуклеїнових кислот низької складності; ПЛР: полімеразна ланцюгова реакція; ТБ: туберкульоз.</w:t>
            </w:r>
          </w:p>
        </w:tc>
      </w:tr>
    </w:tbl>
    <w:p w14:paraId="5DA8F6B6" w14:textId="77777777" w:rsidR="00366CB9" w:rsidRPr="006E22E5" w:rsidRDefault="009D0C1D" w:rsidP="004E2998">
      <w:pPr>
        <w:pStyle w:val="1"/>
        <w:shd w:val="clear" w:color="auto" w:fill="auto"/>
        <w:spacing w:before="120" w:line="324" w:lineRule="auto"/>
        <w:jc w:val="both"/>
        <w:rPr>
          <w:sz w:val="18"/>
          <w:szCs w:val="18"/>
        </w:rPr>
      </w:pPr>
      <w:r w:rsidRPr="006E22E5">
        <w:rPr>
          <w:sz w:val="18"/>
          <w:szCs w:val="18"/>
        </w:rPr>
        <w:t>LC-mNAAT точно виявляють ТБ легень на зразках з дихальних шляхів у дорослих, дітей та людей, які живуть з ВІЛ (</w:t>
      </w:r>
      <w:hyperlink w:anchor="bookmark41" w:tooltip="Поточний документ">
        <w:r w:rsidR="00366CB9" w:rsidRPr="006E22E5">
          <w:rPr>
            <w:b/>
            <w:sz w:val="18"/>
            <w:szCs w:val="18"/>
          </w:rPr>
          <w:t>Вставка 2.3</w:t>
        </w:r>
      </w:hyperlink>
      <w:r w:rsidRPr="006E22E5">
        <w:rPr>
          <w:sz w:val="18"/>
          <w:szCs w:val="18"/>
        </w:rPr>
        <w:t>). Наразі такі тести рекомендуються для використання лише з мокротинням (для осіб будь-якого віку) та вмістом шлунку (дітей), оскільки дані щодо інших типів зразків відсутні (див. розділ про подальші дослідження у консолідованих настановах (</w:t>
      </w:r>
      <w:hyperlink w:anchor="bookmark193" w:tooltip="Поточний документ">
        <w:r w:rsidR="00366CB9" w:rsidRPr="006E22E5">
          <w:rPr>
            <w:sz w:val="18"/>
            <w:szCs w:val="18"/>
          </w:rPr>
          <w:t>5</w:t>
        </w:r>
      </w:hyperlink>
      <w:r w:rsidRPr="006E22E5">
        <w:rPr>
          <w:sz w:val="18"/>
          <w:szCs w:val="18"/>
        </w:rPr>
        <w:t>)). Ручний аналіз TB-LAMP розроблено з метою виявлення MTBC безпосередньо у зразках мокротиння приблизно за 90 хв, не вимагає складних приладів та може застосовуватись на периферійному лабораторному рівні, при цьому вимоги до біологічної безпеки є аналогічними вимогам до мікроскопії мазка мокротиння. Для виявлення ТБ у дорослих з ознаками та симптомами ТБ легень LC-mNAAT продемонстрував чутливість 84 % (95 % достовірний інтервал [ДІ]): 78-89 %) та специфічність 96 % (95 % ДІ: 94-97 %) на мокротинні порівняно з мікробіологічним стандартним зразком.</w:t>
      </w:r>
    </w:p>
    <w:p w14:paraId="360D7F02" w14:textId="77777777" w:rsidR="00366CB9" w:rsidRDefault="00366CB9" w:rsidP="00425523">
      <w:pPr>
        <w:spacing w:line="1" w:lineRule="exact"/>
        <w:sectPr w:rsidR="00366CB9" w:rsidSect="004E2998">
          <w:type w:val="nextColumn"/>
          <w:pgSz w:w="11913" w:h="16840"/>
          <w:pgMar w:top="1469" w:right="1378" w:bottom="284" w:left="1372" w:header="0" w:footer="6" w:gutter="0"/>
          <w:paperSrc w:first="15" w:other="15"/>
          <w:cols w:space="720"/>
          <w:noEndnote/>
          <w:docGrid w:linePitch="360"/>
        </w:sectPr>
      </w:pPr>
    </w:p>
    <w:p w14:paraId="3ECE2FDE"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93"/>
        <w:gridCol w:w="8113"/>
      </w:tblGrid>
      <w:tr w:rsidR="00366CB9" w14:paraId="69F37C39" w14:textId="77777777" w:rsidTr="006F2885">
        <w:trPr>
          <w:trHeight w:hRule="exact" w:val="8221"/>
        </w:trPr>
        <w:tc>
          <w:tcPr>
            <w:tcW w:w="9106" w:type="dxa"/>
            <w:gridSpan w:val="2"/>
            <w:shd w:val="clear" w:color="auto" w:fill="FFFFFF"/>
          </w:tcPr>
          <w:p w14:paraId="070F1DB6" w14:textId="52E1CD94" w:rsidR="00366CB9" w:rsidRDefault="00454445" w:rsidP="00457B0A">
            <w:pPr>
              <w:rPr>
                <w:sz w:val="2"/>
                <w:szCs w:val="2"/>
              </w:rPr>
            </w:pPr>
            <w:r>
              <w:rPr>
                <w:noProof/>
              </w:rPr>
              <mc:AlternateContent>
                <mc:Choice Requires="wps">
                  <w:drawing>
                    <wp:anchor distT="0" distB="0" distL="114300" distR="114300" simplePos="0" relativeHeight="251480064" behindDoc="0" locked="0" layoutInCell="1" allowOverlap="1" wp14:anchorId="2E0ACB08" wp14:editId="5F629099">
                      <wp:simplePos x="0" y="0"/>
                      <wp:positionH relativeFrom="column">
                        <wp:posOffset>126684</wp:posOffset>
                      </wp:positionH>
                      <wp:positionV relativeFrom="paragraph">
                        <wp:posOffset>282226</wp:posOffset>
                      </wp:positionV>
                      <wp:extent cx="3425036" cy="146050"/>
                      <wp:effectExtent l="0" t="0" r="4445" b="6350"/>
                      <wp:wrapNone/>
                      <wp:docPr id="1085852412" name="Прямокутник 2"/>
                      <wp:cNvGraphicFramePr/>
                      <a:graphic xmlns:a="http://schemas.openxmlformats.org/drawingml/2006/main">
                        <a:graphicData uri="http://schemas.microsoft.com/office/word/2010/wordprocessingShape">
                          <wps:wsp>
                            <wps:cNvSpPr/>
                            <wps:spPr>
                              <a:xfrm>
                                <a:off x="0" y="0"/>
                                <a:ext cx="3425036" cy="146050"/>
                              </a:xfrm>
                              <a:prstGeom prst="rect">
                                <a:avLst/>
                              </a:prstGeom>
                              <a:solidFill>
                                <a:srgbClr val="009649"/>
                              </a:solidFill>
                            </wps:spPr>
                            <wps:txbx>
                              <w:txbxContent>
                                <w:p w14:paraId="61BE6771" w14:textId="77777777" w:rsidR="009D0C1D" w:rsidRPr="0079021A" w:rsidRDefault="009D0C1D" w:rsidP="008E6497">
                                  <w:pPr>
                                    <w:rPr>
                                      <w:rFonts w:eastAsia="+mn-ea" w:cs="+mn-cs"/>
                                      <w:b/>
                                      <w:bCs/>
                                      <w:color w:val="FFFFFF"/>
                                      <w:kern w:val="24"/>
                                      <w:sz w:val="20"/>
                                      <w:szCs w:val="20"/>
                                    </w:rPr>
                                  </w:pPr>
                                  <w:r>
                                    <w:rPr>
                                      <w:b/>
                                      <w:color w:val="FFFFFF"/>
                                      <w:sz w:val="20"/>
                                    </w:rPr>
                                    <w:t xml:space="preserve">Вставка 2.3. Рекомендація ВООЗ щодо LC-mNAAT </w:t>
                                  </w:r>
                                  <w:r>
                                    <w:rPr>
                                      <w:b/>
                                      <w:i/>
                                      <w:color w:val="FFFFFF"/>
                                      <w:sz w:val="20"/>
                                    </w:rPr>
                                    <w:t>(6)</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E0ACB08" id="_x0000_s1097" style="position:absolute;margin-left:10pt;margin-top:22.2pt;width:269.7pt;height:11.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" fillcolor="#009649" stroked="f">
                      <v:textbox inset="0,0,0,0">
                        <w:txbxContent>
                          <w:p w14:paraId="61BE6771" w14:textId="77777777" w:rsidR="009D0C1D" w:rsidRPr="0079021A" w:rsidRDefault="009D0C1D" w:rsidP="008E6497">
                            <w:pPr>
                              <w:rPr>
                                <w:rFonts w:eastAsia="+mn-ea" w:cs="+mn-cs"/>
                                <w:b/>
                                <w:bCs/>
                                <w:color w:val="FFFFFF"/>
                                <w:kern w:val="24"/>
                                <w:sz w:val="20"/>
                                <w:szCs w:val="20"/>
                              </w:rPr>
                            </w:pPr>
                            <w:r>
                              <w:rPr>
                                <w:b/>
                                <w:color w:val="FFFFFF"/>
                                <w:sz w:val="20"/>
                              </w:rPr>
                              <w:t xml:space="preserve">Вставка 2.3. Рекомендація ВООЗ щодо LC-mNAAT </w:t>
                            </w:r>
                            <w:r>
                              <w:rPr>
                                <w:b/>
                                <w:i/>
                                <w:color w:val="FFFFFF"/>
                                <w:sz w:val="20"/>
                              </w:rPr>
                              <w:t>(6)</w:t>
                            </w:r>
                          </w:p>
                        </w:txbxContent>
                      </v:textbox>
                    </v:rect>
                  </w:pict>
                </mc:Fallback>
              </mc:AlternateContent>
            </w:r>
            <w:r>
              <w:rPr>
                <w:noProof/>
              </w:rPr>
              <mc:AlternateContent>
                <mc:Choice Requires="wps">
                  <w:drawing>
                    <wp:anchor distT="0" distB="0" distL="114300" distR="114300" simplePos="0" relativeHeight="251481088" behindDoc="0" locked="0" layoutInCell="1" allowOverlap="1" wp14:anchorId="137368F7" wp14:editId="2EC0DE25">
                      <wp:simplePos x="0" y="0"/>
                      <wp:positionH relativeFrom="column">
                        <wp:posOffset>337185</wp:posOffset>
                      </wp:positionH>
                      <wp:positionV relativeFrom="paragraph">
                        <wp:posOffset>653415</wp:posOffset>
                      </wp:positionV>
                      <wp:extent cx="5220970" cy="4300220"/>
                      <wp:effectExtent l="0" t="0" r="0" b="5080"/>
                      <wp:wrapNone/>
                      <wp:docPr id="353802557" name="Прямокутник 3"/>
                      <wp:cNvGraphicFramePr/>
                      <a:graphic xmlns:a="http://schemas.openxmlformats.org/drawingml/2006/main">
                        <a:graphicData uri="http://schemas.microsoft.com/office/word/2010/wordprocessingShape">
                          <wps:wsp>
                            <wps:cNvSpPr/>
                            <wps:spPr>
                              <a:xfrm>
                                <a:off x="0" y="0"/>
                                <a:ext cx="5220970" cy="4300220"/>
                              </a:xfrm>
                              <a:prstGeom prst="rect">
                                <a:avLst/>
                              </a:prstGeom>
                              <a:solidFill>
                                <a:srgbClr val="C6E0CE"/>
                              </a:solidFill>
                            </wps:spPr>
                            <wps:txbx>
                              <w:txbxContent>
                                <w:p w14:paraId="0E7ED25C" w14:textId="77777777" w:rsidR="009D0C1D" w:rsidRDefault="009D0C1D" w:rsidP="008E6497">
                                  <w:pPr>
                                    <w:spacing w:after="56" w:line="314" w:lineRule="auto"/>
                                    <w:jc w:val="both"/>
                                    <w:rPr>
                                      <w:rFonts w:eastAsia="+mn-ea" w:cs="+mn-cs"/>
                                      <w:kern w:val="24"/>
                                      <w:sz w:val="20"/>
                                      <w:szCs w:val="20"/>
                                    </w:rPr>
                                  </w:pPr>
                                  <w:r>
                                    <w:rPr>
                                      <w:sz w:val="20"/>
                                    </w:rPr>
                                    <w:t>Для дорослих та підлітків з ознаками або симптомами ТБ, або позитивним результатом тесту на ТБ легень, початковими діагностичними тестами на ТБ мають бути ручні NAAT низької складності на зразках з дихальних шляхів, а не мікроскопія мазка або посів.</w:t>
                                  </w:r>
                                </w:p>
                                <w:p w14:paraId="3258CD58" w14:textId="77777777" w:rsidR="009D0C1D" w:rsidRPr="00356397" w:rsidRDefault="009D0C1D" w:rsidP="008E6497">
                                  <w:pPr>
                                    <w:spacing w:after="56" w:line="314" w:lineRule="auto"/>
                                    <w:jc w:val="both"/>
                                    <w:rPr>
                                      <w:rFonts w:eastAsia="+mn-ea" w:cs="+mn-cs"/>
                                      <w:i/>
                                      <w:iCs/>
                                      <w:kern w:val="24"/>
                                      <w:sz w:val="20"/>
                                      <w:szCs w:val="20"/>
                                    </w:rPr>
                                  </w:pPr>
                                  <w:r>
                                    <w:rPr>
                                      <w:i/>
                                      <w:sz w:val="20"/>
                                    </w:rPr>
                                    <w:t>(Сильна рекомендація, високий рівень достовірності доказів)</w:t>
                                  </w:r>
                                </w:p>
                                <w:p w14:paraId="13CA6C1C" w14:textId="77777777" w:rsidR="009D0C1D" w:rsidRDefault="009D0C1D" w:rsidP="008E6497">
                                  <w:pPr>
                                    <w:spacing w:after="56" w:line="314" w:lineRule="auto"/>
                                    <w:jc w:val="both"/>
                                    <w:rPr>
                                      <w:rFonts w:eastAsia="+mn-ea" w:cs="+mn-cs"/>
                                      <w:kern w:val="24"/>
                                      <w:sz w:val="20"/>
                                      <w:szCs w:val="20"/>
                                    </w:rPr>
                                  </w:pPr>
                                  <w:r>
                                    <w:rPr>
                                      <w:sz w:val="20"/>
                                    </w:rPr>
                                    <w:t>Примітки:</w:t>
                                  </w:r>
                                </w:p>
                                <w:p w14:paraId="57A2180E" w14:textId="3B3B46CA" w:rsidR="009D0C1D" w:rsidRDefault="009D0C1D" w:rsidP="004E2998">
                                  <w:pPr>
                                    <w:spacing w:after="56" w:line="314" w:lineRule="auto"/>
                                    <w:ind w:left="403" w:hanging="403"/>
                                    <w:jc w:val="both"/>
                                    <w:rPr>
                                      <w:rFonts w:eastAsia="+mn-ea" w:cs="+mn-cs"/>
                                      <w:color w:val="019648"/>
                                      <w:kern w:val="24"/>
                                      <w:sz w:val="20"/>
                                      <w:szCs w:val="20"/>
                                    </w:rPr>
                                  </w:pPr>
                                  <w:r>
                                    <w:rPr>
                                      <w:rFonts w:ascii="Wingdings" w:hAnsi="Wingdings"/>
                                      <w:color w:val="019648"/>
                                    </w:rPr>
                                    <w:t></w:t>
                                  </w:r>
                                  <w:r>
                                    <w:rPr>
                                      <w:color w:val="019648"/>
                                      <w:sz w:val="20"/>
                                    </w:rPr>
                                    <w:t xml:space="preserve"> </w:t>
                                  </w:r>
                                  <w:r>
                                    <w:tab/>
                                  </w:r>
                                  <w:r>
                                    <w:rPr>
                                      <w:sz w:val="20"/>
                                    </w:rPr>
                                    <w:t>Ця рекомендація застосовується до усіх людей, які живуть з ВІЛ, із застереженням щодо низького або середнього рівня достовірності доказів. Знижена чутливість підвищиться при більш запущених формах ВІЛ-інфекції.</w:t>
                                  </w:r>
                                </w:p>
                                <w:p w14:paraId="0081BF89" w14:textId="2DFF99DB" w:rsidR="009D0C1D" w:rsidRDefault="009D0C1D" w:rsidP="004E2998">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Цю рекомендацію екстрапольовано для використання у дітей на основі зразків з дихальних шляхів (включаючи індуковане мокротиння та назогастральний матеріал) на основі узагальнення даних, отриманих від дорослих, та дуже обмежених даних, отриманих від дітей, враховуючи труднощі збору зразків мокротиння у дітей.</w:t>
                                  </w:r>
                                </w:p>
                                <w:p w14:paraId="0C9D9435" w14:textId="6E46C61C" w:rsidR="009D0C1D" w:rsidRDefault="009D0C1D" w:rsidP="004E2998">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Використання тесту на дитячих зразках калу було дуже обмеженим, а для назогастрального матеріалу даних не спостерігалось. Група не екстраполювала рекомендацію щодо використання на зразках калу або назогастральному матеріалі. Якщо це єдиний доступний тест, необхідно також здійснювати посів на відповідних типах зразків або направити їх на подальше обстеження.</w:t>
                                  </w:r>
                                </w:p>
                                <w:p w14:paraId="144B79E4" w14:textId="13504D55" w:rsidR="009D0C1D" w:rsidRDefault="009D0C1D" w:rsidP="004E2998">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Через обмеженість даних рекомендацій щодо позалегеневого ТБ не спостерігалось.</w:t>
                                  </w:r>
                                </w:p>
                                <w:p w14:paraId="2E8FED7E" w14:textId="536A2F94" w:rsidR="009D0C1D" w:rsidRDefault="009D0C1D" w:rsidP="004E2998">
                                  <w:pPr>
                                    <w:spacing w:line="312" w:lineRule="auto"/>
                                    <w:ind w:left="403" w:hanging="403"/>
                                    <w:rPr>
                                      <w:rFonts w:eastAsia="+mn-ea" w:cs="+mn-cs"/>
                                      <w:color w:val="019648"/>
                                      <w:kern w:val="24"/>
                                      <w:sz w:val="20"/>
                                      <w:szCs w:val="20"/>
                                    </w:rPr>
                                  </w:pPr>
                                  <w:r>
                                    <w:rPr>
                                      <w:rFonts w:ascii="Wingdings" w:hAnsi="Wingdings"/>
                                      <w:color w:val="019648"/>
                                    </w:rPr>
                                    <w:t></w:t>
                                  </w:r>
                                  <w:r>
                                    <w:tab/>
                                  </w:r>
                                  <w:r>
                                    <w:rPr>
                                      <w:sz w:val="20"/>
                                    </w:rPr>
                                    <w:t>Тест не надає інформацію щодо резистентності до RIF; тому потрібне подальше тестування.</w:t>
                                  </w:r>
                                </w:p>
                              </w:txbxContent>
                            </wps:txbx>
                            <wps:bodyPr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37368F7" id="_x0000_s1098" style="position:absolute;margin-left:26.55pt;margin-top:51.45pt;width:411.1pt;height:338.6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" fillcolor="#c6e0ce" stroked="f">
                      <v:textbox inset="0,0,0,0">
                        <w:txbxContent>
                          <w:p w14:paraId="0E7ED25C" w14:textId="77777777" w:rsidR="009D0C1D" w:rsidRDefault="009D0C1D" w:rsidP="008E6497">
                            <w:pPr>
                              <w:spacing w:after="56" w:line="314" w:lineRule="auto"/>
                              <w:jc w:val="both"/>
                              <w:rPr>
                                <w:rFonts w:eastAsia="+mn-ea" w:cs="+mn-cs"/>
                                <w:kern w:val="24"/>
                                <w:sz w:val="20"/>
                                <w:szCs w:val="20"/>
                              </w:rPr>
                            </w:pPr>
                            <w:r>
                              <w:rPr>
                                <w:sz w:val="20"/>
                              </w:rPr>
                              <w:t>Для дорослих та підлітків з ознаками або симптомами ТБ, або позитивним результатом тесту на ТБ легень, початковими діагностичними тестами на ТБ мають бути ручні NAAT низької складності на зразках з дихальних шляхів, а не мікроскопія мазка або посів.</w:t>
                            </w:r>
                          </w:p>
                          <w:p w14:paraId="3258CD58" w14:textId="77777777" w:rsidR="009D0C1D" w:rsidRPr="00356397" w:rsidRDefault="009D0C1D" w:rsidP="008E6497">
                            <w:pPr>
                              <w:spacing w:after="56" w:line="314" w:lineRule="auto"/>
                              <w:jc w:val="both"/>
                              <w:rPr>
                                <w:rFonts w:eastAsia="+mn-ea" w:cs="+mn-cs"/>
                                <w:i/>
                                <w:iCs/>
                                <w:kern w:val="24"/>
                                <w:sz w:val="20"/>
                                <w:szCs w:val="20"/>
                              </w:rPr>
                            </w:pPr>
                            <w:r>
                              <w:rPr>
                                <w:i/>
                                <w:sz w:val="20"/>
                              </w:rPr>
                              <w:t>(Сильна рекомендація, високий рівень достовірності доказів)</w:t>
                            </w:r>
                          </w:p>
                          <w:p w14:paraId="13CA6C1C" w14:textId="77777777" w:rsidR="009D0C1D" w:rsidRDefault="009D0C1D" w:rsidP="008E6497">
                            <w:pPr>
                              <w:spacing w:after="56" w:line="314" w:lineRule="auto"/>
                              <w:jc w:val="both"/>
                              <w:rPr>
                                <w:rFonts w:eastAsia="+mn-ea" w:cs="+mn-cs"/>
                                <w:kern w:val="24"/>
                                <w:sz w:val="20"/>
                                <w:szCs w:val="20"/>
                              </w:rPr>
                            </w:pPr>
                            <w:r>
                              <w:rPr>
                                <w:sz w:val="20"/>
                              </w:rPr>
                              <w:t>Примітки:</w:t>
                            </w:r>
                          </w:p>
                          <w:p w14:paraId="57A2180E" w14:textId="3B3B46CA" w:rsidR="009D0C1D" w:rsidRDefault="009D0C1D" w:rsidP="004E2998">
                            <w:pPr>
                              <w:spacing w:after="56" w:line="314" w:lineRule="auto"/>
                              <w:ind w:left="403" w:hanging="403"/>
                              <w:jc w:val="both"/>
                              <w:rPr>
                                <w:rFonts w:eastAsia="+mn-ea" w:cs="+mn-cs"/>
                                <w:color w:val="019648"/>
                                <w:kern w:val="24"/>
                                <w:sz w:val="20"/>
                                <w:szCs w:val="20"/>
                              </w:rPr>
                            </w:pPr>
                            <w:r>
                              <w:rPr>
                                <w:rFonts w:ascii="Wingdings" w:hAnsi="Wingdings"/>
                                <w:color w:val="019648"/>
                              </w:rPr>
                              <w:t></w:t>
                            </w:r>
                            <w:r>
                              <w:rPr>
                                <w:color w:val="019648"/>
                                <w:sz w:val="20"/>
                              </w:rPr>
                              <w:t xml:space="preserve"> </w:t>
                            </w:r>
                            <w:r>
                              <w:tab/>
                            </w:r>
                            <w:r>
                              <w:rPr>
                                <w:sz w:val="20"/>
                              </w:rPr>
                              <w:t>Ця рекомендація застосовується до усіх людей, які живуть з ВІЛ, із застереженням щодо низького або середнього рівня достовірності доказів. Знижена чутливість підвищиться при більш запущених формах ВІЛ-інфекції.</w:t>
                            </w:r>
                          </w:p>
                          <w:p w14:paraId="0081BF89" w14:textId="2DFF99DB" w:rsidR="009D0C1D" w:rsidRDefault="009D0C1D" w:rsidP="004E2998">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Цю рекомендацію екстрапольовано для використання у дітей на основі зразків з дихальних шляхів (включаючи індуковане мокротиння та назогастральний матеріал) на основі узагальнення даних, отриманих від дорослих, та дуже обмежених даних, отриманих від дітей, враховуючи труднощі збору зразків мокротиння у дітей.</w:t>
                            </w:r>
                          </w:p>
                          <w:p w14:paraId="0C9D9435" w14:textId="6E46C61C" w:rsidR="009D0C1D" w:rsidRDefault="009D0C1D" w:rsidP="004E2998">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Використання тесту на дитячих зразках калу було дуже обмеженим, а для назогастрального матеріалу даних не спостерігалось. Група не екстраполювала рекомендацію щодо використання на зразках калу або назогастральному матеріалі. Якщо це єдиний доступний тест, необхідно також здійснювати посів на відповідних типах зразків або направити їх на подальше обстеження.</w:t>
                            </w:r>
                          </w:p>
                          <w:p w14:paraId="144B79E4" w14:textId="13504D55" w:rsidR="009D0C1D" w:rsidRDefault="009D0C1D" w:rsidP="004E2998">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Через обмеженість даних рекомендацій щодо позалегеневого ТБ не спостерігалось.</w:t>
                            </w:r>
                          </w:p>
                          <w:p w14:paraId="2E8FED7E" w14:textId="536A2F94" w:rsidR="009D0C1D" w:rsidRDefault="009D0C1D" w:rsidP="004E2998">
                            <w:pPr>
                              <w:spacing w:line="312" w:lineRule="auto"/>
                              <w:ind w:left="403" w:hanging="403"/>
                              <w:rPr>
                                <w:rFonts w:eastAsia="+mn-ea" w:cs="+mn-cs"/>
                                <w:color w:val="019648"/>
                                <w:kern w:val="24"/>
                                <w:sz w:val="20"/>
                                <w:szCs w:val="20"/>
                              </w:rPr>
                            </w:pPr>
                            <w:r>
                              <w:rPr>
                                <w:rFonts w:ascii="Wingdings" w:hAnsi="Wingdings"/>
                                <w:color w:val="019648"/>
                              </w:rPr>
                              <w:t></w:t>
                            </w:r>
                            <w:r>
                              <w:tab/>
                            </w:r>
                            <w:r>
                              <w:rPr>
                                <w:sz w:val="20"/>
                              </w:rPr>
                              <w:t>Тест не надає інформацію щодо резистентності до RIF; тому потрібне подальше тестування.</w:t>
                            </w:r>
                          </w:p>
                        </w:txbxContent>
                      </v:textbox>
                    </v:rect>
                  </w:pict>
                </mc:Fallback>
              </mc:AlternateContent>
            </w:r>
            <w:r>
              <w:rPr>
                <w:noProof/>
              </w:rPr>
              <w:drawing>
                <wp:inline distT="0" distB="0" distL="0" distR="0" wp14:anchorId="474C6616" wp14:editId="212A5F58">
                  <wp:extent cx="5782310" cy="540131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2"/>
                          <a:stretch/>
                        </pic:blipFill>
                        <pic:spPr>
                          <a:xfrm>
                            <a:off x="0" y="0"/>
                            <a:ext cx="5782310" cy="5401310"/>
                          </a:xfrm>
                          <a:prstGeom prst="rect">
                            <a:avLst/>
                          </a:prstGeom>
                        </pic:spPr>
                      </pic:pic>
                    </a:graphicData>
                  </a:graphic>
                </wp:inline>
              </w:drawing>
            </w:r>
          </w:p>
        </w:tc>
      </w:tr>
      <w:tr w:rsidR="00366CB9" w14:paraId="50E6E755" w14:textId="77777777" w:rsidTr="006E22E5">
        <w:trPr>
          <w:trHeight w:hRule="exact" w:val="3688"/>
        </w:trPr>
        <w:tc>
          <w:tcPr>
            <w:tcW w:w="9106" w:type="dxa"/>
            <w:gridSpan w:val="2"/>
            <w:shd w:val="clear" w:color="auto" w:fill="FFFFFF"/>
          </w:tcPr>
          <w:p w14:paraId="3CF17DE2" w14:textId="38E818E9" w:rsidR="00366CB9" w:rsidRDefault="009D0C1D" w:rsidP="00457B0A">
            <w:pPr>
              <w:pStyle w:val="a6"/>
              <w:shd w:val="clear" w:color="auto" w:fill="auto"/>
              <w:spacing w:after="200"/>
            </w:pPr>
            <w:bookmarkStart w:id="44" w:name="bookmark41"/>
            <w:r>
              <w:rPr>
                <w:b w:val="0"/>
                <w:color w:val="019648"/>
              </w:rPr>
              <w:t>2.3.2 LF-LAM сечі</w:t>
            </w:r>
            <w:bookmarkEnd w:id="44"/>
          </w:p>
          <w:p w14:paraId="17772584" w14:textId="75126908" w:rsidR="00366CB9" w:rsidRPr="006E22E5" w:rsidRDefault="009D0C1D" w:rsidP="00457B0A">
            <w:pPr>
              <w:pStyle w:val="a6"/>
              <w:shd w:val="clear" w:color="auto" w:fill="auto"/>
              <w:spacing w:line="324" w:lineRule="auto"/>
              <w:jc w:val="both"/>
              <w:rPr>
                <w:sz w:val="18"/>
                <w:szCs w:val="18"/>
              </w:rPr>
            </w:pPr>
            <w:r w:rsidRPr="006E22E5">
              <w:rPr>
                <w:b w:val="0"/>
                <w:color w:val="000000"/>
                <w:sz w:val="18"/>
                <w:szCs w:val="18"/>
              </w:rPr>
              <w:t>LF-LAM сечі є ліпоарабіноманнановим тестом бокового зсуву, що передбачає виявлення LAM (ліпоарабіноманнану), що є компонентом оболонки клітини мікобактерій. Це ЕТ для первинної діагностики ТБ у людей, які живуть з ВІЛ. Не дивлячись на відсутність чутливості в аналізі, він може вважатись експрес-тестом для діагностики ВІЛ-позитивних осіб, що можна використовувати в громаді, закладі охорони здоров’я або біля ліжка хворого, особливо у випадках, що вимагають невідкладної допомоги, коли швидка діагностика ТБ є критично важливою для виживання пацієнта. Аналіз Determine TB LAM Ag наразі є єдиним доступним у продажу аналізом LF-LAM сечі, схваленим ВООЗ. Наявність LAM у сечі вказує на наявність мікобактерій; тому ВООЗ визначила позитивний результат LF-LAM як бактеріологічно підтверджений випадок ТБ. Однак виявлення антигену мікобактерій LAM у сечі не дає інформації про медикаментозну резистентність. Представлено документ щодо практичних міркувань щодо впровадження LF-LAM (</w:t>
            </w:r>
            <w:hyperlink w:anchor="bookmark196" w:tooltip="Поточний документ">
              <w:r w:rsidR="00366CB9" w:rsidRPr="006E22E5">
                <w:rPr>
                  <w:b w:val="0"/>
                  <w:color w:val="000000"/>
                  <w:sz w:val="18"/>
                  <w:szCs w:val="18"/>
                </w:rPr>
                <w:t>20</w:t>
              </w:r>
            </w:hyperlink>
            <w:r w:rsidRPr="006E22E5">
              <w:rPr>
                <w:b w:val="0"/>
                <w:color w:val="000000"/>
                <w:sz w:val="18"/>
                <w:szCs w:val="18"/>
              </w:rPr>
              <w:t>).</w:t>
            </w:r>
          </w:p>
        </w:tc>
      </w:tr>
      <w:tr w:rsidR="00366CB9" w14:paraId="79CA7BF5" w14:textId="77777777" w:rsidTr="006F2885">
        <w:trPr>
          <w:trHeight w:hRule="exact" w:val="888"/>
        </w:trPr>
        <w:tc>
          <w:tcPr>
            <w:tcW w:w="993" w:type="dxa"/>
            <w:shd w:val="clear" w:color="auto" w:fill="FFFFFF"/>
          </w:tcPr>
          <w:p w14:paraId="4545926D" w14:textId="7F388F22" w:rsidR="00366CB9" w:rsidRDefault="00FD1486" w:rsidP="00457B0A">
            <w:pPr>
              <w:rPr>
                <w:sz w:val="2"/>
                <w:szCs w:val="2"/>
              </w:rPr>
            </w:pPr>
            <w:r>
              <w:rPr>
                <w:noProof/>
              </w:rPr>
              <mc:AlternateContent>
                <mc:Choice Requires="wpg">
                  <w:drawing>
                    <wp:inline distT="0" distB="0" distL="0" distR="0" wp14:anchorId="37D815AC" wp14:editId="6B7838C2">
                      <wp:extent cx="601980" cy="338667"/>
                      <wp:effectExtent l="0" t="0" r="7620" b="0"/>
                      <wp:docPr id="2095911800" name="Групувати 12"/>
                      <wp:cNvGraphicFramePr/>
                      <a:graphic xmlns:a="http://schemas.openxmlformats.org/drawingml/2006/main">
                        <a:graphicData uri="http://schemas.microsoft.com/office/word/2010/wordprocessingGroup">
                          <wpg:wgp>
                            <wpg:cNvGrpSpPr/>
                            <wpg:grpSpPr>
                              <a:xfrm>
                                <a:off x="0" y="0"/>
                                <a:ext cx="601980" cy="338667"/>
                                <a:chOff x="0" y="0"/>
                                <a:chExt cx="515620" cy="338667"/>
                              </a:xfrm>
                            </wpg:grpSpPr>
                            <wps:wsp>
                              <wps:cNvPr id="1225419402" name="object 6"/>
                              <wps:cNvSpPr/>
                              <wps:spPr>
                                <a:xfrm>
                                  <a:off x="0" y="0"/>
                                  <a:ext cx="515620" cy="245745"/>
                                </a:xfrm>
                                <a:custGeom>
                                  <a:avLst/>
                                  <a:gdLst/>
                                  <a:ahLst/>
                                  <a:cxnLst/>
                                  <a:rect l="l" t="t" r="r" b="b"/>
                                  <a:pathLst>
                                    <a:path w="515620" h="245744">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wps:wsp>
                            <wps:wsp>
                              <wps:cNvPr id="1668597998" name="object 7"/>
                              <wps:cNvSpPr txBox="1"/>
                              <wps:spPr>
                                <a:xfrm>
                                  <a:off x="94798" y="33867"/>
                                  <a:ext cx="323215" cy="304800"/>
                                </a:xfrm>
                                <a:prstGeom prst="rect">
                                  <a:avLst/>
                                </a:prstGeom>
                              </wps:spPr>
                              <wps:txbx>
                                <w:txbxContent>
                                  <w:p w14:paraId="32EF159C" w14:textId="77777777" w:rsidR="009D0C1D" w:rsidRPr="0061381C" w:rsidRDefault="009D0C1D" w:rsidP="00FD1486">
                                    <w:pPr>
                                      <w:ind w:left="14"/>
                                      <w:rPr>
                                        <w:color w:val="FFFFFF"/>
                                        <w:spacing w:val="-5"/>
                                        <w:sz w:val="20"/>
                                        <w:szCs w:val="20"/>
                                      </w:rPr>
                                    </w:pPr>
                                    <w:r>
                                      <w:rPr>
                                        <w:color w:val="FFFFFF"/>
                                        <w:sz w:val="20"/>
                                      </w:rPr>
                                      <w:t>НОВЕ</w:t>
                                    </w:r>
                                  </w:p>
                                </w:txbxContent>
                              </wps:txbx>
                              <wps:bodyPr vert="horz" wrap="square" lIns="0" tIns="12700" rIns="0" bIns="0" rtlCol="0">
                                <a:noAutofit/>
                              </wps:bodyPr>
                            </wps:wsp>
                          </wpg:wgp>
                        </a:graphicData>
                      </a:graphic>
                    </wp:inline>
                  </w:drawing>
                </mc:Choice>
                <mc:Fallback>
                  <w:pict>
                    <v:group w14:anchorId="37D815AC" id="_x0000_s1099" style="width:47.4pt;height:26.65pt;mso-position-horizontal-relative:char;mso-position-vertical-relative:line" coordsize="515620,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">
                      <v:shape id="object 6" o:spid="_x0000_s1100" style="position:absolute;width:515620;height:245745;visibility:visible;mso-wrap-style:square;v-text-anchor:top" coordsize="515620,24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" path="m515543,l,,,122796r9650,47797l35966,209626r39032,26316l122796,245592r269951,l440545,235942r39032,-26316l505893,170593r9650,-47797l515543,xe" fillcolor="#0c8140" stroked="f">
                        <v:path arrowok="t"/>
                      </v:shape>
                      <v:shape id="object 7" o:spid="_x0000_s1101" type="#_x0000_t202" style="position:absolute;left:94798;top:33867;width:323215;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" filled="f" stroked="f">
                        <v:textbox inset="0,1pt,0,0">
                          <w:txbxContent>
                            <w:p w14:paraId="32EF159C" w14:textId="77777777" w:rsidR="009D0C1D" w:rsidRPr="0061381C" w:rsidRDefault="009D0C1D" w:rsidP="00FD1486">
                              <w:pPr>
                                <w:ind w:left="14"/>
                                <w:rPr>
                                  <w:color w:val="FFFFFF"/>
                                  <w:spacing w:val="-5"/>
                                  <w:sz w:val="20"/>
                                  <w:szCs w:val="20"/>
                                </w:rPr>
                              </w:pPr>
                              <w:r>
                                <w:rPr>
                                  <w:color w:val="FFFFFF"/>
                                  <w:sz w:val="20"/>
                                </w:rPr>
                                <w:t>НОВЕ</w:t>
                              </w:r>
                            </w:p>
                          </w:txbxContent>
                        </v:textbox>
                      </v:shape>
                      <w10:anchorlock/>
                    </v:group>
                  </w:pict>
                </mc:Fallback>
              </mc:AlternateContent>
            </w:r>
          </w:p>
        </w:tc>
        <w:tc>
          <w:tcPr>
            <w:tcW w:w="8113" w:type="dxa"/>
            <w:shd w:val="clear" w:color="auto" w:fill="FFFFFF"/>
            <w:vAlign w:val="bottom"/>
          </w:tcPr>
          <w:p w14:paraId="190F44AE" w14:textId="568F1D4C" w:rsidR="00366CB9" w:rsidRPr="006E22E5" w:rsidRDefault="009D0C1D" w:rsidP="00457B0A">
            <w:pPr>
              <w:pStyle w:val="a6"/>
              <w:shd w:val="clear" w:color="auto" w:fill="auto"/>
              <w:spacing w:line="326" w:lineRule="auto"/>
              <w:rPr>
                <w:sz w:val="18"/>
                <w:szCs w:val="24"/>
              </w:rPr>
            </w:pPr>
            <w:r w:rsidRPr="006E22E5">
              <w:rPr>
                <w:b w:val="0"/>
                <w:color w:val="000000"/>
                <w:sz w:val="18"/>
                <w:szCs w:val="24"/>
              </w:rPr>
              <w:t>Рекомендації було оновлено з метою включення дорослих та підлітків, які живуть з ВІЛ, в усіх умовах (стаціонарних та амбулаторних, незалежно від числа клітин CD4), а також дітей з ВІЛ (</w:t>
            </w:r>
            <w:hyperlink w:anchor="bookmark193" w:tooltip="Поточний документ">
              <w:r w:rsidR="00366CB9" w:rsidRPr="006E22E5">
                <w:rPr>
                  <w:b w:val="0"/>
                  <w:color w:val="000000"/>
                  <w:sz w:val="18"/>
                  <w:szCs w:val="24"/>
                </w:rPr>
                <w:t>5</w:t>
              </w:r>
            </w:hyperlink>
            <w:r w:rsidRPr="006E22E5">
              <w:rPr>
                <w:b w:val="0"/>
                <w:color w:val="000000"/>
                <w:sz w:val="18"/>
                <w:szCs w:val="24"/>
              </w:rPr>
              <w:t xml:space="preserve">), як детально описано у </w:t>
            </w:r>
            <w:hyperlink w:anchor="bookmark42" w:tooltip="Поточний документ">
              <w:r w:rsidR="00366CB9" w:rsidRPr="006E22E5">
                <w:rPr>
                  <w:color w:val="000000"/>
                  <w:sz w:val="18"/>
                  <w:szCs w:val="24"/>
                </w:rPr>
                <w:t>Вставці 2.4</w:t>
              </w:r>
            </w:hyperlink>
            <w:r w:rsidRPr="006E22E5">
              <w:rPr>
                <w:b w:val="0"/>
                <w:color w:val="000000"/>
                <w:sz w:val="18"/>
                <w:szCs w:val="24"/>
              </w:rPr>
              <w:t>.</w:t>
            </w:r>
          </w:p>
        </w:tc>
      </w:tr>
    </w:tbl>
    <w:p w14:paraId="68026169" w14:textId="371B3AF1"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3E5FD947"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14:paraId="12F3FF8D" w14:textId="77777777" w:rsidTr="006F2885">
        <w:trPr>
          <w:trHeight w:hRule="exact" w:val="11481"/>
        </w:trPr>
        <w:tc>
          <w:tcPr>
            <w:tcW w:w="9106" w:type="dxa"/>
            <w:shd w:val="clear" w:color="auto" w:fill="FFFFFF"/>
          </w:tcPr>
          <w:p w14:paraId="7E1F545A" w14:textId="5C54ACA2" w:rsidR="00366CB9" w:rsidRDefault="006F2885" w:rsidP="00457B0A">
            <w:pPr>
              <w:rPr>
                <w:sz w:val="2"/>
                <w:szCs w:val="2"/>
              </w:rPr>
            </w:pPr>
            <w:r>
              <w:rPr>
                <w:noProof/>
              </w:rPr>
              <mc:AlternateContent>
                <mc:Choice Requires="wps">
                  <w:drawing>
                    <wp:anchor distT="0" distB="0" distL="114300" distR="114300" simplePos="0" relativeHeight="251483136" behindDoc="0" locked="0" layoutInCell="1" allowOverlap="1" wp14:anchorId="0EEA181D" wp14:editId="15AAA1D8">
                      <wp:simplePos x="0" y="0"/>
                      <wp:positionH relativeFrom="column">
                        <wp:posOffset>334010</wp:posOffset>
                      </wp:positionH>
                      <wp:positionV relativeFrom="paragraph">
                        <wp:posOffset>857250</wp:posOffset>
                      </wp:positionV>
                      <wp:extent cx="5229860" cy="6210300"/>
                      <wp:effectExtent l="0" t="0" r="8890" b="0"/>
                      <wp:wrapNone/>
                      <wp:docPr id="710593373" name="Прямокутник 3"/>
                      <wp:cNvGraphicFramePr/>
                      <a:graphic xmlns:a="http://schemas.openxmlformats.org/drawingml/2006/main">
                        <a:graphicData uri="http://schemas.microsoft.com/office/word/2010/wordprocessingShape">
                          <wps:wsp>
                            <wps:cNvSpPr/>
                            <wps:spPr>
                              <a:xfrm>
                                <a:off x="0" y="0"/>
                                <a:ext cx="5229860" cy="6210300"/>
                              </a:xfrm>
                              <a:prstGeom prst="rect">
                                <a:avLst/>
                              </a:prstGeom>
                              <a:solidFill>
                                <a:srgbClr val="C4E1CF"/>
                              </a:solidFill>
                            </wps:spPr>
                            <wps:txbx>
                              <w:txbxContent>
                                <w:p w14:paraId="3C982373" w14:textId="77777777" w:rsidR="009D0C1D" w:rsidRDefault="009D0C1D" w:rsidP="00454445">
                                  <w:pPr>
                                    <w:spacing w:after="56" w:line="314" w:lineRule="auto"/>
                                    <w:jc w:val="both"/>
                                    <w:rPr>
                                      <w:rFonts w:eastAsia="+mn-ea" w:cs="+mn-cs"/>
                                      <w:kern w:val="24"/>
                                      <w:sz w:val="20"/>
                                      <w:szCs w:val="20"/>
                                    </w:rPr>
                                  </w:pPr>
                                  <w:r>
                                    <w:rPr>
                                      <w:sz w:val="20"/>
                                    </w:rPr>
                                    <w:t>Для дорослих та підлітків з ВІЛ, у яких спостерігаються ознаки або симптоми ТБ, позитивний результат тесту на ТБ, тяжка або запущена форму ВІЛ-інфекції, початковою діагностичною стратегією для діагностики ТБ мають бути одночасні автоматизовані NAAT низької складності на зразках з дихальних шляхів та LF-LAM на зразках сечі, а не лише автоматизовані NAAT низької складності на зразках з дихальних шляхів.</w:t>
                                  </w:r>
                                </w:p>
                                <w:p w14:paraId="3394BF81" w14:textId="77777777" w:rsidR="009D0C1D" w:rsidRDefault="009D0C1D" w:rsidP="00454445">
                                  <w:pPr>
                                    <w:spacing w:after="56" w:line="314" w:lineRule="auto"/>
                                    <w:jc w:val="both"/>
                                    <w:rPr>
                                      <w:rFonts w:eastAsia="+mn-ea" w:cs="+mn-cs"/>
                                      <w:kern w:val="24"/>
                                      <w:sz w:val="20"/>
                                      <w:szCs w:val="20"/>
                                    </w:rPr>
                                  </w:pPr>
                                  <w:r>
                                    <w:rPr>
                                      <w:i/>
                                      <w:sz w:val="20"/>
                                    </w:rPr>
                                    <w:t>(Сильна рекомендація, низький рівень достовірності доказів)</w:t>
                                  </w:r>
                                </w:p>
                                <w:p w14:paraId="6C8391B3" w14:textId="77777777" w:rsidR="009D0C1D" w:rsidRDefault="009D0C1D" w:rsidP="00454445">
                                  <w:pPr>
                                    <w:spacing w:after="56" w:line="314" w:lineRule="auto"/>
                                    <w:jc w:val="both"/>
                                    <w:rPr>
                                      <w:rFonts w:eastAsia="+mn-ea" w:cs="+mn-cs"/>
                                      <w:kern w:val="24"/>
                                      <w:sz w:val="20"/>
                                      <w:szCs w:val="20"/>
                                    </w:rPr>
                                  </w:pPr>
                                  <w:r>
                                    <w:rPr>
                                      <w:sz w:val="20"/>
                                    </w:rPr>
                                    <w:t>Примітки:</w:t>
                                  </w:r>
                                </w:p>
                                <w:p w14:paraId="0E797811" w14:textId="4C166A2C" w:rsidR="009D0C1D" w:rsidRDefault="009D0C1D" w:rsidP="00454445">
                                  <w:pPr>
                                    <w:spacing w:after="56" w:line="314" w:lineRule="auto"/>
                                    <w:ind w:left="317" w:hanging="403"/>
                                    <w:jc w:val="both"/>
                                    <w:rPr>
                                      <w:rFonts w:eastAsia="+mn-ea" w:cs="+mn-cs"/>
                                      <w:color w:val="019648"/>
                                      <w:kern w:val="24"/>
                                      <w:sz w:val="20"/>
                                      <w:szCs w:val="20"/>
                                    </w:rPr>
                                  </w:pPr>
                                  <w:r>
                                    <w:rPr>
                                      <w:rFonts w:ascii="Wingdings" w:hAnsi="Wingdings"/>
                                      <w:color w:val="019648"/>
                                    </w:rPr>
                                    <w:t></w:t>
                                  </w:r>
                                  <w:r>
                                    <w:tab/>
                                  </w:r>
                                  <w:r>
                                    <w:rPr>
                                      <w:sz w:val="20"/>
                                    </w:rPr>
                                    <w:t>Тяжке захворювання у людей, які живуть з ВІЛ, визначається на основі будь-якого з таких симптомів: частота дихання ≥ 30 вд/хв, температура ≥ 39 °C, частота серцевих скорочень ≥ 120 уд/хв або нездатність ходити без допомоги.</w:t>
                                  </w:r>
                                </w:p>
                                <w:p w14:paraId="64FFD75A" w14:textId="03ADBA47" w:rsidR="009D0C1D" w:rsidRDefault="009D0C1D" w:rsidP="00454445">
                                  <w:pPr>
                                    <w:spacing w:after="56" w:line="316" w:lineRule="auto"/>
                                    <w:ind w:left="317" w:hanging="403"/>
                                    <w:jc w:val="both"/>
                                    <w:rPr>
                                      <w:rFonts w:eastAsia="+mn-ea" w:cs="+mn-cs"/>
                                      <w:color w:val="019648"/>
                                      <w:kern w:val="24"/>
                                      <w:sz w:val="20"/>
                                      <w:szCs w:val="20"/>
                                    </w:rPr>
                                  </w:pPr>
                                  <w:r>
                                    <w:rPr>
                                      <w:rFonts w:ascii="Wingdings" w:hAnsi="Wingdings"/>
                                      <w:color w:val="019648"/>
                                    </w:rPr>
                                    <w:t></w:t>
                                  </w:r>
                                  <w:r>
                                    <w:tab/>
                                  </w:r>
                                  <w:r>
                                    <w:rPr>
                                      <w:sz w:val="20"/>
                                    </w:rPr>
                                    <w:t>Запущена стадія ВІЛ-інфекції визначається у людей, які живуть з ВІЛ, у яких число клітин CD4 &lt; 200 клітин/мм</w:t>
                                  </w:r>
                                  <w:r>
                                    <w:rPr>
                                      <w:sz w:val="20"/>
                                      <w:vertAlign w:val="superscript"/>
                                    </w:rPr>
                                    <w:t>3</w:t>
                                  </w:r>
                                  <w:r>
                                    <w:rPr>
                                      <w:sz w:val="20"/>
                                    </w:rPr>
                                    <w:t xml:space="preserve"> або у яких спостерігається захворювання, що визначається як СНІД III-IV стадії за класифікацією ВООЗ.</w:t>
                                  </w:r>
                                </w:p>
                                <w:p w14:paraId="45F573DB" w14:textId="7605CAC4" w:rsidR="009D0C1D" w:rsidRDefault="009D0C1D" w:rsidP="00454445">
                                  <w:pPr>
                                    <w:spacing w:after="56" w:line="314" w:lineRule="auto"/>
                                    <w:ind w:left="317" w:hanging="403"/>
                                    <w:jc w:val="both"/>
                                    <w:rPr>
                                      <w:rFonts w:eastAsia="+mn-ea" w:cs="+mn-cs"/>
                                      <w:color w:val="019648"/>
                                      <w:kern w:val="24"/>
                                      <w:sz w:val="20"/>
                                      <w:szCs w:val="20"/>
                                    </w:rPr>
                                  </w:pPr>
                                  <w:r>
                                    <w:rPr>
                                      <w:rFonts w:ascii="Wingdings" w:hAnsi="Wingdings"/>
                                      <w:color w:val="019648"/>
                                    </w:rPr>
                                    <w:t></w:t>
                                  </w:r>
                                  <w:r>
                                    <w:tab/>
                                  </w:r>
                                  <w:r>
                                    <w:rPr>
                                      <w:sz w:val="20"/>
                                    </w:rPr>
                                    <w:t>Ця рекомендація щодо супутнього тестування замінює попередні вказівки щодо використання LF-LAM для людей, які живуть з ВІЛ, та використання єдиного молекулярного тесту для діагностики ТБ у цій групі.</w:t>
                                  </w:r>
                                </w:p>
                                <w:p w14:paraId="746A826E" w14:textId="77777777" w:rsidR="009D0C1D" w:rsidRDefault="009D0C1D" w:rsidP="00454445">
                                  <w:pPr>
                                    <w:spacing w:after="56" w:line="314" w:lineRule="auto"/>
                                    <w:jc w:val="both"/>
                                    <w:rPr>
                                      <w:rFonts w:eastAsia="+mn-ea" w:cs="+mn-cs"/>
                                      <w:kern w:val="24"/>
                                      <w:sz w:val="20"/>
                                      <w:szCs w:val="20"/>
                                    </w:rPr>
                                  </w:pPr>
                                  <w:r>
                                    <w:rPr>
                                      <w:sz w:val="20"/>
                                    </w:rPr>
                                    <w:t>Для дітей з ВІЛ, у яких спостерігаються ознаки або симптоми ТБ, або позитивний результат тесту на ТБ легень, початковою діагностичною стратегією для діагностики ТБ мають бути одночасні автоматизовані NAAT низької складності на зразках з дихальних шляхів та LF-LAM на зразках сечі, а не лише автоматизовані NAAT низької складності тільки на дихальних пробах або зразках калу.</w:t>
                                  </w:r>
                                </w:p>
                                <w:p w14:paraId="351AA90D" w14:textId="77777777" w:rsidR="009D0C1D" w:rsidRPr="00356397" w:rsidRDefault="009D0C1D" w:rsidP="00454445">
                                  <w:pPr>
                                    <w:spacing w:after="56" w:line="314" w:lineRule="auto"/>
                                    <w:jc w:val="both"/>
                                    <w:rPr>
                                      <w:rFonts w:eastAsia="+mn-ea" w:cs="+mn-cs"/>
                                      <w:i/>
                                      <w:iCs/>
                                      <w:kern w:val="24"/>
                                      <w:sz w:val="20"/>
                                      <w:szCs w:val="20"/>
                                    </w:rPr>
                                  </w:pPr>
                                  <w:r>
                                    <w:rPr>
                                      <w:i/>
                                      <w:sz w:val="20"/>
                                    </w:rPr>
                                    <w:t>(Умовна рекомендація, низький рівень достовірності доказів)</w:t>
                                  </w:r>
                                </w:p>
                                <w:p w14:paraId="5AD4318F" w14:textId="77777777" w:rsidR="009D0C1D" w:rsidRDefault="009D0C1D" w:rsidP="00454445">
                                  <w:pPr>
                                    <w:spacing w:after="56" w:line="314" w:lineRule="auto"/>
                                    <w:jc w:val="both"/>
                                    <w:rPr>
                                      <w:rFonts w:eastAsia="+mn-ea" w:cs="+mn-cs"/>
                                      <w:kern w:val="24"/>
                                      <w:sz w:val="20"/>
                                      <w:szCs w:val="20"/>
                                    </w:rPr>
                                  </w:pPr>
                                  <w:r>
                                    <w:rPr>
                                      <w:sz w:val="20"/>
                                    </w:rPr>
                                    <w:t>Примітки:</w:t>
                                  </w:r>
                                </w:p>
                                <w:p w14:paraId="197E32FD" w14:textId="588856EE" w:rsidR="009D0C1D" w:rsidRDefault="009D0C1D" w:rsidP="00454445">
                                  <w:pPr>
                                    <w:spacing w:after="56" w:line="316" w:lineRule="auto"/>
                                    <w:ind w:left="317" w:hanging="403"/>
                                    <w:jc w:val="both"/>
                                    <w:rPr>
                                      <w:rFonts w:eastAsia="+mn-ea" w:cs="+mn-cs"/>
                                      <w:color w:val="019648"/>
                                      <w:kern w:val="24"/>
                                      <w:sz w:val="20"/>
                                      <w:szCs w:val="20"/>
                                    </w:rPr>
                                  </w:pPr>
                                  <w:r>
                                    <w:rPr>
                                      <w:rFonts w:ascii="Wingdings" w:hAnsi="Wingdings"/>
                                      <w:color w:val="019648"/>
                                    </w:rPr>
                                    <w:t></w:t>
                                  </w:r>
                                  <w:r>
                                    <w:tab/>
                                  </w:r>
                                  <w:r>
                                    <w:rPr>
                                      <w:sz w:val="20"/>
                                    </w:rPr>
                                    <w:t>Ця рекомендація ставить у пріоритет супутнє тестування, а не використання молекулярного тестування та LF-LAM окремо для діагностики ТБ у дітей з ВІЛ.</w:t>
                                  </w:r>
                                </w:p>
                                <w:p w14:paraId="1976C6F0" w14:textId="20A3F4FA" w:rsidR="009D0C1D" w:rsidRDefault="009D0C1D" w:rsidP="00454445">
                                  <w:pPr>
                                    <w:spacing w:line="312" w:lineRule="auto"/>
                                    <w:ind w:left="317" w:hanging="403"/>
                                    <w:jc w:val="both"/>
                                    <w:rPr>
                                      <w:rFonts w:eastAsia="+mn-ea" w:cs="+mn-cs"/>
                                      <w:color w:val="019648"/>
                                      <w:kern w:val="24"/>
                                      <w:sz w:val="20"/>
                                      <w:szCs w:val="20"/>
                                    </w:rPr>
                                  </w:pPr>
                                  <w:r>
                                    <w:rPr>
                                      <w:rFonts w:ascii="Wingdings" w:hAnsi="Wingdings"/>
                                      <w:color w:val="019648"/>
                                    </w:rPr>
                                    <w:t></w:t>
                                  </w:r>
                                  <w:r>
                                    <w:tab/>
                                  </w:r>
                                  <w:r>
                                    <w:rPr>
                                      <w:sz w:val="20"/>
                                    </w:rPr>
                                    <w:t>Використання LC-aNAAT на ізольованих зразках також оцінювалось. Результати підтвердили використання LC-aNAAT для первинного діагностичного тестування на виявлення ТБ у ВІЛ-позитивних дітей з ознаками або симптомами, або з позитивним результатом тесту на ТБ легень з використанням мокротиння, вмісту шлунку, калу або назофарингеального матеріалу, а не мазка або посіву.</w:t>
                                  </w:r>
                                </w:p>
                              </w:txbxContent>
                            </wps:txbx>
                            <wps:bodyPr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EEA181D" id="_x0000_s1102" style="position:absolute;margin-left:26.3pt;margin-top:67.5pt;width:411.8pt;height:489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" fillcolor="#c4e1cf" stroked="f">
                      <v:textbox inset="0,0,0,0">
                        <w:txbxContent>
                          <w:p w14:paraId="3C982373" w14:textId="77777777" w:rsidR="009D0C1D" w:rsidRDefault="009D0C1D" w:rsidP="00454445">
                            <w:pPr>
                              <w:spacing w:after="56" w:line="314" w:lineRule="auto"/>
                              <w:jc w:val="both"/>
                              <w:rPr>
                                <w:rFonts w:eastAsia="+mn-ea" w:cs="+mn-cs"/>
                                <w:kern w:val="24"/>
                                <w:sz w:val="20"/>
                                <w:szCs w:val="20"/>
                              </w:rPr>
                            </w:pPr>
                            <w:r>
                              <w:rPr>
                                <w:sz w:val="20"/>
                              </w:rPr>
                              <w:t>Для дорослих та підлітків з ВІЛ, у яких спостерігаються ознаки або симптоми ТБ, позитивний результат тесту на ТБ, тяжка або запущена форму ВІЛ-інфекції, початковою діагностичною стратегією для діагностики ТБ мають бути одночасні автоматизовані NAAT низької складності на зразках з дихальних шляхів та LF-LAM на зразках сечі, а не лише автоматизовані NAAT низької складності на зразках з дихальних шляхів.</w:t>
                            </w:r>
                          </w:p>
                          <w:p w14:paraId="3394BF81" w14:textId="77777777" w:rsidR="009D0C1D" w:rsidRDefault="009D0C1D" w:rsidP="00454445">
                            <w:pPr>
                              <w:spacing w:after="56" w:line="314" w:lineRule="auto"/>
                              <w:jc w:val="both"/>
                              <w:rPr>
                                <w:rFonts w:eastAsia="+mn-ea" w:cs="+mn-cs"/>
                                <w:kern w:val="24"/>
                                <w:sz w:val="20"/>
                                <w:szCs w:val="20"/>
                              </w:rPr>
                            </w:pPr>
                            <w:r>
                              <w:rPr>
                                <w:i/>
                                <w:sz w:val="20"/>
                              </w:rPr>
                              <w:t>(Сильна рекомендація, низький рівень достовірності доказів)</w:t>
                            </w:r>
                          </w:p>
                          <w:p w14:paraId="6C8391B3" w14:textId="77777777" w:rsidR="009D0C1D" w:rsidRDefault="009D0C1D" w:rsidP="00454445">
                            <w:pPr>
                              <w:spacing w:after="56" w:line="314" w:lineRule="auto"/>
                              <w:jc w:val="both"/>
                              <w:rPr>
                                <w:rFonts w:eastAsia="+mn-ea" w:cs="+mn-cs"/>
                                <w:kern w:val="24"/>
                                <w:sz w:val="20"/>
                                <w:szCs w:val="20"/>
                              </w:rPr>
                            </w:pPr>
                            <w:r>
                              <w:rPr>
                                <w:sz w:val="20"/>
                              </w:rPr>
                              <w:t>Примітки:</w:t>
                            </w:r>
                          </w:p>
                          <w:p w14:paraId="0E797811" w14:textId="4C166A2C" w:rsidR="009D0C1D" w:rsidRDefault="009D0C1D" w:rsidP="00454445">
                            <w:pPr>
                              <w:spacing w:after="56" w:line="314" w:lineRule="auto"/>
                              <w:ind w:left="317" w:hanging="403"/>
                              <w:jc w:val="both"/>
                              <w:rPr>
                                <w:rFonts w:eastAsia="+mn-ea" w:cs="+mn-cs"/>
                                <w:color w:val="019648"/>
                                <w:kern w:val="24"/>
                                <w:sz w:val="20"/>
                                <w:szCs w:val="20"/>
                              </w:rPr>
                            </w:pPr>
                            <w:r>
                              <w:rPr>
                                <w:rFonts w:ascii="Wingdings" w:hAnsi="Wingdings"/>
                                <w:color w:val="019648"/>
                              </w:rPr>
                              <w:t></w:t>
                            </w:r>
                            <w:r>
                              <w:tab/>
                            </w:r>
                            <w:r>
                              <w:rPr>
                                <w:sz w:val="20"/>
                              </w:rPr>
                              <w:t>Тяжке захворювання у людей, які живуть з ВІЛ, визначається на основі будь-якого з таких симптомів: частота дихання ≥ 30 вд/хв, температура ≥ 39 °C, частота серцевих скорочень ≥ 120 уд/хв або нездатність ходити без допомоги.</w:t>
                            </w:r>
                          </w:p>
                          <w:p w14:paraId="64FFD75A" w14:textId="03ADBA47" w:rsidR="009D0C1D" w:rsidRDefault="009D0C1D" w:rsidP="00454445">
                            <w:pPr>
                              <w:spacing w:after="56" w:line="316" w:lineRule="auto"/>
                              <w:ind w:left="317" w:hanging="403"/>
                              <w:jc w:val="both"/>
                              <w:rPr>
                                <w:rFonts w:eastAsia="+mn-ea" w:cs="+mn-cs"/>
                                <w:color w:val="019648"/>
                                <w:kern w:val="24"/>
                                <w:sz w:val="20"/>
                                <w:szCs w:val="20"/>
                              </w:rPr>
                            </w:pPr>
                            <w:r>
                              <w:rPr>
                                <w:rFonts w:ascii="Wingdings" w:hAnsi="Wingdings"/>
                                <w:color w:val="019648"/>
                              </w:rPr>
                              <w:t></w:t>
                            </w:r>
                            <w:r>
                              <w:tab/>
                            </w:r>
                            <w:r>
                              <w:rPr>
                                <w:sz w:val="20"/>
                              </w:rPr>
                              <w:t>Запущена стадія ВІЛ-інфекції визначається у людей, які живуть з ВІЛ, у яких число клітин CD4 &lt; 200 клітин/мм</w:t>
                            </w:r>
                            <w:r>
                              <w:rPr>
                                <w:sz w:val="20"/>
                                <w:vertAlign w:val="superscript"/>
                              </w:rPr>
                              <w:t>3</w:t>
                            </w:r>
                            <w:r>
                              <w:rPr>
                                <w:sz w:val="20"/>
                              </w:rPr>
                              <w:t xml:space="preserve"> або у яких спостерігається захворювання, що визначається як СНІД III-IV стадії за класифікацією ВООЗ.</w:t>
                            </w:r>
                          </w:p>
                          <w:p w14:paraId="45F573DB" w14:textId="7605CAC4" w:rsidR="009D0C1D" w:rsidRDefault="009D0C1D" w:rsidP="00454445">
                            <w:pPr>
                              <w:spacing w:after="56" w:line="314" w:lineRule="auto"/>
                              <w:ind w:left="317" w:hanging="403"/>
                              <w:jc w:val="both"/>
                              <w:rPr>
                                <w:rFonts w:eastAsia="+mn-ea" w:cs="+mn-cs"/>
                                <w:color w:val="019648"/>
                                <w:kern w:val="24"/>
                                <w:sz w:val="20"/>
                                <w:szCs w:val="20"/>
                              </w:rPr>
                            </w:pPr>
                            <w:r>
                              <w:rPr>
                                <w:rFonts w:ascii="Wingdings" w:hAnsi="Wingdings"/>
                                <w:color w:val="019648"/>
                              </w:rPr>
                              <w:t></w:t>
                            </w:r>
                            <w:r>
                              <w:tab/>
                            </w:r>
                            <w:r>
                              <w:rPr>
                                <w:sz w:val="20"/>
                              </w:rPr>
                              <w:t>Ця рекомендація щодо супутнього тестування замінює попередні вказівки щодо використання LF-LAM для людей, які живуть з ВІЛ, та використання єдиного молекулярного тесту для діагностики ТБ у цій групі.</w:t>
                            </w:r>
                          </w:p>
                          <w:p w14:paraId="746A826E" w14:textId="77777777" w:rsidR="009D0C1D" w:rsidRDefault="009D0C1D" w:rsidP="00454445">
                            <w:pPr>
                              <w:spacing w:after="56" w:line="314" w:lineRule="auto"/>
                              <w:jc w:val="both"/>
                              <w:rPr>
                                <w:rFonts w:eastAsia="+mn-ea" w:cs="+mn-cs"/>
                                <w:kern w:val="24"/>
                                <w:sz w:val="20"/>
                                <w:szCs w:val="20"/>
                              </w:rPr>
                            </w:pPr>
                            <w:r>
                              <w:rPr>
                                <w:sz w:val="20"/>
                              </w:rPr>
                              <w:t>Для дітей з ВІЛ, у яких спостерігаються ознаки або симптоми ТБ, або позитивний результат тесту на ТБ легень, початковою діагностичною стратегією для діагностики ТБ мають бути одночасні автоматизовані NAAT низької складності на зразках з дихальних шляхів та LF-LAM на зразках сечі, а не лише автоматизовані NAAT низької складності тільки на дихальних пробах або зразках калу.</w:t>
                            </w:r>
                          </w:p>
                          <w:p w14:paraId="351AA90D" w14:textId="77777777" w:rsidR="009D0C1D" w:rsidRPr="00356397" w:rsidRDefault="009D0C1D" w:rsidP="00454445">
                            <w:pPr>
                              <w:spacing w:after="56" w:line="314" w:lineRule="auto"/>
                              <w:jc w:val="both"/>
                              <w:rPr>
                                <w:rFonts w:eastAsia="+mn-ea" w:cs="+mn-cs"/>
                                <w:i/>
                                <w:iCs/>
                                <w:kern w:val="24"/>
                                <w:sz w:val="20"/>
                                <w:szCs w:val="20"/>
                              </w:rPr>
                            </w:pPr>
                            <w:r>
                              <w:rPr>
                                <w:i/>
                                <w:sz w:val="20"/>
                              </w:rPr>
                              <w:t>(Умовна рекомендація, низький рівень достовірності доказів)</w:t>
                            </w:r>
                          </w:p>
                          <w:p w14:paraId="5AD4318F" w14:textId="77777777" w:rsidR="009D0C1D" w:rsidRDefault="009D0C1D" w:rsidP="00454445">
                            <w:pPr>
                              <w:spacing w:after="56" w:line="314" w:lineRule="auto"/>
                              <w:jc w:val="both"/>
                              <w:rPr>
                                <w:rFonts w:eastAsia="+mn-ea" w:cs="+mn-cs"/>
                                <w:kern w:val="24"/>
                                <w:sz w:val="20"/>
                                <w:szCs w:val="20"/>
                              </w:rPr>
                            </w:pPr>
                            <w:r>
                              <w:rPr>
                                <w:sz w:val="20"/>
                              </w:rPr>
                              <w:t>Примітки:</w:t>
                            </w:r>
                          </w:p>
                          <w:p w14:paraId="197E32FD" w14:textId="588856EE" w:rsidR="009D0C1D" w:rsidRDefault="009D0C1D" w:rsidP="00454445">
                            <w:pPr>
                              <w:spacing w:after="56" w:line="316" w:lineRule="auto"/>
                              <w:ind w:left="317" w:hanging="403"/>
                              <w:jc w:val="both"/>
                              <w:rPr>
                                <w:rFonts w:eastAsia="+mn-ea" w:cs="+mn-cs"/>
                                <w:color w:val="019648"/>
                                <w:kern w:val="24"/>
                                <w:sz w:val="20"/>
                                <w:szCs w:val="20"/>
                              </w:rPr>
                            </w:pPr>
                            <w:r>
                              <w:rPr>
                                <w:rFonts w:ascii="Wingdings" w:hAnsi="Wingdings"/>
                                <w:color w:val="019648"/>
                              </w:rPr>
                              <w:t></w:t>
                            </w:r>
                            <w:r>
                              <w:tab/>
                            </w:r>
                            <w:r>
                              <w:rPr>
                                <w:sz w:val="20"/>
                              </w:rPr>
                              <w:t>Ця рекомендація ставить у пріоритет супутнє тестування, а не використання молекулярного тестування та LF-LAM окремо для діагностики ТБ у дітей з ВІЛ.</w:t>
                            </w:r>
                          </w:p>
                          <w:p w14:paraId="1976C6F0" w14:textId="20A3F4FA" w:rsidR="009D0C1D" w:rsidRDefault="009D0C1D" w:rsidP="00454445">
                            <w:pPr>
                              <w:spacing w:line="312" w:lineRule="auto"/>
                              <w:ind w:left="317" w:hanging="403"/>
                              <w:jc w:val="both"/>
                              <w:rPr>
                                <w:rFonts w:eastAsia="+mn-ea" w:cs="+mn-cs"/>
                                <w:color w:val="019648"/>
                                <w:kern w:val="24"/>
                                <w:sz w:val="20"/>
                                <w:szCs w:val="20"/>
                              </w:rPr>
                            </w:pPr>
                            <w:r>
                              <w:rPr>
                                <w:rFonts w:ascii="Wingdings" w:hAnsi="Wingdings"/>
                                <w:color w:val="019648"/>
                              </w:rPr>
                              <w:t></w:t>
                            </w:r>
                            <w:r>
                              <w:tab/>
                            </w:r>
                            <w:r>
                              <w:rPr>
                                <w:sz w:val="20"/>
                              </w:rPr>
                              <w:t>Використання LC-aNAAT на ізольованих зразках також оцінювалось. Результати підтвердили використання LC-aNAAT для первинного діагностичного тестування на виявлення ТБ у ВІЛ-позитивних дітей з ознаками або симптомами, або з позитивним результатом тесту на ТБ легень з використанням мокротиння, вмісту шлунку, калу або назофарингеального матеріалу, а не мазка або посіву.</w:t>
                            </w:r>
                          </w:p>
                        </w:txbxContent>
                      </v:textbox>
                    </v:rect>
                  </w:pict>
                </mc:Fallback>
              </mc:AlternateContent>
            </w:r>
            <w:r w:rsidR="00454445">
              <w:rPr>
                <w:noProof/>
              </w:rPr>
              <mc:AlternateContent>
                <mc:Choice Requires="wps">
                  <w:drawing>
                    <wp:anchor distT="0" distB="0" distL="114300" distR="114300" simplePos="0" relativeHeight="251482112" behindDoc="0" locked="0" layoutInCell="1" allowOverlap="1" wp14:anchorId="08139765" wp14:editId="4FBB7EB8">
                      <wp:simplePos x="0" y="0"/>
                      <wp:positionH relativeFrom="column">
                        <wp:posOffset>113665</wp:posOffset>
                      </wp:positionH>
                      <wp:positionV relativeFrom="paragraph">
                        <wp:posOffset>290830</wp:posOffset>
                      </wp:positionV>
                      <wp:extent cx="4086860" cy="362585"/>
                      <wp:effectExtent l="0" t="0" r="8890" b="0"/>
                      <wp:wrapNone/>
                      <wp:docPr id="2064047250" name="Прямокутник 2"/>
                      <wp:cNvGraphicFramePr/>
                      <a:graphic xmlns:a="http://schemas.openxmlformats.org/drawingml/2006/main">
                        <a:graphicData uri="http://schemas.microsoft.com/office/word/2010/wordprocessingShape">
                          <wps:wsp>
                            <wps:cNvSpPr/>
                            <wps:spPr>
                              <a:xfrm>
                                <a:off x="0" y="0"/>
                                <a:ext cx="4086860" cy="362585"/>
                              </a:xfrm>
                              <a:prstGeom prst="rect">
                                <a:avLst/>
                              </a:prstGeom>
                              <a:solidFill>
                                <a:srgbClr val="009649"/>
                              </a:solidFill>
                            </wps:spPr>
                            <wps:txbx>
                              <w:txbxContent>
                                <w:p w14:paraId="0968A23F" w14:textId="77777777" w:rsidR="009D0C1D" w:rsidRPr="0079021A" w:rsidRDefault="009D0C1D" w:rsidP="00454445">
                                  <w:pPr>
                                    <w:spacing w:line="312" w:lineRule="auto"/>
                                    <w:rPr>
                                      <w:rFonts w:eastAsia="+mn-ea" w:cs="+mn-cs"/>
                                      <w:b/>
                                      <w:bCs/>
                                      <w:color w:val="FFFFFF"/>
                                      <w:kern w:val="24"/>
                                      <w:sz w:val="20"/>
                                      <w:szCs w:val="20"/>
                                    </w:rPr>
                                  </w:pPr>
                                  <w:r>
                                    <w:rPr>
                                      <w:b/>
                                      <w:color w:val="FFFFFF"/>
                                      <w:sz w:val="20"/>
                                    </w:rPr>
                                    <w:t xml:space="preserve">Вставка 2.4. Рекомендації ВООЗ щодо супутнього застосування тестів у людей, які живуть з ВІЛ </w:t>
                                  </w:r>
                                  <w:r>
                                    <w:rPr>
                                      <w:b/>
                                      <w:i/>
                                      <w:color w:val="FFFFFF"/>
                                      <w:sz w:val="20"/>
                                    </w:rPr>
                                    <w:t>(5)</w:t>
                                  </w:r>
                                </w:p>
                              </w:txbxContent>
                            </wps:txbx>
                            <wps:bodyPr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8139765" id="_x0000_s1103" style="position:absolute;margin-left:8.95pt;margin-top:22.9pt;width:321.8pt;height:28.5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" fillcolor="#009649" stroked="f">
                      <v:textbox inset="0,0,0,0">
                        <w:txbxContent>
                          <w:p w14:paraId="0968A23F" w14:textId="77777777" w:rsidR="009D0C1D" w:rsidRPr="0079021A" w:rsidRDefault="009D0C1D" w:rsidP="00454445">
                            <w:pPr>
                              <w:spacing w:line="312" w:lineRule="auto"/>
                              <w:rPr>
                                <w:rFonts w:eastAsia="+mn-ea" w:cs="+mn-cs"/>
                                <w:b/>
                                <w:bCs/>
                                <w:color w:val="FFFFFF"/>
                                <w:kern w:val="24"/>
                                <w:sz w:val="20"/>
                                <w:szCs w:val="20"/>
                              </w:rPr>
                            </w:pPr>
                            <w:r>
                              <w:rPr>
                                <w:b/>
                                <w:color w:val="FFFFFF"/>
                                <w:sz w:val="20"/>
                              </w:rPr>
                              <w:t xml:space="preserve">Вставка 2.4. Рекомендації ВООЗ щодо супутнього застосування тестів у людей, які живуть з ВІЛ </w:t>
                            </w:r>
                            <w:r>
                              <w:rPr>
                                <w:b/>
                                <w:i/>
                                <w:color w:val="FFFFFF"/>
                                <w:sz w:val="20"/>
                              </w:rPr>
                              <w:t>(5)</w:t>
                            </w:r>
                          </w:p>
                        </w:txbxContent>
                      </v:textbox>
                    </v:rect>
                  </w:pict>
                </mc:Fallback>
              </mc:AlternateContent>
            </w:r>
            <w:r w:rsidR="00454445">
              <w:rPr>
                <w:noProof/>
              </w:rPr>
              <w:drawing>
                <wp:inline distT="0" distB="0" distL="0" distR="0" wp14:anchorId="5A108725" wp14:editId="1C112C26">
                  <wp:extent cx="5782310" cy="7437120"/>
                  <wp:effectExtent l="0" t="0" r="889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3"/>
                          <a:stretch/>
                        </pic:blipFill>
                        <pic:spPr>
                          <a:xfrm>
                            <a:off x="0" y="0"/>
                            <a:ext cx="5782310" cy="7437120"/>
                          </a:xfrm>
                          <a:prstGeom prst="rect">
                            <a:avLst/>
                          </a:prstGeom>
                        </pic:spPr>
                      </pic:pic>
                    </a:graphicData>
                  </a:graphic>
                </wp:inline>
              </w:drawing>
            </w:r>
          </w:p>
        </w:tc>
      </w:tr>
      <w:tr w:rsidR="00366CB9" w14:paraId="71A2C008" w14:textId="77777777" w:rsidTr="006E22E5">
        <w:trPr>
          <w:trHeight w:hRule="exact" w:val="2274"/>
        </w:trPr>
        <w:tc>
          <w:tcPr>
            <w:tcW w:w="9106" w:type="dxa"/>
            <w:shd w:val="clear" w:color="auto" w:fill="FFFFFF"/>
          </w:tcPr>
          <w:p w14:paraId="359F8BA1" w14:textId="77777777" w:rsidR="00366CB9" w:rsidRPr="006E22E5" w:rsidRDefault="009D0C1D" w:rsidP="006E22E5">
            <w:pPr>
              <w:pStyle w:val="a6"/>
              <w:shd w:val="clear" w:color="auto" w:fill="auto"/>
              <w:spacing w:after="140" w:line="324" w:lineRule="auto"/>
              <w:rPr>
                <w:sz w:val="18"/>
                <w:szCs w:val="24"/>
              </w:rPr>
            </w:pPr>
            <w:bookmarkStart w:id="45" w:name="bookmark42"/>
            <w:r w:rsidRPr="006E22E5">
              <w:rPr>
                <w:b w:val="0"/>
                <w:color w:val="000000"/>
                <w:sz w:val="18"/>
                <w:szCs w:val="24"/>
              </w:rPr>
              <w:t>Примітки:</w:t>
            </w:r>
            <w:bookmarkEnd w:id="45"/>
          </w:p>
          <w:p w14:paraId="44BC7D4C" w14:textId="4AB6F200" w:rsidR="00366CB9" w:rsidRPr="006E22E5" w:rsidRDefault="009D0C1D" w:rsidP="006E22E5">
            <w:pPr>
              <w:pStyle w:val="a6"/>
              <w:shd w:val="clear" w:color="auto" w:fill="auto"/>
              <w:spacing w:line="324" w:lineRule="auto"/>
              <w:ind w:left="220" w:hanging="220"/>
              <w:rPr>
                <w:sz w:val="18"/>
                <w:szCs w:val="24"/>
              </w:rPr>
            </w:pPr>
            <w:r w:rsidRPr="006E22E5">
              <w:rPr>
                <w:b w:val="0"/>
                <w:color w:val="019648"/>
                <w:sz w:val="18"/>
                <w:szCs w:val="24"/>
              </w:rPr>
              <w:t>•</w:t>
            </w:r>
            <w:r w:rsidR="006F2885" w:rsidRPr="006E22E5">
              <w:rPr>
                <w:sz w:val="18"/>
                <w:szCs w:val="24"/>
              </w:rPr>
              <w:tab/>
            </w:r>
            <w:r w:rsidRPr="006E22E5">
              <w:rPr>
                <w:b w:val="0"/>
                <w:color w:val="000000"/>
                <w:sz w:val="18"/>
                <w:szCs w:val="24"/>
              </w:rPr>
              <w:t>Для первинного діагностичного тесту особам з ознаками та симптомами ТБ легень, у яких виділяють мокротиння, необхідно надати зразок мокротиння для супутнього тестування з LC-aNAAT. Це стосується дітей та підлітків, які живуть з ВІЛ та здатні надати зразок мокротиння. Результати LF-LAM (час тесту 25 хв) можуть бути представлені раніше, ніж результати mWRD; тому рішення щодо лікування мають бути засновані на результаті LF-LAM, поки очікуються результати інших діагностичних тестів.</w:t>
            </w:r>
          </w:p>
          <w:p w14:paraId="0E1FB656" w14:textId="75198466" w:rsidR="00366CB9" w:rsidRPr="006E22E5" w:rsidRDefault="009D0C1D" w:rsidP="006E22E5">
            <w:pPr>
              <w:pStyle w:val="a6"/>
              <w:shd w:val="clear" w:color="auto" w:fill="auto"/>
              <w:spacing w:line="324" w:lineRule="auto"/>
              <w:ind w:left="220" w:hanging="220"/>
              <w:rPr>
                <w:sz w:val="18"/>
                <w:szCs w:val="24"/>
              </w:rPr>
            </w:pPr>
            <w:r w:rsidRPr="006E22E5">
              <w:rPr>
                <w:b w:val="0"/>
                <w:color w:val="019648"/>
                <w:sz w:val="18"/>
                <w:szCs w:val="24"/>
              </w:rPr>
              <w:t>•</w:t>
            </w:r>
            <w:r w:rsidR="006F2885" w:rsidRPr="006E22E5">
              <w:rPr>
                <w:sz w:val="18"/>
                <w:szCs w:val="24"/>
              </w:rPr>
              <w:tab/>
            </w:r>
            <w:r w:rsidRPr="006E22E5">
              <w:rPr>
                <w:b w:val="0"/>
                <w:color w:val="000000"/>
                <w:sz w:val="18"/>
                <w:szCs w:val="24"/>
              </w:rPr>
              <w:t>LF-LAM можна використовувати для діагностики ТБ, але його не варто використовувати як скринінг-тест.</w:t>
            </w:r>
          </w:p>
        </w:tc>
      </w:tr>
    </w:tbl>
    <w:p w14:paraId="0BADD4FE" w14:textId="443D5F95"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26D0BEE9" w14:textId="77777777" w:rsidR="00366CB9" w:rsidRDefault="00366CB9" w:rsidP="00425523">
      <w:pPr>
        <w:spacing w:line="1" w:lineRule="exact"/>
      </w:pPr>
    </w:p>
    <w:p w14:paraId="3138B1AF" w14:textId="77777777" w:rsidR="00366CB9" w:rsidRDefault="009D0C1D" w:rsidP="00457B0A">
      <w:pPr>
        <w:pStyle w:val="22"/>
        <w:numPr>
          <w:ilvl w:val="0"/>
          <w:numId w:val="4"/>
        </w:numPr>
        <w:shd w:val="clear" w:color="auto" w:fill="auto"/>
        <w:tabs>
          <w:tab w:val="left" w:pos="717"/>
        </w:tabs>
        <w:spacing w:after="140" w:line="264" w:lineRule="auto"/>
        <w:jc w:val="both"/>
      </w:pPr>
      <w:bookmarkStart w:id="46" w:name="bookmark44"/>
      <w:bookmarkStart w:id="47" w:name="bookmark45"/>
      <w:bookmarkStart w:id="48" w:name="bookmark43"/>
      <w:r>
        <w:t>Подальші діагностичні тести для виявлення додаткової медикаментозної резистентності</w:t>
      </w:r>
      <w:bookmarkEnd w:id="46"/>
      <w:bookmarkEnd w:id="47"/>
      <w:bookmarkEnd w:id="48"/>
    </w:p>
    <w:p w14:paraId="67055386" w14:textId="77777777" w:rsidR="00366CB9" w:rsidRPr="00E80D3A" w:rsidRDefault="009D0C1D" w:rsidP="00457B0A">
      <w:pPr>
        <w:pStyle w:val="1"/>
        <w:shd w:val="clear" w:color="auto" w:fill="auto"/>
        <w:spacing w:line="324" w:lineRule="auto"/>
        <w:jc w:val="both"/>
        <w:rPr>
          <w:sz w:val="18"/>
          <w:szCs w:val="18"/>
        </w:rPr>
      </w:pPr>
      <w:r w:rsidRPr="00E80D3A">
        <w:rPr>
          <w:sz w:val="18"/>
          <w:szCs w:val="18"/>
        </w:rPr>
        <w:t xml:space="preserve">Наявність подальших тестів для виявлення додаткової резистентності до протитуберкульозних препаратів є важливою для прийняття обґрунтованих рішень щодо схем лікування. ВООЗ рекомендувала чотири класи: LC-aNAAT для виявлення резистентності до INH та протитуберкульозних препаратів другої лінії, LPA, NAAT на основі зворотної гібридизації високої складності (HC-rhNAAT) та цільове СНП. Див. резюме тестів, що входять до різних класів, у </w:t>
      </w:r>
      <w:r w:rsidRPr="00E80D3A">
        <w:rPr>
          <w:b/>
          <w:bCs/>
          <w:sz w:val="18"/>
          <w:szCs w:val="18"/>
        </w:rPr>
        <w:t>Таблиці 2.6</w:t>
      </w:r>
      <w:r w:rsidRPr="00E80D3A">
        <w:rPr>
          <w:sz w:val="18"/>
          <w:szCs w:val="18"/>
        </w:rPr>
        <w:t>.</w:t>
      </w:r>
    </w:p>
    <w:p w14:paraId="52622A6C"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1B025CE9"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166"/>
        <w:gridCol w:w="1330"/>
        <w:gridCol w:w="1306"/>
        <w:gridCol w:w="1104"/>
        <w:gridCol w:w="1128"/>
        <w:gridCol w:w="1042"/>
        <w:gridCol w:w="912"/>
        <w:gridCol w:w="1800"/>
        <w:gridCol w:w="2126"/>
        <w:gridCol w:w="1051"/>
        <w:gridCol w:w="1051"/>
      </w:tblGrid>
      <w:tr w:rsidR="00366CB9" w:rsidRPr="0079021A" w14:paraId="23B1F7C6" w14:textId="77777777" w:rsidTr="00546B4F">
        <w:trPr>
          <w:trHeight w:hRule="exact" w:val="538"/>
        </w:trPr>
        <w:tc>
          <w:tcPr>
            <w:tcW w:w="14016" w:type="dxa"/>
            <w:gridSpan w:val="11"/>
            <w:tcBorders>
              <w:bottom w:val="single" w:sz="8" w:space="0" w:color="00B050"/>
            </w:tcBorders>
            <w:shd w:val="clear" w:color="auto" w:fill="FFFFFF"/>
          </w:tcPr>
          <w:p w14:paraId="44B30ACB" w14:textId="77777777" w:rsidR="00366CB9" w:rsidRPr="0079021A" w:rsidRDefault="009D0C1D" w:rsidP="00457B0A">
            <w:pPr>
              <w:pStyle w:val="a6"/>
              <w:shd w:val="clear" w:color="auto" w:fill="auto"/>
              <w:rPr>
                <w:sz w:val="24"/>
                <w:szCs w:val="24"/>
              </w:rPr>
            </w:pPr>
            <w:bookmarkStart w:id="49" w:name="bookmark46"/>
            <w:r>
              <w:rPr>
                <w:color w:val="636466"/>
                <w:sz w:val="24"/>
              </w:rPr>
              <w:t>Таблиця 2.6. Порівняння подальших тестів для виявлення медикаментозної резистентності</w:t>
            </w:r>
            <w:bookmarkEnd w:id="49"/>
          </w:p>
        </w:tc>
      </w:tr>
      <w:tr w:rsidR="00366CB9" w:rsidRPr="0079021A" w14:paraId="19A2CD4C" w14:textId="77777777" w:rsidTr="00546B4F">
        <w:trPr>
          <w:trHeight w:hRule="exact" w:val="1080"/>
        </w:trPr>
        <w:tc>
          <w:tcPr>
            <w:tcW w:w="116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D7B1B3A" w14:textId="77777777" w:rsidR="00366CB9" w:rsidRPr="0079021A" w:rsidRDefault="009D0C1D" w:rsidP="00457B0A">
            <w:pPr>
              <w:pStyle w:val="a6"/>
              <w:shd w:val="clear" w:color="auto" w:fill="auto"/>
              <w:rPr>
                <w:sz w:val="18"/>
                <w:szCs w:val="18"/>
              </w:rPr>
            </w:pPr>
            <w:r>
              <w:rPr>
                <w:color w:val="FFFFFF"/>
                <w:sz w:val="18"/>
              </w:rPr>
              <w:t>Клас тесту</w:t>
            </w:r>
          </w:p>
        </w:tc>
        <w:tc>
          <w:tcPr>
            <w:tcW w:w="133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6D07807" w14:textId="77777777" w:rsidR="00366CB9" w:rsidRPr="0079021A" w:rsidRDefault="009D0C1D" w:rsidP="00457B0A">
            <w:pPr>
              <w:pStyle w:val="a6"/>
              <w:shd w:val="clear" w:color="auto" w:fill="auto"/>
              <w:rPr>
                <w:sz w:val="18"/>
                <w:szCs w:val="18"/>
              </w:rPr>
            </w:pPr>
            <w:r>
              <w:rPr>
                <w:color w:val="FFFFFF"/>
                <w:sz w:val="18"/>
              </w:rPr>
              <w:t>Тест</w:t>
            </w:r>
          </w:p>
        </w:tc>
        <w:tc>
          <w:tcPr>
            <w:tcW w:w="130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6999D67" w14:textId="77777777" w:rsidR="00366CB9" w:rsidRPr="0079021A" w:rsidRDefault="009D0C1D" w:rsidP="00457B0A">
            <w:pPr>
              <w:pStyle w:val="a6"/>
              <w:shd w:val="clear" w:color="auto" w:fill="auto"/>
              <w:rPr>
                <w:sz w:val="18"/>
                <w:szCs w:val="18"/>
              </w:rPr>
            </w:pPr>
            <w:r>
              <w:rPr>
                <w:color w:val="FFFFFF"/>
                <w:sz w:val="18"/>
              </w:rPr>
              <w:t>Виробник</w:t>
            </w:r>
          </w:p>
        </w:tc>
        <w:tc>
          <w:tcPr>
            <w:tcW w:w="110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E3851CF" w14:textId="77777777" w:rsidR="00366CB9" w:rsidRPr="0079021A" w:rsidRDefault="009D0C1D" w:rsidP="00457B0A">
            <w:pPr>
              <w:pStyle w:val="a6"/>
              <w:shd w:val="clear" w:color="auto" w:fill="auto"/>
              <w:rPr>
                <w:sz w:val="18"/>
                <w:szCs w:val="18"/>
              </w:rPr>
            </w:pPr>
            <w:r>
              <w:rPr>
                <w:color w:val="FFFFFF"/>
                <w:sz w:val="18"/>
              </w:rPr>
              <w:t>Платформа</w:t>
            </w:r>
          </w:p>
        </w:tc>
        <w:tc>
          <w:tcPr>
            <w:tcW w:w="1128"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1A7406D" w14:textId="77777777" w:rsidR="00366CB9" w:rsidRPr="0079021A" w:rsidRDefault="009D0C1D" w:rsidP="00457B0A">
            <w:pPr>
              <w:pStyle w:val="a6"/>
              <w:shd w:val="clear" w:color="auto" w:fill="auto"/>
              <w:spacing w:line="233" w:lineRule="auto"/>
              <w:rPr>
                <w:sz w:val="18"/>
                <w:szCs w:val="18"/>
              </w:rPr>
            </w:pPr>
            <w:r>
              <w:rPr>
                <w:color w:val="FFFFFF"/>
                <w:sz w:val="18"/>
              </w:rPr>
              <w:t>Ген(и)-мішень (-і)</w:t>
            </w:r>
          </w:p>
        </w:tc>
        <w:tc>
          <w:tcPr>
            <w:tcW w:w="104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85F6159" w14:textId="77777777" w:rsidR="00366CB9" w:rsidRPr="0079021A" w:rsidRDefault="009D0C1D" w:rsidP="00457B0A">
            <w:pPr>
              <w:pStyle w:val="a6"/>
              <w:shd w:val="clear" w:color="auto" w:fill="auto"/>
              <w:rPr>
                <w:sz w:val="18"/>
                <w:szCs w:val="18"/>
              </w:rPr>
            </w:pPr>
            <w:r>
              <w:rPr>
                <w:color w:val="FFFFFF"/>
                <w:sz w:val="18"/>
              </w:rPr>
              <w:t>ТМЧ</w:t>
            </w:r>
          </w:p>
        </w:tc>
        <w:tc>
          <w:tcPr>
            <w:tcW w:w="91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E2685AC" w14:textId="409D1BD8" w:rsidR="00366CB9" w:rsidRPr="0079021A" w:rsidRDefault="009D0C1D" w:rsidP="00457B0A">
            <w:pPr>
              <w:pStyle w:val="a6"/>
              <w:shd w:val="clear" w:color="auto" w:fill="auto"/>
              <w:spacing w:line="233" w:lineRule="auto"/>
              <w:rPr>
                <w:sz w:val="18"/>
                <w:szCs w:val="18"/>
              </w:rPr>
            </w:pPr>
            <w:r>
              <w:rPr>
                <w:color w:val="FFFFFF"/>
                <w:sz w:val="18"/>
              </w:rPr>
              <w:t>Час отри</w:t>
            </w:r>
            <w:r w:rsidR="006F2885" w:rsidRPr="006F2885">
              <w:rPr>
                <w:color w:val="FFFFFF"/>
                <w:sz w:val="18"/>
                <w:lang w:val="ru-RU"/>
              </w:rPr>
              <w:t>-</w:t>
            </w:r>
            <w:r>
              <w:rPr>
                <w:color w:val="FFFFFF"/>
                <w:sz w:val="18"/>
              </w:rPr>
              <w:t>мання резуль</w:t>
            </w:r>
            <w:r w:rsidR="006F2885" w:rsidRPr="006F2885">
              <w:rPr>
                <w:color w:val="FFFFFF"/>
                <w:sz w:val="18"/>
                <w:lang w:val="ru-RU"/>
              </w:rPr>
              <w:t>-</w:t>
            </w:r>
            <w:r>
              <w:rPr>
                <w:color w:val="FFFFFF"/>
                <w:sz w:val="18"/>
              </w:rPr>
              <w:t>татів</w:t>
            </w:r>
          </w:p>
        </w:tc>
        <w:tc>
          <w:tcPr>
            <w:tcW w:w="180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6E2F85F" w14:textId="77777777" w:rsidR="00366CB9" w:rsidRPr="0079021A" w:rsidRDefault="009D0C1D" w:rsidP="00457B0A">
            <w:pPr>
              <w:pStyle w:val="a6"/>
              <w:shd w:val="clear" w:color="auto" w:fill="auto"/>
              <w:rPr>
                <w:sz w:val="18"/>
                <w:szCs w:val="18"/>
              </w:rPr>
            </w:pPr>
            <w:r>
              <w:rPr>
                <w:color w:val="FFFFFF"/>
                <w:sz w:val="18"/>
              </w:rPr>
              <w:t>Рекомендації</w:t>
            </w:r>
          </w:p>
        </w:tc>
        <w:tc>
          <w:tcPr>
            <w:tcW w:w="212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4C5F02AB" w14:textId="77777777" w:rsidR="00366CB9" w:rsidRPr="0079021A" w:rsidRDefault="009D0C1D" w:rsidP="00457B0A">
            <w:pPr>
              <w:pStyle w:val="a6"/>
              <w:shd w:val="clear" w:color="auto" w:fill="auto"/>
              <w:spacing w:line="233" w:lineRule="auto"/>
              <w:rPr>
                <w:sz w:val="18"/>
                <w:szCs w:val="18"/>
              </w:rPr>
            </w:pPr>
            <w:r>
              <w:rPr>
                <w:color w:val="FFFFFF"/>
                <w:sz w:val="18"/>
              </w:rPr>
              <w:t>Вимоги до виробничих потужностей</w:t>
            </w:r>
          </w:p>
        </w:tc>
        <w:tc>
          <w:tcPr>
            <w:tcW w:w="1051"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3F62FC3" w14:textId="77777777" w:rsidR="00366CB9" w:rsidRPr="0079021A" w:rsidRDefault="009D0C1D" w:rsidP="00457B0A">
            <w:pPr>
              <w:pStyle w:val="a6"/>
              <w:shd w:val="clear" w:color="auto" w:fill="auto"/>
              <w:rPr>
                <w:sz w:val="18"/>
                <w:szCs w:val="18"/>
              </w:rPr>
            </w:pPr>
            <w:r>
              <w:rPr>
                <w:color w:val="FFFFFF"/>
                <w:sz w:val="18"/>
              </w:rPr>
              <w:t>Розмір серії</w:t>
            </w:r>
          </w:p>
        </w:tc>
        <w:tc>
          <w:tcPr>
            <w:tcW w:w="1051" w:type="dxa"/>
            <w:tcBorders>
              <w:top w:val="single" w:sz="8" w:space="0" w:color="00B050"/>
              <w:left w:val="single" w:sz="8" w:space="0" w:color="00B050"/>
              <w:bottom w:val="single" w:sz="8" w:space="0" w:color="00B050"/>
              <w:right w:val="single" w:sz="8" w:space="0" w:color="00B050"/>
            </w:tcBorders>
            <w:shd w:val="clear" w:color="auto" w:fill="62A86A"/>
            <w:vAlign w:val="bottom"/>
          </w:tcPr>
          <w:p w14:paraId="46933D48" w14:textId="77777777" w:rsidR="00366CB9" w:rsidRPr="0079021A" w:rsidRDefault="009D0C1D" w:rsidP="00457B0A">
            <w:pPr>
              <w:pStyle w:val="a6"/>
              <w:shd w:val="clear" w:color="auto" w:fill="auto"/>
              <w:rPr>
                <w:sz w:val="18"/>
                <w:szCs w:val="18"/>
              </w:rPr>
            </w:pPr>
            <w:r>
              <w:rPr>
                <w:color w:val="FFFFFF"/>
                <w:sz w:val="18"/>
              </w:rPr>
              <w:t>Кількість тестів на 8-годинну зміну</w:t>
            </w:r>
          </w:p>
        </w:tc>
      </w:tr>
      <w:tr w:rsidR="00366CB9" w14:paraId="5BF1FCA0" w14:textId="77777777" w:rsidTr="00546B4F">
        <w:trPr>
          <w:trHeight w:hRule="exact" w:val="1296"/>
        </w:trPr>
        <w:tc>
          <w:tcPr>
            <w:tcW w:w="1166" w:type="dxa"/>
            <w:tcBorders>
              <w:top w:val="single" w:sz="8" w:space="0" w:color="00B050"/>
              <w:bottom w:val="single" w:sz="8" w:space="0" w:color="00B050"/>
            </w:tcBorders>
            <w:shd w:val="clear" w:color="auto" w:fill="FFFFFF"/>
          </w:tcPr>
          <w:p w14:paraId="15AAA3CB" w14:textId="77777777" w:rsidR="00366CB9" w:rsidRPr="006F2885" w:rsidRDefault="009D0C1D" w:rsidP="00457B0A">
            <w:pPr>
              <w:pStyle w:val="a6"/>
              <w:shd w:val="clear" w:color="auto" w:fill="auto"/>
              <w:rPr>
                <w:sz w:val="14"/>
                <w:szCs w:val="14"/>
              </w:rPr>
            </w:pPr>
            <w:r w:rsidRPr="006F2885">
              <w:rPr>
                <w:color w:val="000000"/>
                <w:sz w:val="14"/>
                <w:szCs w:val="14"/>
              </w:rPr>
              <w:t>LC-aNAAT</w:t>
            </w:r>
          </w:p>
        </w:tc>
        <w:tc>
          <w:tcPr>
            <w:tcW w:w="1330" w:type="dxa"/>
            <w:tcBorders>
              <w:top w:val="single" w:sz="8" w:space="0" w:color="00B050"/>
              <w:bottom w:val="single" w:sz="8" w:space="0" w:color="00B050"/>
            </w:tcBorders>
            <w:shd w:val="clear" w:color="auto" w:fill="FFFFFF"/>
          </w:tcPr>
          <w:p w14:paraId="4E5A6BA7" w14:textId="77777777" w:rsidR="00366CB9" w:rsidRPr="006F2885" w:rsidRDefault="009D0C1D" w:rsidP="00457B0A">
            <w:pPr>
              <w:pStyle w:val="a6"/>
              <w:shd w:val="clear" w:color="auto" w:fill="auto"/>
              <w:rPr>
                <w:sz w:val="14"/>
                <w:szCs w:val="14"/>
              </w:rPr>
            </w:pPr>
            <w:r w:rsidRPr="006F2885">
              <w:rPr>
                <w:b w:val="0"/>
                <w:color w:val="000000"/>
                <w:sz w:val="14"/>
                <w:szCs w:val="14"/>
              </w:rPr>
              <w:t>Xpert MTB/</w:t>
            </w:r>
          </w:p>
          <w:p w14:paraId="7DE0B563" w14:textId="77777777" w:rsidR="00366CB9" w:rsidRPr="006F2885" w:rsidRDefault="009D0C1D" w:rsidP="00457B0A">
            <w:pPr>
              <w:pStyle w:val="a6"/>
              <w:shd w:val="clear" w:color="auto" w:fill="auto"/>
              <w:rPr>
                <w:sz w:val="14"/>
                <w:szCs w:val="14"/>
              </w:rPr>
            </w:pPr>
            <w:r w:rsidRPr="006F2885">
              <w:rPr>
                <w:b w:val="0"/>
                <w:color w:val="000000"/>
                <w:sz w:val="14"/>
                <w:szCs w:val="14"/>
              </w:rPr>
              <w:t>XDR</w:t>
            </w:r>
          </w:p>
        </w:tc>
        <w:tc>
          <w:tcPr>
            <w:tcW w:w="1306" w:type="dxa"/>
            <w:tcBorders>
              <w:top w:val="single" w:sz="8" w:space="0" w:color="00B050"/>
              <w:bottom w:val="single" w:sz="8" w:space="0" w:color="00B050"/>
            </w:tcBorders>
            <w:shd w:val="clear" w:color="auto" w:fill="FFFFFF"/>
          </w:tcPr>
          <w:p w14:paraId="309BA15C" w14:textId="77777777" w:rsidR="00366CB9" w:rsidRPr="006F2885" w:rsidRDefault="009D0C1D" w:rsidP="00457B0A">
            <w:pPr>
              <w:pStyle w:val="a6"/>
              <w:shd w:val="clear" w:color="auto" w:fill="auto"/>
              <w:rPr>
                <w:sz w:val="14"/>
                <w:szCs w:val="14"/>
              </w:rPr>
            </w:pPr>
            <w:r w:rsidRPr="006F2885">
              <w:rPr>
                <w:b w:val="0"/>
                <w:color w:val="000000"/>
                <w:sz w:val="14"/>
                <w:szCs w:val="14"/>
              </w:rPr>
              <w:t>Cepheid</w:t>
            </w:r>
          </w:p>
        </w:tc>
        <w:tc>
          <w:tcPr>
            <w:tcW w:w="1104" w:type="dxa"/>
            <w:tcBorders>
              <w:top w:val="single" w:sz="8" w:space="0" w:color="00B050"/>
              <w:bottom w:val="single" w:sz="8" w:space="0" w:color="00B050"/>
            </w:tcBorders>
            <w:shd w:val="clear" w:color="auto" w:fill="FFFFFF"/>
          </w:tcPr>
          <w:p w14:paraId="5D8A0CC7" w14:textId="77777777" w:rsidR="00366CB9" w:rsidRPr="006F2885" w:rsidRDefault="009D0C1D" w:rsidP="00457B0A">
            <w:pPr>
              <w:pStyle w:val="a6"/>
              <w:shd w:val="clear" w:color="auto" w:fill="auto"/>
              <w:rPr>
                <w:sz w:val="14"/>
                <w:szCs w:val="14"/>
              </w:rPr>
            </w:pPr>
            <w:r w:rsidRPr="006F2885">
              <w:rPr>
                <w:b w:val="0"/>
                <w:color w:val="000000"/>
                <w:sz w:val="14"/>
                <w:szCs w:val="14"/>
              </w:rPr>
              <w:t>GeneXpert I, II, IV, XVI, вимагає 10-колірний модуль</w:t>
            </w:r>
          </w:p>
        </w:tc>
        <w:tc>
          <w:tcPr>
            <w:tcW w:w="1128" w:type="dxa"/>
            <w:tcBorders>
              <w:top w:val="single" w:sz="8" w:space="0" w:color="00B050"/>
              <w:bottom w:val="single" w:sz="8" w:space="0" w:color="00B050"/>
            </w:tcBorders>
            <w:shd w:val="clear" w:color="auto" w:fill="FFFFFF"/>
          </w:tcPr>
          <w:p w14:paraId="14191DA4" w14:textId="77777777" w:rsidR="00366CB9" w:rsidRPr="006F2885" w:rsidRDefault="009D0C1D" w:rsidP="00457B0A">
            <w:pPr>
              <w:pStyle w:val="a6"/>
              <w:shd w:val="clear" w:color="auto" w:fill="auto"/>
              <w:rPr>
                <w:i/>
                <w:iCs/>
                <w:sz w:val="14"/>
                <w:szCs w:val="14"/>
              </w:rPr>
            </w:pPr>
            <w:r w:rsidRPr="006F2885">
              <w:rPr>
                <w:b w:val="0"/>
                <w:i/>
                <w:color w:val="000000"/>
                <w:sz w:val="14"/>
                <w:szCs w:val="14"/>
              </w:rPr>
              <w:t>inhA, katG, fabG1, oxyR- aphC, gyrA, gyrB, Rrs, eis</w:t>
            </w:r>
          </w:p>
        </w:tc>
        <w:tc>
          <w:tcPr>
            <w:tcW w:w="1042" w:type="dxa"/>
            <w:tcBorders>
              <w:top w:val="single" w:sz="8" w:space="0" w:color="00B050"/>
              <w:bottom w:val="single" w:sz="8" w:space="0" w:color="00B050"/>
            </w:tcBorders>
            <w:shd w:val="clear" w:color="auto" w:fill="FFFFFF"/>
          </w:tcPr>
          <w:p w14:paraId="2292CCE9" w14:textId="77777777" w:rsidR="00366CB9" w:rsidRPr="006F2885" w:rsidRDefault="009D0C1D" w:rsidP="00457B0A">
            <w:pPr>
              <w:pStyle w:val="a6"/>
              <w:shd w:val="clear" w:color="auto" w:fill="auto"/>
              <w:rPr>
                <w:sz w:val="14"/>
                <w:szCs w:val="14"/>
              </w:rPr>
            </w:pPr>
            <w:r w:rsidRPr="006F2885">
              <w:rPr>
                <w:b w:val="0"/>
                <w:color w:val="000000"/>
                <w:sz w:val="14"/>
                <w:szCs w:val="14"/>
              </w:rPr>
              <w:t>INH, ETO,</w:t>
            </w:r>
          </w:p>
          <w:p w14:paraId="74CBC030" w14:textId="77777777" w:rsidR="00366CB9" w:rsidRPr="006F2885" w:rsidRDefault="009D0C1D" w:rsidP="00457B0A">
            <w:pPr>
              <w:pStyle w:val="a6"/>
              <w:shd w:val="clear" w:color="auto" w:fill="auto"/>
              <w:rPr>
                <w:sz w:val="14"/>
                <w:szCs w:val="14"/>
              </w:rPr>
            </w:pPr>
            <w:r w:rsidRPr="006F2885">
              <w:rPr>
                <w:b w:val="0"/>
                <w:color w:val="000000"/>
                <w:sz w:val="14"/>
                <w:szCs w:val="14"/>
              </w:rPr>
              <w:t>FQ та</w:t>
            </w:r>
          </w:p>
          <w:p w14:paraId="4798DE75" w14:textId="77777777" w:rsidR="00366CB9" w:rsidRPr="006F2885" w:rsidRDefault="009D0C1D" w:rsidP="00457B0A">
            <w:pPr>
              <w:pStyle w:val="a6"/>
              <w:shd w:val="clear" w:color="auto" w:fill="auto"/>
              <w:spacing w:line="230" w:lineRule="auto"/>
              <w:rPr>
                <w:sz w:val="14"/>
                <w:szCs w:val="14"/>
              </w:rPr>
            </w:pPr>
            <w:r w:rsidRPr="006F2885">
              <w:rPr>
                <w:b w:val="0"/>
                <w:color w:val="000000"/>
                <w:sz w:val="14"/>
                <w:szCs w:val="14"/>
              </w:rPr>
              <w:t>AMK</w:t>
            </w:r>
          </w:p>
        </w:tc>
        <w:tc>
          <w:tcPr>
            <w:tcW w:w="912" w:type="dxa"/>
            <w:tcBorders>
              <w:top w:val="single" w:sz="8" w:space="0" w:color="00B050"/>
              <w:bottom w:val="single" w:sz="8" w:space="0" w:color="00B050"/>
            </w:tcBorders>
            <w:shd w:val="clear" w:color="auto" w:fill="FFFFFF"/>
          </w:tcPr>
          <w:p w14:paraId="4E9B136F" w14:textId="77777777" w:rsidR="00366CB9" w:rsidRPr="006F2885" w:rsidRDefault="009D0C1D" w:rsidP="00457B0A">
            <w:pPr>
              <w:pStyle w:val="a6"/>
              <w:shd w:val="clear" w:color="auto" w:fill="auto"/>
              <w:rPr>
                <w:sz w:val="14"/>
                <w:szCs w:val="14"/>
              </w:rPr>
            </w:pPr>
            <w:r w:rsidRPr="006F2885">
              <w:rPr>
                <w:b w:val="0"/>
                <w:color w:val="000000"/>
                <w:sz w:val="14"/>
                <w:szCs w:val="14"/>
              </w:rPr>
              <w:t>90 хв</w:t>
            </w:r>
          </w:p>
        </w:tc>
        <w:tc>
          <w:tcPr>
            <w:tcW w:w="1800" w:type="dxa"/>
            <w:tcBorders>
              <w:top w:val="single" w:sz="8" w:space="0" w:color="00B050"/>
              <w:bottom w:val="single" w:sz="8" w:space="0" w:color="00B050"/>
            </w:tcBorders>
            <w:shd w:val="clear" w:color="auto" w:fill="FFFFFF"/>
          </w:tcPr>
          <w:p w14:paraId="2E455680" w14:textId="77777777" w:rsidR="00366CB9" w:rsidRPr="006F2885" w:rsidRDefault="009D0C1D" w:rsidP="00457B0A">
            <w:pPr>
              <w:pStyle w:val="a6"/>
              <w:shd w:val="clear" w:color="auto" w:fill="auto"/>
              <w:rPr>
                <w:sz w:val="14"/>
                <w:szCs w:val="14"/>
              </w:rPr>
            </w:pPr>
            <w:r w:rsidRPr="006F2885">
              <w:rPr>
                <w:b w:val="0"/>
                <w:color w:val="000000"/>
                <w:sz w:val="14"/>
                <w:szCs w:val="14"/>
              </w:rPr>
              <w:t>Подальше виявлення резистентності до INH, ETO, FQ та ін’єкційних препаратів другої лінії</w:t>
            </w:r>
          </w:p>
        </w:tc>
        <w:tc>
          <w:tcPr>
            <w:tcW w:w="2126" w:type="dxa"/>
            <w:tcBorders>
              <w:top w:val="single" w:sz="8" w:space="0" w:color="00B050"/>
              <w:bottom w:val="single" w:sz="8" w:space="0" w:color="00B050"/>
            </w:tcBorders>
            <w:shd w:val="clear" w:color="auto" w:fill="FFFFFF"/>
          </w:tcPr>
          <w:p w14:paraId="351449C9" w14:textId="77777777" w:rsidR="00366CB9" w:rsidRPr="006F2885" w:rsidRDefault="009D0C1D" w:rsidP="00457B0A">
            <w:pPr>
              <w:pStyle w:val="a6"/>
              <w:shd w:val="clear" w:color="auto" w:fill="auto"/>
              <w:rPr>
                <w:sz w:val="14"/>
                <w:szCs w:val="14"/>
              </w:rPr>
            </w:pPr>
            <w:r w:rsidRPr="006F2885">
              <w:rPr>
                <w:b w:val="0"/>
                <w:color w:val="000000"/>
                <w:sz w:val="14"/>
                <w:szCs w:val="14"/>
              </w:rPr>
              <w:t>Безперебійне живлення, температура навколишнього середовища не вище 25 °C</w:t>
            </w:r>
          </w:p>
        </w:tc>
        <w:tc>
          <w:tcPr>
            <w:tcW w:w="1051" w:type="dxa"/>
            <w:tcBorders>
              <w:top w:val="single" w:sz="8" w:space="0" w:color="00B050"/>
              <w:bottom w:val="single" w:sz="8" w:space="0" w:color="00B050"/>
            </w:tcBorders>
            <w:shd w:val="clear" w:color="auto" w:fill="FFFFFF"/>
          </w:tcPr>
          <w:p w14:paraId="665F8354" w14:textId="77777777" w:rsidR="00366CB9" w:rsidRPr="006F2885" w:rsidRDefault="009D0C1D" w:rsidP="00457B0A">
            <w:pPr>
              <w:pStyle w:val="a6"/>
              <w:shd w:val="clear" w:color="auto" w:fill="auto"/>
              <w:rPr>
                <w:sz w:val="14"/>
                <w:szCs w:val="14"/>
              </w:rPr>
            </w:pPr>
            <w:r w:rsidRPr="006F2885">
              <w:rPr>
                <w:b w:val="0"/>
                <w:color w:val="000000"/>
                <w:sz w:val="14"/>
                <w:szCs w:val="14"/>
              </w:rPr>
              <w:t>Один зразок на тест</w:t>
            </w:r>
          </w:p>
        </w:tc>
        <w:tc>
          <w:tcPr>
            <w:tcW w:w="1051" w:type="dxa"/>
            <w:tcBorders>
              <w:top w:val="single" w:sz="8" w:space="0" w:color="00B050"/>
              <w:bottom w:val="single" w:sz="8" w:space="0" w:color="00B050"/>
            </w:tcBorders>
            <w:shd w:val="clear" w:color="auto" w:fill="FFFFFF"/>
          </w:tcPr>
          <w:p w14:paraId="793E0926" w14:textId="77777777" w:rsidR="00366CB9" w:rsidRPr="006F2885" w:rsidRDefault="009D0C1D" w:rsidP="00457B0A">
            <w:pPr>
              <w:pStyle w:val="a6"/>
              <w:shd w:val="clear" w:color="auto" w:fill="auto"/>
              <w:rPr>
                <w:sz w:val="14"/>
                <w:szCs w:val="14"/>
              </w:rPr>
            </w:pPr>
            <w:r w:rsidRPr="006F2885">
              <w:rPr>
                <w:b w:val="0"/>
                <w:color w:val="000000"/>
                <w:sz w:val="14"/>
                <w:szCs w:val="14"/>
              </w:rPr>
              <w:t>3-4 на модуль</w:t>
            </w:r>
          </w:p>
        </w:tc>
      </w:tr>
      <w:tr w:rsidR="00366CB9" w14:paraId="3AC58386" w14:textId="77777777" w:rsidTr="00546B4F">
        <w:trPr>
          <w:trHeight w:hRule="exact" w:val="1286"/>
        </w:trPr>
        <w:tc>
          <w:tcPr>
            <w:tcW w:w="1166" w:type="dxa"/>
            <w:tcBorders>
              <w:top w:val="single" w:sz="8" w:space="0" w:color="00B050"/>
              <w:bottom w:val="single" w:sz="8" w:space="0" w:color="00B050"/>
            </w:tcBorders>
            <w:shd w:val="clear" w:color="auto" w:fill="FFFFFF"/>
          </w:tcPr>
          <w:p w14:paraId="6D756FD9" w14:textId="77777777" w:rsidR="00366CB9" w:rsidRPr="006F2885" w:rsidRDefault="009D0C1D" w:rsidP="00457B0A">
            <w:pPr>
              <w:pStyle w:val="a6"/>
              <w:shd w:val="clear" w:color="auto" w:fill="auto"/>
              <w:rPr>
                <w:sz w:val="14"/>
                <w:szCs w:val="14"/>
              </w:rPr>
            </w:pPr>
            <w:r w:rsidRPr="006F2885">
              <w:rPr>
                <w:color w:val="000000"/>
                <w:sz w:val="14"/>
                <w:szCs w:val="14"/>
              </w:rPr>
              <w:t>LPA</w:t>
            </w:r>
          </w:p>
        </w:tc>
        <w:tc>
          <w:tcPr>
            <w:tcW w:w="1330" w:type="dxa"/>
            <w:tcBorders>
              <w:top w:val="single" w:sz="8" w:space="0" w:color="00B050"/>
              <w:bottom w:val="single" w:sz="8" w:space="0" w:color="00B050"/>
            </w:tcBorders>
            <w:shd w:val="clear" w:color="auto" w:fill="FFFFFF"/>
          </w:tcPr>
          <w:p w14:paraId="4D50BCFC" w14:textId="77777777" w:rsidR="00366CB9" w:rsidRPr="006F2885" w:rsidRDefault="009D0C1D" w:rsidP="00457B0A">
            <w:pPr>
              <w:pStyle w:val="a6"/>
              <w:shd w:val="clear" w:color="auto" w:fill="auto"/>
              <w:rPr>
                <w:sz w:val="14"/>
                <w:szCs w:val="14"/>
              </w:rPr>
            </w:pPr>
            <w:r w:rsidRPr="006F2885">
              <w:rPr>
                <w:b w:val="0"/>
                <w:color w:val="000000"/>
                <w:sz w:val="14"/>
                <w:szCs w:val="14"/>
              </w:rPr>
              <w:t>GenoType</w:t>
            </w:r>
          </w:p>
          <w:p w14:paraId="2D6EF1C8" w14:textId="77777777" w:rsidR="00366CB9" w:rsidRPr="006F2885" w:rsidRDefault="009D0C1D" w:rsidP="00457B0A">
            <w:pPr>
              <w:pStyle w:val="a6"/>
              <w:shd w:val="clear" w:color="auto" w:fill="auto"/>
              <w:spacing w:line="230" w:lineRule="auto"/>
              <w:rPr>
                <w:sz w:val="14"/>
                <w:szCs w:val="14"/>
              </w:rPr>
            </w:pPr>
            <w:r w:rsidRPr="006F2885">
              <w:rPr>
                <w:b w:val="0"/>
                <w:color w:val="000000"/>
                <w:sz w:val="14"/>
                <w:szCs w:val="14"/>
              </w:rPr>
              <w:t>MTBDRplus</w:t>
            </w:r>
          </w:p>
        </w:tc>
        <w:tc>
          <w:tcPr>
            <w:tcW w:w="1306" w:type="dxa"/>
            <w:tcBorders>
              <w:top w:val="single" w:sz="8" w:space="0" w:color="00B050"/>
              <w:bottom w:val="single" w:sz="8" w:space="0" w:color="00B050"/>
            </w:tcBorders>
            <w:shd w:val="clear" w:color="auto" w:fill="FFFFFF"/>
          </w:tcPr>
          <w:p w14:paraId="143E3E28" w14:textId="77777777" w:rsidR="00366CB9" w:rsidRPr="006F2885" w:rsidRDefault="009D0C1D" w:rsidP="00457B0A">
            <w:pPr>
              <w:pStyle w:val="a6"/>
              <w:shd w:val="clear" w:color="auto" w:fill="auto"/>
              <w:rPr>
                <w:sz w:val="14"/>
                <w:szCs w:val="14"/>
              </w:rPr>
            </w:pPr>
            <w:r w:rsidRPr="006F2885">
              <w:rPr>
                <w:b w:val="0"/>
                <w:color w:val="000000"/>
                <w:sz w:val="14"/>
                <w:szCs w:val="14"/>
              </w:rPr>
              <w:t>Bruker-Hain</w:t>
            </w:r>
          </w:p>
        </w:tc>
        <w:tc>
          <w:tcPr>
            <w:tcW w:w="1104" w:type="dxa"/>
            <w:tcBorders>
              <w:top w:val="single" w:sz="8" w:space="0" w:color="00B050"/>
              <w:bottom w:val="single" w:sz="8" w:space="0" w:color="00B050"/>
            </w:tcBorders>
            <w:shd w:val="clear" w:color="auto" w:fill="FFFFFF"/>
          </w:tcPr>
          <w:p w14:paraId="32E3365C" w14:textId="77777777" w:rsidR="00366CB9" w:rsidRPr="006F2885" w:rsidRDefault="00366CB9" w:rsidP="00457B0A">
            <w:pPr>
              <w:rPr>
                <w:sz w:val="14"/>
                <w:szCs w:val="14"/>
              </w:rPr>
            </w:pPr>
          </w:p>
        </w:tc>
        <w:tc>
          <w:tcPr>
            <w:tcW w:w="1128" w:type="dxa"/>
            <w:tcBorders>
              <w:top w:val="single" w:sz="8" w:space="0" w:color="00B050"/>
              <w:bottom w:val="single" w:sz="8" w:space="0" w:color="00B050"/>
            </w:tcBorders>
            <w:shd w:val="clear" w:color="auto" w:fill="FFFFFF"/>
          </w:tcPr>
          <w:p w14:paraId="51A9393E" w14:textId="77777777" w:rsidR="00366CB9" w:rsidRPr="006F2885" w:rsidRDefault="009D0C1D" w:rsidP="00457B0A">
            <w:pPr>
              <w:pStyle w:val="a6"/>
              <w:shd w:val="clear" w:color="auto" w:fill="auto"/>
              <w:rPr>
                <w:i/>
                <w:iCs/>
                <w:sz w:val="14"/>
                <w:szCs w:val="14"/>
              </w:rPr>
            </w:pPr>
            <w:r w:rsidRPr="006F2885">
              <w:rPr>
                <w:b w:val="0"/>
                <w:i/>
                <w:color w:val="000000"/>
                <w:sz w:val="14"/>
                <w:szCs w:val="14"/>
              </w:rPr>
              <w:t>rpoB, katG,</w:t>
            </w:r>
          </w:p>
          <w:p w14:paraId="6405E6D9" w14:textId="77777777" w:rsidR="00366CB9" w:rsidRPr="006F2885" w:rsidRDefault="009D0C1D" w:rsidP="00457B0A">
            <w:pPr>
              <w:pStyle w:val="a6"/>
              <w:shd w:val="clear" w:color="auto" w:fill="auto"/>
              <w:spacing w:line="230" w:lineRule="auto"/>
              <w:rPr>
                <w:i/>
                <w:iCs/>
                <w:sz w:val="14"/>
                <w:szCs w:val="14"/>
              </w:rPr>
            </w:pPr>
            <w:r w:rsidRPr="006F2885">
              <w:rPr>
                <w:b w:val="0"/>
                <w:i/>
                <w:color w:val="000000"/>
                <w:sz w:val="14"/>
                <w:szCs w:val="14"/>
              </w:rPr>
              <w:t>inhA,</w:t>
            </w:r>
          </w:p>
        </w:tc>
        <w:tc>
          <w:tcPr>
            <w:tcW w:w="1042" w:type="dxa"/>
            <w:tcBorders>
              <w:top w:val="single" w:sz="8" w:space="0" w:color="00B050"/>
              <w:bottom w:val="single" w:sz="8" w:space="0" w:color="00B050"/>
            </w:tcBorders>
            <w:shd w:val="clear" w:color="auto" w:fill="FFFFFF"/>
          </w:tcPr>
          <w:p w14:paraId="5175FF2D" w14:textId="77777777" w:rsidR="00366CB9" w:rsidRPr="006F2885" w:rsidRDefault="009D0C1D" w:rsidP="00457B0A">
            <w:pPr>
              <w:pStyle w:val="a6"/>
              <w:shd w:val="clear" w:color="auto" w:fill="auto"/>
              <w:rPr>
                <w:sz w:val="14"/>
                <w:szCs w:val="14"/>
              </w:rPr>
            </w:pPr>
            <w:r w:rsidRPr="006F2885">
              <w:rPr>
                <w:b w:val="0"/>
                <w:color w:val="000000"/>
                <w:sz w:val="14"/>
                <w:szCs w:val="14"/>
              </w:rPr>
              <w:t>RIF, INH</w:t>
            </w:r>
          </w:p>
        </w:tc>
        <w:tc>
          <w:tcPr>
            <w:tcW w:w="912" w:type="dxa"/>
            <w:tcBorders>
              <w:top w:val="single" w:sz="8" w:space="0" w:color="00B050"/>
              <w:bottom w:val="single" w:sz="8" w:space="0" w:color="00B050"/>
            </w:tcBorders>
            <w:shd w:val="clear" w:color="auto" w:fill="FFFFFF"/>
          </w:tcPr>
          <w:p w14:paraId="36CB5437" w14:textId="77777777" w:rsidR="00366CB9" w:rsidRPr="006F2885" w:rsidRDefault="009D0C1D" w:rsidP="00457B0A">
            <w:pPr>
              <w:pStyle w:val="a6"/>
              <w:shd w:val="clear" w:color="auto" w:fill="auto"/>
              <w:rPr>
                <w:sz w:val="14"/>
                <w:szCs w:val="14"/>
              </w:rPr>
            </w:pPr>
            <w:r w:rsidRPr="006F2885">
              <w:rPr>
                <w:b w:val="0"/>
                <w:color w:val="000000"/>
                <w:sz w:val="14"/>
                <w:szCs w:val="14"/>
              </w:rPr>
              <w:t>1-2 дні</w:t>
            </w:r>
          </w:p>
        </w:tc>
        <w:tc>
          <w:tcPr>
            <w:tcW w:w="1800" w:type="dxa"/>
            <w:tcBorders>
              <w:top w:val="single" w:sz="8" w:space="0" w:color="00B050"/>
              <w:bottom w:val="single" w:sz="8" w:space="0" w:color="00B050"/>
            </w:tcBorders>
            <w:shd w:val="clear" w:color="auto" w:fill="FFFFFF"/>
          </w:tcPr>
          <w:p w14:paraId="316A86EA" w14:textId="77777777" w:rsidR="00366CB9" w:rsidRPr="006F2885" w:rsidRDefault="009D0C1D" w:rsidP="00457B0A">
            <w:pPr>
              <w:pStyle w:val="a6"/>
              <w:shd w:val="clear" w:color="auto" w:fill="auto"/>
              <w:rPr>
                <w:sz w:val="14"/>
                <w:szCs w:val="14"/>
              </w:rPr>
            </w:pPr>
            <w:r w:rsidRPr="006F2885">
              <w:rPr>
                <w:b w:val="0"/>
                <w:color w:val="000000"/>
                <w:sz w:val="14"/>
                <w:szCs w:val="14"/>
              </w:rPr>
              <w:t>Подальше виявлення резистентності до RIF та INH</w:t>
            </w:r>
          </w:p>
        </w:tc>
        <w:tc>
          <w:tcPr>
            <w:tcW w:w="2126" w:type="dxa"/>
            <w:tcBorders>
              <w:top w:val="single" w:sz="8" w:space="0" w:color="00B050"/>
              <w:bottom w:val="single" w:sz="8" w:space="0" w:color="00B050"/>
            </w:tcBorders>
            <w:shd w:val="clear" w:color="auto" w:fill="FFFFFF"/>
          </w:tcPr>
          <w:p w14:paraId="5EC69D0B" w14:textId="77777777" w:rsidR="00366CB9" w:rsidRPr="006F2885" w:rsidRDefault="009D0C1D" w:rsidP="00457B0A">
            <w:pPr>
              <w:pStyle w:val="a6"/>
              <w:shd w:val="clear" w:color="auto" w:fill="auto"/>
              <w:rPr>
                <w:sz w:val="14"/>
                <w:szCs w:val="14"/>
              </w:rPr>
            </w:pPr>
            <w:r w:rsidRPr="006F2885">
              <w:rPr>
                <w:b w:val="0"/>
                <w:color w:val="000000"/>
                <w:sz w:val="14"/>
                <w:szCs w:val="14"/>
              </w:rPr>
              <w:t>Термоциклер, інкубаційний розчин, безперебійне живлення, температура навколишнього середовища, чисте приміщення для етапів ампліфікації ДНК</w:t>
            </w:r>
          </w:p>
        </w:tc>
        <w:tc>
          <w:tcPr>
            <w:tcW w:w="1051" w:type="dxa"/>
            <w:tcBorders>
              <w:top w:val="single" w:sz="8" w:space="0" w:color="00B050"/>
              <w:bottom w:val="single" w:sz="8" w:space="0" w:color="00B050"/>
            </w:tcBorders>
            <w:shd w:val="clear" w:color="auto" w:fill="FFFFFF"/>
          </w:tcPr>
          <w:p w14:paraId="04838744" w14:textId="77777777" w:rsidR="00366CB9" w:rsidRPr="006F2885" w:rsidRDefault="009D0C1D" w:rsidP="00457B0A">
            <w:pPr>
              <w:pStyle w:val="a6"/>
              <w:shd w:val="clear" w:color="auto" w:fill="auto"/>
              <w:rPr>
                <w:sz w:val="14"/>
                <w:szCs w:val="14"/>
              </w:rPr>
            </w:pPr>
            <w:r w:rsidRPr="006F2885">
              <w:rPr>
                <w:b w:val="0"/>
                <w:color w:val="000000"/>
                <w:sz w:val="14"/>
                <w:szCs w:val="14"/>
              </w:rPr>
              <w:t>Один тест,</w:t>
            </w:r>
          </w:p>
          <w:p w14:paraId="44E8EE21" w14:textId="77777777" w:rsidR="00366CB9" w:rsidRPr="006F2885" w:rsidRDefault="009D0C1D" w:rsidP="00457B0A">
            <w:pPr>
              <w:pStyle w:val="a6"/>
              <w:shd w:val="clear" w:color="auto" w:fill="auto"/>
              <w:spacing w:line="230" w:lineRule="auto"/>
              <w:rPr>
                <w:sz w:val="14"/>
                <w:szCs w:val="14"/>
              </w:rPr>
            </w:pPr>
            <w:r w:rsidRPr="006F2885">
              <w:rPr>
                <w:b w:val="0"/>
                <w:color w:val="000000"/>
                <w:sz w:val="14"/>
                <w:szCs w:val="14"/>
              </w:rPr>
              <w:t>12 або 48</w:t>
            </w:r>
          </w:p>
        </w:tc>
        <w:tc>
          <w:tcPr>
            <w:tcW w:w="1051" w:type="dxa"/>
            <w:tcBorders>
              <w:top w:val="single" w:sz="8" w:space="0" w:color="00B050"/>
              <w:bottom w:val="single" w:sz="8" w:space="0" w:color="00B050"/>
            </w:tcBorders>
            <w:shd w:val="clear" w:color="auto" w:fill="FFFFFF"/>
          </w:tcPr>
          <w:p w14:paraId="37044B32" w14:textId="77777777" w:rsidR="00366CB9" w:rsidRPr="006F2885" w:rsidRDefault="009D0C1D" w:rsidP="00457B0A">
            <w:pPr>
              <w:pStyle w:val="a6"/>
              <w:shd w:val="clear" w:color="auto" w:fill="auto"/>
              <w:rPr>
                <w:sz w:val="14"/>
                <w:szCs w:val="14"/>
              </w:rPr>
            </w:pPr>
            <w:r w:rsidRPr="006F2885">
              <w:rPr>
                <w:b w:val="0"/>
                <w:color w:val="000000"/>
                <w:sz w:val="14"/>
                <w:szCs w:val="14"/>
              </w:rPr>
              <w:t>Залежить від лабораторного потенціалу</w:t>
            </w:r>
          </w:p>
        </w:tc>
      </w:tr>
      <w:tr w:rsidR="00366CB9" w14:paraId="619BC6D7" w14:textId="77777777" w:rsidTr="00546B4F">
        <w:trPr>
          <w:trHeight w:hRule="exact" w:val="1282"/>
        </w:trPr>
        <w:tc>
          <w:tcPr>
            <w:tcW w:w="1166" w:type="dxa"/>
            <w:tcBorders>
              <w:top w:val="single" w:sz="8" w:space="0" w:color="00B050"/>
              <w:bottom w:val="single" w:sz="8" w:space="0" w:color="00B050"/>
            </w:tcBorders>
            <w:shd w:val="clear" w:color="auto" w:fill="FFFFFF"/>
          </w:tcPr>
          <w:p w14:paraId="465374A9" w14:textId="77777777" w:rsidR="00366CB9" w:rsidRPr="006F2885" w:rsidRDefault="00366CB9" w:rsidP="00457B0A">
            <w:pPr>
              <w:rPr>
                <w:b/>
                <w:bCs/>
                <w:sz w:val="14"/>
                <w:szCs w:val="14"/>
              </w:rPr>
            </w:pPr>
          </w:p>
        </w:tc>
        <w:tc>
          <w:tcPr>
            <w:tcW w:w="1330" w:type="dxa"/>
            <w:tcBorders>
              <w:top w:val="single" w:sz="8" w:space="0" w:color="00B050"/>
              <w:bottom w:val="single" w:sz="8" w:space="0" w:color="00B050"/>
            </w:tcBorders>
            <w:shd w:val="clear" w:color="auto" w:fill="FFFFFF"/>
          </w:tcPr>
          <w:p w14:paraId="0AAF4E17" w14:textId="77777777" w:rsidR="00366CB9" w:rsidRPr="006F2885" w:rsidRDefault="009D0C1D" w:rsidP="00457B0A">
            <w:pPr>
              <w:pStyle w:val="a6"/>
              <w:shd w:val="clear" w:color="auto" w:fill="auto"/>
              <w:rPr>
                <w:sz w:val="14"/>
                <w:szCs w:val="14"/>
              </w:rPr>
            </w:pPr>
            <w:r w:rsidRPr="006F2885">
              <w:rPr>
                <w:b w:val="0"/>
                <w:color w:val="000000"/>
                <w:sz w:val="14"/>
                <w:szCs w:val="14"/>
              </w:rPr>
              <w:t>GenoType</w:t>
            </w:r>
          </w:p>
          <w:p w14:paraId="025381E8" w14:textId="77777777" w:rsidR="00366CB9" w:rsidRPr="006F2885" w:rsidRDefault="009D0C1D" w:rsidP="00457B0A">
            <w:pPr>
              <w:pStyle w:val="a6"/>
              <w:shd w:val="clear" w:color="auto" w:fill="auto"/>
              <w:spacing w:line="230" w:lineRule="auto"/>
              <w:rPr>
                <w:sz w:val="14"/>
                <w:szCs w:val="14"/>
              </w:rPr>
            </w:pPr>
            <w:r w:rsidRPr="006F2885">
              <w:rPr>
                <w:b w:val="0"/>
                <w:color w:val="000000"/>
                <w:sz w:val="14"/>
                <w:szCs w:val="14"/>
              </w:rPr>
              <w:t>MTBDRsl</w:t>
            </w:r>
          </w:p>
        </w:tc>
        <w:tc>
          <w:tcPr>
            <w:tcW w:w="1306" w:type="dxa"/>
            <w:tcBorders>
              <w:top w:val="single" w:sz="8" w:space="0" w:color="00B050"/>
              <w:bottom w:val="single" w:sz="8" w:space="0" w:color="00B050"/>
            </w:tcBorders>
            <w:shd w:val="clear" w:color="auto" w:fill="FFFFFF"/>
          </w:tcPr>
          <w:p w14:paraId="58AB4193" w14:textId="77777777" w:rsidR="00366CB9" w:rsidRPr="006F2885" w:rsidRDefault="009D0C1D" w:rsidP="00457B0A">
            <w:pPr>
              <w:pStyle w:val="a6"/>
              <w:shd w:val="clear" w:color="auto" w:fill="auto"/>
              <w:rPr>
                <w:sz w:val="14"/>
                <w:szCs w:val="14"/>
              </w:rPr>
            </w:pPr>
            <w:r w:rsidRPr="006F2885">
              <w:rPr>
                <w:b w:val="0"/>
                <w:color w:val="000000"/>
                <w:sz w:val="14"/>
                <w:szCs w:val="14"/>
              </w:rPr>
              <w:t>Bruker-Hain</w:t>
            </w:r>
          </w:p>
        </w:tc>
        <w:tc>
          <w:tcPr>
            <w:tcW w:w="1104" w:type="dxa"/>
            <w:tcBorders>
              <w:top w:val="single" w:sz="8" w:space="0" w:color="00B050"/>
              <w:bottom w:val="single" w:sz="8" w:space="0" w:color="00B050"/>
            </w:tcBorders>
            <w:shd w:val="clear" w:color="auto" w:fill="FFFFFF"/>
          </w:tcPr>
          <w:p w14:paraId="3CFF8942" w14:textId="77777777" w:rsidR="00366CB9" w:rsidRPr="006F2885" w:rsidRDefault="00366CB9" w:rsidP="00457B0A">
            <w:pPr>
              <w:rPr>
                <w:sz w:val="14"/>
                <w:szCs w:val="14"/>
              </w:rPr>
            </w:pPr>
          </w:p>
        </w:tc>
        <w:tc>
          <w:tcPr>
            <w:tcW w:w="1128" w:type="dxa"/>
            <w:tcBorders>
              <w:top w:val="single" w:sz="8" w:space="0" w:color="00B050"/>
              <w:bottom w:val="single" w:sz="8" w:space="0" w:color="00B050"/>
            </w:tcBorders>
            <w:shd w:val="clear" w:color="auto" w:fill="FFFFFF"/>
          </w:tcPr>
          <w:p w14:paraId="32418630" w14:textId="77777777" w:rsidR="00366CB9" w:rsidRPr="006F2885" w:rsidRDefault="009D0C1D" w:rsidP="00457B0A">
            <w:pPr>
              <w:pStyle w:val="a6"/>
              <w:shd w:val="clear" w:color="auto" w:fill="auto"/>
              <w:spacing w:line="233" w:lineRule="auto"/>
              <w:rPr>
                <w:i/>
                <w:iCs/>
                <w:sz w:val="14"/>
                <w:szCs w:val="14"/>
              </w:rPr>
            </w:pPr>
            <w:r w:rsidRPr="006F2885">
              <w:rPr>
                <w:b w:val="0"/>
                <w:i/>
                <w:color w:val="000000"/>
                <w:sz w:val="14"/>
                <w:szCs w:val="14"/>
              </w:rPr>
              <w:t>gyrA, gyrB, rrs, eis</w:t>
            </w:r>
          </w:p>
        </w:tc>
        <w:tc>
          <w:tcPr>
            <w:tcW w:w="1042" w:type="dxa"/>
            <w:tcBorders>
              <w:top w:val="single" w:sz="8" w:space="0" w:color="00B050"/>
              <w:bottom w:val="single" w:sz="8" w:space="0" w:color="00B050"/>
            </w:tcBorders>
            <w:shd w:val="clear" w:color="auto" w:fill="FFFFFF"/>
          </w:tcPr>
          <w:p w14:paraId="16C5B7C8" w14:textId="77777777" w:rsidR="00366CB9" w:rsidRPr="006F2885" w:rsidRDefault="009D0C1D" w:rsidP="00457B0A">
            <w:pPr>
              <w:pStyle w:val="a6"/>
              <w:shd w:val="clear" w:color="auto" w:fill="auto"/>
              <w:rPr>
                <w:sz w:val="14"/>
                <w:szCs w:val="14"/>
              </w:rPr>
            </w:pPr>
            <w:r w:rsidRPr="006F2885">
              <w:rPr>
                <w:b w:val="0"/>
                <w:color w:val="000000"/>
                <w:sz w:val="14"/>
                <w:szCs w:val="14"/>
              </w:rPr>
              <w:t>FQ, AMK</w:t>
            </w:r>
          </w:p>
        </w:tc>
        <w:tc>
          <w:tcPr>
            <w:tcW w:w="912" w:type="dxa"/>
            <w:tcBorders>
              <w:top w:val="single" w:sz="8" w:space="0" w:color="00B050"/>
              <w:bottom w:val="single" w:sz="8" w:space="0" w:color="00B050"/>
            </w:tcBorders>
            <w:shd w:val="clear" w:color="auto" w:fill="FFFFFF"/>
          </w:tcPr>
          <w:p w14:paraId="3A282D0D" w14:textId="77777777" w:rsidR="00366CB9" w:rsidRPr="006F2885" w:rsidRDefault="009D0C1D" w:rsidP="00457B0A">
            <w:pPr>
              <w:pStyle w:val="a6"/>
              <w:shd w:val="clear" w:color="auto" w:fill="auto"/>
              <w:rPr>
                <w:sz w:val="14"/>
                <w:szCs w:val="14"/>
              </w:rPr>
            </w:pPr>
            <w:r w:rsidRPr="006F2885">
              <w:rPr>
                <w:b w:val="0"/>
                <w:color w:val="000000"/>
                <w:sz w:val="14"/>
                <w:szCs w:val="14"/>
              </w:rPr>
              <w:t>1-2 дні</w:t>
            </w:r>
          </w:p>
        </w:tc>
        <w:tc>
          <w:tcPr>
            <w:tcW w:w="1800" w:type="dxa"/>
            <w:tcBorders>
              <w:top w:val="single" w:sz="8" w:space="0" w:color="00B050"/>
              <w:bottom w:val="single" w:sz="8" w:space="0" w:color="00B050"/>
            </w:tcBorders>
            <w:shd w:val="clear" w:color="auto" w:fill="FFFFFF"/>
          </w:tcPr>
          <w:p w14:paraId="32552ACF" w14:textId="77777777" w:rsidR="00366CB9" w:rsidRPr="006F2885" w:rsidRDefault="009D0C1D" w:rsidP="00457B0A">
            <w:pPr>
              <w:pStyle w:val="a6"/>
              <w:shd w:val="clear" w:color="auto" w:fill="auto"/>
              <w:rPr>
                <w:sz w:val="14"/>
                <w:szCs w:val="14"/>
              </w:rPr>
            </w:pPr>
            <w:r w:rsidRPr="006F2885">
              <w:rPr>
                <w:b w:val="0"/>
                <w:color w:val="000000"/>
                <w:sz w:val="14"/>
                <w:szCs w:val="14"/>
              </w:rPr>
              <w:t>Подальше виявлення резистентності до FQ та AMK</w:t>
            </w:r>
          </w:p>
        </w:tc>
        <w:tc>
          <w:tcPr>
            <w:tcW w:w="2126" w:type="dxa"/>
            <w:tcBorders>
              <w:top w:val="single" w:sz="8" w:space="0" w:color="00B050"/>
              <w:bottom w:val="single" w:sz="8" w:space="0" w:color="00B050"/>
            </w:tcBorders>
            <w:shd w:val="clear" w:color="auto" w:fill="FFFFFF"/>
          </w:tcPr>
          <w:p w14:paraId="08580DEF" w14:textId="77777777" w:rsidR="00366CB9" w:rsidRPr="006F2885" w:rsidRDefault="009D0C1D" w:rsidP="00457B0A">
            <w:pPr>
              <w:pStyle w:val="a6"/>
              <w:shd w:val="clear" w:color="auto" w:fill="auto"/>
              <w:rPr>
                <w:sz w:val="14"/>
                <w:szCs w:val="14"/>
              </w:rPr>
            </w:pPr>
            <w:r w:rsidRPr="006F2885">
              <w:rPr>
                <w:b w:val="0"/>
                <w:color w:val="000000"/>
                <w:sz w:val="14"/>
                <w:szCs w:val="14"/>
              </w:rPr>
              <w:t>Термоциклер, інкубаційний розчин, безперебійне живлення, температура навколишнього середовища, чисте приміщення для етапів ампліфікації ДНК</w:t>
            </w:r>
          </w:p>
        </w:tc>
        <w:tc>
          <w:tcPr>
            <w:tcW w:w="1051" w:type="dxa"/>
            <w:tcBorders>
              <w:top w:val="single" w:sz="8" w:space="0" w:color="00B050"/>
              <w:bottom w:val="single" w:sz="8" w:space="0" w:color="00B050"/>
            </w:tcBorders>
            <w:shd w:val="clear" w:color="auto" w:fill="FFFFFF"/>
          </w:tcPr>
          <w:p w14:paraId="351B4F49" w14:textId="77777777" w:rsidR="00366CB9" w:rsidRPr="006F2885" w:rsidRDefault="009D0C1D" w:rsidP="00457B0A">
            <w:pPr>
              <w:pStyle w:val="a6"/>
              <w:shd w:val="clear" w:color="auto" w:fill="auto"/>
              <w:rPr>
                <w:sz w:val="14"/>
                <w:szCs w:val="14"/>
              </w:rPr>
            </w:pPr>
            <w:r w:rsidRPr="006F2885">
              <w:rPr>
                <w:b w:val="0"/>
                <w:color w:val="000000"/>
                <w:sz w:val="14"/>
                <w:szCs w:val="14"/>
              </w:rPr>
              <w:t>Один тест,</w:t>
            </w:r>
          </w:p>
          <w:p w14:paraId="73BD659A" w14:textId="77777777" w:rsidR="00366CB9" w:rsidRPr="006F2885" w:rsidRDefault="009D0C1D" w:rsidP="00457B0A">
            <w:pPr>
              <w:pStyle w:val="a6"/>
              <w:shd w:val="clear" w:color="auto" w:fill="auto"/>
              <w:spacing w:line="230" w:lineRule="auto"/>
              <w:rPr>
                <w:sz w:val="14"/>
                <w:szCs w:val="14"/>
              </w:rPr>
            </w:pPr>
            <w:r w:rsidRPr="006F2885">
              <w:rPr>
                <w:b w:val="0"/>
                <w:color w:val="000000"/>
                <w:sz w:val="14"/>
                <w:szCs w:val="14"/>
              </w:rPr>
              <w:t>12 або 48</w:t>
            </w:r>
          </w:p>
        </w:tc>
        <w:tc>
          <w:tcPr>
            <w:tcW w:w="1051" w:type="dxa"/>
            <w:tcBorders>
              <w:top w:val="single" w:sz="8" w:space="0" w:color="00B050"/>
              <w:bottom w:val="single" w:sz="8" w:space="0" w:color="00B050"/>
            </w:tcBorders>
            <w:shd w:val="clear" w:color="auto" w:fill="FFFFFF"/>
          </w:tcPr>
          <w:p w14:paraId="43EFCD17" w14:textId="77777777" w:rsidR="00366CB9" w:rsidRPr="006F2885" w:rsidRDefault="009D0C1D" w:rsidP="00457B0A">
            <w:pPr>
              <w:pStyle w:val="a6"/>
              <w:shd w:val="clear" w:color="auto" w:fill="auto"/>
              <w:rPr>
                <w:sz w:val="14"/>
                <w:szCs w:val="14"/>
              </w:rPr>
            </w:pPr>
            <w:r w:rsidRPr="006F2885">
              <w:rPr>
                <w:b w:val="0"/>
                <w:color w:val="000000"/>
                <w:sz w:val="14"/>
                <w:szCs w:val="14"/>
              </w:rPr>
              <w:t>Залежить від лабораторного потенціалу</w:t>
            </w:r>
          </w:p>
        </w:tc>
      </w:tr>
      <w:tr w:rsidR="00366CB9" w14:paraId="67778D86" w14:textId="77777777" w:rsidTr="00546B4F">
        <w:trPr>
          <w:trHeight w:hRule="exact" w:val="1286"/>
        </w:trPr>
        <w:tc>
          <w:tcPr>
            <w:tcW w:w="1166" w:type="dxa"/>
            <w:tcBorders>
              <w:top w:val="single" w:sz="8" w:space="0" w:color="00B050"/>
              <w:bottom w:val="single" w:sz="8" w:space="0" w:color="00B050"/>
            </w:tcBorders>
            <w:shd w:val="clear" w:color="auto" w:fill="FFFFFF"/>
          </w:tcPr>
          <w:p w14:paraId="30281DFE" w14:textId="77777777" w:rsidR="00366CB9" w:rsidRPr="006F2885" w:rsidRDefault="00366CB9" w:rsidP="00457B0A">
            <w:pPr>
              <w:rPr>
                <w:b/>
                <w:bCs/>
                <w:sz w:val="14"/>
                <w:szCs w:val="14"/>
              </w:rPr>
            </w:pPr>
          </w:p>
        </w:tc>
        <w:tc>
          <w:tcPr>
            <w:tcW w:w="1330" w:type="dxa"/>
            <w:tcBorders>
              <w:top w:val="single" w:sz="8" w:space="0" w:color="00B050"/>
              <w:bottom w:val="single" w:sz="8" w:space="0" w:color="00B050"/>
            </w:tcBorders>
            <w:shd w:val="clear" w:color="auto" w:fill="FFFFFF"/>
          </w:tcPr>
          <w:p w14:paraId="0E1364BB" w14:textId="77777777" w:rsidR="00366CB9" w:rsidRPr="006F2885" w:rsidRDefault="009D0C1D" w:rsidP="00457B0A">
            <w:pPr>
              <w:pStyle w:val="a6"/>
              <w:shd w:val="clear" w:color="auto" w:fill="auto"/>
              <w:rPr>
                <w:sz w:val="14"/>
                <w:szCs w:val="14"/>
              </w:rPr>
            </w:pPr>
            <w:r w:rsidRPr="006F2885">
              <w:rPr>
                <w:b w:val="0"/>
                <w:color w:val="000000"/>
                <w:sz w:val="14"/>
                <w:szCs w:val="14"/>
              </w:rPr>
              <w:t>Genoscholar</w:t>
            </w:r>
          </w:p>
          <w:p w14:paraId="190C0A0A" w14:textId="77777777" w:rsidR="00366CB9" w:rsidRPr="006F2885" w:rsidRDefault="009D0C1D" w:rsidP="00457B0A">
            <w:pPr>
              <w:pStyle w:val="a6"/>
              <w:shd w:val="clear" w:color="auto" w:fill="auto"/>
              <w:rPr>
                <w:sz w:val="14"/>
                <w:szCs w:val="14"/>
              </w:rPr>
            </w:pPr>
            <w:r w:rsidRPr="006F2885">
              <w:rPr>
                <w:b w:val="0"/>
                <w:color w:val="000000"/>
                <w:sz w:val="14"/>
                <w:szCs w:val="14"/>
              </w:rPr>
              <w:t>NTM+MDRTB II</w:t>
            </w:r>
          </w:p>
        </w:tc>
        <w:tc>
          <w:tcPr>
            <w:tcW w:w="1306" w:type="dxa"/>
            <w:tcBorders>
              <w:top w:val="single" w:sz="8" w:space="0" w:color="00B050"/>
              <w:bottom w:val="single" w:sz="8" w:space="0" w:color="00B050"/>
            </w:tcBorders>
            <w:shd w:val="clear" w:color="auto" w:fill="FFFFFF"/>
          </w:tcPr>
          <w:p w14:paraId="7DE9ECA2" w14:textId="77777777" w:rsidR="00366CB9" w:rsidRPr="006F2885" w:rsidRDefault="009D0C1D" w:rsidP="00457B0A">
            <w:pPr>
              <w:pStyle w:val="a6"/>
              <w:shd w:val="clear" w:color="auto" w:fill="auto"/>
              <w:rPr>
                <w:sz w:val="14"/>
                <w:szCs w:val="14"/>
              </w:rPr>
            </w:pPr>
            <w:r w:rsidRPr="006F2885">
              <w:rPr>
                <w:b w:val="0"/>
                <w:color w:val="000000"/>
                <w:sz w:val="14"/>
                <w:szCs w:val="14"/>
              </w:rPr>
              <w:t>Nipro</w:t>
            </w:r>
          </w:p>
        </w:tc>
        <w:tc>
          <w:tcPr>
            <w:tcW w:w="1104" w:type="dxa"/>
            <w:tcBorders>
              <w:top w:val="single" w:sz="8" w:space="0" w:color="00B050"/>
              <w:bottom w:val="single" w:sz="8" w:space="0" w:color="00B050"/>
            </w:tcBorders>
            <w:shd w:val="clear" w:color="auto" w:fill="FFFFFF"/>
          </w:tcPr>
          <w:p w14:paraId="1227FC3D" w14:textId="77777777" w:rsidR="00366CB9" w:rsidRPr="006F2885" w:rsidRDefault="00366CB9" w:rsidP="00457B0A">
            <w:pPr>
              <w:rPr>
                <w:sz w:val="14"/>
                <w:szCs w:val="14"/>
              </w:rPr>
            </w:pPr>
          </w:p>
        </w:tc>
        <w:tc>
          <w:tcPr>
            <w:tcW w:w="1128" w:type="dxa"/>
            <w:tcBorders>
              <w:top w:val="single" w:sz="8" w:space="0" w:color="00B050"/>
              <w:bottom w:val="single" w:sz="8" w:space="0" w:color="00B050"/>
            </w:tcBorders>
            <w:shd w:val="clear" w:color="auto" w:fill="FFFFFF"/>
          </w:tcPr>
          <w:p w14:paraId="23046D87" w14:textId="77777777" w:rsidR="00366CB9" w:rsidRPr="006F2885" w:rsidRDefault="009D0C1D" w:rsidP="00457B0A">
            <w:pPr>
              <w:pStyle w:val="a6"/>
              <w:shd w:val="clear" w:color="auto" w:fill="auto"/>
              <w:rPr>
                <w:i/>
                <w:iCs/>
                <w:sz w:val="14"/>
                <w:szCs w:val="14"/>
              </w:rPr>
            </w:pPr>
            <w:r w:rsidRPr="006F2885">
              <w:rPr>
                <w:b w:val="0"/>
                <w:i/>
                <w:color w:val="000000"/>
                <w:sz w:val="14"/>
                <w:szCs w:val="14"/>
              </w:rPr>
              <w:t>rpoB, katG, inhA</w:t>
            </w:r>
          </w:p>
        </w:tc>
        <w:tc>
          <w:tcPr>
            <w:tcW w:w="1042" w:type="dxa"/>
            <w:tcBorders>
              <w:top w:val="single" w:sz="8" w:space="0" w:color="00B050"/>
              <w:bottom w:val="single" w:sz="8" w:space="0" w:color="00B050"/>
            </w:tcBorders>
            <w:shd w:val="clear" w:color="auto" w:fill="FFFFFF"/>
          </w:tcPr>
          <w:p w14:paraId="7BEAA4D0" w14:textId="77777777" w:rsidR="00366CB9" w:rsidRPr="006F2885" w:rsidRDefault="009D0C1D" w:rsidP="00457B0A">
            <w:pPr>
              <w:pStyle w:val="a6"/>
              <w:shd w:val="clear" w:color="auto" w:fill="auto"/>
              <w:rPr>
                <w:sz w:val="14"/>
                <w:szCs w:val="14"/>
              </w:rPr>
            </w:pPr>
            <w:r w:rsidRPr="006F2885">
              <w:rPr>
                <w:b w:val="0"/>
                <w:color w:val="000000"/>
                <w:sz w:val="14"/>
                <w:szCs w:val="14"/>
              </w:rPr>
              <w:t>RIF, INH</w:t>
            </w:r>
          </w:p>
        </w:tc>
        <w:tc>
          <w:tcPr>
            <w:tcW w:w="912" w:type="dxa"/>
            <w:tcBorders>
              <w:top w:val="single" w:sz="8" w:space="0" w:color="00B050"/>
              <w:bottom w:val="single" w:sz="8" w:space="0" w:color="00B050"/>
            </w:tcBorders>
            <w:shd w:val="clear" w:color="auto" w:fill="FFFFFF"/>
          </w:tcPr>
          <w:p w14:paraId="73C1B86B" w14:textId="77777777" w:rsidR="00366CB9" w:rsidRPr="006F2885" w:rsidRDefault="009D0C1D" w:rsidP="00457B0A">
            <w:pPr>
              <w:pStyle w:val="a6"/>
              <w:shd w:val="clear" w:color="auto" w:fill="auto"/>
              <w:rPr>
                <w:sz w:val="14"/>
                <w:szCs w:val="14"/>
              </w:rPr>
            </w:pPr>
            <w:r w:rsidRPr="006F2885">
              <w:rPr>
                <w:b w:val="0"/>
                <w:color w:val="000000"/>
                <w:sz w:val="14"/>
                <w:szCs w:val="14"/>
              </w:rPr>
              <w:t>1-2 дні</w:t>
            </w:r>
          </w:p>
        </w:tc>
        <w:tc>
          <w:tcPr>
            <w:tcW w:w="1800" w:type="dxa"/>
            <w:tcBorders>
              <w:top w:val="single" w:sz="8" w:space="0" w:color="00B050"/>
              <w:bottom w:val="single" w:sz="8" w:space="0" w:color="00B050"/>
            </w:tcBorders>
            <w:shd w:val="clear" w:color="auto" w:fill="FFFFFF"/>
          </w:tcPr>
          <w:p w14:paraId="69CCE09F" w14:textId="77777777" w:rsidR="00366CB9" w:rsidRPr="006F2885" w:rsidRDefault="009D0C1D" w:rsidP="00457B0A">
            <w:pPr>
              <w:pStyle w:val="a6"/>
              <w:shd w:val="clear" w:color="auto" w:fill="auto"/>
              <w:rPr>
                <w:sz w:val="14"/>
                <w:szCs w:val="14"/>
              </w:rPr>
            </w:pPr>
            <w:r w:rsidRPr="006F2885">
              <w:rPr>
                <w:b w:val="0"/>
                <w:color w:val="000000"/>
                <w:sz w:val="14"/>
                <w:szCs w:val="14"/>
              </w:rPr>
              <w:t>Подальше виявлення резистентності до RIF та INH</w:t>
            </w:r>
          </w:p>
        </w:tc>
        <w:tc>
          <w:tcPr>
            <w:tcW w:w="2126" w:type="dxa"/>
            <w:tcBorders>
              <w:top w:val="single" w:sz="8" w:space="0" w:color="00B050"/>
              <w:bottom w:val="single" w:sz="8" w:space="0" w:color="00B050"/>
            </w:tcBorders>
            <w:shd w:val="clear" w:color="auto" w:fill="FFFFFF"/>
          </w:tcPr>
          <w:p w14:paraId="73D2286C" w14:textId="77777777" w:rsidR="00366CB9" w:rsidRPr="006F2885" w:rsidRDefault="009D0C1D" w:rsidP="00457B0A">
            <w:pPr>
              <w:pStyle w:val="a6"/>
              <w:shd w:val="clear" w:color="auto" w:fill="auto"/>
              <w:rPr>
                <w:sz w:val="14"/>
                <w:szCs w:val="14"/>
              </w:rPr>
            </w:pPr>
            <w:r w:rsidRPr="006F2885">
              <w:rPr>
                <w:b w:val="0"/>
                <w:color w:val="000000"/>
                <w:sz w:val="14"/>
                <w:szCs w:val="14"/>
              </w:rPr>
              <w:t>Термоциклер, інкубаційний розчин, безперебійне живлення, температура навколишнього середовища, чисте приміщення для етапів ампліфікації ДНК</w:t>
            </w:r>
          </w:p>
        </w:tc>
        <w:tc>
          <w:tcPr>
            <w:tcW w:w="1051" w:type="dxa"/>
            <w:tcBorders>
              <w:top w:val="single" w:sz="8" w:space="0" w:color="00B050"/>
              <w:bottom w:val="single" w:sz="8" w:space="0" w:color="00B050"/>
            </w:tcBorders>
            <w:shd w:val="clear" w:color="auto" w:fill="FFFFFF"/>
          </w:tcPr>
          <w:p w14:paraId="6065B051" w14:textId="77777777" w:rsidR="00366CB9" w:rsidRPr="006F2885" w:rsidRDefault="009D0C1D" w:rsidP="00457B0A">
            <w:pPr>
              <w:pStyle w:val="a6"/>
              <w:shd w:val="clear" w:color="auto" w:fill="auto"/>
              <w:rPr>
                <w:sz w:val="14"/>
                <w:szCs w:val="14"/>
              </w:rPr>
            </w:pPr>
            <w:r w:rsidRPr="006F2885">
              <w:rPr>
                <w:b w:val="0"/>
                <w:color w:val="000000"/>
                <w:sz w:val="14"/>
                <w:szCs w:val="14"/>
              </w:rPr>
              <w:t>Один тест,</w:t>
            </w:r>
          </w:p>
          <w:p w14:paraId="382A01A5" w14:textId="77777777" w:rsidR="00366CB9" w:rsidRPr="006F2885" w:rsidRDefault="009D0C1D" w:rsidP="00457B0A">
            <w:pPr>
              <w:pStyle w:val="a6"/>
              <w:shd w:val="clear" w:color="auto" w:fill="auto"/>
              <w:rPr>
                <w:sz w:val="14"/>
                <w:szCs w:val="14"/>
              </w:rPr>
            </w:pPr>
            <w:r w:rsidRPr="006F2885">
              <w:rPr>
                <w:b w:val="0"/>
                <w:color w:val="000000"/>
                <w:sz w:val="14"/>
                <w:szCs w:val="14"/>
              </w:rPr>
              <w:t>12 або 48</w:t>
            </w:r>
          </w:p>
        </w:tc>
        <w:tc>
          <w:tcPr>
            <w:tcW w:w="1051" w:type="dxa"/>
            <w:tcBorders>
              <w:top w:val="single" w:sz="8" w:space="0" w:color="00B050"/>
              <w:bottom w:val="single" w:sz="8" w:space="0" w:color="00B050"/>
            </w:tcBorders>
            <w:shd w:val="clear" w:color="auto" w:fill="FFFFFF"/>
          </w:tcPr>
          <w:p w14:paraId="3E8DF833" w14:textId="77777777" w:rsidR="00366CB9" w:rsidRPr="006F2885" w:rsidRDefault="009D0C1D" w:rsidP="00457B0A">
            <w:pPr>
              <w:pStyle w:val="a6"/>
              <w:shd w:val="clear" w:color="auto" w:fill="auto"/>
              <w:rPr>
                <w:sz w:val="14"/>
                <w:szCs w:val="14"/>
              </w:rPr>
            </w:pPr>
            <w:r w:rsidRPr="006F2885">
              <w:rPr>
                <w:b w:val="0"/>
                <w:color w:val="000000"/>
                <w:sz w:val="14"/>
                <w:szCs w:val="14"/>
              </w:rPr>
              <w:t>Залежить від лабораторного потенціалу</w:t>
            </w:r>
          </w:p>
        </w:tc>
      </w:tr>
      <w:tr w:rsidR="00366CB9" w14:paraId="6244F754" w14:textId="77777777" w:rsidTr="00546B4F">
        <w:trPr>
          <w:trHeight w:hRule="exact" w:val="1296"/>
        </w:trPr>
        <w:tc>
          <w:tcPr>
            <w:tcW w:w="1166" w:type="dxa"/>
            <w:tcBorders>
              <w:top w:val="single" w:sz="8" w:space="0" w:color="00B050"/>
              <w:bottom w:val="single" w:sz="8" w:space="0" w:color="00B050"/>
            </w:tcBorders>
            <w:shd w:val="clear" w:color="auto" w:fill="FFFFFF"/>
          </w:tcPr>
          <w:p w14:paraId="707D3514" w14:textId="77777777" w:rsidR="00366CB9" w:rsidRPr="006F2885" w:rsidRDefault="009D0C1D" w:rsidP="00457B0A">
            <w:pPr>
              <w:pStyle w:val="a6"/>
              <w:shd w:val="clear" w:color="auto" w:fill="auto"/>
              <w:rPr>
                <w:sz w:val="14"/>
                <w:szCs w:val="14"/>
              </w:rPr>
            </w:pPr>
            <w:r w:rsidRPr="006F2885">
              <w:rPr>
                <w:color w:val="000000"/>
                <w:sz w:val="14"/>
                <w:szCs w:val="14"/>
              </w:rPr>
              <w:t>HC-rNAAT</w:t>
            </w:r>
          </w:p>
        </w:tc>
        <w:tc>
          <w:tcPr>
            <w:tcW w:w="1330" w:type="dxa"/>
            <w:tcBorders>
              <w:top w:val="single" w:sz="8" w:space="0" w:color="00B050"/>
              <w:bottom w:val="single" w:sz="8" w:space="0" w:color="00B050"/>
            </w:tcBorders>
            <w:shd w:val="clear" w:color="auto" w:fill="FFFFFF"/>
          </w:tcPr>
          <w:p w14:paraId="0E6A3395" w14:textId="77777777" w:rsidR="00366CB9" w:rsidRPr="006F2885" w:rsidRDefault="009D0C1D" w:rsidP="00457B0A">
            <w:pPr>
              <w:pStyle w:val="a6"/>
              <w:shd w:val="clear" w:color="auto" w:fill="auto"/>
              <w:rPr>
                <w:sz w:val="14"/>
                <w:szCs w:val="14"/>
              </w:rPr>
            </w:pPr>
            <w:r w:rsidRPr="006F2885">
              <w:rPr>
                <w:b w:val="0"/>
                <w:color w:val="000000"/>
                <w:sz w:val="14"/>
                <w:szCs w:val="14"/>
              </w:rPr>
              <w:t>Genoscholar</w:t>
            </w:r>
          </w:p>
          <w:p w14:paraId="1B49A396" w14:textId="77777777" w:rsidR="00366CB9" w:rsidRPr="006F2885" w:rsidRDefault="009D0C1D" w:rsidP="00457B0A">
            <w:pPr>
              <w:pStyle w:val="a6"/>
              <w:shd w:val="clear" w:color="auto" w:fill="auto"/>
              <w:rPr>
                <w:sz w:val="14"/>
                <w:szCs w:val="14"/>
              </w:rPr>
            </w:pPr>
            <w:r w:rsidRPr="006F2885">
              <w:rPr>
                <w:b w:val="0"/>
                <w:color w:val="000000"/>
                <w:sz w:val="14"/>
                <w:szCs w:val="14"/>
              </w:rPr>
              <w:t>PZA-TB</w:t>
            </w:r>
          </w:p>
        </w:tc>
        <w:tc>
          <w:tcPr>
            <w:tcW w:w="1306" w:type="dxa"/>
            <w:tcBorders>
              <w:top w:val="single" w:sz="8" w:space="0" w:color="00B050"/>
              <w:bottom w:val="single" w:sz="8" w:space="0" w:color="00B050"/>
            </w:tcBorders>
            <w:shd w:val="clear" w:color="auto" w:fill="FFFFFF"/>
          </w:tcPr>
          <w:p w14:paraId="73157DC4" w14:textId="77777777" w:rsidR="00366CB9" w:rsidRPr="006F2885" w:rsidRDefault="009D0C1D" w:rsidP="00457B0A">
            <w:pPr>
              <w:pStyle w:val="a6"/>
              <w:shd w:val="clear" w:color="auto" w:fill="auto"/>
              <w:rPr>
                <w:sz w:val="14"/>
                <w:szCs w:val="14"/>
              </w:rPr>
            </w:pPr>
            <w:r w:rsidRPr="006F2885">
              <w:rPr>
                <w:b w:val="0"/>
                <w:color w:val="000000"/>
                <w:sz w:val="14"/>
                <w:szCs w:val="14"/>
              </w:rPr>
              <w:t>Nipro</w:t>
            </w:r>
          </w:p>
        </w:tc>
        <w:tc>
          <w:tcPr>
            <w:tcW w:w="1104" w:type="dxa"/>
            <w:tcBorders>
              <w:top w:val="single" w:sz="8" w:space="0" w:color="00B050"/>
              <w:bottom w:val="single" w:sz="8" w:space="0" w:color="00B050"/>
            </w:tcBorders>
            <w:shd w:val="clear" w:color="auto" w:fill="FFFFFF"/>
          </w:tcPr>
          <w:p w14:paraId="1A86C4F6" w14:textId="77777777" w:rsidR="00366CB9" w:rsidRPr="006F2885" w:rsidRDefault="00366CB9" w:rsidP="00457B0A">
            <w:pPr>
              <w:rPr>
                <w:sz w:val="14"/>
                <w:szCs w:val="14"/>
              </w:rPr>
            </w:pPr>
          </w:p>
        </w:tc>
        <w:tc>
          <w:tcPr>
            <w:tcW w:w="1128" w:type="dxa"/>
            <w:tcBorders>
              <w:top w:val="single" w:sz="8" w:space="0" w:color="00B050"/>
              <w:bottom w:val="single" w:sz="8" w:space="0" w:color="00B050"/>
            </w:tcBorders>
            <w:shd w:val="clear" w:color="auto" w:fill="FFFFFF"/>
          </w:tcPr>
          <w:p w14:paraId="3F3ED57A" w14:textId="77777777" w:rsidR="00366CB9" w:rsidRPr="006F2885" w:rsidRDefault="009D0C1D" w:rsidP="00457B0A">
            <w:pPr>
              <w:pStyle w:val="a6"/>
              <w:shd w:val="clear" w:color="auto" w:fill="auto"/>
              <w:rPr>
                <w:i/>
                <w:iCs/>
                <w:sz w:val="14"/>
                <w:szCs w:val="14"/>
              </w:rPr>
            </w:pPr>
            <w:r w:rsidRPr="006F2885">
              <w:rPr>
                <w:b w:val="0"/>
                <w:i/>
                <w:color w:val="000000"/>
                <w:sz w:val="14"/>
                <w:szCs w:val="14"/>
              </w:rPr>
              <w:t>pncA</w:t>
            </w:r>
          </w:p>
        </w:tc>
        <w:tc>
          <w:tcPr>
            <w:tcW w:w="1042" w:type="dxa"/>
            <w:tcBorders>
              <w:top w:val="single" w:sz="8" w:space="0" w:color="00B050"/>
              <w:bottom w:val="single" w:sz="8" w:space="0" w:color="00B050"/>
            </w:tcBorders>
            <w:shd w:val="clear" w:color="auto" w:fill="FFFFFF"/>
          </w:tcPr>
          <w:p w14:paraId="6890876E" w14:textId="77777777" w:rsidR="00366CB9" w:rsidRPr="006F2885" w:rsidRDefault="009D0C1D" w:rsidP="00457B0A">
            <w:pPr>
              <w:pStyle w:val="a6"/>
              <w:shd w:val="clear" w:color="auto" w:fill="auto"/>
              <w:rPr>
                <w:sz w:val="14"/>
                <w:szCs w:val="14"/>
              </w:rPr>
            </w:pPr>
            <w:r w:rsidRPr="006F2885">
              <w:rPr>
                <w:b w:val="0"/>
                <w:color w:val="000000"/>
                <w:sz w:val="14"/>
                <w:szCs w:val="14"/>
              </w:rPr>
              <w:t>PZA</w:t>
            </w:r>
          </w:p>
        </w:tc>
        <w:tc>
          <w:tcPr>
            <w:tcW w:w="912" w:type="dxa"/>
            <w:tcBorders>
              <w:top w:val="single" w:sz="8" w:space="0" w:color="00B050"/>
              <w:bottom w:val="single" w:sz="8" w:space="0" w:color="00B050"/>
            </w:tcBorders>
            <w:shd w:val="clear" w:color="auto" w:fill="FFFFFF"/>
          </w:tcPr>
          <w:p w14:paraId="0BA86633" w14:textId="77777777" w:rsidR="00366CB9" w:rsidRPr="006F2885" w:rsidRDefault="009D0C1D" w:rsidP="00457B0A">
            <w:pPr>
              <w:pStyle w:val="a6"/>
              <w:shd w:val="clear" w:color="auto" w:fill="auto"/>
              <w:rPr>
                <w:sz w:val="14"/>
                <w:szCs w:val="14"/>
              </w:rPr>
            </w:pPr>
            <w:r w:rsidRPr="006F2885">
              <w:rPr>
                <w:b w:val="0"/>
                <w:color w:val="000000"/>
                <w:sz w:val="14"/>
                <w:szCs w:val="14"/>
              </w:rPr>
              <w:t>1-2 дні</w:t>
            </w:r>
          </w:p>
        </w:tc>
        <w:tc>
          <w:tcPr>
            <w:tcW w:w="1800" w:type="dxa"/>
            <w:tcBorders>
              <w:top w:val="single" w:sz="8" w:space="0" w:color="00B050"/>
              <w:bottom w:val="single" w:sz="8" w:space="0" w:color="00B050"/>
            </w:tcBorders>
            <w:shd w:val="clear" w:color="auto" w:fill="FFFFFF"/>
          </w:tcPr>
          <w:p w14:paraId="566560D5" w14:textId="77777777" w:rsidR="00366CB9" w:rsidRPr="006F2885" w:rsidRDefault="009D0C1D" w:rsidP="00457B0A">
            <w:pPr>
              <w:pStyle w:val="a6"/>
              <w:shd w:val="clear" w:color="auto" w:fill="auto"/>
              <w:rPr>
                <w:sz w:val="14"/>
                <w:szCs w:val="14"/>
              </w:rPr>
            </w:pPr>
            <w:r w:rsidRPr="006F2885">
              <w:rPr>
                <w:b w:val="0"/>
                <w:color w:val="000000"/>
                <w:sz w:val="14"/>
                <w:szCs w:val="14"/>
              </w:rPr>
              <w:t>Подальше виявлення резистентності до PZA</w:t>
            </w:r>
          </w:p>
        </w:tc>
        <w:tc>
          <w:tcPr>
            <w:tcW w:w="2126" w:type="dxa"/>
            <w:tcBorders>
              <w:top w:val="single" w:sz="8" w:space="0" w:color="00B050"/>
              <w:bottom w:val="single" w:sz="8" w:space="0" w:color="00B050"/>
            </w:tcBorders>
            <w:shd w:val="clear" w:color="auto" w:fill="FFFFFF"/>
          </w:tcPr>
          <w:p w14:paraId="0A40AEF6" w14:textId="77777777" w:rsidR="00366CB9" w:rsidRPr="006F2885" w:rsidRDefault="009D0C1D" w:rsidP="00457B0A">
            <w:pPr>
              <w:pStyle w:val="a6"/>
              <w:shd w:val="clear" w:color="auto" w:fill="auto"/>
              <w:rPr>
                <w:sz w:val="14"/>
                <w:szCs w:val="14"/>
              </w:rPr>
            </w:pPr>
            <w:r w:rsidRPr="006F2885">
              <w:rPr>
                <w:b w:val="0"/>
                <w:color w:val="000000"/>
                <w:sz w:val="14"/>
                <w:szCs w:val="14"/>
              </w:rPr>
              <w:t>Термоциклер, інкубаційний розчин, безперебійне живлення, температура навколишнього середовища, чисте приміщення для етапів ампліфікації ДНК</w:t>
            </w:r>
          </w:p>
        </w:tc>
        <w:tc>
          <w:tcPr>
            <w:tcW w:w="1051" w:type="dxa"/>
            <w:tcBorders>
              <w:top w:val="single" w:sz="8" w:space="0" w:color="00B050"/>
              <w:bottom w:val="single" w:sz="8" w:space="0" w:color="00B050"/>
            </w:tcBorders>
            <w:shd w:val="clear" w:color="auto" w:fill="FFFFFF"/>
          </w:tcPr>
          <w:p w14:paraId="6E84D633" w14:textId="77777777" w:rsidR="00366CB9" w:rsidRPr="006F2885" w:rsidRDefault="009D0C1D" w:rsidP="00457B0A">
            <w:pPr>
              <w:pStyle w:val="a6"/>
              <w:shd w:val="clear" w:color="auto" w:fill="auto"/>
              <w:rPr>
                <w:sz w:val="14"/>
                <w:szCs w:val="14"/>
              </w:rPr>
            </w:pPr>
            <w:r w:rsidRPr="006F2885">
              <w:rPr>
                <w:b w:val="0"/>
                <w:color w:val="000000"/>
                <w:sz w:val="14"/>
                <w:szCs w:val="14"/>
              </w:rPr>
              <w:t>Один тест,</w:t>
            </w:r>
          </w:p>
          <w:p w14:paraId="791A63A0" w14:textId="77777777" w:rsidR="00366CB9" w:rsidRPr="006F2885" w:rsidRDefault="009D0C1D" w:rsidP="00457B0A">
            <w:pPr>
              <w:pStyle w:val="a6"/>
              <w:shd w:val="clear" w:color="auto" w:fill="auto"/>
              <w:rPr>
                <w:sz w:val="14"/>
                <w:szCs w:val="14"/>
              </w:rPr>
            </w:pPr>
            <w:r w:rsidRPr="006F2885">
              <w:rPr>
                <w:b w:val="0"/>
                <w:color w:val="000000"/>
                <w:sz w:val="14"/>
                <w:szCs w:val="14"/>
              </w:rPr>
              <w:t>12 або 48</w:t>
            </w:r>
          </w:p>
        </w:tc>
        <w:tc>
          <w:tcPr>
            <w:tcW w:w="1051" w:type="dxa"/>
            <w:tcBorders>
              <w:top w:val="single" w:sz="8" w:space="0" w:color="00B050"/>
              <w:bottom w:val="single" w:sz="8" w:space="0" w:color="00B050"/>
            </w:tcBorders>
            <w:shd w:val="clear" w:color="auto" w:fill="FFFFFF"/>
          </w:tcPr>
          <w:p w14:paraId="046CF022" w14:textId="77777777" w:rsidR="00366CB9" w:rsidRPr="006F2885" w:rsidRDefault="009D0C1D" w:rsidP="00457B0A">
            <w:pPr>
              <w:pStyle w:val="a6"/>
              <w:shd w:val="clear" w:color="auto" w:fill="auto"/>
              <w:rPr>
                <w:sz w:val="14"/>
                <w:szCs w:val="14"/>
              </w:rPr>
            </w:pPr>
            <w:r w:rsidRPr="006F2885">
              <w:rPr>
                <w:b w:val="0"/>
                <w:color w:val="000000"/>
                <w:sz w:val="14"/>
                <w:szCs w:val="14"/>
              </w:rPr>
              <w:t>Залежить від лабораторного потенціалу</w:t>
            </w:r>
          </w:p>
        </w:tc>
      </w:tr>
    </w:tbl>
    <w:tbl>
      <w:tblPr>
        <w:tblOverlap w:val="never"/>
        <w:tblW w:w="0" w:type="auto"/>
        <w:tblLayout w:type="fixed"/>
        <w:tblCellMar>
          <w:left w:w="10" w:type="dxa"/>
          <w:right w:w="10" w:type="dxa"/>
        </w:tblCellMar>
        <w:tblLook w:val="0000" w:firstRow="0" w:lastRow="0" w:firstColumn="0" w:lastColumn="0" w:noHBand="0" w:noVBand="0"/>
      </w:tblPr>
      <w:tblGrid>
        <w:gridCol w:w="144"/>
      </w:tblGrid>
      <w:tr w:rsidR="00366CB9" w14:paraId="1A94F8E4" w14:textId="77777777">
        <w:trPr>
          <w:trHeight w:hRule="exact" w:val="2856"/>
        </w:trPr>
        <w:tc>
          <w:tcPr>
            <w:tcW w:w="144" w:type="dxa"/>
            <w:shd w:val="clear" w:color="auto" w:fill="FFFFFF"/>
            <w:textDirection w:val="tbRl"/>
          </w:tcPr>
          <w:p w14:paraId="0AD14D73" w14:textId="77777777" w:rsidR="00366CB9" w:rsidRDefault="009D0C1D" w:rsidP="00425523">
            <w:pPr>
              <w:pStyle w:val="a6"/>
              <w:framePr w:w="144" w:h="3456" w:wrap="none" w:vAnchor="page" w:hAnchor="page" w:x="724" w:y="7650"/>
              <w:shd w:val="clear" w:color="auto" w:fill="auto"/>
              <w:rPr>
                <w:sz w:val="15"/>
                <w:szCs w:val="15"/>
              </w:rPr>
            </w:pPr>
            <w:r>
              <w:rPr>
                <w:b w:val="0"/>
                <w:color w:val="019648"/>
                <w:sz w:val="15"/>
              </w:rPr>
              <w:t>2. Тести на ТБ з рекомендаціями ВООЗ</w:t>
            </w:r>
          </w:p>
        </w:tc>
      </w:tr>
      <w:tr w:rsidR="00366CB9" w14:paraId="52C5B8A3" w14:textId="77777777">
        <w:trPr>
          <w:trHeight w:hRule="exact" w:val="600"/>
        </w:trPr>
        <w:tc>
          <w:tcPr>
            <w:tcW w:w="144" w:type="dxa"/>
            <w:shd w:val="clear" w:color="auto" w:fill="FFFFFF"/>
            <w:textDirection w:val="tbRl"/>
          </w:tcPr>
          <w:p w14:paraId="601CFA93" w14:textId="77777777" w:rsidR="00366CB9" w:rsidRDefault="009D0C1D" w:rsidP="00425523">
            <w:pPr>
              <w:pStyle w:val="a6"/>
              <w:framePr w:w="144" w:h="3456" w:wrap="none" w:vAnchor="page" w:hAnchor="page" w:x="724" w:y="7650"/>
              <w:shd w:val="clear" w:color="auto" w:fill="auto"/>
              <w:ind w:firstLine="380"/>
              <w:jc w:val="both"/>
              <w:rPr>
                <w:sz w:val="15"/>
                <w:szCs w:val="15"/>
              </w:rPr>
            </w:pPr>
            <w:r>
              <w:rPr>
                <w:b w:val="0"/>
                <w:color w:val="019648"/>
                <w:sz w:val="15"/>
              </w:rPr>
              <w:t>29</w:t>
            </w:r>
          </w:p>
        </w:tc>
      </w:tr>
    </w:tbl>
    <w:p w14:paraId="064919E3" w14:textId="77777777" w:rsidR="00366CB9" w:rsidRDefault="00366CB9" w:rsidP="00425523">
      <w:pPr>
        <w:spacing w:line="1" w:lineRule="exact"/>
        <w:sectPr w:rsidR="00366CB9" w:rsidSect="00457B0A">
          <w:footerReference w:type="default" r:id="rId54"/>
          <w:pgSz w:w="16840" w:h="11913" w:orient="landscape"/>
          <w:pgMar w:top="1412" w:right="1298" w:bottom="851" w:left="1514" w:header="0" w:footer="6" w:gutter="0"/>
          <w:paperSrc w:first="15" w:other="15"/>
          <w:cols w:space="720"/>
          <w:noEndnote/>
          <w:docGrid w:linePitch="360"/>
        </w:sectPr>
      </w:pPr>
    </w:p>
    <w:p w14:paraId="3D72D6AF"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166"/>
        <w:gridCol w:w="1330"/>
        <w:gridCol w:w="1306"/>
        <w:gridCol w:w="1104"/>
        <w:gridCol w:w="1128"/>
        <w:gridCol w:w="1042"/>
        <w:gridCol w:w="912"/>
        <w:gridCol w:w="1800"/>
        <w:gridCol w:w="2126"/>
        <w:gridCol w:w="1051"/>
        <w:gridCol w:w="1061"/>
      </w:tblGrid>
      <w:tr w:rsidR="00366CB9" w:rsidRPr="0079021A" w14:paraId="32B1A36A" w14:textId="77777777" w:rsidTr="00546B4F">
        <w:trPr>
          <w:trHeight w:hRule="exact" w:val="1099"/>
        </w:trPr>
        <w:tc>
          <w:tcPr>
            <w:tcW w:w="116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9A2BA68" w14:textId="77777777" w:rsidR="00366CB9" w:rsidRPr="0079021A" w:rsidRDefault="009D0C1D" w:rsidP="00457B0A">
            <w:pPr>
              <w:pStyle w:val="a6"/>
              <w:shd w:val="clear" w:color="auto" w:fill="auto"/>
              <w:rPr>
                <w:sz w:val="18"/>
                <w:szCs w:val="18"/>
              </w:rPr>
            </w:pPr>
            <w:r>
              <w:rPr>
                <w:color w:val="FFFFFF"/>
                <w:sz w:val="18"/>
              </w:rPr>
              <w:t>Клас тесту</w:t>
            </w:r>
          </w:p>
        </w:tc>
        <w:tc>
          <w:tcPr>
            <w:tcW w:w="133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2D628E1" w14:textId="77777777" w:rsidR="00366CB9" w:rsidRPr="0079021A" w:rsidRDefault="009D0C1D" w:rsidP="00457B0A">
            <w:pPr>
              <w:pStyle w:val="a6"/>
              <w:shd w:val="clear" w:color="auto" w:fill="auto"/>
              <w:rPr>
                <w:sz w:val="18"/>
                <w:szCs w:val="18"/>
              </w:rPr>
            </w:pPr>
            <w:r>
              <w:rPr>
                <w:color w:val="FFFFFF"/>
                <w:sz w:val="18"/>
              </w:rPr>
              <w:t>Тест</w:t>
            </w:r>
          </w:p>
        </w:tc>
        <w:tc>
          <w:tcPr>
            <w:tcW w:w="130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CEB3EBF" w14:textId="77777777" w:rsidR="00366CB9" w:rsidRPr="0079021A" w:rsidRDefault="009D0C1D" w:rsidP="00457B0A">
            <w:pPr>
              <w:pStyle w:val="a6"/>
              <w:shd w:val="clear" w:color="auto" w:fill="auto"/>
              <w:rPr>
                <w:sz w:val="18"/>
                <w:szCs w:val="18"/>
              </w:rPr>
            </w:pPr>
            <w:r>
              <w:rPr>
                <w:color w:val="FFFFFF"/>
                <w:sz w:val="18"/>
              </w:rPr>
              <w:t>Виробник</w:t>
            </w:r>
          </w:p>
        </w:tc>
        <w:tc>
          <w:tcPr>
            <w:tcW w:w="110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7D2D45F" w14:textId="77777777" w:rsidR="00366CB9" w:rsidRPr="0079021A" w:rsidRDefault="009D0C1D" w:rsidP="00457B0A">
            <w:pPr>
              <w:pStyle w:val="a6"/>
              <w:shd w:val="clear" w:color="auto" w:fill="auto"/>
              <w:rPr>
                <w:sz w:val="18"/>
                <w:szCs w:val="18"/>
              </w:rPr>
            </w:pPr>
            <w:r>
              <w:rPr>
                <w:color w:val="FFFFFF"/>
                <w:sz w:val="18"/>
              </w:rPr>
              <w:t>Платформа</w:t>
            </w:r>
          </w:p>
        </w:tc>
        <w:tc>
          <w:tcPr>
            <w:tcW w:w="1128"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E29EFB8" w14:textId="77777777" w:rsidR="00366CB9" w:rsidRPr="0079021A" w:rsidRDefault="009D0C1D" w:rsidP="00457B0A">
            <w:pPr>
              <w:pStyle w:val="a6"/>
              <w:shd w:val="clear" w:color="auto" w:fill="auto"/>
              <w:rPr>
                <w:sz w:val="18"/>
                <w:szCs w:val="18"/>
              </w:rPr>
            </w:pPr>
            <w:r>
              <w:rPr>
                <w:color w:val="FFFFFF"/>
                <w:sz w:val="18"/>
              </w:rPr>
              <w:t>Ген(и)-мішень (-і)</w:t>
            </w:r>
          </w:p>
        </w:tc>
        <w:tc>
          <w:tcPr>
            <w:tcW w:w="104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9DE29F4" w14:textId="77777777" w:rsidR="00366CB9" w:rsidRPr="0079021A" w:rsidRDefault="009D0C1D" w:rsidP="00457B0A">
            <w:pPr>
              <w:pStyle w:val="a6"/>
              <w:shd w:val="clear" w:color="auto" w:fill="auto"/>
              <w:rPr>
                <w:sz w:val="18"/>
                <w:szCs w:val="18"/>
              </w:rPr>
            </w:pPr>
            <w:r>
              <w:rPr>
                <w:color w:val="FFFFFF"/>
                <w:sz w:val="18"/>
              </w:rPr>
              <w:t>ТМЧ</w:t>
            </w:r>
          </w:p>
        </w:tc>
        <w:tc>
          <w:tcPr>
            <w:tcW w:w="91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AFC53C1" w14:textId="0812F792" w:rsidR="00366CB9" w:rsidRPr="0079021A" w:rsidRDefault="009D0C1D" w:rsidP="00457B0A">
            <w:pPr>
              <w:pStyle w:val="a6"/>
              <w:shd w:val="clear" w:color="auto" w:fill="auto"/>
              <w:rPr>
                <w:sz w:val="18"/>
                <w:szCs w:val="18"/>
              </w:rPr>
            </w:pPr>
            <w:r>
              <w:rPr>
                <w:color w:val="FFFFFF"/>
                <w:sz w:val="18"/>
              </w:rPr>
              <w:t>Час отри</w:t>
            </w:r>
            <w:r w:rsidR="006F2885">
              <w:rPr>
                <w:color w:val="FFFFFF"/>
                <w:sz w:val="18"/>
                <w:lang w:val="en-US"/>
              </w:rPr>
              <w:t>-</w:t>
            </w:r>
            <w:r w:rsidR="002947ED">
              <w:rPr>
                <w:color w:val="FFFFFF"/>
                <w:sz w:val="18"/>
                <w:lang w:val="en-US"/>
              </w:rPr>
              <w:t xml:space="preserve"> </w:t>
            </w:r>
            <w:r>
              <w:rPr>
                <w:color w:val="FFFFFF"/>
                <w:sz w:val="18"/>
              </w:rPr>
              <w:t>мання результатів</w:t>
            </w:r>
          </w:p>
        </w:tc>
        <w:tc>
          <w:tcPr>
            <w:tcW w:w="180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D25CBFD" w14:textId="77777777" w:rsidR="00366CB9" w:rsidRPr="0079021A" w:rsidRDefault="009D0C1D" w:rsidP="00457B0A">
            <w:pPr>
              <w:pStyle w:val="a6"/>
              <w:shd w:val="clear" w:color="auto" w:fill="auto"/>
              <w:rPr>
                <w:sz w:val="18"/>
                <w:szCs w:val="18"/>
              </w:rPr>
            </w:pPr>
            <w:r>
              <w:rPr>
                <w:color w:val="FFFFFF"/>
                <w:sz w:val="18"/>
              </w:rPr>
              <w:t>Рекомендації</w:t>
            </w:r>
          </w:p>
        </w:tc>
        <w:tc>
          <w:tcPr>
            <w:tcW w:w="212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E0F5736" w14:textId="0BB8850E" w:rsidR="00366CB9" w:rsidRPr="0079021A" w:rsidRDefault="009D0C1D" w:rsidP="00457B0A">
            <w:pPr>
              <w:pStyle w:val="a6"/>
              <w:shd w:val="clear" w:color="auto" w:fill="auto"/>
              <w:rPr>
                <w:sz w:val="18"/>
                <w:szCs w:val="18"/>
              </w:rPr>
            </w:pPr>
            <w:r>
              <w:rPr>
                <w:color w:val="FFFFFF"/>
                <w:sz w:val="18"/>
              </w:rPr>
              <w:t>Вимоги до виробни</w:t>
            </w:r>
            <w:r w:rsidR="002947ED" w:rsidRPr="002947ED">
              <w:rPr>
                <w:color w:val="FFFFFF"/>
                <w:sz w:val="18"/>
                <w:lang w:val="ru-RU"/>
              </w:rPr>
              <w:t>-</w:t>
            </w:r>
            <w:r>
              <w:rPr>
                <w:color w:val="FFFFFF"/>
                <w:sz w:val="18"/>
              </w:rPr>
              <w:t>чих потужностей</w:t>
            </w:r>
          </w:p>
        </w:tc>
        <w:tc>
          <w:tcPr>
            <w:tcW w:w="1051"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D91BC90" w14:textId="77777777" w:rsidR="00366CB9" w:rsidRPr="0079021A" w:rsidRDefault="009D0C1D" w:rsidP="00457B0A">
            <w:pPr>
              <w:pStyle w:val="a6"/>
              <w:shd w:val="clear" w:color="auto" w:fill="auto"/>
              <w:rPr>
                <w:sz w:val="18"/>
                <w:szCs w:val="18"/>
              </w:rPr>
            </w:pPr>
            <w:r>
              <w:rPr>
                <w:color w:val="FFFFFF"/>
                <w:sz w:val="18"/>
              </w:rPr>
              <w:t>Розмір серії</w:t>
            </w:r>
          </w:p>
        </w:tc>
        <w:tc>
          <w:tcPr>
            <w:tcW w:w="1061" w:type="dxa"/>
            <w:tcBorders>
              <w:top w:val="single" w:sz="8" w:space="0" w:color="00B050"/>
              <w:left w:val="single" w:sz="8" w:space="0" w:color="00B050"/>
              <w:bottom w:val="single" w:sz="8" w:space="0" w:color="00B050"/>
              <w:right w:val="single" w:sz="8" w:space="0" w:color="00B050"/>
            </w:tcBorders>
            <w:shd w:val="clear" w:color="auto" w:fill="62A86A"/>
            <w:vAlign w:val="bottom"/>
          </w:tcPr>
          <w:p w14:paraId="4AFBA339" w14:textId="77777777" w:rsidR="00366CB9" w:rsidRPr="0079021A" w:rsidRDefault="009D0C1D" w:rsidP="00457B0A">
            <w:pPr>
              <w:pStyle w:val="a6"/>
              <w:shd w:val="clear" w:color="auto" w:fill="auto"/>
              <w:rPr>
                <w:sz w:val="18"/>
                <w:szCs w:val="18"/>
              </w:rPr>
            </w:pPr>
            <w:r>
              <w:rPr>
                <w:color w:val="FFFFFF"/>
                <w:sz w:val="18"/>
              </w:rPr>
              <w:t>Кількість тестів на 8-годинну зміну</w:t>
            </w:r>
          </w:p>
        </w:tc>
      </w:tr>
      <w:tr w:rsidR="00366CB9" w14:paraId="34AD70F8" w14:textId="77777777" w:rsidTr="00546B4F">
        <w:trPr>
          <w:trHeight w:hRule="exact" w:val="1306"/>
        </w:trPr>
        <w:tc>
          <w:tcPr>
            <w:tcW w:w="1166" w:type="dxa"/>
            <w:tcBorders>
              <w:top w:val="single" w:sz="8" w:space="0" w:color="00B050"/>
              <w:bottom w:val="single" w:sz="8" w:space="0" w:color="00B050"/>
            </w:tcBorders>
            <w:shd w:val="clear" w:color="auto" w:fill="FFFFFF"/>
          </w:tcPr>
          <w:p w14:paraId="63D6EDF3" w14:textId="77777777" w:rsidR="00366CB9" w:rsidRPr="002947ED" w:rsidRDefault="009D0C1D" w:rsidP="002947ED">
            <w:pPr>
              <w:pStyle w:val="a6"/>
              <w:shd w:val="clear" w:color="auto" w:fill="auto"/>
              <w:rPr>
                <w:sz w:val="14"/>
                <w:szCs w:val="14"/>
              </w:rPr>
            </w:pPr>
            <w:r w:rsidRPr="002947ED">
              <w:rPr>
                <w:color w:val="000000"/>
                <w:sz w:val="14"/>
                <w:szCs w:val="14"/>
              </w:rPr>
              <w:t>Цільове</w:t>
            </w:r>
          </w:p>
          <w:p w14:paraId="47737851" w14:textId="77777777" w:rsidR="00366CB9" w:rsidRPr="002947ED" w:rsidRDefault="009D0C1D" w:rsidP="002947ED">
            <w:pPr>
              <w:pStyle w:val="a6"/>
              <w:shd w:val="clear" w:color="auto" w:fill="auto"/>
              <w:spacing w:line="216" w:lineRule="auto"/>
              <w:rPr>
                <w:sz w:val="14"/>
                <w:szCs w:val="14"/>
              </w:rPr>
            </w:pPr>
            <w:r w:rsidRPr="002947ED">
              <w:rPr>
                <w:color w:val="000000"/>
                <w:sz w:val="14"/>
                <w:szCs w:val="14"/>
              </w:rPr>
              <w:t>СНП</w:t>
            </w:r>
          </w:p>
        </w:tc>
        <w:tc>
          <w:tcPr>
            <w:tcW w:w="1330" w:type="dxa"/>
            <w:tcBorders>
              <w:top w:val="single" w:sz="8" w:space="0" w:color="00B050"/>
              <w:bottom w:val="single" w:sz="8" w:space="0" w:color="00B050"/>
            </w:tcBorders>
            <w:shd w:val="clear" w:color="auto" w:fill="FFFFFF"/>
          </w:tcPr>
          <w:p w14:paraId="33DB8AA0" w14:textId="77777777" w:rsidR="00366CB9" w:rsidRPr="002947ED" w:rsidRDefault="009D0C1D" w:rsidP="002947ED">
            <w:pPr>
              <w:pStyle w:val="a6"/>
              <w:shd w:val="clear" w:color="auto" w:fill="auto"/>
              <w:rPr>
                <w:sz w:val="14"/>
                <w:szCs w:val="14"/>
              </w:rPr>
            </w:pPr>
            <w:r w:rsidRPr="002947ED">
              <w:rPr>
                <w:b w:val="0"/>
                <w:color w:val="000000"/>
                <w:sz w:val="14"/>
                <w:szCs w:val="14"/>
              </w:rPr>
              <w:t>Deeplex</w:t>
            </w:r>
          </w:p>
          <w:p w14:paraId="0861F5BE" w14:textId="77777777" w:rsidR="00366CB9" w:rsidRPr="002947ED" w:rsidRDefault="009D0C1D" w:rsidP="002947ED">
            <w:pPr>
              <w:pStyle w:val="a6"/>
              <w:shd w:val="clear" w:color="auto" w:fill="auto"/>
              <w:spacing w:line="230" w:lineRule="auto"/>
              <w:rPr>
                <w:sz w:val="14"/>
                <w:szCs w:val="14"/>
              </w:rPr>
            </w:pPr>
            <w:r w:rsidRPr="002947ED">
              <w:rPr>
                <w:b w:val="0"/>
                <w:color w:val="000000"/>
                <w:sz w:val="14"/>
                <w:szCs w:val="14"/>
              </w:rPr>
              <w:t>Myc-TB</w:t>
            </w:r>
          </w:p>
        </w:tc>
        <w:tc>
          <w:tcPr>
            <w:tcW w:w="1306" w:type="dxa"/>
            <w:tcBorders>
              <w:top w:val="single" w:sz="8" w:space="0" w:color="00B050"/>
              <w:bottom w:val="single" w:sz="8" w:space="0" w:color="00B050"/>
            </w:tcBorders>
            <w:shd w:val="clear" w:color="auto" w:fill="FFFFFF"/>
          </w:tcPr>
          <w:p w14:paraId="311D36CB" w14:textId="77777777" w:rsidR="00366CB9" w:rsidRPr="002947ED" w:rsidRDefault="009D0C1D" w:rsidP="002947ED">
            <w:pPr>
              <w:pStyle w:val="a6"/>
              <w:shd w:val="clear" w:color="auto" w:fill="auto"/>
              <w:rPr>
                <w:sz w:val="14"/>
                <w:szCs w:val="14"/>
              </w:rPr>
            </w:pPr>
            <w:r w:rsidRPr="002947ED">
              <w:rPr>
                <w:b w:val="0"/>
                <w:color w:val="000000"/>
                <w:sz w:val="14"/>
                <w:szCs w:val="14"/>
              </w:rPr>
              <w:t>Genoscreen</w:t>
            </w:r>
          </w:p>
        </w:tc>
        <w:tc>
          <w:tcPr>
            <w:tcW w:w="1104" w:type="dxa"/>
            <w:tcBorders>
              <w:top w:val="single" w:sz="8" w:space="0" w:color="00B050"/>
              <w:bottom w:val="single" w:sz="8" w:space="0" w:color="00B050"/>
            </w:tcBorders>
            <w:shd w:val="clear" w:color="auto" w:fill="FFFFFF"/>
          </w:tcPr>
          <w:p w14:paraId="48CBC923" w14:textId="77777777" w:rsidR="00366CB9" w:rsidRPr="002947ED" w:rsidRDefault="009D0C1D" w:rsidP="002947ED">
            <w:pPr>
              <w:pStyle w:val="a6"/>
              <w:shd w:val="clear" w:color="auto" w:fill="auto"/>
              <w:spacing w:line="233" w:lineRule="auto"/>
              <w:rPr>
                <w:sz w:val="14"/>
                <w:szCs w:val="14"/>
              </w:rPr>
            </w:pPr>
            <w:r w:rsidRPr="002947ED">
              <w:rPr>
                <w:b w:val="0"/>
                <w:color w:val="000000"/>
                <w:sz w:val="14"/>
                <w:szCs w:val="14"/>
              </w:rPr>
              <w:t>Illumina iSeq, MiniSeq, MiSeq тощо</w:t>
            </w:r>
          </w:p>
        </w:tc>
        <w:tc>
          <w:tcPr>
            <w:tcW w:w="1128" w:type="dxa"/>
            <w:tcBorders>
              <w:top w:val="single" w:sz="8" w:space="0" w:color="00B050"/>
              <w:bottom w:val="single" w:sz="8" w:space="0" w:color="00B050"/>
            </w:tcBorders>
            <w:shd w:val="clear" w:color="auto" w:fill="FFFFFF"/>
          </w:tcPr>
          <w:p w14:paraId="4CF010D1" w14:textId="77777777" w:rsidR="00366CB9" w:rsidRPr="002947ED" w:rsidRDefault="009D0C1D" w:rsidP="002947ED">
            <w:pPr>
              <w:pStyle w:val="a6"/>
              <w:shd w:val="clear" w:color="auto" w:fill="auto"/>
              <w:rPr>
                <w:sz w:val="14"/>
                <w:szCs w:val="14"/>
              </w:rPr>
            </w:pPr>
            <w:r w:rsidRPr="002947ED">
              <w:rPr>
                <w:b w:val="0"/>
                <w:color w:val="000000"/>
                <w:sz w:val="14"/>
                <w:szCs w:val="14"/>
                <w:vertAlign w:val="subscript"/>
              </w:rPr>
              <w:t>*</w:t>
            </w:r>
          </w:p>
        </w:tc>
        <w:tc>
          <w:tcPr>
            <w:tcW w:w="1042" w:type="dxa"/>
            <w:tcBorders>
              <w:top w:val="single" w:sz="8" w:space="0" w:color="00B050"/>
              <w:bottom w:val="single" w:sz="8" w:space="0" w:color="00B050"/>
            </w:tcBorders>
            <w:shd w:val="clear" w:color="auto" w:fill="FFFFFF"/>
          </w:tcPr>
          <w:p w14:paraId="30C1F83F" w14:textId="77777777" w:rsidR="00366CB9" w:rsidRPr="002947ED" w:rsidRDefault="009D0C1D" w:rsidP="002947ED">
            <w:pPr>
              <w:pStyle w:val="a6"/>
              <w:shd w:val="clear" w:color="auto" w:fill="auto"/>
              <w:rPr>
                <w:sz w:val="14"/>
                <w:szCs w:val="14"/>
              </w:rPr>
            </w:pPr>
            <w:r w:rsidRPr="002947ED">
              <w:rPr>
                <w:b w:val="0"/>
                <w:color w:val="000000"/>
                <w:sz w:val="14"/>
                <w:szCs w:val="14"/>
              </w:rPr>
              <w:t>RIF, INH, PZA, EMB, FQ, BDQ, LZD, CFZ, AMK та</w:t>
            </w:r>
          </w:p>
          <w:p w14:paraId="1C5D45F5" w14:textId="77777777" w:rsidR="00366CB9" w:rsidRPr="002947ED" w:rsidRDefault="009D0C1D" w:rsidP="002947ED">
            <w:pPr>
              <w:pStyle w:val="a6"/>
              <w:shd w:val="clear" w:color="auto" w:fill="auto"/>
              <w:rPr>
                <w:sz w:val="14"/>
                <w:szCs w:val="14"/>
              </w:rPr>
            </w:pPr>
            <w:r w:rsidRPr="002947ED">
              <w:rPr>
                <w:b w:val="0"/>
                <w:color w:val="000000"/>
                <w:sz w:val="14"/>
                <w:szCs w:val="14"/>
              </w:rPr>
              <w:t>STR</w:t>
            </w:r>
          </w:p>
        </w:tc>
        <w:tc>
          <w:tcPr>
            <w:tcW w:w="912" w:type="dxa"/>
            <w:tcBorders>
              <w:top w:val="single" w:sz="8" w:space="0" w:color="00B050"/>
              <w:bottom w:val="single" w:sz="8" w:space="0" w:color="00B050"/>
            </w:tcBorders>
            <w:shd w:val="clear" w:color="auto" w:fill="FFFFFF"/>
          </w:tcPr>
          <w:p w14:paraId="41517CE7" w14:textId="77777777" w:rsidR="00366CB9" w:rsidRPr="002947ED" w:rsidRDefault="009D0C1D" w:rsidP="002947ED">
            <w:pPr>
              <w:pStyle w:val="a6"/>
              <w:shd w:val="clear" w:color="auto" w:fill="auto"/>
              <w:rPr>
                <w:sz w:val="14"/>
                <w:szCs w:val="14"/>
              </w:rPr>
            </w:pPr>
            <w:r w:rsidRPr="002947ED">
              <w:rPr>
                <w:b w:val="0"/>
                <w:color w:val="000000"/>
                <w:sz w:val="14"/>
                <w:szCs w:val="14"/>
              </w:rPr>
              <w:t>більше 48 год</w:t>
            </w:r>
          </w:p>
        </w:tc>
        <w:tc>
          <w:tcPr>
            <w:tcW w:w="1800" w:type="dxa"/>
            <w:tcBorders>
              <w:top w:val="single" w:sz="8" w:space="0" w:color="00B050"/>
              <w:bottom w:val="single" w:sz="8" w:space="0" w:color="00B050"/>
            </w:tcBorders>
            <w:shd w:val="clear" w:color="auto" w:fill="FFFFFF"/>
          </w:tcPr>
          <w:p w14:paraId="6E318CE5" w14:textId="77777777" w:rsidR="00366CB9" w:rsidRPr="002947ED" w:rsidRDefault="009D0C1D" w:rsidP="002947ED">
            <w:pPr>
              <w:pStyle w:val="a6"/>
              <w:shd w:val="clear" w:color="auto" w:fill="auto"/>
              <w:rPr>
                <w:sz w:val="14"/>
                <w:szCs w:val="14"/>
              </w:rPr>
            </w:pPr>
            <w:r w:rsidRPr="002947ED">
              <w:rPr>
                <w:b w:val="0"/>
                <w:color w:val="000000"/>
                <w:sz w:val="14"/>
                <w:szCs w:val="14"/>
              </w:rPr>
              <w:t>Подальше виявлення резистентності до INH, FQ, BDQ, LZD, CFZ, PZA, EMB, AMK та STR у пацієнтів з лікарсько-чутливим ТБ або МЛС/Риф-ТБ</w:t>
            </w:r>
          </w:p>
        </w:tc>
        <w:tc>
          <w:tcPr>
            <w:tcW w:w="2126" w:type="dxa"/>
            <w:tcBorders>
              <w:top w:val="single" w:sz="8" w:space="0" w:color="00B050"/>
              <w:bottom w:val="single" w:sz="8" w:space="0" w:color="00B050"/>
            </w:tcBorders>
            <w:shd w:val="clear" w:color="auto" w:fill="FFFFFF"/>
          </w:tcPr>
          <w:p w14:paraId="7DF72B5E" w14:textId="77777777" w:rsidR="00366CB9" w:rsidRPr="002947ED" w:rsidRDefault="009D0C1D" w:rsidP="002947ED">
            <w:pPr>
              <w:pStyle w:val="a6"/>
              <w:shd w:val="clear" w:color="auto" w:fill="auto"/>
              <w:rPr>
                <w:sz w:val="14"/>
                <w:szCs w:val="14"/>
              </w:rPr>
            </w:pPr>
            <w:r w:rsidRPr="002947ED">
              <w:rPr>
                <w:b w:val="0"/>
                <w:color w:val="000000"/>
                <w:sz w:val="14"/>
                <w:szCs w:val="14"/>
              </w:rPr>
              <w:t>Термоциклер, секвенсер, потужна комп’ютерна система для аналізу даних, високошвидкісний інтернет</w:t>
            </w:r>
          </w:p>
        </w:tc>
        <w:tc>
          <w:tcPr>
            <w:tcW w:w="1051" w:type="dxa"/>
            <w:tcBorders>
              <w:top w:val="single" w:sz="8" w:space="0" w:color="00B050"/>
              <w:bottom w:val="single" w:sz="8" w:space="0" w:color="00B050"/>
            </w:tcBorders>
            <w:shd w:val="clear" w:color="auto" w:fill="FFFFFF"/>
          </w:tcPr>
          <w:p w14:paraId="0E47B0DC" w14:textId="77777777" w:rsidR="00366CB9" w:rsidRPr="002947ED" w:rsidRDefault="009D0C1D" w:rsidP="002947ED">
            <w:pPr>
              <w:pStyle w:val="a6"/>
              <w:shd w:val="clear" w:color="auto" w:fill="auto"/>
              <w:rPr>
                <w:sz w:val="14"/>
                <w:szCs w:val="14"/>
              </w:rPr>
            </w:pPr>
            <w:r w:rsidRPr="002947ED">
              <w:rPr>
                <w:b w:val="0"/>
                <w:color w:val="000000"/>
                <w:sz w:val="14"/>
                <w:szCs w:val="14"/>
              </w:rPr>
              <w:t>Від 13 до 1200 зразків залежно від приладу</w:t>
            </w:r>
          </w:p>
        </w:tc>
        <w:tc>
          <w:tcPr>
            <w:tcW w:w="1061" w:type="dxa"/>
            <w:tcBorders>
              <w:top w:val="single" w:sz="8" w:space="0" w:color="00B050"/>
              <w:bottom w:val="single" w:sz="8" w:space="0" w:color="00B050"/>
            </w:tcBorders>
            <w:shd w:val="clear" w:color="auto" w:fill="FFFFFF"/>
          </w:tcPr>
          <w:p w14:paraId="6F589733" w14:textId="77777777" w:rsidR="00366CB9" w:rsidRPr="002947ED" w:rsidRDefault="009D0C1D" w:rsidP="002947ED">
            <w:pPr>
              <w:pStyle w:val="a6"/>
              <w:shd w:val="clear" w:color="auto" w:fill="auto"/>
              <w:rPr>
                <w:sz w:val="14"/>
                <w:szCs w:val="14"/>
              </w:rPr>
            </w:pPr>
            <w:r w:rsidRPr="002947ED">
              <w:rPr>
                <w:b w:val="0"/>
                <w:color w:val="000000"/>
                <w:sz w:val="14"/>
                <w:szCs w:val="14"/>
              </w:rPr>
              <w:t>Залежить від лабораторного потенціалу</w:t>
            </w:r>
          </w:p>
        </w:tc>
      </w:tr>
      <w:tr w:rsidR="00366CB9" w14:paraId="62201481" w14:textId="77777777" w:rsidTr="00546B4F">
        <w:trPr>
          <w:trHeight w:hRule="exact" w:val="1147"/>
        </w:trPr>
        <w:tc>
          <w:tcPr>
            <w:tcW w:w="1166" w:type="dxa"/>
            <w:tcBorders>
              <w:top w:val="single" w:sz="8" w:space="0" w:color="00B050"/>
              <w:bottom w:val="single" w:sz="8" w:space="0" w:color="00B050"/>
            </w:tcBorders>
            <w:shd w:val="clear" w:color="auto" w:fill="FFFFFF"/>
          </w:tcPr>
          <w:p w14:paraId="7CD3B43B" w14:textId="77777777" w:rsidR="00366CB9" w:rsidRPr="002947ED" w:rsidRDefault="00366CB9" w:rsidP="002947ED">
            <w:pPr>
              <w:rPr>
                <w:sz w:val="14"/>
                <w:szCs w:val="14"/>
              </w:rPr>
            </w:pPr>
          </w:p>
        </w:tc>
        <w:tc>
          <w:tcPr>
            <w:tcW w:w="1330" w:type="dxa"/>
            <w:tcBorders>
              <w:top w:val="single" w:sz="8" w:space="0" w:color="00B050"/>
              <w:bottom w:val="single" w:sz="8" w:space="0" w:color="00B050"/>
            </w:tcBorders>
            <w:shd w:val="clear" w:color="auto" w:fill="FFFFFF"/>
          </w:tcPr>
          <w:p w14:paraId="60B628FA" w14:textId="77777777" w:rsidR="00366CB9" w:rsidRPr="002947ED" w:rsidRDefault="009D0C1D" w:rsidP="002947ED">
            <w:pPr>
              <w:pStyle w:val="a6"/>
              <w:shd w:val="clear" w:color="auto" w:fill="auto"/>
              <w:rPr>
                <w:sz w:val="14"/>
                <w:szCs w:val="14"/>
              </w:rPr>
            </w:pPr>
            <w:r w:rsidRPr="002947ED">
              <w:rPr>
                <w:b w:val="0"/>
                <w:color w:val="000000"/>
                <w:sz w:val="14"/>
                <w:szCs w:val="14"/>
              </w:rPr>
              <w:t>AmPORE-TB</w:t>
            </w:r>
          </w:p>
        </w:tc>
        <w:tc>
          <w:tcPr>
            <w:tcW w:w="1306" w:type="dxa"/>
            <w:tcBorders>
              <w:top w:val="single" w:sz="8" w:space="0" w:color="00B050"/>
              <w:bottom w:val="single" w:sz="8" w:space="0" w:color="00B050"/>
            </w:tcBorders>
            <w:shd w:val="clear" w:color="auto" w:fill="FFFFFF"/>
          </w:tcPr>
          <w:p w14:paraId="474EEE3D" w14:textId="77777777" w:rsidR="00366CB9" w:rsidRPr="002947ED" w:rsidRDefault="009D0C1D" w:rsidP="002947ED">
            <w:pPr>
              <w:pStyle w:val="a6"/>
              <w:shd w:val="clear" w:color="auto" w:fill="auto"/>
              <w:rPr>
                <w:sz w:val="14"/>
                <w:szCs w:val="14"/>
              </w:rPr>
            </w:pPr>
            <w:r w:rsidRPr="002947ED">
              <w:rPr>
                <w:b w:val="0"/>
                <w:color w:val="000000"/>
                <w:sz w:val="14"/>
                <w:szCs w:val="14"/>
              </w:rPr>
              <w:t>Oxford</w:t>
            </w:r>
          </w:p>
          <w:p w14:paraId="3A1677D2" w14:textId="77777777" w:rsidR="00366CB9" w:rsidRPr="002947ED" w:rsidRDefault="009D0C1D" w:rsidP="002947ED">
            <w:pPr>
              <w:pStyle w:val="a6"/>
              <w:shd w:val="clear" w:color="auto" w:fill="auto"/>
              <w:rPr>
                <w:sz w:val="14"/>
                <w:szCs w:val="14"/>
              </w:rPr>
            </w:pPr>
            <w:r w:rsidRPr="002947ED">
              <w:rPr>
                <w:b w:val="0"/>
                <w:color w:val="000000"/>
                <w:sz w:val="14"/>
                <w:szCs w:val="14"/>
              </w:rPr>
              <w:t>Nanopore</w:t>
            </w:r>
          </w:p>
          <w:p w14:paraId="0AFF8F14" w14:textId="77777777" w:rsidR="00366CB9" w:rsidRPr="002947ED" w:rsidRDefault="009D0C1D" w:rsidP="002947ED">
            <w:pPr>
              <w:pStyle w:val="a6"/>
              <w:shd w:val="clear" w:color="auto" w:fill="auto"/>
              <w:spacing w:line="230" w:lineRule="auto"/>
              <w:rPr>
                <w:sz w:val="14"/>
                <w:szCs w:val="14"/>
              </w:rPr>
            </w:pPr>
            <w:r w:rsidRPr="002947ED">
              <w:rPr>
                <w:b w:val="0"/>
                <w:color w:val="000000"/>
                <w:sz w:val="14"/>
                <w:szCs w:val="14"/>
              </w:rPr>
              <w:t>Technologies</w:t>
            </w:r>
          </w:p>
        </w:tc>
        <w:tc>
          <w:tcPr>
            <w:tcW w:w="1104" w:type="dxa"/>
            <w:tcBorders>
              <w:top w:val="single" w:sz="8" w:space="0" w:color="00B050"/>
              <w:bottom w:val="single" w:sz="8" w:space="0" w:color="00B050"/>
            </w:tcBorders>
            <w:shd w:val="clear" w:color="auto" w:fill="FFFFFF"/>
          </w:tcPr>
          <w:p w14:paraId="0920B94D" w14:textId="77777777" w:rsidR="00366CB9" w:rsidRPr="002947ED" w:rsidRDefault="009D0C1D" w:rsidP="002947ED">
            <w:pPr>
              <w:pStyle w:val="a6"/>
              <w:shd w:val="clear" w:color="auto" w:fill="auto"/>
              <w:rPr>
                <w:sz w:val="14"/>
                <w:szCs w:val="14"/>
              </w:rPr>
            </w:pPr>
            <w:r w:rsidRPr="002947ED">
              <w:rPr>
                <w:b w:val="0"/>
                <w:color w:val="000000"/>
                <w:sz w:val="14"/>
                <w:szCs w:val="14"/>
              </w:rPr>
              <w:t>MinION</w:t>
            </w:r>
          </w:p>
        </w:tc>
        <w:tc>
          <w:tcPr>
            <w:tcW w:w="1128" w:type="dxa"/>
            <w:tcBorders>
              <w:top w:val="single" w:sz="8" w:space="0" w:color="00B050"/>
              <w:bottom w:val="single" w:sz="8" w:space="0" w:color="00B050"/>
            </w:tcBorders>
            <w:shd w:val="clear" w:color="auto" w:fill="FFFFFF"/>
          </w:tcPr>
          <w:p w14:paraId="477179F1" w14:textId="77777777" w:rsidR="00366CB9" w:rsidRPr="002947ED" w:rsidRDefault="009D0C1D" w:rsidP="002947ED">
            <w:pPr>
              <w:pStyle w:val="a6"/>
              <w:shd w:val="clear" w:color="auto" w:fill="auto"/>
              <w:rPr>
                <w:sz w:val="14"/>
                <w:szCs w:val="14"/>
              </w:rPr>
            </w:pPr>
            <w:r w:rsidRPr="002947ED">
              <w:rPr>
                <w:b w:val="0"/>
                <w:color w:val="000000"/>
                <w:sz w:val="14"/>
                <w:szCs w:val="14"/>
              </w:rPr>
              <w:t>**</w:t>
            </w:r>
          </w:p>
        </w:tc>
        <w:tc>
          <w:tcPr>
            <w:tcW w:w="1042" w:type="dxa"/>
            <w:tcBorders>
              <w:top w:val="single" w:sz="8" w:space="0" w:color="00B050"/>
              <w:bottom w:val="single" w:sz="8" w:space="0" w:color="00B050"/>
            </w:tcBorders>
            <w:shd w:val="clear" w:color="auto" w:fill="FFFFFF"/>
          </w:tcPr>
          <w:p w14:paraId="675FEA84" w14:textId="77777777" w:rsidR="00366CB9" w:rsidRPr="002947ED" w:rsidRDefault="009D0C1D" w:rsidP="002947ED">
            <w:pPr>
              <w:pStyle w:val="a6"/>
              <w:shd w:val="clear" w:color="auto" w:fill="auto"/>
              <w:spacing w:line="233" w:lineRule="auto"/>
              <w:rPr>
                <w:sz w:val="14"/>
                <w:szCs w:val="14"/>
              </w:rPr>
            </w:pPr>
            <w:r w:rsidRPr="002947ED">
              <w:rPr>
                <w:b w:val="0"/>
                <w:color w:val="000000"/>
                <w:sz w:val="14"/>
                <w:szCs w:val="14"/>
              </w:rPr>
              <w:t>RIF, INH,</w:t>
            </w:r>
          </w:p>
          <w:p w14:paraId="65B4AD3B" w14:textId="77777777" w:rsidR="00366CB9" w:rsidRPr="002947ED" w:rsidRDefault="009D0C1D" w:rsidP="002947ED">
            <w:pPr>
              <w:pStyle w:val="a6"/>
              <w:shd w:val="clear" w:color="auto" w:fill="auto"/>
              <w:spacing w:line="233" w:lineRule="auto"/>
              <w:rPr>
                <w:sz w:val="14"/>
                <w:szCs w:val="14"/>
              </w:rPr>
            </w:pPr>
            <w:r w:rsidRPr="002947ED">
              <w:rPr>
                <w:b w:val="0"/>
                <w:color w:val="000000"/>
                <w:sz w:val="14"/>
                <w:szCs w:val="14"/>
              </w:rPr>
              <w:t>PZA, FQ,</w:t>
            </w:r>
          </w:p>
          <w:p w14:paraId="5F66A41F" w14:textId="77777777" w:rsidR="00366CB9" w:rsidRPr="002947ED" w:rsidRDefault="009D0C1D" w:rsidP="002947ED">
            <w:pPr>
              <w:pStyle w:val="a6"/>
              <w:shd w:val="clear" w:color="auto" w:fill="auto"/>
              <w:spacing w:line="233" w:lineRule="auto"/>
              <w:rPr>
                <w:sz w:val="14"/>
                <w:szCs w:val="14"/>
              </w:rPr>
            </w:pPr>
            <w:r w:rsidRPr="002947ED">
              <w:rPr>
                <w:b w:val="0"/>
                <w:color w:val="000000"/>
                <w:sz w:val="14"/>
                <w:szCs w:val="14"/>
              </w:rPr>
              <w:t>BDQ, LZD,</w:t>
            </w:r>
          </w:p>
          <w:p w14:paraId="7FB3247B" w14:textId="77777777" w:rsidR="00366CB9" w:rsidRPr="002947ED" w:rsidRDefault="009D0C1D" w:rsidP="002947ED">
            <w:pPr>
              <w:pStyle w:val="a6"/>
              <w:shd w:val="clear" w:color="auto" w:fill="auto"/>
              <w:spacing w:line="233" w:lineRule="auto"/>
              <w:rPr>
                <w:sz w:val="14"/>
                <w:szCs w:val="14"/>
              </w:rPr>
            </w:pPr>
            <w:r w:rsidRPr="002947ED">
              <w:rPr>
                <w:b w:val="0"/>
                <w:color w:val="000000"/>
                <w:sz w:val="14"/>
                <w:szCs w:val="14"/>
              </w:rPr>
              <w:t>CFZ, AMK та STR</w:t>
            </w:r>
          </w:p>
        </w:tc>
        <w:tc>
          <w:tcPr>
            <w:tcW w:w="912" w:type="dxa"/>
            <w:tcBorders>
              <w:top w:val="single" w:sz="8" w:space="0" w:color="00B050"/>
              <w:bottom w:val="single" w:sz="8" w:space="0" w:color="00B050"/>
            </w:tcBorders>
            <w:shd w:val="clear" w:color="auto" w:fill="FFFFFF"/>
          </w:tcPr>
          <w:p w14:paraId="168B801E" w14:textId="77777777" w:rsidR="00366CB9" w:rsidRPr="002947ED" w:rsidRDefault="009D0C1D" w:rsidP="002947ED">
            <w:pPr>
              <w:pStyle w:val="a6"/>
              <w:shd w:val="clear" w:color="auto" w:fill="auto"/>
              <w:rPr>
                <w:sz w:val="14"/>
                <w:szCs w:val="14"/>
              </w:rPr>
            </w:pPr>
            <w:r w:rsidRPr="002947ED">
              <w:rPr>
                <w:b w:val="0"/>
                <w:color w:val="000000"/>
                <w:sz w:val="14"/>
                <w:szCs w:val="14"/>
              </w:rPr>
              <w:t>5 год</w:t>
            </w:r>
          </w:p>
        </w:tc>
        <w:tc>
          <w:tcPr>
            <w:tcW w:w="1800" w:type="dxa"/>
            <w:tcBorders>
              <w:top w:val="single" w:sz="8" w:space="0" w:color="00B050"/>
              <w:bottom w:val="single" w:sz="8" w:space="0" w:color="00B050"/>
            </w:tcBorders>
            <w:shd w:val="clear" w:color="auto" w:fill="FFFFFF"/>
          </w:tcPr>
          <w:p w14:paraId="00BEB513" w14:textId="77777777" w:rsidR="00366CB9" w:rsidRPr="002947ED" w:rsidRDefault="009D0C1D" w:rsidP="002947ED">
            <w:pPr>
              <w:pStyle w:val="a6"/>
              <w:shd w:val="clear" w:color="auto" w:fill="auto"/>
              <w:rPr>
                <w:sz w:val="14"/>
                <w:szCs w:val="14"/>
              </w:rPr>
            </w:pPr>
            <w:r w:rsidRPr="002947ED">
              <w:rPr>
                <w:b w:val="0"/>
                <w:color w:val="000000"/>
                <w:sz w:val="14"/>
                <w:szCs w:val="14"/>
              </w:rPr>
              <w:t>Подальше виявлення резистентності до RIF, INH, FQ, LZD, AMK та STR у пацієнтів з МЛС/Риф-ТБ</w:t>
            </w:r>
          </w:p>
        </w:tc>
        <w:tc>
          <w:tcPr>
            <w:tcW w:w="2126" w:type="dxa"/>
            <w:tcBorders>
              <w:top w:val="single" w:sz="8" w:space="0" w:color="00B050"/>
              <w:bottom w:val="single" w:sz="8" w:space="0" w:color="00B050"/>
            </w:tcBorders>
            <w:shd w:val="clear" w:color="auto" w:fill="FFFFFF"/>
          </w:tcPr>
          <w:p w14:paraId="2F3559E4" w14:textId="77777777" w:rsidR="00366CB9" w:rsidRPr="002947ED" w:rsidRDefault="009D0C1D" w:rsidP="002947ED">
            <w:pPr>
              <w:pStyle w:val="a6"/>
              <w:shd w:val="clear" w:color="auto" w:fill="auto"/>
              <w:rPr>
                <w:sz w:val="14"/>
                <w:szCs w:val="14"/>
              </w:rPr>
            </w:pPr>
            <w:r w:rsidRPr="002947ED">
              <w:rPr>
                <w:b w:val="0"/>
                <w:color w:val="000000"/>
                <w:sz w:val="14"/>
                <w:szCs w:val="14"/>
              </w:rPr>
              <w:t>Термоциклер, секвенсер, потужний комп’ютер для аналізу даних, високошвидкісний інтернет</w:t>
            </w:r>
          </w:p>
        </w:tc>
        <w:tc>
          <w:tcPr>
            <w:tcW w:w="1051" w:type="dxa"/>
            <w:tcBorders>
              <w:top w:val="single" w:sz="8" w:space="0" w:color="00B050"/>
              <w:bottom w:val="single" w:sz="8" w:space="0" w:color="00B050"/>
            </w:tcBorders>
            <w:shd w:val="clear" w:color="auto" w:fill="FFFFFF"/>
          </w:tcPr>
          <w:p w14:paraId="2CC65E51" w14:textId="77777777" w:rsidR="00366CB9" w:rsidRPr="002947ED" w:rsidRDefault="009D0C1D" w:rsidP="002947ED">
            <w:pPr>
              <w:pStyle w:val="a6"/>
              <w:shd w:val="clear" w:color="auto" w:fill="auto"/>
              <w:rPr>
                <w:sz w:val="14"/>
                <w:szCs w:val="14"/>
              </w:rPr>
            </w:pPr>
            <w:r w:rsidRPr="002947ED">
              <w:rPr>
                <w:b w:val="0"/>
                <w:color w:val="000000"/>
                <w:sz w:val="14"/>
                <w:szCs w:val="14"/>
              </w:rPr>
              <w:t>22 зразки без контролів на проточну комірку</w:t>
            </w:r>
          </w:p>
        </w:tc>
        <w:tc>
          <w:tcPr>
            <w:tcW w:w="1061" w:type="dxa"/>
            <w:tcBorders>
              <w:top w:val="single" w:sz="8" w:space="0" w:color="00B050"/>
              <w:bottom w:val="single" w:sz="8" w:space="0" w:color="00B050"/>
            </w:tcBorders>
            <w:shd w:val="clear" w:color="auto" w:fill="FFFFFF"/>
          </w:tcPr>
          <w:p w14:paraId="511D0A47" w14:textId="77777777" w:rsidR="00366CB9" w:rsidRPr="002947ED" w:rsidRDefault="009D0C1D" w:rsidP="002947ED">
            <w:pPr>
              <w:pStyle w:val="a6"/>
              <w:shd w:val="clear" w:color="auto" w:fill="auto"/>
              <w:rPr>
                <w:sz w:val="14"/>
                <w:szCs w:val="14"/>
              </w:rPr>
            </w:pPr>
            <w:r w:rsidRPr="002947ED">
              <w:rPr>
                <w:b w:val="0"/>
                <w:color w:val="000000"/>
                <w:sz w:val="14"/>
                <w:szCs w:val="14"/>
              </w:rPr>
              <w:t>Залежить від лабораторного потенціалу</w:t>
            </w:r>
          </w:p>
        </w:tc>
      </w:tr>
      <w:tr w:rsidR="00366CB9" w14:paraId="5116A62C" w14:textId="77777777" w:rsidTr="00546B4F">
        <w:trPr>
          <w:trHeight w:hRule="exact" w:val="1279"/>
        </w:trPr>
        <w:tc>
          <w:tcPr>
            <w:tcW w:w="1166" w:type="dxa"/>
            <w:tcBorders>
              <w:top w:val="single" w:sz="8" w:space="0" w:color="00B050"/>
              <w:bottom w:val="single" w:sz="8" w:space="0" w:color="00B050"/>
            </w:tcBorders>
            <w:shd w:val="clear" w:color="auto" w:fill="FFFFFF"/>
          </w:tcPr>
          <w:p w14:paraId="03BF7EC5" w14:textId="77777777" w:rsidR="00366CB9" w:rsidRPr="002947ED" w:rsidRDefault="00366CB9" w:rsidP="002947ED">
            <w:pPr>
              <w:rPr>
                <w:sz w:val="14"/>
                <w:szCs w:val="14"/>
              </w:rPr>
            </w:pPr>
          </w:p>
        </w:tc>
        <w:tc>
          <w:tcPr>
            <w:tcW w:w="1330" w:type="dxa"/>
            <w:tcBorders>
              <w:top w:val="single" w:sz="8" w:space="0" w:color="00B050"/>
              <w:bottom w:val="single" w:sz="8" w:space="0" w:color="00B050"/>
            </w:tcBorders>
            <w:shd w:val="clear" w:color="auto" w:fill="FFFFFF"/>
          </w:tcPr>
          <w:p w14:paraId="646F003D" w14:textId="77777777" w:rsidR="00366CB9" w:rsidRPr="002947ED" w:rsidRDefault="009D0C1D" w:rsidP="002947ED">
            <w:pPr>
              <w:pStyle w:val="a6"/>
              <w:shd w:val="clear" w:color="auto" w:fill="auto"/>
              <w:rPr>
                <w:sz w:val="14"/>
                <w:szCs w:val="14"/>
              </w:rPr>
            </w:pPr>
            <w:r w:rsidRPr="002947ED">
              <w:rPr>
                <w:b w:val="0"/>
                <w:color w:val="000000"/>
                <w:sz w:val="14"/>
                <w:szCs w:val="14"/>
              </w:rPr>
              <w:t>Tbseq</w:t>
            </w:r>
          </w:p>
        </w:tc>
        <w:tc>
          <w:tcPr>
            <w:tcW w:w="1306" w:type="dxa"/>
            <w:tcBorders>
              <w:top w:val="single" w:sz="8" w:space="0" w:color="00B050"/>
              <w:bottom w:val="single" w:sz="8" w:space="0" w:color="00B050"/>
            </w:tcBorders>
            <w:shd w:val="clear" w:color="auto" w:fill="FFFFFF"/>
          </w:tcPr>
          <w:p w14:paraId="1169189A" w14:textId="77777777" w:rsidR="00366CB9" w:rsidRPr="002947ED" w:rsidRDefault="009D0C1D" w:rsidP="002947ED">
            <w:pPr>
              <w:pStyle w:val="a6"/>
              <w:shd w:val="clear" w:color="auto" w:fill="auto"/>
              <w:rPr>
                <w:sz w:val="14"/>
                <w:szCs w:val="14"/>
              </w:rPr>
            </w:pPr>
            <w:r w:rsidRPr="002947ED">
              <w:rPr>
                <w:b w:val="0"/>
                <w:color w:val="000000"/>
                <w:sz w:val="14"/>
                <w:szCs w:val="14"/>
              </w:rPr>
              <w:t>Shen Ting</w:t>
            </w:r>
          </w:p>
          <w:p w14:paraId="07E189C4" w14:textId="77777777" w:rsidR="00366CB9" w:rsidRPr="002947ED" w:rsidRDefault="009D0C1D" w:rsidP="002947ED">
            <w:pPr>
              <w:pStyle w:val="a6"/>
              <w:shd w:val="clear" w:color="auto" w:fill="auto"/>
              <w:rPr>
                <w:sz w:val="14"/>
                <w:szCs w:val="14"/>
              </w:rPr>
            </w:pPr>
            <w:r w:rsidRPr="002947ED">
              <w:rPr>
                <w:b w:val="0"/>
                <w:color w:val="000000"/>
                <w:sz w:val="14"/>
                <w:szCs w:val="14"/>
              </w:rPr>
              <w:t>Biotech</w:t>
            </w:r>
          </w:p>
        </w:tc>
        <w:tc>
          <w:tcPr>
            <w:tcW w:w="1104" w:type="dxa"/>
            <w:tcBorders>
              <w:top w:val="single" w:sz="8" w:space="0" w:color="00B050"/>
              <w:bottom w:val="single" w:sz="8" w:space="0" w:color="00B050"/>
            </w:tcBorders>
            <w:shd w:val="clear" w:color="auto" w:fill="FFFFFF"/>
          </w:tcPr>
          <w:p w14:paraId="726ED20E" w14:textId="77777777" w:rsidR="00366CB9" w:rsidRPr="002947ED" w:rsidRDefault="009D0C1D" w:rsidP="002947ED">
            <w:pPr>
              <w:pStyle w:val="a6"/>
              <w:shd w:val="clear" w:color="auto" w:fill="auto"/>
              <w:rPr>
                <w:sz w:val="14"/>
                <w:szCs w:val="14"/>
              </w:rPr>
            </w:pPr>
            <w:r w:rsidRPr="002947ED">
              <w:rPr>
                <w:b w:val="0"/>
                <w:color w:val="000000"/>
                <w:sz w:val="14"/>
                <w:szCs w:val="14"/>
              </w:rPr>
              <w:t>Illumina iSeq, MiniSeq, MiSeq тощо</w:t>
            </w:r>
          </w:p>
        </w:tc>
        <w:tc>
          <w:tcPr>
            <w:tcW w:w="1128" w:type="dxa"/>
            <w:tcBorders>
              <w:top w:val="single" w:sz="8" w:space="0" w:color="00B050"/>
              <w:bottom w:val="single" w:sz="8" w:space="0" w:color="00B050"/>
            </w:tcBorders>
            <w:shd w:val="clear" w:color="auto" w:fill="FFFFFF"/>
          </w:tcPr>
          <w:p w14:paraId="207D6996" w14:textId="77777777" w:rsidR="00366CB9" w:rsidRPr="002947ED" w:rsidRDefault="009D0C1D" w:rsidP="002947ED">
            <w:pPr>
              <w:pStyle w:val="a6"/>
              <w:shd w:val="clear" w:color="auto" w:fill="auto"/>
              <w:rPr>
                <w:sz w:val="14"/>
                <w:szCs w:val="14"/>
              </w:rPr>
            </w:pPr>
            <w:r w:rsidRPr="002947ED">
              <w:rPr>
                <w:b w:val="0"/>
                <w:color w:val="000000"/>
                <w:sz w:val="14"/>
                <w:szCs w:val="14"/>
              </w:rPr>
              <w:t>embB, embA</w:t>
            </w:r>
          </w:p>
        </w:tc>
        <w:tc>
          <w:tcPr>
            <w:tcW w:w="1042" w:type="dxa"/>
            <w:tcBorders>
              <w:top w:val="single" w:sz="8" w:space="0" w:color="00B050"/>
              <w:bottom w:val="single" w:sz="8" w:space="0" w:color="00B050"/>
            </w:tcBorders>
            <w:shd w:val="clear" w:color="auto" w:fill="FFFFFF"/>
          </w:tcPr>
          <w:p w14:paraId="064854C5" w14:textId="77777777" w:rsidR="00366CB9" w:rsidRPr="002947ED" w:rsidRDefault="009D0C1D" w:rsidP="002947ED">
            <w:pPr>
              <w:pStyle w:val="a6"/>
              <w:shd w:val="clear" w:color="auto" w:fill="auto"/>
              <w:rPr>
                <w:sz w:val="14"/>
                <w:szCs w:val="14"/>
              </w:rPr>
            </w:pPr>
            <w:r w:rsidRPr="002947ED">
              <w:rPr>
                <w:b w:val="0"/>
                <w:color w:val="000000"/>
                <w:sz w:val="14"/>
                <w:szCs w:val="14"/>
              </w:rPr>
              <w:t>EMB</w:t>
            </w:r>
          </w:p>
        </w:tc>
        <w:tc>
          <w:tcPr>
            <w:tcW w:w="912" w:type="dxa"/>
            <w:tcBorders>
              <w:top w:val="single" w:sz="8" w:space="0" w:color="00B050"/>
              <w:bottom w:val="single" w:sz="8" w:space="0" w:color="00B050"/>
            </w:tcBorders>
            <w:shd w:val="clear" w:color="auto" w:fill="FFFFFF"/>
          </w:tcPr>
          <w:p w14:paraId="1FE8C2AA" w14:textId="77777777" w:rsidR="00366CB9" w:rsidRPr="002947ED" w:rsidRDefault="009D0C1D" w:rsidP="002947ED">
            <w:pPr>
              <w:pStyle w:val="a6"/>
              <w:shd w:val="clear" w:color="auto" w:fill="auto"/>
              <w:rPr>
                <w:sz w:val="14"/>
                <w:szCs w:val="14"/>
              </w:rPr>
            </w:pPr>
            <w:r w:rsidRPr="002947ED">
              <w:rPr>
                <w:b w:val="0"/>
                <w:color w:val="000000"/>
                <w:sz w:val="14"/>
                <w:szCs w:val="14"/>
              </w:rPr>
              <w:t>12 год</w:t>
            </w:r>
          </w:p>
        </w:tc>
        <w:tc>
          <w:tcPr>
            <w:tcW w:w="1800" w:type="dxa"/>
            <w:tcBorders>
              <w:top w:val="single" w:sz="8" w:space="0" w:color="00B050"/>
              <w:bottom w:val="single" w:sz="8" w:space="0" w:color="00B050"/>
            </w:tcBorders>
            <w:shd w:val="clear" w:color="auto" w:fill="FFFFFF"/>
          </w:tcPr>
          <w:p w14:paraId="3F80B6F8" w14:textId="77777777" w:rsidR="00366CB9" w:rsidRPr="002947ED" w:rsidRDefault="009D0C1D" w:rsidP="002947ED">
            <w:pPr>
              <w:pStyle w:val="a6"/>
              <w:shd w:val="clear" w:color="auto" w:fill="auto"/>
              <w:rPr>
                <w:sz w:val="14"/>
                <w:szCs w:val="14"/>
              </w:rPr>
            </w:pPr>
            <w:r w:rsidRPr="002947ED">
              <w:rPr>
                <w:b w:val="0"/>
                <w:color w:val="000000"/>
                <w:sz w:val="14"/>
                <w:szCs w:val="14"/>
              </w:rPr>
              <w:t>Подальше виявлення резистентності до EMB у пацієнтів з МЛС/Риф-ТБ</w:t>
            </w:r>
          </w:p>
        </w:tc>
        <w:tc>
          <w:tcPr>
            <w:tcW w:w="2126" w:type="dxa"/>
            <w:tcBorders>
              <w:top w:val="single" w:sz="8" w:space="0" w:color="00B050"/>
              <w:bottom w:val="single" w:sz="8" w:space="0" w:color="00B050"/>
            </w:tcBorders>
            <w:shd w:val="clear" w:color="auto" w:fill="FFFFFF"/>
          </w:tcPr>
          <w:p w14:paraId="47F81F4F" w14:textId="77777777" w:rsidR="00366CB9" w:rsidRPr="002947ED" w:rsidRDefault="009D0C1D" w:rsidP="002947ED">
            <w:pPr>
              <w:pStyle w:val="a6"/>
              <w:shd w:val="clear" w:color="auto" w:fill="auto"/>
              <w:rPr>
                <w:sz w:val="14"/>
                <w:szCs w:val="14"/>
              </w:rPr>
            </w:pPr>
            <w:r w:rsidRPr="002947ED">
              <w:rPr>
                <w:b w:val="0"/>
                <w:color w:val="000000"/>
                <w:sz w:val="14"/>
                <w:szCs w:val="14"/>
              </w:rPr>
              <w:t>Термоциклер, секвенсер, потужний комп’ютер для аналізу даних, високошвидкісний інтернет</w:t>
            </w:r>
          </w:p>
        </w:tc>
        <w:tc>
          <w:tcPr>
            <w:tcW w:w="1051" w:type="dxa"/>
            <w:tcBorders>
              <w:top w:val="single" w:sz="8" w:space="0" w:color="00B050"/>
              <w:bottom w:val="single" w:sz="8" w:space="0" w:color="00B050"/>
            </w:tcBorders>
            <w:shd w:val="clear" w:color="auto" w:fill="FFFFFF"/>
          </w:tcPr>
          <w:p w14:paraId="14D60407" w14:textId="77777777" w:rsidR="00366CB9" w:rsidRPr="002947ED" w:rsidRDefault="009D0C1D" w:rsidP="002947ED">
            <w:pPr>
              <w:pStyle w:val="a6"/>
              <w:shd w:val="clear" w:color="auto" w:fill="auto"/>
              <w:rPr>
                <w:sz w:val="14"/>
                <w:szCs w:val="14"/>
              </w:rPr>
            </w:pPr>
            <w:r w:rsidRPr="002947ED">
              <w:rPr>
                <w:b w:val="0"/>
                <w:color w:val="000000"/>
                <w:sz w:val="14"/>
                <w:szCs w:val="14"/>
              </w:rPr>
              <w:t>Від 13 до 1200 зразків залежно від приладу</w:t>
            </w:r>
          </w:p>
        </w:tc>
        <w:tc>
          <w:tcPr>
            <w:tcW w:w="1061" w:type="dxa"/>
            <w:tcBorders>
              <w:top w:val="single" w:sz="8" w:space="0" w:color="00B050"/>
              <w:bottom w:val="single" w:sz="8" w:space="0" w:color="00B050"/>
            </w:tcBorders>
            <w:shd w:val="clear" w:color="auto" w:fill="FFFFFF"/>
          </w:tcPr>
          <w:p w14:paraId="71652A5A" w14:textId="77777777" w:rsidR="00366CB9" w:rsidRPr="002947ED" w:rsidRDefault="009D0C1D" w:rsidP="002947ED">
            <w:pPr>
              <w:pStyle w:val="a6"/>
              <w:shd w:val="clear" w:color="auto" w:fill="auto"/>
              <w:rPr>
                <w:sz w:val="14"/>
                <w:szCs w:val="14"/>
              </w:rPr>
            </w:pPr>
            <w:r w:rsidRPr="002947ED">
              <w:rPr>
                <w:b w:val="0"/>
                <w:color w:val="000000"/>
                <w:sz w:val="14"/>
                <w:szCs w:val="14"/>
              </w:rPr>
              <w:t>Залежить від лабораторного потенціалу</w:t>
            </w:r>
          </w:p>
        </w:tc>
      </w:tr>
      <w:tr w:rsidR="00366CB9" w14:paraId="526B62E8" w14:textId="77777777" w:rsidTr="00546B4F">
        <w:trPr>
          <w:trHeight w:hRule="exact" w:val="1695"/>
        </w:trPr>
        <w:tc>
          <w:tcPr>
            <w:tcW w:w="14026" w:type="dxa"/>
            <w:gridSpan w:val="11"/>
            <w:tcBorders>
              <w:top w:val="single" w:sz="8" w:space="0" w:color="00B050"/>
            </w:tcBorders>
            <w:shd w:val="clear" w:color="auto" w:fill="FFFFFF"/>
            <w:vAlign w:val="bottom"/>
          </w:tcPr>
          <w:p w14:paraId="6CF1B9FA" w14:textId="77777777" w:rsidR="00366CB9" w:rsidRDefault="009D0C1D" w:rsidP="00457B0A">
            <w:pPr>
              <w:pStyle w:val="a6"/>
              <w:shd w:val="clear" w:color="auto" w:fill="auto"/>
              <w:spacing w:line="266" w:lineRule="auto"/>
              <w:rPr>
                <w:sz w:val="17"/>
                <w:szCs w:val="17"/>
              </w:rPr>
            </w:pPr>
            <w:r>
              <w:rPr>
                <w:b w:val="0"/>
                <w:color w:val="000000"/>
                <w:sz w:val="17"/>
              </w:rPr>
              <w:t>ДНК: дезоксирибонуклеїнова кислота; ТМЧ: тестування медикаментозної чутливості; HC-rNAAT: NAAT на основі зворотної гібридизації високої складності; LC-aNAAT: автоматизований NAAT низької складності; LPA: аналіз олігонуклеотидними зондами; МЛС/Риф-ТБ: ТБ з множинною лікарською стійкістю/рифампіцин-резистентний ТБ; NAAT: аналіз ампліфікації нуклеїнових кислот; СНП: секвенування наступного покоління; ТБ: туберкульоз.</w:t>
            </w:r>
          </w:p>
          <w:p w14:paraId="10789D6A" w14:textId="77777777" w:rsidR="00366CB9" w:rsidRDefault="009D0C1D" w:rsidP="00457B0A">
            <w:pPr>
              <w:pStyle w:val="a6"/>
              <w:shd w:val="clear" w:color="auto" w:fill="auto"/>
              <w:spacing w:line="300" w:lineRule="auto"/>
              <w:rPr>
                <w:sz w:val="17"/>
                <w:szCs w:val="17"/>
              </w:rPr>
            </w:pPr>
            <w:r>
              <w:rPr>
                <w:b w:val="0"/>
                <w:color w:val="000000"/>
                <w:sz w:val="17"/>
              </w:rPr>
              <w:t>* RIF (</w:t>
            </w:r>
            <w:r>
              <w:rPr>
                <w:b w:val="0"/>
                <w:i/>
                <w:color w:val="000000"/>
                <w:sz w:val="17"/>
              </w:rPr>
              <w:t>rpoB</w:t>
            </w:r>
            <w:r>
              <w:rPr>
                <w:b w:val="0"/>
                <w:color w:val="000000"/>
                <w:sz w:val="17"/>
              </w:rPr>
              <w:t>), INH (</w:t>
            </w:r>
            <w:r>
              <w:rPr>
                <w:b w:val="0"/>
                <w:i/>
                <w:color w:val="000000"/>
                <w:sz w:val="17"/>
              </w:rPr>
              <w:t>inhA</w:t>
            </w:r>
            <w:r>
              <w:rPr>
                <w:b w:val="0"/>
                <w:color w:val="000000"/>
                <w:sz w:val="17"/>
              </w:rPr>
              <w:t xml:space="preserve">, </w:t>
            </w:r>
            <w:r>
              <w:rPr>
                <w:b w:val="0"/>
                <w:i/>
                <w:color w:val="000000"/>
                <w:sz w:val="17"/>
              </w:rPr>
              <w:t>fabG1</w:t>
            </w:r>
            <w:r>
              <w:rPr>
                <w:b w:val="0"/>
                <w:color w:val="000000"/>
                <w:sz w:val="17"/>
              </w:rPr>
              <w:t xml:space="preserve">, </w:t>
            </w:r>
            <w:r>
              <w:rPr>
                <w:b w:val="0"/>
                <w:i/>
                <w:color w:val="000000"/>
                <w:sz w:val="17"/>
              </w:rPr>
              <w:t>katG</w:t>
            </w:r>
            <w:r>
              <w:rPr>
                <w:b w:val="0"/>
                <w:color w:val="000000"/>
                <w:sz w:val="17"/>
              </w:rPr>
              <w:t xml:space="preserve">, </w:t>
            </w:r>
            <w:r>
              <w:rPr>
                <w:b w:val="0"/>
                <w:i/>
                <w:color w:val="000000"/>
                <w:sz w:val="17"/>
              </w:rPr>
              <w:t>ahpC</w:t>
            </w:r>
            <w:r>
              <w:rPr>
                <w:b w:val="0"/>
                <w:color w:val="000000"/>
                <w:sz w:val="17"/>
              </w:rPr>
              <w:t>), PZA (</w:t>
            </w:r>
            <w:r>
              <w:rPr>
                <w:b w:val="0"/>
                <w:i/>
                <w:color w:val="000000"/>
                <w:sz w:val="17"/>
              </w:rPr>
              <w:t>pncA</w:t>
            </w:r>
            <w:r>
              <w:rPr>
                <w:b w:val="0"/>
                <w:color w:val="000000"/>
                <w:sz w:val="17"/>
              </w:rPr>
              <w:t>), EMB (</w:t>
            </w:r>
            <w:r>
              <w:rPr>
                <w:b w:val="0"/>
                <w:i/>
                <w:color w:val="000000"/>
                <w:sz w:val="17"/>
              </w:rPr>
              <w:t>embB</w:t>
            </w:r>
            <w:r>
              <w:rPr>
                <w:b w:val="0"/>
                <w:color w:val="000000"/>
                <w:sz w:val="17"/>
              </w:rPr>
              <w:t>), FQ (</w:t>
            </w:r>
            <w:r>
              <w:rPr>
                <w:b w:val="0"/>
                <w:i/>
                <w:color w:val="000000"/>
                <w:sz w:val="17"/>
              </w:rPr>
              <w:t>gyrA</w:t>
            </w:r>
            <w:r>
              <w:rPr>
                <w:b w:val="0"/>
                <w:color w:val="000000"/>
                <w:sz w:val="17"/>
              </w:rPr>
              <w:t xml:space="preserve">, </w:t>
            </w:r>
            <w:r>
              <w:rPr>
                <w:b w:val="0"/>
                <w:i/>
                <w:color w:val="000000"/>
                <w:sz w:val="17"/>
              </w:rPr>
              <w:t>gyrB</w:t>
            </w:r>
            <w:r>
              <w:rPr>
                <w:b w:val="0"/>
                <w:color w:val="000000"/>
                <w:sz w:val="17"/>
              </w:rPr>
              <w:t>), BDQ/CFZ (</w:t>
            </w:r>
            <w:r>
              <w:rPr>
                <w:b w:val="0"/>
                <w:i/>
                <w:color w:val="000000"/>
                <w:sz w:val="17"/>
              </w:rPr>
              <w:t>rv0678</w:t>
            </w:r>
            <w:r>
              <w:rPr>
                <w:b w:val="0"/>
                <w:color w:val="000000"/>
                <w:sz w:val="17"/>
              </w:rPr>
              <w:t>), LZD (</w:t>
            </w:r>
            <w:r>
              <w:rPr>
                <w:b w:val="0"/>
                <w:i/>
                <w:color w:val="000000"/>
                <w:sz w:val="17"/>
              </w:rPr>
              <w:t>rrl</w:t>
            </w:r>
            <w:r>
              <w:rPr>
                <w:b w:val="0"/>
                <w:color w:val="000000"/>
                <w:sz w:val="17"/>
              </w:rPr>
              <w:t xml:space="preserve">, </w:t>
            </w:r>
            <w:r>
              <w:rPr>
                <w:b w:val="0"/>
                <w:i/>
                <w:color w:val="000000"/>
                <w:sz w:val="17"/>
              </w:rPr>
              <w:t>rplC</w:t>
            </w:r>
            <w:r>
              <w:rPr>
                <w:b w:val="0"/>
                <w:color w:val="000000"/>
                <w:sz w:val="17"/>
              </w:rPr>
              <w:t>), AMK (</w:t>
            </w:r>
            <w:r>
              <w:rPr>
                <w:b w:val="0"/>
                <w:i/>
                <w:color w:val="000000"/>
                <w:sz w:val="17"/>
              </w:rPr>
              <w:t>rrs</w:t>
            </w:r>
            <w:r>
              <w:rPr>
                <w:b w:val="0"/>
                <w:color w:val="000000"/>
                <w:sz w:val="17"/>
              </w:rPr>
              <w:t>) та STR (</w:t>
            </w:r>
            <w:r>
              <w:rPr>
                <w:b w:val="0"/>
                <w:i/>
                <w:color w:val="000000"/>
                <w:sz w:val="17"/>
              </w:rPr>
              <w:t>rrs</w:t>
            </w:r>
            <w:r>
              <w:rPr>
                <w:b w:val="0"/>
                <w:color w:val="000000"/>
                <w:sz w:val="17"/>
              </w:rPr>
              <w:t xml:space="preserve">, </w:t>
            </w:r>
            <w:r>
              <w:rPr>
                <w:b w:val="0"/>
                <w:i/>
                <w:color w:val="000000"/>
                <w:sz w:val="17"/>
              </w:rPr>
              <w:t>gidB</w:t>
            </w:r>
            <w:r>
              <w:rPr>
                <w:b w:val="0"/>
                <w:color w:val="000000"/>
                <w:sz w:val="17"/>
              </w:rPr>
              <w:t xml:space="preserve">, </w:t>
            </w:r>
            <w:r>
              <w:rPr>
                <w:b w:val="0"/>
                <w:i/>
                <w:color w:val="000000"/>
                <w:sz w:val="17"/>
              </w:rPr>
              <w:t>rpsL</w:t>
            </w:r>
            <w:r>
              <w:rPr>
                <w:b w:val="0"/>
                <w:color w:val="000000"/>
                <w:sz w:val="17"/>
              </w:rPr>
              <w:t>).</w:t>
            </w:r>
          </w:p>
          <w:p w14:paraId="7E3BAD11" w14:textId="77777777" w:rsidR="00366CB9" w:rsidRDefault="009D0C1D" w:rsidP="00457B0A">
            <w:pPr>
              <w:pStyle w:val="a6"/>
              <w:shd w:val="clear" w:color="auto" w:fill="auto"/>
              <w:spacing w:line="300" w:lineRule="auto"/>
              <w:rPr>
                <w:sz w:val="17"/>
                <w:szCs w:val="17"/>
              </w:rPr>
            </w:pPr>
            <w:r>
              <w:rPr>
                <w:b w:val="0"/>
                <w:color w:val="000000"/>
                <w:sz w:val="17"/>
              </w:rPr>
              <w:t>**RIF (</w:t>
            </w:r>
            <w:r>
              <w:rPr>
                <w:b w:val="0"/>
                <w:i/>
                <w:color w:val="000000"/>
                <w:sz w:val="17"/>
              </w:rPr>
              <w:t>rpoB</w:t>
            </w:r>
            <w:r>
              <w:rPr>
                <w:b w:val="0"/>
                <w:color w:val="000000"/>
                <w:sz w:val="17"/>
              </w:rPr>
              <w:t>), INH (</w:t>
            </w:r>
            <w:r>
              <w:rPr>
                <w:b w:val="0"/>
                <w:i/>
                <w:color w:val="000000"/>
                <w:sz w:val="17"/>
              </w:rPr>
              <w:t>fabG1</w:t>
            </w:r>
            <w:r>
              <w:rPr>
                <w:b w:val="0"/>
                <w:color w:val="000000"/>
                <w:sz w:val="17"/>
              </w:rPr>
              <w:t xml:space="preserve">, </w:t>
            </w:r>
            <w:r>
              <w:rPr>
                <w:b w:val="0"/>
                <w:i/>
                <w:color w:val="000000"/>
                <w:sz w:val="17"/>
              </w:rPr>
              <w:t>inhA</w:t>
            </w:r>
            <w:r>
              <w:rPr>
                <w:b w:val="0"/>
                <w:color w:val="000000"/>
                <w:sz w:val="17"/>
              </w:rPr>
              <w:t xml:space="preserve">, </w:t>
            </w:r>
            <w:r>
              <w:rPr>
                <w:b w:val="0"/>
                <w:i/>
                <w:color w:val="000000"/>
                <w:sz w:val="17"/>
              </w:rPr>
              <w:t>katG</w:t>
            </w:r>
            <w:r>
              <w:rPr>
                <w:b w:val="0"/>
                <w:color w:val="000000"/>
                <w:sz w:val="17"/>
              </w:rPr>
              <w:t>), PZA (</w:t>
            </w:r>
            <w:r>
              <w:rPr>
                <w:b w:val="0"/>
                <w:i/>
                <w:color w:val="000000"/>
                <w:sz w:val="17"/>
              </w:rPr>
              <w:t>pncA</w:t>
            </w:r>
            <w:r>
              <w:rPr>
                <w:b w:val="0"/>
                <w:color w:val="000000"/>
                <w:sz w:val="17"/>
              </w:rPr>
              <w:t>), FQ (</w:t>
            </w:r>
            <w:r>
              <w:rPr>
                <w:b w:val="0"/>
                <w:i/>
                <w:color w:val="000000"/>
                <w:sz w:val="17"/>
              </w:rPr>
              <w:t>gyrA</w:t>
            </w:r>
            <w:r>
              <w:rPr>
                <w:b w:val="0"/>
                <w:color w:val="000000"/>
                <w:sz w:val="17"/>
              </w:rPr>
              <w:t xml:space="preserve">, </w:t>
            </w:r>
            <w:r>
              <w:rPr>
                <w:b w:val="0"/>
                <w:i/>
                <w:color w:val="000000"/>
                <w:sz w:val="17"/>
              </w:rPr>
              <w:t>gyrB</w:t>
            </w:r>
            <w:r>
              <w:rPr>
                <w:b w:val="0"/>
                <w:color w:val="000000"/>
                <w:sz w:val="17"/>
              </w:rPr>
              <w:t>), BDQ (</w:t>
            </w:r>
            <w:r>
              <w:rPr>
                <w:b w:val="0"/>
                <w:i/>
                <w:color w:val="000000"/>
                <w:sz w:val="17"/>
              </w:rPr>
              <w:t>atpE</w:t>
            </w:r>
            <w:r>
              <w:rPr>
                <w:b w:val="0"/>
                <w:color w:val="000000"/>
                <w:sz w:val="17"/>
              </w:rPr>
              <w:t xml:space="preserve">, </w:t>
            </w:r>
            <w:r>
              <w:rPr>
                <w:b w:val="0"/>
                <w:i/>
                <w:color w:val="000000"/>
                <w:sz w:val="17"/>
              </w:rPr>
              <w:t>rv0678</w:t>
            </w:r>
            <w:r>
              <w:rPr>
                <w:b w:val="0"/>
                <w:color w:val="000000"/>
                <w:sz w:val="17"/>
              </w:rPr>
              <w:t xml:space="preserve">, </w:t>
            </w:r>
            <w:r>
              <w:rPr>
                <w:b w:val="0"/>
                <w:i/>
                <w:color w:val="000000"/>
                <w:sz w:val="17"/>
              </w:rPr>
              <w:t>atpE</w:t>
            </w:r>
            <w:r>
              <w:rPr>
                <w:b w:val="0"/>
                <w:color w:val="000000"/>
                <w:sz w:val="17"/>
              </w:rPr>
              <w:t>), LZD (</w:t>
            </w:r>
            <w:r>
              <w:rPr>
                <w:b w:val="0"/>
                <w:i/>
                <w:color w:val="000000"/>
                <w:sz w:val="17"/>
              </w:rPr>
              <w:t>rrl</w:t>
            </w:r>
            <w:r>
              <w:rPr>
                <w:b w:val="0"/>
                <w:color w:val="000000"/>
                <w:sz w:val="17"/>
              </w:rPr>
              <w:t xml:space="preserve">, </w:t>
            </w:r>
            <w:r>
              <w:rPr>
                <w:b w:val="0"/>
                <w:i/>
                <w:color w:val="000000"/>
                <w:sz w:val="17"/>
              </w:rPr>
              <w:t>rplC</w:t>
            </w:r>
            <w:r>
              <w:rPr>
                <w:b w:val="0"/>
                <w:color w:val="000000"/>
                <w:sz w:val="17"/>
              </w:rPr>
              <w:t>), CFZ (</w:t>
            </w:r>
            <w:r>
              <w:rPr>
                <w:b w:val="0"/>
                <w:i/>
                <w:color w:val="000000"/>
                <w:sz w:val="17"/>
              </w:rPr>
              <w:t>fbiA</w:t>
            </w:r>
            <w:r>
              <w:rPr>
                <w:b w:val="0"/>
                <w:color w:val="000000"/>
                <w:sz w:val="17"/>
              </w:rPr>
              <w:t xml:space="preserve">, </w:t>
            </w:r>
            <w:r>
              <w:rPr>
                <w:b w:val="0"/>
                <w:i/>
                <w:color w:val="000000"/>
                <w:sz w:val="17"/>
              </w:rPr>
              <w:t>fbiB</w:t>
            </w:r>
            <w:r>
              <w:rPr>
                <w:b w:val="0"/>
                <w:color w:val="000000"/>
                <w:sz w:val="17"/>
              </w:rPr>
              <w:t xml:space="preserve">, </w:t>
            </w:r>
            <w:r>
              <w:rPr>
                <w:b w:val="0"/>
                <w:i/>
                <w:color w:val="000000"/>
                <w:sz w:val="17"/>
              </w:rPr>
              <w:t>fbiC</w:t>
            </w:r>
            <w:r>
              <w:rPr>
                <w:b w:val="0"/>
                <w:color w:val="000000"/>
                <w:sz w:val="17"/>
              </w:rPr>
              <w:t xml:space="preserve">, </w:t>
            </w:r>
            <w:r>
              <w:rPr>
                <w:b w:val="0"/>
                <w:i/>
                <w:color w:val="000000"/>
                <w:sz w:val="17"/>
              </w:rPr>
              <w:t>fgd1</w:t>
            </w:r>
            <w:r>
              <w:rPr>
                <w:b w:val="0"/>
                <w:color w:val="000000"/>
                <w:sz w:val="17"/>
              </w:rPr>
              <w:t xml:space="preserve">, </w:t>
            </w:r>
            <w:r>
              <w:rPr>
                <w:b w:val="0"/>
                <w:i/>
                <w:color w:val="000000"/>
                <w:sz w:val="17"/>
              </w:rPr>
              <w:t>rv0678</w:t>
            </w:r>
            <w:r>
              <w:rPr>
                <w:b w:val="0"/>
                <w:color w:val="000000"/>
                <w:sz w:val="17"/>
              </w:rPr>
              <w:t>), AMK (</w:t>
            </w:r>
            <w:r>
              <w:rPr>
                <w:b w:val="0"/>
                <w:i/>
                <w:color w:val="000000"/>
                <w:sz w:val="17"/>
              </w:rPr>
              <w:t>rrs</w:t>
            </w:r>
            <w:r>
              <w:rPr>
                <w:b w:val="0"/>
                <w:color w:val="000000"/>
                <w:sz w:val="17"/>
              </w:rPr>
              <w:t xml:space="preserve">) та STR (gid, </w:t>
            </w:r>
            <w:r>
              <w:rPr>
                <w:b w:val="0"/>
                <w:i/>
                <w:color w:val="000000"/>
                <w:sz w:val="17"/>
              </w:rPr>
              <w:t>rpsL</w:t>
            </w:r>
            <w:r>
              <w:rPr>
                <w:b w:val="0"/>
                <w:color w:val="000000"/>
                <w:sz w:val="17"/>
              </w:rPr>
              <w:t xml:space="preserve">, </w:t>
            </w:r>
            <w:r>
              <w:rPr>
                <w:b w:val="0"/>
                <w:i/>
                <w:color w:val="000000"/>
                <w:sz w:val="17"/>
              </w:rPr>
              <w:t>rrs</w:t>
            </w:r>
            <w:r>
              <w:rPr>
                <w:b w:val="0"/>
                <w:color w:val="000000"/>
                <w:sz w:val="17"/>
              </w:rPr>
              <w:t>). Лікарські засоби: AMK: амікацин; BDQ: бедаквілін; CFZ: клофазимін; EMB: етамбутол; ETO: етіонамід; FQ: фторхінолон; INH: ізоніазид; LZD: лінезолід; PZA: піразинамід; RIF: рифампіцин; STR: стрептоміцин.</w:t>
            </w:r>
          </w:p>
        </w:tc>
      </w:tr>
    </w:tbl>
    <w:tbl>
      <w:tblPr>
        <w:tblOverlap w:val="never"/>
        <w:tblW w:w="0" w:type="auto"/>
        <w:tblLayout w:type="fixed"/>
        <w:tblCellMar>
          <w:left w:w="10" w:type="dxa"/>
          <w:right w:w="10" w:type="dxa"/>
        </w:tblCellMar>
        <w:tblLook w:val="0000" w:firstRow="0" w:lastRow="0" w:firstColumn="0" w:lastColumn="0" w:noHBand="0" w:noVBand="0"/>
      </w:tblPr>
      <w:tblGrid>
        <w:gridCol w:w="173"/>
      </w:tblGrid>
      <w:tr w:rsidR="00366CB9" w14:paraId="2750DC63" w14:textId="77777777">
        <w:trPr>
          <w:trHeight w:hRule="exact" w:val="586"/>
        </w:trPr>
        <w:tc>
          <w:tcPr>
            <w:tcW w:w="173" w:type="dxa"/>
            <w:shd w:val="clear" w:color="auto" w:fill="FFFFFF"/>
            <w:textDirection w:val="tbRl"/>
          </w:tcPr>
          <w:p w14:paraId="7CBE3053" w14:textId="77777777" w:rsidR="00366CB9" w:rsidRDefault="009D0C1D" w:rsidP="00425523">
            <w:pPr>
              <w:pStyle w:val="a6"/>
              <w:framePr w:w="173" w:h="5318" w:wrap="none" w:vAnchor="page" w:hAnchor="page" w:x="695" w:y="812"/>
              <w:shd w:val="clear" w:color="auto" w:fill="auto"/>
              <w:rPr>
                <w:sz w:val="15"/>
                <w:szCs w:val="15"/>
              </w:rPr>
            </w:pPr>
            <w:r>
              <w:rPr>
                <w:b w:val="0"/>
                <w:color w:val="019648"/>
                <w:sz w:val="15"/>
              </w:rPr>
              <w:t>30</w:t>
            </w:r>
          </w:p>
        </w:tc>
      </w:tr>
      <w:tr w:rsidR="00366CB9" w14:paraId="404EB6DC" w14:textId="77777777" w:rsidTr="002947ED">
        <w:trPr>
          <w:trHeight w:hRule="exact" w:val="5220"/>
        </w:trPr>
        <w:tc>
          <w:tcPr>
            <w:tcW w:w="173" w:type="dxa"/>
            <w:shd w:val="clear" w:color="auto" w:fill="FFFFFF"/>
            <w:textDirection w:val="tbRl"/>
          </w:tcPr>
          <w:p w14:paraId="64237BBC" w14:textId="77777777" w:rsidR="00366CB9" w:rsidRDefault="009D0C1D" w:rsidP="00425523">
            <w:pPr>
              <w:pStyle w:val="a6"/>
              <w:framePr w:w="173" w:h="5318" w:wrap="none" w:vAnchor="page" w:hAnchor="page" w:x="695" w:y="812"/>
              <w:shd w:val="clear" w:color="auto" w:fill="auto"/>
              <w:rPr>
                <w:sz w:val="15"/>
                <w:szCs w:val="15"/>
              </w:rPr>
            </w:pPr>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p>
        </w:tc>
      </w:tr>
    </w:tbl>
    <w:p w14:paraId="26C9EE6A" w14:textId="77777777" w:rsidR="00366CB9" w:rsidRDefault="00366CB9" w:rsidP="00425523">
      <w:pPr>
        <w:spacing w:line="1" w:lineRule="exact"/>
        <w:sectPr w:rsidR="00366CB9" w:rsidSect="00457B0A">
          <w:footerReference w:type="even" r:id="rId55"/>
          <w:type w:val="nextColumn"/>
          <w:pgSz w:w="16840" w:h="11913" w:orient="landscape"/>
          <w:pgMar w:top="1412" w:right="1298" w:bottom="851" w:left="1514" w:header="0" w:footer="6" w:gutter="0"/>
          <w:paperSrc w:first="15" w:other="15"/>
          <w:cols w:space="720"/>
          <w:noEndnote/>
          <w:docGrid w:linePitch="360"/>
        </w:sectPr>
      </w:pPr>
    </w:p>
    <w:p w14:paraId="2BCC1FD7" w14:textId="0A00E238"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14:paraId="35395D42" w14:textId="77777777" w:rsidTr="00E80D3A">
        <w:trPr>
          <w:trHeight w:hRule="exact" w:val="3628"/>
        </w:trPr>
        <w:tc>
          <w:tcPr>
            <w:tcW w:w="9106" w:type="dxa"/>
            <w:shd w:val="clear" w:color="auto" w:fill="FFFFFF"/>
          </w:tcPr>
          <w:p w14:paraId="50EE51F2" w14:textId="77777777" w:rsidR="00366CB9" w:rsidRDefault="009D0C1D" w:rsidP="00457B0A">
            <w:pPr>
              <w:pStyle w:val="a6"/>
              <w:shd w:val="clear" w:color="auto" w:fill="auto"/>
              <w:spacing w:after="200"/>
              <w:jc w:val="both"/>
            </w:pPr>
            <w:r>
              <w:rPr>
                <w:b w:val="0"/>
                <w:color w:val="019648"/>
              </w:rPr>
              <w:t>2.4.1 LC-aNAAT для виявлення резистентності до INH та протитуберкульозних препаратів другої лінії</w:t>
            </w:r>
          </w:p>
          <w:p w14:paraId="61CA9EC2" w14:textId="77777777" w:rsidR="00366CB9" w:rsidRDefault="009D0C1D" w:rsidP="00457B0A">
            <w:pPr>
              <w:pStyle w:val="a6"/>
              <w:shd w:val="clear" w:color="auto" w:fill="auto"/>
              <w:spacing w:line="324" w:lineRule="auto"/>
              <w:jc w:val="both"/>
              <w:rPr>
                <w:sz w:val="20"/>
                <w:szCs w:val="20"/>
              </w:rPr>
            </w:pPr>
            <w:bookmarkStart w:id="50" w:name="bookmark47"/>
            <w:r w:rsidRPr="00E80D3A">
              <w:rPr>
                <w:b w:val="0"/>
                <w:color w:val="000000"/>
                <w:sz w:val="18"/>
                <w:szCs w:val="24"/>
              </w:rPr>
              <w:t>«Першим за класом» продуктом для LC-aNAAT для виявлення резистентності до INH та протитуберкульозних препаратів другої лінії був аналіз Xpert MTB/XDR (Cepheid, м. Саннівейл, США); клас визначено у консолідованих настановах (</w:t>
            </w:r>
            <w:hyperlink w:anchor="bookmark193" w:tooltip="Поточний документ">
              <w:r w:rsidR="00366CB9" w:rsidRPr="00E80D3A">
                <w:rPr>
                  <w:b w:val="0"/>
                  <w:color w:val="000000"/>
                  <w:sz w:val="18"/>
                  <w:szCs w:val="24"/>
                </w:rPr>
                <w:t>5</w:t>
              </w:r>
            </w:hyperlink>
            <w:r w:rsidRPr="00E80D3A">
              <w:rPr>
                <w:b w:val="0"/>
                <w:color w:val="000000"/>
                <w:sz w:val="18"/>
                <w:szCs w:val="24"/>
              </w:rPr>
              <w:t xml:space="preserve">) та у </w:t>
            </w:r>
            <w:hyperlink w:anchor="bookmark35" w:tooltip="Поточний документ">
              <w:r w:rsidR="00366CB9" w:rsidRPr="00E80D3A">
                <w:rPr>
                  <w:color w:val="000000"/>
                  <w:sz w:val="18"/>
                  <w:szCs w:val="24"/>
                </w:rPr>
                <w:t>Таблиці 2.3</w:t>
              </w:r>
            </w:hyperlink>
            <w:r w:rsidRPr="00E80D3A">
              <w:rPr>
                <w:b w:val="0"/>
                <w:color w:val="000000"/>
                <w:sz w:val="18"/>
                <w:szCs w:val="24"/>
              </w:rPr>
              <w:t>. Цей тест передбачає картридж, розроблений для приладів GeneXpert, для виявлення резистентності до INH, FQ, ETO та ін’єкційних препаратів другої лінії (наприклад, AMK). На відміну від аналізів Xpert MTB/RIF та Xpert Ultra, що проводяться на приладі GeneXpert, що виявляє шість кольорів, для тесту XDR потрібен 10-кольоровий модуль GeneXpert. Можна поєднати 6- та 10-кольорові системи через один комп’ютер або замінити один 6-кольоровий модуль на приладі на 10-кольоровий модуль. Поточні рекомендації ВООЗ щодо картриджу Xpert Ultra на 6-колірних приладах GeneXpert також можна застосовувати до 10-колірних приладів GeneXpert (</w:t>
            </w:r>
            <w:hyperlink w:anchor="bookmark196" w:tooltip="Поточний документ">
              <w:r w:rsidR="00366CB9" w:rsidRPr="00E80D3A">
                <w:rPr>
                  <w:b w:val="0"/>
                  <w:color w:val="000000"/>
                  <w:sz w:val="18"/>
                  <w:szCs w:val="24"/>
                </w:rPr>
                <w:t>21</w:t>
              </w:r>
            </w:hyperlink>
            <w:r w:rsidRPr="00E80D3A">
              <w:rPr>
                <w:b w:val="0"/>
                <w:color w:val="000000"/>
                <w:sz w:val="18"/>
                <w:szCs w:val="24"/>
              </w:rPr>
              <w:t>) (</w:t>
            </w:r>
            <w:hyperlink w:anchor="bookmark47" w:tooltip="Поточний документ">
              <w:r w:rsidR="00366CB9" w:rsidRPr="00E80D3A">
                <w:rPr>
                  <w:color w:val="000000"/>
                  <w:sz w:val="18"/>
                  <w:szCs w:val="24"/>
                </w:rPr>
                <w:t>Вставка 2.5</w:t>
              </w:r>
            </w:hyperlink>
            <w:r w:rsidRPr="00E80D3A">
              <w:rPr>
                <w:b w:val="0"/>
                <w:color w:val="000000"/>
                <w:sz w:val="18"/>
                <w:szCs w:val="24"/>
              </w:rPr>
              <w:t>).</w:t>
            </w:r>
            <w:bookmarkEnd w:id="50"/>
          </w:p>
        </w:tc>
      </w:tr>
      <w:tr w:rsidR="00366CB9" w14:paraId="55335F82" w14:textId="77777777">
        <w:trPr>
          <w:trHeight w:hRule="exact" w:val="8083"/>
        </w:trPr>
        <w:tc>
          <w:tcPr>
            <w:tcW w:w="9106" w:type="dxa"/>
            <w:shd w:val="clear" w:color="auto" w:fill="FFFFFF"/>
          </w:tcPr>
          <w:p w14:paraId="74BB6C37" w14:textId="63D0A7B2" w:rsidR="00366CB9" w:rsidRDefault="002947ED" w:rsidP="00457B0A">
            <w:pPr>
              <w:rPr>
                <w:sz w:val="2"/>
                <w:szCs w:val="2"/>
              </w:rPr>
            </w:pPr>
            <w:r>
              <w:rPr>
                <w:noProof/>
              </w:rPr>
              <mc:AlternateContent>
                <mc:Choice Requires="wps">
                  <w:drawing>
                    <wp:anchor distT="0" distB="0" distL="114300" distR="114300" simplePos="0" relativeHeight="251484160" behindDoc="0" locked="0" layoutInCell="1" allowOverlap="1" wp14:anchorId="748DF27E" wp14:editId="352B5597">
                      <wp:simplePos x="0" y="0"/>
                      <wp:positionH relativeFrom="column">
                        <wp:posOffset>97790</wp:posOffset>
                      </wp:positionH>
                      <wp:positionV relativeFrom="paragraph">
                        <wp:posOffset>191135</wp:posOffset>
                      </wp:positionV>
                      <wp:extent cx="4206240" cy="502920"/>
                      <wp:effectExtent l="0" t="0" r="3810" b="0"/>
                      <wp:wrapNone/>
                      <wp:docPr id="1873266944" name="Прямокутник 2"/>
                      <wp:cNvGraphicFramePr/>
                      <a:graphic xmlns:a="http://schemas.openxmlformats.org/drawingml/2006/main">
                        <a:graphicData uri="http://schemas.microsoft.com/office/word/2010/wordprocessingShape">
                          <wps:wsp>
                            <wps:cNvSpPr/>
                            <wps:spPr>
                              <a:xfrm>
                                <a:off x="0" y="0"/>
                                <a:ext cx="4206240" cy="502920"/>
                              </a:xfrm>
                              <a:prstGeom prst="rect">
                                <a:avLst/>
                              </a:prstGeom>
                              <a:solidFill>
                                <a:srgbClr val="009649"/>
                              </a:solidFill>
                            </wps:spPr>
                            <wps:txbx>
                              <w:txbxContent>
                                <w:p w14:paraId="4461FED9" w14:textId="77777777" w:rsidR="009D0C1D" w:rsidRPr="0079021A" w:rsidRDefault="009D0C1D" w:rsidP="00454445">
                                  <w:pPr>
                                    <w:spacing w:line="312" w:lineRule="auto"/>
                                    <w:rPr>
                                      <w:rFonts w:eastAsia="+mn-ea" w:cs="+mn-cs"/>
                                      <w:b/>
                                      <w:bCs/>
                                      <w:color w:val="FFFFFF"/>
                                      <w:kern w:val="24"/>
                                      <w:sz w:val="20"/>
                                      <w:szCs w:val="20"/>
                                    </w:rPr>
                                  </w:pPr>
                                  <w:r>
                                    <w:rPr>
                                      <w:b/>
                                      <w:color w:val="FFFFFF"/>
                                      <w:sz w:val="20"/>
                                    </w:rPr>
                                    <w:t>Вставка 2.5. Рекомендації ВООЗ щодо LC-aNAAT для виявлення резистентності до INH та протитуберкульозних препаратів другої лінії</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48DF27E" id="_x0000_s1104" style="position:absolute;margin-left:7.7pt;margin-top:15.05pt;width:331.2pt;height:39.6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" fillcolor="#009649" stroked="f">
                      <v:textbox inset="0,0,0,0">
                        <w:txbxContent>
                          <w:p w14:paraId="4461FED9" w14:textId="77777777" w:rsidR="009D0C1D" w:rsidRPr="0079021A" w:rsidRDefault="009D0C1D" w:rsidP="00454445">
                            <w:pPr>
                              <w:spacing w:line="312" w:lineRule="auto"/>
                              <w:rPr>
                                <w:rFonts w:eastAsia="+mn-ea" w:cs="+mn-cs"/>
                                <w:b/>
                                <w:bCs/>
                                <w:color w:val="FFFFFF"/>
                                <w:kern w:val="24"/>
                                <w:sz w:val="20"/>
                                <w:szCs w:val="20"/>
                              </w:rPr>
                            </w:pPr>
                            <w:r>
                              <w:rPr>
                                <w:b/>
                                <w:color w:val="FFFFFF"/>
                                <w:sz w:val="20"/>
                              </w:rPr>
                              <w:t>Вставка 2.5. Рекомендації ВООЗ щодо LC-aNAAT для виявлення резистентності до INH та протитуберкульозних препаратів другої лінії</w:t>
                            </w:r>
                          </w:p>
                        </w:txbxContent>
                      </v:textbox>
                    </v:rect>
                  </w:pict>
                </mc:Fallback>
              </mc:AlternateContent>
            </w:r>
            <w:r w:rsidR="00454445">
              <w:rPr>
                <w:noProof/>
              </w:rPr>
              <mc:AlternateContent>
                <mc:Choice Requires="wps">
                  <w:drawing>
                    <wp:anchor distT="0" distB="0" distL="114300" distR="114300" simplePos="0" relativeHeight="251485184" behindDoc="0" locked="0" layoutInCell="1" allowOverlap="1" wp14:anchorId="0CE87767" wp14:editId="2AB87B8A">
                      <wp:simplePos x="0" y="0"/>
                      <wp:positionH relativeFrom="column">
                        <wp:posOffset>300990</wp:posOffset>
                      </wp:positionH>
                      <wp:positionV relativeFrom="paragraph">
                        <wp:posOffset>832485</wp:posOffset>
                      </wp:positionV>
                      <wp:extent cx="5236210" cy="4099560"/>
                      <wp:effectExtent l="0" t="0" r="2540" b="0"/>
                      <wp:wrapNone/>
                      <wp:docPr id="1279355149" name="Прямокутник 3"/>
                      <wp:cNvGraphicFramePr/>
                      <a:graphic xmlns:a="http://schemas.openxmlformats.org/drawingml/2006/main">
                        <a:graphicData uri="http://schemas.microsoft.com/office/word/2010/wordprocessingShape">
                          <wps:wsp>
                            <wps:cNvSpPr/>
                            <wps:spPr>
                              <a:xfrm>
                                <a:off x="0" y="0"/>
                                <a:ext cx="5236210" cy="4099560"/>
                              </a:xfrm>
                              <a:prstGeom prst="rect">
                                <a:avLst/>
                              </a:prstGeom>
                              <a:solidFill>
                                <a:srgbClr val="C4E1CF"/>
                              </a:solidFill>
                            </wps:spPr>
                            <wps:txbx>
                              <w:txbxContent>
                                <w:p w14:paraId="440055A7" w14:textId="77777777" w:rsidR="009D0C1D" w:rsidRDefault="009D0C1D" w:rsidP="00454445">
                                  <w:pPr>
                                    <w:spacing w:after="56" w:line="314" w:lineRule="auto"/>
                                    <w:jc w:val="both"/>
                                    <w:rPr>
                                      <w:rFonts w:eastAsia="+mn-ea" w:cs="+mn-cs"/>
                                      <w:kern w:val="24"/>
                                      <w:sz w:val="20"/>
                                      <w:szCs w:val="20"/>
                                    </w:rPr>
                                  </w:pPr>
                                  <w:r>
                                    <w:rPr>
                                      <w:sz w:val="20"/>
                                    </w:rPr>
                                    <w:t>Для осіб з бактеріологічно підтвердженим ТБ легень для початкового виявлення резистентності до ізоніазиду та фторхінолонів на мокротинні мають застосовуватись автоматизовані NAAT низької складності, а не культуральне фенотипове ТМЧ.</w:t>
                                  </w:r>
                                </w:p>
                                <w:p w14:paraId="5BE2CCE5" w14:textId="77777777" w:rsidR="009D0C1D" w:rsidRPr="00356397" w:rsidRDefault="009D0C1D" w:rsidP="00454445">
                                  <w:pPr>
                                    <w:spacing w:after="98" w:line="314" w:lineRule="auto"/>
                                    <w:jc w:val="both"/>
                                    <w:rPr>
                                      <w:rFonts w:eastAsia="+mn-ea" w:cs="+mn-cs"/>
                                      <w:i/>
                                      <w:iCs/>
                                      <w:kern w:val="24"/>
                                      <w:sz w:val="20"/>
                                      <w:szCs w:val="20"/>
                                    </w:rPr>
                                  </w:pPr>
                                  <w:r>
                                    <w:rPr>
                                      <w:i/>
                                      <w:sz w:val="20"/>
                                    </w:rPr>
                                    <w:t>(Умовна рекомендація, середній рівень достовірності доказів)</w:t>
                                  </w:r>
                                </w:p>
                                <w:p w14:paraId="26DB563E" w14:textId="77777777" w:rsidR="009D0C1D" w:rsidRDefault="009D0C1D" w:rsidP="00454445">
                                  <w:pPr>
                                    <w:spacing w:after="56" w:line="314" w:lineRule="auto"/>
                                    <w:jc w:val="both"/>
                                    <w:rPr>
                                      <w:rFonts w:eastAsia="+mn-ea" w:cs="+mn-cs"/>
                                      <w:kern w:val="24"/>
                                      <w:sz w:val="20"/>
                                      <w:szCs w:val="20"/>
                                    </w:rPr>
                                  </w:pPr>
                                  <w:r>
                                    <w:rPr>
                                      <w:sz w:val="20"/>
                                    </w:rPr>
                                    <w:t>Для осіб з бактеріологічно підтвердженим ТБ легень та резистентністю до рифампіцину для початкового виявлення резистентності до етіонаміду на мокротинні мають застосовуватись автоматизовані NAAT низької складності, а не секвенування ДНК промотора inhA.</w:t>
                                  </w:r>
                                </w:p>
                                <w:p w14:paraId="47885553" w14:textId="77777777" w:rsidR="009D0C1D" w:rsidRDefault="009D0C1D" w:rsidP="00454445">
                                  <w:pPr>
                                    <w:spacing w:after="98" w:line="314" w:lineRule="auto"/>
                                    <w:jc w:val="both"/>
                                    <w:rPr>
                                      <w:rFonts w:eastAsia="+mn-ea" w:cs="+mn-cs"/>
                                      <w:kern w:val="24"/>
                                      <w:sz w:val="20"/>
                                      <w:szCs w:val="20"/>
                                    </w:rPr>
                                  </w:pPr>
                                  <w:r>
                                    <w:rPr>
                                      <w:i/>
                                      <w:sz w:val="20"/>
                                    </w:rPr>
                                    <w:t>(Умовна рекомендація, дуже низький рівень достовірності доказів)</w:t>
                                  </w:r>
                                </w:p>
                                <w:p w14:paraId="543E31F5" w14:textId="77777777" w:rsidR="009D0C1D" w:rsidRDefault="009D0C1D" w:rsidP="00454445">
                                  <w:pPr>
                                    <w:spacing w:after="56" w:line="314" w:lineRule="auto"/>
                                    <w:jc w:val="both"/>
                                    <w:rPr>
                                      <w:rFonts w:eastAsia="+mn-ea" w:cs="+mn-cs"/>
                                      <w:kern w:val="24"/>
                                      <w:sz w:val="20"/>
                                      <w:szCs w:val="20"/>
                                    </w:rPr>
                                  </w:pPr>
                                  <w:r>
                                    <w:rPr>
                                      <w:sz w:val="20"/>
                                    </w:rPr>
                                    <w:t>Для осіб з бактеріологічно підтвердженим ТБ легень та резистентністю до рифампіцину для початкового виявлення резистентності до амікацину на мокротинні мають застосовуватись автоматизовані NAAT низької складності, а не культуральне фенотипове ТМЧ.</w:t>
                                  </w:r>
                                </w:p>
                                <w:p w14:paraId="710F77EA" w14:textId="77777777" w:rsidR="009D0C1D" w:rsidRDefault="009D0C1D" w:rsidP="00454445">
                                  <w:pPr>
                                    <w:spacing w:after="98" w:line="314" w:lineRule="auto"/>
                                    <w:jc w:val="both"/>
                                    <w:rPr>
                                      <w:rFonts w:eastAsia="+mn-ea" w:cs="+mn-cs"/>
                                      <w:kern w:val="24"/>
                                      <w:sz w:val="20"/>
                                      <w:szCs w:val="20"/>
                                    </w:rPr>
                                  </w:pPr>
                                  <w:r>
                                    <w:rPr>
                                      <w:i/>
                                      <w:sz w:val="20"/>
                                    </w:rPr>
                                    <w:t>(Умовна рекомендація, низький рівень достовірності доказів)</w:t>
                                  </w:r>
                                </w:p>
                                <w:p w14:paraId="79784C22" w14:textId="77777777" w:rsidR="009D0C1D" w:rsidRDefault="009D0C1D" w:rsidP="00454445">
                                  <w:pPr>
                                    <w:spacing w:after="56" w:line="314" w:lineRule="auto"/>
                                    <w:jc w:val="both"/>
                                    <w:rPr>
                                      <w:rFonts w:eastAsia="+mn-ea" w:cs="+mn-cs"/>
                                      <w:kern w:val="24"/>
                                      <w:sz w:val="20"/>
                                      <w:szCs w:val="20"/>
                                    </w:rPr>
                                  </w:pPr>
                                  <w:r>
                                    <w:rPr>
                                      <w:sz w:val="20"/>
                                    </w:rPr>
                                    <w:t>Примітки:</w:t>
                                  </w:r>
                                </w:p>
                                <w:p w14:paraId="170DA592" w14:textId="5FF3CF9B"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Ці рекомендації засновані на доказах діагностичної точності мокротиння дорослих з бактеріологічно підтвердженим ТБ легень, з резистентністю до RIF або без неї.</w:t>
                                  </w:r>
                                </w:p>
                                <w:p w14:paraId="01959734" w14:textId="3CBD8CBF" w:rsidR="009D0C1D" w:rsidRDefault="009D0C1D" w:rsidP="00454445">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Рекомендацію екстрапольовано на підлітків та дітей на основі узагальнення даних, отриманих від дорослих.</w:t>
                                  </w:r>
                                </w:p>
                              </w:txbxContent>
                            </wps:txbx>
                            <wps:bodyPr lIns="0" tIns="0" rIns="0" bIns="0">
                              <a:noAutofit/>
                            </wps:bodyPr>
                          </wps:wsp>
                        </a:graphicData>
                      </a:graphic>
                    </wp:anchor>
                  </w:drawing>
                </mc:Choice>
                <mc:Fallback>
                  <w:pict>
                    <v:rect w14:anchorId="0CE87767" id="_x0000_s1105" style="position:absolute;margin-left:23.7pt;margin-top:65.55pt;width:412.3pt;height:322.8pt;z-index:25148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" fillcolor="#c4e1cf" stroked="f">
                      <v:textbox inset="0,0,0,0">
                        <w:txbxContent>
                          <w:p w14:paraId="440055A7" w14:textId="77777777" w:rsidR="009D0C1D" w:rsidRDefault="009D0C1D" w:rsidP="00454445">
                            <w:pPr>
                              <w:spacing w:after="56" w:line="314" w:lineRule="auto"/>
                              <w:jc w:val="both"/>
                              <w:rPr>
                                <w:rFonts w:eastAsia="+mn-ea" w:cs="+mn-cs"/>
                                <w:kern w:val="24"/>
                                <w:sz w:val="20"/>
                                <w:szCs w:val="20"/>
                              </w:rPr>
                            </w:pPr>
                            <w:r>
                              <w:rPr>
                                <w:sz w:val="20"/>
                              </w:rPr>
                              <w:t>Для осіб з бактеріологічно підтвердженим ТБ легень для початкового виявлення резистентності до ізоніазиду та фторхінолонів на мокротинні мають застосовуватись автоматизовані NAAT низької складності, а не культуральне фенотипове ТМЧ.</w:t>
                            </w:r>
                          </w:p>
                          <w:p w14:paraId="5BE2CCE5" w14:textId="77777777" w:rsidR="009D0C1D" w:rsidRPr="00356397" w:rsidRDefault="009D0C1D" w:rsidP="00454445">
                            <w:pPr>
                              <w:spacing w:after="98" w:line="314" w:lineRule="auto"/>
                              <w:jc w:val="both"/>
                              <w:rPr>
                                <w:rFonts w:eastAsia="+mn-ea" w:cs="+mn-cs"/>
                                <w:i/>
                                <w:iCs/>
                                <w:kern w:val="24"/>
                                <w:sz w:val="20"/>
                                <w:szCs w:val="20"/>
                              </w:rPr>
                            </w:pPr>
                            <w:r>
                              <w:rPr>
                                <w:i/>
                                <w:sz w:val="20"/>
                              </w:rPr>
                              <w:t>(Умовна рекомендація, середній рівень достовірності доказів)</w:t>
                            </w:r>
                          </w:p>
                          <w:p w14:paraId="26DB563E" w14:textId="77777777" w:rsidR="009D0C1D" w:rsidRDefault="009D0C1D" w:rsidP="00454445">
                            <w:pPr>
                              <w:spacing w:after="56" w:line="314" w:lineRule="auto"/>
                              <w:jc w:val="both"/>
                              <w:rPr>
                                <w:rFonts w:eastAsia="+mn-ea" w:cs="+mn-cs"/>
                                <w:kern w:val="24"/>
                                <w:sz w:val="20"/>
                                <w:szCs w:val="20"/>
                              </w:rPr>
                            </w:pPr>
                            <w:r>
                              <w:rPr>
                                <w:sz w:val="20"/>
                              </w:rPr>
                              <w:t>Для осіб з бактеріологічно підтвердженим ТБ легень та резистентністю до рифампіцину для початкового виявлення резистентності до етіонаміду на мокротинні мають застосовуватись автоматизовані NAAT низької складності, а не секвенування ДНК промотора inhA.</w:t>
                            </w:r>
                          </w:p>
                          <w:p w14:paraId="47885553" w14:textId="77777777" w:rsidR="009D0C1D" w:rsidRDefault="009D0C1D" w:rsidP="00454445">
                            <w:pPr>
                              <w:spacing w:after="98" w:line="314" w:lineRule="auto"/>
                              <w:jc w:val="both"/>
                              <w:rPr>
                                <w:rFonts w:eastAsia="+mn-ea" w:cs="+mn-cs"/>
                                <w:kern w:val="24"/>
                                <w:sz w:val="20"/>
                                <w:szCs w:val="20"/>
                              </w:rPr>
                            </w:pPr>
                            <w:r>
                              <w:rPr>
                                <w:i/>
                                <w:sz w:val="20"/>
                              </w:rPr>
                              <w:t>(Умовна рекомендація, дуже низький рівень достовірності доказів)</w:t>
                            </w:r>
                          </w:p>
                          <w:p w14:paraId="543E31F5" w14:textId="77777777" w:rsidR="009D0C1D" w:rsidRDefault="009D0C1D" w:rsidP="00454445">
                            <w:pPr>
                              <w:spacing w:after="56" w:line="314" w:lineRule="auto"/>
                              <w:jc w:val="both"/>
                              <w:rPr>
                                <w:rFonts w:eastAsia="+mn-ea" w:cs="+mn-cs"/>
                                <w:kern w:val="24"/>
                                <w:sz w:val="20"/>
                                <w:szCs w:val="20"/>
                              </w:rPr>
                            </w:pPr>
                            <w:r>
                              <w:rPr>
                                <w:sz w:val="20"/>
                              </w:rPr>
                              <w:t>Для осіб з бактеріологічно підтвердженим ТБ легень та резистентністю до рифампіцину для початкового виявлення резистентності до амікацину на мокротинні мають застосовуватись автоматизовані NAAT низької складності, а не культуральне фенотипове ТМЧ.</w:t>
                            </w:r>
                          </w:p>
                          <w:p w14:paraId="710F77EA" w14:textId="77777777" w:rsidR="009D0C1D" w:rsidRDefault="009D0C1D" w:rsidP="00454445">
                            <w:pPr>
                              <w:spacing w:after="98" w:line="314" w:lineRule="auto"/>
                              <w:jc w:val="both"/>
                              <w:rPr>
                                <w:rFonts w:eastAsia="+mn-ea" w:cs="+mn-cs"/>
                                <w:kern w:val="24"/>
                                <w:sz w:val="20"/>
                                <w:szCs w:val="20"/>
                              </w:rPr>
                            </w:pPr>
                            <w:r>
                              <w:rPr>
                                <w:i/>
                                <w:sz w:val="20"/>
                              </w:rPr>
                              <w:t>(Умовна рекомендація, низький рівень достовірності доказів)</w:t>
                            </w:r>
                          </w:p>
                          <w:p w14:paraId="79784C22" w14:textId="77777777" w:rsidR="009D0C1D" w:rsidRDefault="009D0C1D" w:rsidP="00454445">
                            <w:pPr>
                              <w:spacing w:after="56" w:line="314" w:lineRule="auto"/>
                              <w:jc w:val="both"/>
                              <w:rPr>
                                <w:rFonts w:eastAsia="+mn-ea" w:cs="+mn-cs"/>
                                <w:kern w:val="24"/>
                                <w:sz w:val="20"/>
                                <w:szCs w:val="20"/>
                              </w:rPr>
                            </w:pPr>
                            <w:r>
                              <w:rPr>
                                <w:sz w:val="20"/>
                              </w:rPr>
                              <w:t>Примітки:</w:t>
                            </w:r>
                          </w:p>
                          <w:p w14:paraId="170DA592" w14:textId="5FF3CF9B"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Ці рекомендації засновані на доказах діагностичної точності мокротиння дорослих з бактеріологічно підтвердженим ТБ легень, з резистентністю до RIF або без неї.</w:t>
                            </w:r>
                          </w:p>
                          <w:p w14:paraId="01959734" w14:textId="3CBD8CBF" w:rsidR="009D0C1D" w:rsidRDefault="009D0C1D" w:rsidP="00454445">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Рекомендацію екстрапольовано на підлітків та дітей на основі узагальнення даних, отриманих від дорослих.</w:t>
                            </w:r>
                          </w:p>
                        </w:txbxContent>
                      </v:textbox>
                    </v:rect>
                  </w:pict>
                </mc:Fallback>
              </mc:AlternateContent>
            </w:r>
            <w:r w:rsidR="00454445">
              <w:rPr>
                <w:noProof/>
              </w:rPr>
              <w:drawing>
                <wp:inline distT="0" distB="0" distL="0" distR="0" wp14:anchorId="53713D66" wp14:editId="29D4E297">
                  <wp:extent cx="5782310" cy="513270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6"/>
                          <a:stretch/>
                        </pic:blipFill>
                        <pic:spPr>
                          <a:xfrm>
                            <a:off x="0" y="0"/>
                            <a:ext cx="5782310" cy="5132705"/>
                          </a:xfrm>
                          <a:prstGeom prst="rect">
                            <a:avLst/>
                          </a:prstGeom>
                        </pic:spPr>
                      </pic:pic>
                    </a:graphicData>
                  </a:graphic>
                </wp:inline>
              </w:drawing>
            </w:r>
          </w:p>
        </w:tc>
      </w:tr>
    </w:tbl>
    <w:p w14:paraId="2EE3DCDD" w14:textId="434AEFD4" w:rsidR="00366CB9" w:rsidRDefault="00366CB9" w:rsidP="00425523">
      <w:pPr>
        <w:spacing w:line="1" w:lineRule="exact"/>
        <w:sectPr w:rsidR="00366CB9" w:rsidSect="00457B0A">
          <w:footerReference w:type="default" r:id="rId57"/>
          <w:pgSz w:w="11913" w:h="16840"/>
          <w:pgMar w:top="1469" w:right="1378" w:bottom="851" w:left="1372" w:header="0" w:footer="6" w:gutter="0"/>
          <w:paperSrc w:first="15" w:other="15"/>
          <w:cols w:space="720"/>
          <w:noEndnote/>
          <w:docGrid w:linePitch="360"/>
        </w:sectPr>
      </w:pPr>
    </w:p>
    <w:p w14:paraId="769CCD91" w14:textId="0A58C8B9"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14:paraId="7684C8FB" w14:textId="77777777">
        <w:trPr>
          <w:trHeight w:hRule="exact" w:val="4272"/>
        </w:trPr>
        <w:tc>
          <w:tcPr>
            <w:tcW w:w="9106" w:type="dxa"/>
            <w:shd w:val="clear" w:color="auto" w:fill="FFFFFF"/>
          </w:tcPr>
          <w:p w14:paraId="78873839" w14:textId="50D23D87" w:rsidR="00366CB9" w:rsidRDefault="00454445" w:rsidP="00457B0A">
            <w:pPr>
              <w:rPr>
                <w:sz w:val="2"/>
                <w:szCs w:val="2"/>
              </w:rPr>
            </w:pPr>
            <w:r>
              <w:rPr>
                <w:noProof/>
              </w:rPr>
              <mc:AlternateContent>
                <mc:Choice Requires="wps">
                  <w:drawing>
                    <wp:anchor distT="0" distB="0" distL="114300" distR="114300" simplePos="0" relativeHeight="251486208" behindDoc="0" locked="0" layoutInCell="1" allowOverlap="1" wp14:anchorId="71434C2F" wp14:editId="677A75BF">
                      <wp:simplePos x="0" y="0"/>
                      <wp:positionH relativeFrom="column">
                        <wp:posOffset>323909</wp:posOffset>
                      </wp:positionH>
                      <wp:positionV relativeFrom="paragraph">
                        <wp:posOffset>246764</wp:posOffset>
                      </wp:positionV>
                      <wp:extent cx="5236210" cy="2094614"/>
                      <wp:effectExtent l="0" t="0" r="2540" b="1270"/>
                      <wp:wrapNone/>
                      <wp:docPr id="775403005" name="Прямокутник 2"/>
                      <wp:cNvGraphicFramePr/>
                      <a:graphic xmlns:a="http://schemas.openxmlformats.org/drawingml/2006/main">
                        <a:graphicData uri="http://schemas.microsoft.com/office/word/2010/wordprocessingShape">
                          <wps:wsp>
                            <wps:cNvSpPr/>
                            <wps:spPr>
                              <a:xfrm>
                                <a:off x="0" y="0"/>
                                <a:ext cx="5236210" cy="2094614"/>
                              </a:xfrm>
                              <a:prstGeom prst="rect">
                                <a:avLst/>
                              </a:prstGeom>
                              <a:solidFill>
                                <a:srgbClr val="C6E0CE"/>
                              </a:solidFill>
                            </wps:spPr>
                            <wps:txbx>
                              <w:txbxContent>
                                <w:p w14:paraId="57033967" w14:textId="0BFAD32B" w:rsidR="009D0C1D" w:rsidRDefault="009D0C1D" w:rsidP="00454445">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Рекомендації застосовуються до людей, які живуть з ВІЛ (дослідження включали різну частку таких осіб); не були представлені дані, стратифіковані за ВІЛ-статусом.</w:t>
                                  </w:r>
                                </w:p>
                                <w:p w14:paraId="31BE01A1" w14:textId="61A6E163"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Рекомендації екстрапольовано на осіб з позалегеневим ТБ, а тестування зразків без мокротиння впливало на достовірність доказів. Комісія не оцінила точність тестування безпосередньо у зразках, відмінних від мокротиння, зокрема у дітей; проте екстраполяція була визнана доцільною, оскільки ВООЗ має рекомендації щодо подібних технологій для використання на зразках, відмінних від мокротиння (наприклад, Xpert MTB/RIF та Xpert Ultra).</w:t>
                                  </w:r>
                                </w:p>
                                <w:p w14:paraId="615155D4" w14:textId="3A181C12" w:rsidR="009D0C1D" w:rsidRDefault="009D0C1D" w:rsidP="00454445">
                                  <w:pPr>
                                    <w:spacing w:line="316"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Рекомендації щодо виявлення резистентності до AMK та ETO застосовуються лише до осіб з бактеріологічно підтвердженим ТБ легень та резистентністю до RIF.</w:t>
                                  </w:r>
                                </w:p>
                              </w:txbxContent>
                            </wps:txbx>
                            <wps:bodyPr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1434C2F" id="_x0000_s1106" style="position:absolute;margin-left:25.5pt;margin-top:19.45pt;width:412.3pt;height:164.9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" fillcolor="#c6e0ce" stroked="f">
                      <v:textbox inset="0,0,0,0">
                        <w:txbxContent>
                          <w:p w14:paraId="57033967" w14:textId="0BFAD32B" w:rsidR="009D0C1D" w:rsidRDefault="009D0C1D" w:rsidP="00454445">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Рекомендації застосовуються до людей, які живуть з ВІЛ (дослідження включали різну частку таких осіб); не були представлені дані, стратифіковані за ВІЛ-статусом.</w:t>
                            </w:r>
                          </w:p>
                          <w:p w14:paraId="31BE01A1" w14:textId="61A6E163"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Рекомендації екстрапольовано на осіб з позалегеневим ТБ, а тестування зразків без мокротиння впливало на достовірність доказів. Комісія не оцінила точність тестування безпосередньо у зразках, відмінних від мокротиння, зокрема у дітей; проте екстраполяція була визнана доцільною, оскільки ВООЗ має рекомендації щодо подібних технологій для використання на зразках, відмінних від мокротиння (наприклад, Xpert MTB/RIF та Xpert Ultra).</w:t>
                            </w:r>
                          </w:p>
                          <w:p w14:paraId="615155D4" w14:textId="3A181C12" w:rsidR="009D0C1D" w:rsidRDefault="009D0C1D" w:rsidP="00454445">
                            <w:pPr>
                              <w:spacing w:line="316"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Рекомендації щодо виявлення резистентності до AMK та ETO застосовуються лише до осіб з бактеріологічно підтвердженим ТБ легень та резистентністю до RIF.</w:t>
                            </w:r>
                          </w:p>
                        </w:txbxContent>
                      </v:textbox>
                    </v:rect>
                  </w:pict>
                </mc:Fallback>
              </mc:AlternateContent>
            </w:r>
            <w:r>
              <w:rPr>
                <w:noProof/>
              </w:rPr>
              <w:drawing>
                <wp:inline distT="0" distB="0" distL="0" distR="0" wp14:anchorId="44D525CD" wp14:editId="4017F6F3">
                  <wp:extent cx="5782310" cy="271272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8"/>
                          <a:stretch/>
                        </pic:blipFill>
                        <pic:spPr>
                          <a:xfrm>
                            <a:off x="0" y="0"/>
                            <a:ext cx="5782310" cy="2712720"/>
                          </a:xfrm>
                          <a:prstGeom prst="rect">
                            <a:avLst/>
                          </a:prstGeom>
                        </pic:spPr>
                      </pic:pic>
                    </a:graphicData>
                  </a:graphic>
                </wp:inline>
              </w:drawing>
            </w:r>
          </w:p>
        </w:tc>
      </w:tr>
      <w:tr w:rsidR="00366CB9" w:rsidRPr="00E80D3A" w14:paraId="4019DCA8" w14:textId="77777777" w:rsidTr="00E80D3A">
        <w:trPr>
          <w:trHeight w:hRule="exact" w:val="6778"/>
        </w:trPr>
        <w:tc>
          <w:tcPr>
            <w:tcW w:w="9106" w:type="dxa"/>
            <w:shd w:val="clear" w:color="auto" w:fill="FFFFFF"/>
          </w:tcPr>
          <w:p w14:paraId="5F1F4323" w14:textId="174F1B2D" w:rsidR="00366CB9" w:rsidRPr="00E80D3A" w:rsidRDefault="009D0C1D" w:rsidP="00E80D3A">
            <w:pPr>
              <w:pStyle w:val="a6"/>
              <w:shd w:val="clear" w:color="auto" w:fill="auto"/>
              <w:spacing w:after="140" w:line="324" w:lineRule="auto"/>
              <w:rPr>
                <w:sz w:val="18"/>
                <w:szCs w:val="24"/>
              </w:rPr>
            </w:pPr>
            <w:r w:rsidRPr="00E80D3A">
              <w:rPr>
                <w:b w:val="0"/>
                <w:color w:val="000000"/>
                <w:sz w:val="18"/>
                <w:szCs w:val="24"/>
              </w:rPr>
              <w:t>LC-aNAAT є подальшим тестом, що проводиться на зразках, що є позитивними до MTBC; він дозволяє покращити доступ до швидкого ТМЧ у периферійних лабораторіях. Крім того, тест надає результати менш ніж за 90 хвилин, що означає, що результати отримуються швидше, ніж при LPA або культуральному фенотиповому ТМЧ. Цей NAAT вимагає таких же виробничих потужностей та рівня підготовки лаборантів, як і інші тести Xpert.</w:t>
            </w:r>
          </w:p>
          <w:p w14:paraId="4D5F7C97" w14:textId="47E65A37" w:rsidR="00366CB9" w:rsidRPr="00E80D3A" w:rsidRDefault="009D0C1D" w:rsidP="00E80D3A">
            <w:pPr>
              <w:pStyle w:val="a6"/>
              <w:shd w:val="clear" w:color="auto" w:fill="auto"/>
              <w:spacing w:after="140" w:line="324" w:lineRule="auto"/>
              <w:rPr>
                <w:sz w:val="18"/>
                <w:szCs w:val="24"/>
              </w:rPr>
            </w:pPr>
            <w:r w:rsidRPr="00E80D3A">
              <w:rPr>
                <w:b w:val="0"/>
                <w:color w:val="000000"/>
                <w:sz w:val="18"/>
                <w:szCs w:val="24"/>
              </w:rPr>
              <w:t>Загальний об’єднаний показник чутливості щодо виявлення резистентності до INH становив 94 % (95 % ДІ: 89-97 %), а специфічності – 98 % (95 % ДІ: 95-99 %) (</w:t>
            </w:r>
            <w:hyperlink w:anchor="bookmark80" w:tooltip="Поточний документ">
              <w:r w:rsidR="00366CB9" w:rsidRPr="00E80D3A">
                <w:rPr>
                  <w:color w:val="000000"/>
                  <w:sz w:val="18"/>
                  <w:szCs w:val="24"/>
                </w:rPr>
                <w:t>Таблиця 3.3</w:t>
              </w:r>
            </w:hyperlink>
            <w:r w:rsidRPr="00E80D3A">
              <w:rPr>
                <w:b w:val="0"/>
                <w:color w:val="000000"/>
                <w:sz w:val="18"/>
                <w:szCs w:val="24"/>
              </w:rPr>
              <w:t>). Загальний об’єднаний показник чутливості щодо виявлення резистентності до FQ становив 93 % (95 % ДІ: 88-96 %), а специфічності – 98 % (95 % ДІ: 94-99 %) (</w:t>
            </w:r>
            <w:hyperlink w:anchor="bookmark81" w:tooltip="Поточний документ">
              <w:r w:rsidR="00366CB9" w:rsidRPr="00E80D3A">
                <w:rPr>
                  <w:color w:val="000000"/>
                  <w:sz w:val="18"/>
                  <w:szCs w:val="24"/>
                </w:rPr>
                <w:t>Таблиця 3.4</w:t>
              </w:r>
            </w:hyperlink>
            <w:r w:rsidRPr="00E80D3A">
              <w:rPr>
                <w:b w:val="0"/>
                <w:color w:val="000000"/>
                <w:sz w:val="18"/>
                <w:szCs w:val="24"/>
              </w:rPr>
              <w:t xml:space="preserve">). Таким чином, Xpert MTB/XDR є контрольним аналізом на доповнення до існуючих технологій, що тестують лише на резистентність до RIF, та дозволяє швидко та точно виявляти резистентність до INH та FQ у разі рифампіцин-чутливого ТБ; а також резистентність до FQ, INH, ETO та AMK у разі Риф-ТБ. У листку-вкладишу міститься інформація про використання тесту на ізолятах культури. Однак основна мета цього тесту – швидко та своєчасно виявити резистентність, а рекомендації передбачають використання тесту безпосередньо на клінічних зразках. </w:t>
            </w:r>
            <w:hyperlink r:id="rId59" w:history="1">
              <w:r w:rsidR="00366CB9" w:rsidRPr="00E80D3A">
                <w:rPr>
                  <w:color w:val="000000"/>
                  <w:sz w:val="18"/>
                  <w:szCs w:val="24"/>
                </w:rPr>
                <w:t>Вебдодаток A</w:t>
              </w:r>
            </w:hyperlink>
            <w:r w:rsidRPr="00E80D3A">
              <w:rPr>
                <w:b w:val="0"/>
                <w:color w:val="000000"/>
                <w:sz w:val="18"/>
                <w:szCs w:val="24"/>
              </w:rPr>
              <w:t xml:space="preserve"> включає інформаційний аркуш з узагальненням процедури та містить робочі міркування та міркування щодо впровадження для цього тесту.</w:t>
            </w:r>
          </w:p>
          <w:p w14:paraId="633B95C1" w14:textId="0C2E23CC" w:rsidR="00366CB9" w:rsidRPr="00E80D3A" w:rsidRDefault="009D0C1D" w:rsidP="00E80D3A">
            <w:pPr>
              <w:pStyle w:val="a6"/>
              <w:shd w:val="clear" w:color="auto" w:fill="auto"/>
              <w:spacing w:after="200"/>
              <w:rPr>
                <w:sz w:val="18"/>
                <w:szCs w:val="24"/>
              </w:rPr>
            </w:pPr>
            <w:r w:rsidRPr="00E80D3A">
              <w:rPr>
                <w:b w:val="0"/>
                <w:color w:val="019648"/>
                <w:sz w:val="18"/>
                <w:szCs w:val="24"/>
              </w:rPr>
              <w:t>2.4.2 Аналіз олігонуклеотидними зондами</w:t>
            </w:r>
          </w:p>
          <w:p w14:paraId="7FECF256" w14:textId="77777777" w:rsidR="00366CB9" w:rsidRPr="00E80D3A" w:rsidRDefault="009D0C1D" w:rsidP="00E80D3A">
            <w:pPr>
              <w:pStyle w:val="a6"/>
              <w:shd w:val="clear" w:color="auto" w:fill="auto"/>
              <w:spacing w:after="180" w:line="324" w:lineRule="auto"/>
              <w:rPr>
                <w:sz w:val="18"/>
                <w:szCs w:val="24"/>
              </w:rPr>
            </w:pPr>
            <w:r w:rsidRPr="00E80D3A">
              <w:rPr>
                <w:b w:val="0"/>
                <w:color w:val="000000"/>
                <w:sz w:val="18"/>
                <w:szCs w:val="24"/>
              </w:rPr>
              <w:t xml:space="preserve">LPA є сімейством гібридизаційних тестів на основі ДНК-смужок, що виявляють наявність або відсутність мутацій, пов’язаних з медикаментозною резистентністю. Аналізи роблять це безпосередньо, шляхом зв’язування продуктів ампліфікації ДНК (ампліконів) із зондами, що націлені на найпоширеніші мутації (МУТ-зонди), або опосередковано, шляхом визначення резистентності через зв’язування зонда дикого типу з послідовністю-мішенню дикого типу. Див. визначення класу у </w:t>
            </w:r>
            <w:hyperlink w:anchor="bookmark48" w:tooltip="Поточний документ">
              <w:r w:rsidR="00366CB9" w:rsidRPr="00E80D3A">
                <w:rPr>
                  <w:color w:val="000000"/>
                  <w:sz w:val="18"/>
                  <w:szCs w:val="24"/>
                </w:rPr>
                <w:t>Таблиці 2.7</w:t>
              </w:r>
            </w:hyperlink>
            <w:r w:rsidRPr="00E80D3A">
              <w:rPr>
                <w:b w:val="0"/>
                <w:color w:val="000000"/>
                <w:sz w:val="18"/>
                <w:szCs w:val="24"/>
              </w:rPr>
              <w:t>.</w:t>
            </w:r>
          </w:p>
        </w:tc>
      </w:tr>
    </w:tbl>
    <w:p w14:paraId="3B32E5FC" w14:textId="33DA6845" w:rsidR="00366CB9" w:rsidRDefault="00366CB9" w:rsidP="00425523">
      <w:pPr>
        <w:spacing w:line="1" w:lineRule="exact"/>
        <w:sectPr w:rsidR="00366CB9" w:rsidSect="00F03360">
          <w:footerReference w:type="even" r:id="rId60"/>
          <w:type w:val="nextColumn"/>
          <w:pgSz w:w="11913" w:h="16840"/>
          <w:pgMar w:top="1469" w:right="1378" w:bottom="851" w:left="1372" w:header="0" w:footer="6" w:gutter="0"/>
          <w:paperSrc w:first="15" w:other="15"/>
          <w:cols w:space="720"/>
          <w:noEndnote/>
          <w:docGrid w:linePitch="360"/>
        </w:sectPr>
      </w:pPr>
    </w:p>
    <w:p w14:paraId="2AADBCEE"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512"/>
        <w:gridCol w:w="1714"/>
        <w:gridCol w:w="5880"/>
      </w:tblGrid>
      <w:tr w:rsidR="00366CB9" w:rsidRPr="0079021A" w14:paraId="36714F15" w14:textId="77777777">
        <w:trPr>
          <w:trHeight w:hRule="exact" w:val="542"/>
        </w:trPr>
        <w:tc>
          <w:tcPr>
            <w:tcW w:w="9106" w:type="dxa"/>
            <w:gridSpan w:val="3"/>
            <w:shd w:val="clear" w:color="auto" w:fill="FFFFFF"/>
          </w:tcPr>
          <w:p w14:paraId="6635BBC5" w14:textId="77777777" w:rsidR="00366CB9" w:rsidRPr="0079021A" w:rsidRDefault="009D0C1D" w:rsidP="00457B0A">
            <w:pPr>
              <w:pStyle w:val="a6"/>
              <w:shd w:val="clear" w:color="auto" w:fill="auto"/>
              <w:rPr>
                <w:sz w:val="24"/>
                <w:szCs w:val="24"/>
              </w:rPr>
            </w:pPr>
            <w:bookmarkStart w:id="51" w:name="bookmark48"/>
            <w:r>
              <w:rPr>
                <w:color w:val="636466"/>
                <w:sz w:val="24"/>
              </w:rPr>
              <w:t>Таблиця 2.7. Визначення критеріїв класу для LPA</w:t>
            </w:r>
            <w:bookmarkEnd w:id="51"/>
          </w:p>
        </w:tc>
      </w:tr>
      <w:tr w:rsidR="00366CB9" w:rsidRPr="0079021A" w14:paraId="2608BBED" w14:textId="77777777" w:rsidTr="007751D5">
        <w:trPr>
          <w:trHeight w:hRule="exact" w:val="696"/>
        </w:trPr>
        <w:tc>
          <w:tcPr>
            <w:tcW w:w="1512" w:type="dxa"/>
            <w:shd w:val="clear" w:color="auto" w:fill="62A86A"/>
            <w:vAlign w:val="center"/>
          </w:tcPr>
          <w:p w14:paraId="33F39C4A" w14:textId="77777777" w:rsidR="00366CB9" w:rsidRPr="00E80D3A" w:rsidRDefault="009D0C1D" w:rsidP="002947ED">
            <w:pPr>
              <w:pStyle w:val="a6"/>
              <w:shd w:val="clear" w:color="auto" w:fill="auto"/>
              <w:ind w:firstLine="140"/>
              <w:rPr>
                <w:sz w:val="18"/>
                <w:szCs w:val="24"/>
              </w:rPr>
            </w:pPr>
            <w:r w:rsidRPr="00E80D3A">
              <w:rPr>
                <w:color w:val="FFFFFF"/>
                <w:sz w:val="18"/>
                <w:szCs w:val="24"/>
              </w:rPr>
              <w:t>Мета</w:t>
            </w:r>
          </w:p>
        </w:tc>
        <w:tc>
          <w:tcPr>
            <w:tcW w:w="1714" w:type="dxa"/>
            <w:shd w:val="clear" w:color="auto" w:fill="62A86A"/>
            <w:vAlign w:val="center"/>
          </w:tcPr>
          <w:p w14:paraId="23BF9D8C" w14:textId="77777777" w:rsidR="00366CB9" w:rsidRPr="00E80D3A" w:rsidRDefault="00366CB9" w:rsidP="002947ED">
            <w:pPr>
              <w:rPr>
                <w:b/>
                <w:bCs/>
                <w:sz w:val="18"/>
              </w:rPr>
            </w:pPr>
          </w:p>
        </w:tc>
        <w:tc>
          <w:tcPr>
            <w:tcW w:w="5880" w:type="dxa"/>
            <w:shd w:val="clear" w:color="auto" w:fill="62A86A"/>
            <w:vAlign w:val="center"/>
          </w:tcPr>
          <w:p w14:paraId="090BD576" w14:textId="77777777" w:rsidR="00366CB9" w:rsidRPr="00E80D3A" w:rsidRDefault="009D0C1D" w:rsidP="002947ED">
            <w:pPr>
              <w:pStyle w:val="a6"/>
              <w:shd w:val="clear" w:color="auto" w:fill="auto"/>
              <w:spacing w:line="271" w:lineRule="auto"/>
              <w:rPr>
                <w:sz w:val="18"/>
                <w:szCs w:val="24"/>
              </w:rPr>
            </w:pPr>
            <w:r w:rsidRPr="00E80D3A">
              <w:rPr>
                <w:color w:val="FFFFFF"/>
                <w:sz w:val="18"/>
                <w:szCs w:val="24"/>
              </w:rPr>
              <w:t>Виявлення резистентності до протитуберкульозних препаратів першої та/другої лінії</w:t>
            </w:r>
          </w:p>
        </w:tc>
      </w:tr>
      <w:tr w:rsidR="00366CB9" w14:paraId="47FAC83F" w14:textId="77777777" w:rsidTr="007751D5">
        <w:trPr>
          <w:trHeight w:hRule="exact" w:val="598"/>
        </w:trPr>
        <w:tc>
          <w:tcPr>
            <w:tcW w:w="3226" w:type="dxa"/>
            <w:gridSpan w:val="2"/>
            <w:tcBorders>
              <w:bottom w:val="single" w:sz="8" w:space="0" w:color="00B050"/>
            </w:tcBorders>
            <w:shd w:val="clear" w:color="auto" w:fill="FFFFFF"/>
            <w:vAlign w:val="center"/>
          </w:tcPr>
          <w:p w14:paraId="381E4572" w14:textId="77777777" w:rsidR="00366CB9" w:rsidRPr="00E80D3A" w:rsidRDefault="009D0C1D" w:rsidP="002947ED">
            <w:pPr>
              <w:pStyle w:val="a6"/>
              <w:shd w:val="clear" w:color="auto" w:fill="auto"/>
              <w:ind w:firstLine="140"/>
              <w:rPr>
                <w:sz w:val="18"/>
                <w:szCs w:val="24"/>
              </w:rPr>
            </w:pPr>
            <w:r w:rsidRPr="00E80D3A">
              <w:rPr>
                <w:color w:val="000000"/>
                <w:sz w:val="18"/>
                <w:szCs w:val="24"/>
              </w:rPr>
              <w:t>Принцип дії</w:t>
            </w:r>
          </w:p>
        </w:tc>
        <w:tc>
          <w:tcPr>
            <w:tcW w:w="5880" w:type="dxa"/>
            <w:tcBorders>
              <w:bottom w:val="single" w:sz="8" w:space="0" w:color="00B050"/>
            </w:tcBorders>
            <w:shd w:val="clear" w:color="auto" w:fill="FFFFFF"/>
            <w:vAlign w:val="center"/>
          </w:tcPr>
          <w:p w14:paraId="7C5AF1CA" w14:textId="77777777" w:rsidR="00366CB9" w:rsidRPr="00E80D3A" w:rsidRDefault="009D0C1D" w:rsidP="002947ED">
            <w:pPr>
              <w:pStyle w:val="a6"/>
              <w:shd w:val="clear" w:color="auto" w:fill="auto"/>
              <w:rPr>
                <w:sz w:val="18"/>
                <w:szCs w:val="24"/>
              </w:rPr>
            </w:pPr>
            <w:r w:rsidRPr="00E80D3A">
              <w:rPr>
                <w:b w:val="0"/>
                <w:color w:val="000000"/>
                <w:sz w:val="18"/>
                <w:szCs w:val="24"/>
              </w:rPr>
              <w:t>Аналізи зворотної гібридизації на основі ДНК або аналізи олігонуклеотидними зондами</w:t>
            </w:r>
          </w:p>
        </w:tc>
      </w:tr>
      <w:tr w:rsidR="00366CB9" w14:paraId="6D2CCC70" w14:textId="77777777" w:rsidTr="007751D5">
        <w:trPr>
          <w:trHeight w:hRule="exact" w:val="691"/>
        </w:trPr>
        <w:tc>
          <w:tcPr>
            <w:tcW w:w="1512" w:type="dxa"/>
            <w:tcBorders>
              <w:top w:val="single" w:sz="8" w:space="0" w:color="00B050"/>
            </w:tcBorders>
            <w:shd w:val="clear" w:color="auto" w:fill="FFFFFF"/>
            <w:vAlign w:val="center"/>
          </w:tcPr>
          <w:p w14:paraId="7AE0E815" w14:textId="77777777" w:rsidR="00366CB9" w:rsidRPr="00E80D3A" w:rsidRDefault="009D0C1D" w:rsidP="002947ED">
            <w:pPr>
              <w:pStyle w:val="a6"/>
              <w:shd w:val="clear" w:color="auto" w:fill="auto"/>
              <w:ind w:firstLine="140"/>
              <w:rPr>
                <w:sz w:val="18"/>
                <w:szCs w:val="24"/>
              </w:rPr>
            </w:pPr>
            <w:r w:rsidRPr="00E80D3A">
              <w:rPr>
                <w:color w:val="000000"/>
                <w:sz w:val="18"/>
                <w:szCs w:val="24"/>
              </w:rPr>
              <w:t>Складність</w:t>
            </w:r>
          </w:p>
        </w:tc>
        <w:tc>
          <w:tcPr>
            <w:tcW w:w="1714" w:type="dxa"/>
            <w:tcBorders>
              <w:top w:val="single" w:sz="8" w:space="0" w:color="00B050"/>
              <w:bottom w:val="single" w:sz="8" w:space="0" w:color="00B050"/>
            </w:tcBorders>
            <w:shd w:val="clear" w:color="auto" w:fill="FFFFFF"/>
            <w:vAlign w:val="center"/>
          </w:tcPr>
          <w:p w14:paraId="21346D9C" w14:textId="77777777" w:rsidR="00366CB9" w:rsidRPr="00E80D3A" w:rsidRDefault="009D0C1D" w:rsidP="002947ED">
            <w:pPr>
              <w:pStyle w:val="a6"/>
              <w:shd w:val="clear" w:color="auto" w:fill="auto"/>
              <w:rPr>
                <w:sz w:val="18"/>
                <w:szCs w:val="24"/>
              </w:rPr>
            </w:pPr>
            <w:r w:rsidRPr="00E80D3A">
              <w:rPr>
                <w:color w:val="000000"/>
                <w:sz w:val="18"/>
                <w:szCs w:val="24"/>
              </w:rPr>
              <w:t>Реактиви</w:t>
            </w:r>
          </w:p>
        </w:tc>
        <w:tc>
          <w:tcPr>
            <w:tcW w:w="5880" w:type="dxa"/>
            <w:tcBorders>
              <w:top w:val="single" w:sz="8" w:space="0" w:color="00B050"/>
              <w:bottom w:val="single" w:sz="8" w:space="0" w:color="00B050"/>
            </w:tcBorders>
            <w:shd w:val="clear" w:color="auto" w:fill="FFFFFF"/>
            <w:vAlign w:val="center"/>
          </w:tcPr>
          <w:p w14:paraId="735DB670" w14:textId="77777777" w:rsidR="00366CB9" w:rsidRPr="00E80D3A" w:rsidRDefault="009D0C1D" w:rsidP="002947ED">
            <w:pPr>
              <w:pStyle w:val="a6"/>
              <w:shd w:val="clear" w:color="auto" w:fill="auto"/>
              <w:spacing w:line="271" w:lineRule="auto"/>
              <w:rPr>
                <w:sz w:val="18"/>
                <w:szCs w:val="24"/>
              </w:rPr>
            </w:pPr>
            <w:r w:rsidRPr="00E80D3A">
              <w:rPr>
                <w:b w:val="0"/>
                <w:color w:val="000000"/>
                <w:sz w:val="18"/>
                <w:szCs w:val="24"/>
              </w:rPr>
              <w:t>Реактиви представлені у стандартизованих наборах та можуть мати вимоги до температури зберігання</w:t>
            </w:r>
          </w:p>
        </w:tc>
      </w:tr>
      <w:tr w:rsidR="00366CB9" w14:paraId="52789BE1" w14:textId="77777777" w:rsidTr="007751D5">
        <w:trPr>
          <w:trHeight w:hRule="exact" w:val="984"/>
        </w:trPr>
        <w:tc>
          <w:tcPr>
            <w:tcW w:w="1512" w:type="dxa"/>
            <w:shd w:val="clear" w:color="auto" w:fill="FFFFFF"/>
            <w:vAlign w:val="center"/>
          </w:tcPr>
          <w:p w14:paraId="6AABD84D" w14:textId="77777777" w:rsidR="00366CB9" w:rsidRPr="00E80D3A" w:rsidRDefault="00366CB9" w:rsidP="002947ED">
            <w:pPr>
              <w:rPr>
                <w:b/>
                <w:bCs/>
                <w:sz w:val="18"/>
              </w:rPr>
            </w:pPr>
          </w:p>
        </w:tc>
        <w:tc>
          <w:tcPr>
            <w:tcW w:w="1714" w:type="dxa"/>
            <w:tcBorders>
              <w:top w:val="single" w:sz="8" w:space="0" w:color="00B050"/>
              <w:bottom w:val="single" w:sz="8" w:space="0" w:color="00B050"/>
            </w:tcBorders>
            <w:shd w:val="clear" w:color="auto" w:fill="FFFFFF"/>
            <w:vAlign w:val="center"/>
          </w:tcPr>
          <w:p w14:paraId="5D95E64D" w14:textId="77777777" w:rsidR="00366CB9" w:rsidRPr="00E80D3A" w:rsidRDefault="009D0C1D" w:rsidP="002947ED">
            <w:pPr>
              <w:pStyle w:val="a6"/>
              <w:shd w:val="clear" w:color="auto" w:fill="auto"/>
              <w:spacing w:before="120"/>
              <w:rPr>
                <w:sz w:val="18"/>
                <w:szCs w:val="24"/>
              </w:rPr>
            </w:pPr>
            <w:r w:rsidRPr="00E80D3A">
              <w:rPr>
                <w:color w:val="000000"/>
                <w:sz w:val="18"/>
                <w:szCs w:val="24"/>
              </w:rPr>
              <w:t>Навички</w:t>
            </w:r>
          </w:p>
        </w:tc>
        <w:tc>
          <w:tcPr>
            <w:tcW w:w="5880" w:type="dxa"/>
            <w:tcBorders>
              <w:top w:val="single" w:sz="8" w:space="0" w:color="00B050"/>
              <w:bottom w:val="single" w:sz="8" w:space="0" w:color="00B050"/>
            </w:tcBorders>
            <w:shd w:val="clear" w:color="auto" w:fill="FFFFFF"/>
            <w:vAlign w:val="center"/>
          </w:tcPr>
          <w:p w14:paraId="5AB0FA21" w14:textId="77777777" w:rsidR="00366CB9" w:rsidRPr="00E80D3A" w:rsidRDefault="009D0C1D" w:rsidP="002947ED">
            <w:pPr>
              <w:pStyle w:val="a6"/>
              <w:shd w:val="clear" w:color="auto" w:fill="auto"/>
              <w:spacing w:line="276" w:lineRule="auto"/>
              <w:rPr>
                <w:sz w:val="18"/>
                <w:szCs w:val="24"/>
              </w:rPr>
            </w:pPr>
            <w:r w:rsidRPr="00E80D3A">
              <w:rPr>
                <w:b w:val="0"/>
                <w:color w:val="000000"/>
                <w:sz w:val="18"/>
                <w:szCs w:val="24"/>
              </w:rPr>
              <w:t>Високі технічні навички (наприклад, виконання кількох етапів обробки зразків або реактивів, може вимагатись точне піпетування та робочі процеси молекулярного тестування)</w:t>
            </w:r>
          </w:p>
        </w:tc>
      </w:tr>
      <w:tr w:rsidR="00366CB9" w14:paraId="547A750D" w14:textId="77777777" w:rsidTr="007751D5">
        <w:trPr>
          <w:trHeight w:hRule="exact" w:val="597"/>
        </w:trPr>
        <w:tc>
          <w:tcPr>
            <w:tcW w:w="1512" w:type="dxa"/>
            <w:shd w:val="clear" w:color="auto" w:fill="FFFFFF"/>
            <w:vAlign w:val="center"/>
          </w:tcPr>
          <w:p w14:paraId="7800E30C" w14:textId="77777777" w:rsidR="00366CB9" w:rsidRPr="00E80D3A" w:rsidRDefault="00366CB9" w:rsidP="002947ED">
            <w:pPr>
              <w:rPr>
                <w:b/>
                <w:bCs/>
                <w:sz w:val="18"/>
              </w:rPr>
            </w:pPr>
          </w:p>
        </w:tc>
        <w:tc>
          <w:tcPr>
            <w:tcW w:w="1714" w:type="dxa"/>
            <w:tcBorders>
              <w:top w:val="single" w:sz="8" w:space="0" w:color="00B050"/>
              <w:bottom w:val="single" w:sz="8" w:space="0" w:color="00B050"/>
            </w:tcBorders>
            <w:shd w:val="clear" w:color="auto" w:fill="FFFFFF"/>
            <w:vAlign w:val="center"/>
          </w:tcPr>
          <w:p w14:paraId="55133B2B" w14:textId="77777777" w:rsidR="00366CB9" w:rsidRPr="00E80D3A" w:rsidRDefault="009D0C1D" w:rsidP="002947ED">
            <w:pPr>
              <w:pStyle w:val="a6"/>
              <w:shd w:val="clear" w:color="auto" w:fill="auto"/>
              <w:rPr>
                <w:sz w:val="18"/>
                <w:szCs w:val="24"/>
              </w:rPr>
            </w:pPr>
            <w:r w:rsidRPr="00E80D3A">
              <w:rPr>
                <w:color w:val="000000"/>
                <w:sz w:val="18"/>
                <w:szCs w:val="24"/>
              </w:rPr>
              <w:t>Піпетування</w:t>
            </w:r>
          </w:p>
        </w:tc>
        <w:tc>
          <w:tcPr>
            <w:tcW w:w="5880" w:type="dxa"/>
            <w:tcBorders>
              <w:top w:val="single" w:sz="8" w:space="0" w:color="00B050"/>
              <w:bottom w:val="single" w:sz="8" w:space="0" w:color="00B050"/>
            </w:tcBorders>
            <w:shd w:val="clear" w:color="auto" w:fill="FFFFFF"/>
            <w:vAlign w:val="center"/>
          </w:tcPr>
          <w:p w14:paraId="5DD1CB8B" w14:textId="77777777" w:rsidR="00366CB9" w:rsidRPr="00E80D3A" w:rsidRDefault="009D0C1D" w:rsidP="002947ED">
            <w:pPr>
              <w:pStyle w:val="a6"/>
              <w:shd w:val="clear" w:color="auto" w:fill="auto"/>
              <w:spacing w:line="271" w:lineRule="auto"/>
              <w:rPr>
                <w:sz w:val="18"/>
                <w:szCs w:val="24"/>
              </w:rPr>
            </w:pPr>
            <w:r w:rsidRPr="00E80D3A">
              <w:rPr>
                <w:b w:val="0"/>
                <w:color w:val="000000"/>
                <w:sz w:val="18"/>
                <w:szCs w:val="24"/>
              </w:rPr>
              <w:t>Процедура вимагає кілька етапів точного піпетування</w:t>
            </w:r>
          </w:p>
        </w:tc>
      </w:tr>
      <w:tr w:rsidR="00366CB9" w14:paraId="3407428B" w14:textId="77777777" w:rsidTr="007751D5">
        <w:trPr>
          <w:trHeight w:hRule="exact" w:val="2002"/>
        </w:trPr>
        <w:tc>
          <w:tcPr>
            <w:tcW w:w="1512" w:type="dxa"/>
            <w:tcBorders>
              <w:bottom w:val="single" w:sz="8" w:space="0" w:color="00B050"/>
            </w:tcBorders>
            <w:shd w:val="clear" w:color="auto" w:fill="FFFFFF"/>
            <w:vAlign w:val="center"/>
          </w:tcPr>
          <w:p w14:paraId="78E96097" w14:textId="77777777" w:rsidR="00366CB9" w:rsidRPr="00E80D3A" w:rsidRDefault="00366CB9" w:rsidP="002947ED">
            <w:pPr>
              <w:rPr>
                <w:b/>
                <w:bCs/>
                <w:sz w:val="18"/>
              </w:rPr>
            </w:pPr>
          </w:p>
        </w:tc>
        <w:tc>
          <w:tcPr>
            <w:tcW w:w="1714" w:type="dxa"/>
            <w:tcBorders>
              <w:top w:val="single" w:sz="8" w:space="0" w:color="00B050"/>
              <w:bottom w:val="single" w:sz="8" w:space="0" w:color="00B050"/>
            </w:tcBorders>
            <w:shd w:val="clear" w:color="auto" w:fill="FFFFFF"/>
            <w:vAlign w:val="center"/>
          </w:tcPr>
          <w:p w14:paraId="2C2B7E23" w14:textId="77777777" w:rsidR="00366CB9" w:rsidRPr="00E80D3A" w:rsidRDefault="009D0C1D" w:rsidP="002947ED">
            <w:pPr>
              <w:pStyle w:val="a6"/>
              <w:shd w:val="clear" w:color="auto" w:fill="auto"/>
              <w:spacing w:before="100" w:line="271" w:lineRule="auto"/>
              <w:rPr>
                <w:sz w:val="18"/>
                <w:szCs w:val="24"/>
              </w:rPr>
            </w:pPr>
            <w:r w:rsidRPr="00E80D3A">
              <w:rPr>
                <w:color w:val="000000"/>
                <w:sz w:val="18"/>
                <w:szCs w:val="24"/>
              </w:rPr>
              <w:t>Процедура тестування</w:t>
            </w:r>
          </w:p>
        </w:tc>
        <w:tc>
          <w:tcPr>
            <w:tcW w:w="5880" w:type="dxa"/>
            <w:tcBorders>
              <w:top w:val="single" w:sz="8" w:space="0" w:color="00B050"/>
              <w:bottom w:val="single" w:sz="8" w:space="0" w:color="00B050"/>
            </w:tcBorders>
            <w:shd w:val="clear" w:color="auto" w:fill="FFFFFF"/>
            <w:vAlign w:val="center"/>
          </w:tcPr>
          <w:p w14:paraId="1B92D32B" w14:textId="77777777" w:rsidR="00366CB9" w:rsidRPr="00E80D3A" w:rsidRDefault="009D0C1D" w:rsidP="002947ED">
            <w:pPr>
              <w:pStyle w:val="a6"/>
              <w:shd w:val="clear" w:color="auto" w:fill="auto"/>
              <w:spacing w:after="60" w:line="271" w:lineRule="auto"/>
              <w:rPr>
                <w:sz w:val="18"/>
                <w:szCs w:val="24"/>
              </w:rPr>
            </w:pPr>
            <w:r w:rsidRPr="00E80D3A">
              <w:rPr>
                <w:b w:val="0"/>
                <w:color w:val="000000"/>
                <w:sz w:val="18"/>
                <w:szCs w:val="24"/>
              </w:rPr>
              <w:t>Може вимагатись кілька етапів обробки зразка перед його перенесенням у герметичний контейнер для тестування у кілька етапів</w:t>
            </w:r>
          </w:p>
          <w:p w14:paraId="6ABBD2EA" w14:textId="77777777" w:rsidR="00366CB9" w:rsidRPr="00E80D3A" w:rsidRDefault="009D0C1D" w:rsidP="002947ED">
            <w:pPr>
              <w:pStyle w:val="a6"/>
              <w:shd w:val="clear" w:color="auto" w:fill="auto"/>
              <w:spacing w:after="60" w:line="271" w:lineRule="auto"/>
              <w:rPr>
                <w:sz w:val="18"/>
                <w:szCs w:val="24"/>
              </w:rPr>
            </w:pPr>
            <w:r w:rsidRPr="00E80D3A">
              <w:rPr>
                <w:b w:val="0"/>
                <w:color w:val="000000"/>
                <w:sz w:val="18"/>
                <w:szCs w:val="24"/>
              </w:rPr>
              <w:t>Ручне або автоматизоване виділення ДНК</w:t>
            </w:r>
          </w:p>
          <w:p w14:paraId="429740FC" w14:textId="77777777" w:rsidR="00366CB9" w:rsidRPr="00E80D3A" w:rsidRDefault="009D0C1D" w:rsidP="002947ED">
            <w:pPr>
              <w:pStyle w:val="a6"/>
              <w:shd w:val="clear" w:color="auto" w:fill="auto"/>
              <w:spacing w:after="60" w:line="271" w:lineRule="auto"/>
              <w:rPr>
                <w:sz w:val="18"/>
                <w:szCs w:val="24"/>
              </w:rPr>
            </w:pPr>
            <w:r w:rsidRPr="00E80D3A">
              <w:rPr>
                <w:b w:val="0"/>
                <w:color w:val="000000"/>
                <w:sz w:val="18"/>
                <w:szCs w:val="24"/>
              </w:rPr>
              <w:t>Ручна або автоматизована ПЛР у режимі реального часу</w:t>
            </w:r>
          </w:p>
          <w:p w14:paraId="3FA4E58E" w14:textId="77777777" w:rsidR="00366CB9" w:rsidRPr="00E80D3A" w:rsidRDefault="009D0C1D" w:rsidP="002947ED">
            <w:pPr>
              <w:pStyle w:val="a6"/>
              <w:shd w:val="clear" w:color="auto" w:fill="auto"/>
              <w:spacing w:after="60" w:line="271" w:lineRule="auto"/>
              <w:rPr>
                <w:sz w:val="18"/>
                <w:szCs w:val="24"/>
              </w:rPr>
            </w:pPr>
            <w:r w:rsidRPr="00E80D3A">
              <w:rPr>
                <w:b w:val="0"/>
                <w:color w:val="000000"/>
                <w:sz w:val="18"/>
                <w:szCs w:val="24"/>
              </w:rPr>
              <w:t>Зворотна гібридизація на основі приладу</w:t>
            </w:r>
          </w:p>
        </w:tc>
      </w:tr>
      <w:tr w:rsidR="00366CB9" w14:paraId="635B94BE" w14:textId="77777777" w:rsidTr="007751D5">
        <w:trPr>
          <w:trHeight w:hRule="exact" w:val="514"/>
        </w:trPr>
        <w:tc>
          <w:tcPr>
            <w:tcW w:w="3226" w:type="dxa"/>
            <w:gridSpan w:val="2"/>
            <w:tcBorders>
              <w:top w:val="single" w:sz="8" w:space="0" w:color="00B050"/>
              <w:bottom w:val="single" w:sz="8" w:space="0" w:color="00B050"/>
            </w:tcBorders>
            <w:shd w:val="clear" w:color="auto" w:fill="FFFFFF"/>
            <w:vAlign w:val="center"/>
          </w:tcPr>
          <w:p w14:paraId="15908CB1" w14:textId="77777777" w:rsidR="00366CB9" w:rsidRPr="00E80D3A" w:rsidRDefault="009D0C1D" w:rsidP="002947ED">
            <w:pPr>
              <w:pStyle w:val="a6"/>
              <w:shd w:val="clear" w:color="auto" w:fill="auto"/>
              <w:ind w:left="130"/>
              <w:rPr>
                <w:sz w:val="18"/>
                <w:szCs w:val="24"/>
              </w:rPr>
            </w:pPr>
            <w:r w:rsidRPr="00E80D3A">
              <w:rPr>
                <w:color w:val="000000"/>
                <w:sz w:val="18"/>
                <w:szCs w:val="24"/>
              </w:rPr>
              <w:t>Тип звітування про результати тесту</w:t>
            </w:r>
          </w:p>
        </w:tc>
        <w:tc>
          <w:tcPr>
            <w:tcW w:w="5880" w:type="dxa"/>
            <w:tcBorders>
              <w:top w:val="single" w:sz="8" w:space="0" w:color="00B050"/>
              <w:bottom w:val="single" w:sz="8" w:space="0" w:color="00B050"/>
            </w:tcBorders>
            <w:shd w:val="clear" w:color="auto" w:fill="FFFFFF"/>
            <w:vAlign w:val="center"/>
          </w:tcPr>
          <w:p w14:paraId="65720CA2" w14:textId="77777777" w:rsidR="00366CB9" w:rsidRPr="00E80D3A" w:rsidRDefault="009D0C1D" w:rsidP="002947ED">
            <w:pPr>
              <w:pStyle w:val="a6"/>
              <w:shd w:val="clear" w:color="auto" w:fill="auto"/>
              <w:rPr>
                <w:sz w:val="18"/>
                <w:szCs w:val="24"/>
              </w:rPr>
            </w:pPr>
            <w:r w:rsidRPr="00E80D3A">
              <w:rPr>
                <w:b w:val="0"/>
                <w:color w:val="000000"/>
                <w:sz w:val="18"/>
                <w:szCs w:val="24"/>
              </w:rPr>
              <w:t>Ручне</w:t>
            </w:r>
          </w:p>
        </w:tc>
      </w:tr>
      <w:tr w:rsidR="00366CB9" w14:paraId="74F48424" w14:textId="77777777" w:rsidTr="007751D5">
        <w:trPr>
          <w:trHeight w:hRule="exact" w:val="965"/>
        </w:trPr>
        <w:tc>
          <w:tcPr>
            <w:tcW w:w="3226" w:type="dxa"/>
            <w:gridSpan w:val="2"/>
            <w:tcBorders>
              <w:top w:val="single" w:sz="8" w:space="0" w:color="00B050"/>
              <w:bottom w:val="single" w:sz="8" w:space="0" w:color="00B050"/>
            </w:tcBorders>
            <w:shd w:val="clear" w:color="auto" w:fill="FFFFFF"/>
            <w:vAlign w:val="center"/>
          </w:tcPr>
          <w:p w14:paraId="4B661A75" w14:textId="77777777" w:rsidR="00366CB9" w:rsidRPr="00E80D3A" w:rsidRDefault="009D0C1D" w:rsidP="002947ED">
            <w:pPr>
              <w:pStyle w:val="a6"/>
              <w:shd w:val="clear" w:color="auto" w:fill="auto"/>
              <w:spacing w:before="100"/>
              <w:ind w:firstLine="140"/>
              <w:rPr>
                <w:sz w:val="18"/>
                <w:szCs w:val="24"/>
              </w:rPr>
            </w:pPr>
            <w:r w:rsidRPr="00E80D3A">
              <w:rPr>
                <w:color w:val="000000"/>
                <w:sz w:val="18"/>
                <w:szCs w:val="24"/>
              </w:rPr>
              <w:t>Умова використання</w:t>
            </w:r>
          </w:p>
        </w:tc>
        <w:tc>
          <w:tcPr>
            <w:tcW w:w="5880" w:type="dxa"/>
            <w:tcBorders>
              <w:top w:val="single" w:sz="8" w:space="0" w:color="00B050"/>
              <w:bottom w:val="single" w:sz="8" w:space="0" w:color="00B050"/>
            </w:tcBorders>
            <w:shd w:val="clear" w:color="auto" w:fill="FFFFFF"/>
            <w:vAlign w:val="center"/>
          </w:tcPr>
          <w:p w14:paraId="2711E7C0" w14:textId="77777777" w:rsidR="00366CB9" w:rsidRPr="00E80D3A" w:rsidRDefault="009D0C1D" w:rsidP="002947ED">
            <w:pPr>
              <w:pStyle w:val="a6"/>
              <w:shd w:val="clear" w:color="auto" w:fill="auto"/>
              <w:spacing w:line="271" w:lineRule="auto"/>
              <w:rPr>
                <w:sz w:val="18"/>
                <w:szCs w:val="24"/>
              </w:rPr>
            </w:pPr>
            <w:r w:rsidRPr="00E80D3A">
              <w:rPr>
                <w:b w:val="0"/>
                <w:color w:val="000000"/>
                <w:sz w:val="18"/>
                <w:szCs w:val="24"/>
              </w:rPr>
              <w:t>Молекулярна лабораторія (вимагаються спеціальні виробничі потужності та окремі області для різних частин процедури тестування)</w:t>
            </w:r>
          </w:p>
        </w:tc>
      </w:tr>
      <w:tr w:rsidR="002947ED" w14:paraId="5E0BF71C" w14:textId="77777777" w:rsidTr="007751D5">
        <w:trPr>
          <w:trHeight w:hRule="exact" w:val="730"/>
        </w:trPr>
        <w:tc>
          <w:tcPr>
            <w:tcW w:w="9106" w:type="dxa"/>
            <w:gridSpan w:val="3"/>
            <w:tcBorders>
              <w:top w:val="single" w:sz="8" w:space="0" w:color="00B050"/>
            </w:tcBorders>
            <w:shd w:val="clear" w:color="auto" w:fill="FFFFFF"/>
            <w:vAlign w:val="center"/>
          </w:tcPr>
          <w:p w14:paraId="022845D7" w14:textId="23242601" w:rsidR="002947ED" w:rsidRDefault="002947ED" w:rsidP="002947ED">
            <w:pPr>
              <w:rPr>
                <w:sz w:val="10"/>
                <w:szCs w:val="10"/>
              </w:rPr>
            </w:pPr>
            <w:r>
              <w:rPr>
                <w:i/>
                <w:color w:val="019648"/>
              </w:rPr>
              <w:t>LPA препаратів першої лінії</w:t>
            </w:r>
          </w:p>
        </w:tc>
      </w:tr>
      <w:tr w:rsidR="00366CB9" w14:paraId="70CEC3D8" w14:textId="77777777">
        <w:trPr>
          <w:trHeight w:hRule="exact" w:val="994"/>
        </w:trPr>
        <w:tc>
          <w:tcPr>
            <w:tcW w:w="9106" w:type="dxa"/>
            <w:gridSpan w:val="3"/>
            <w:shd w:val="clear" w:color="auto" w:fill="FFFFFF"/>
            <w:vAlign w:val="bottom"/>
          </w:tcPr>
          <w:p w14:paraId="0C13DB3F" w14:textId="77777777" w:rsidR="00366CB9" w:rsidRDefault="009D0C1D" w:rsidP="00457B0A">
            <w:pPr>
              <w:pStyle w:val="a6"/>
              <w:shd w:val="clear" w:color="auto" w:fill="auto"/>
              <w:spacing w:line="324" w:lineRule="auto"/>
              <w:rPr>
                <w:sz w:val="20"/>
                <w:szCs w:val="20"/>
              </w:rPr>
            </w:pPr>
            <w:r w:rsidRPr="00E80D3A">
              <w:rPr>
                <w:b w:val="0"/>
                <w:color w:val="000000"/>
                <w:sz w:val="18"/>
                <w:szCs w:val="24"/>
              </w:rPr>
              <w:t xml:space="preserve">Аналізи олігонуклеотидними зондами для препаратів першої лінії (FL-LPA), такі як тест GenoType MTBDRplus та NTM+MDRTB Detection Kit, дозволяють виявляти резистентність до RIF та INH. ВООЗ рекомендує використовувати FL-LPA у випадках, описаних у </w:t>
            </w:r>
            <w:r w:rsidRPr="00E80D3A">
              <w:rPr>
                <w:color w:val="000000"/>
                <w:sz w:val="18"/>
                <w:szCs w:val="24"/>
              </w:rPr>
              <w:t>Вставці 2.6</w:t>
            </w:r>
            <w:r w:rsidRPr="00E80D3A">
              <w:rPr>
                <w:b w:val="0"/>
                <w:color w:val="000000"/>
                <w:sz w:val="18"/>
                <w:szCs w:val="24"/>
              </w:rPr>
              <w:t>.</w:t>
            </w:r>
          </w:p>
        </w:tc>
      </w:tr>
    </w:tbl>
    <w:p w14:paraId="473C2C01"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6A7109FD" w14:textId="567DFF1B" w:rsidR="00366CB9" w:rsidRDefault="00366CB9" w:rsidP="00425523">
      <w:pPr>
        <w:spacing w:line="1" w:lineRule="exact"/>
      </w:pPr>
    </w:p>
    <w:p w14:paraId="0D9910C5" w14:textId="5F061274" w:rsidR="00366CB9" w:rsidRDefault="002947ED" w:rsidP="00457B0A">
      <w:pPr>
        <w:sectPr w:rsidR="00366CB9" w:rsidSect="00F03360">
          <w:type w:val="nextColumn"/>
          <w:pgSz w:w="11913" w:h="16840"/>
          <w:pgMar w:top="1469" w:right="1378" w:bottom="851" w:left="1372" w:header="0" w:footer="6" w:gutter="0"/>
          <w:paperSrc w:first="15" w:other="15"/>
          <w:cols w:space="720"/>
          <w:noEndnote/>
          <w:docGrid w:linePitch="360"/>
        </w:sectPr>
      </w:pPr>
      <w:r>
        <w:rPr>
          <w:noProof/>
        </w:rPr>
        <mc:AlternateContent>
          <mc:Choice Requires="wps">
            <w:drawing>
              <wp:anchor distT="0" distB="0" distL="114300" distR="114300" simplePos="0" relativeHeight="251488256" behindDoc="0" locked="0" layoutInCell="1" allowOverlap="1" wp14:anchorId="003973A5" wp14:editId="6AB52F1E">
                <wp:simplePos x="0" y="0"/>
                <wp:positionH relativeFrom="column">
                  <wp:posOffset>325120</wp:posOffset>
                </wp:positionH>
                <wp:positionV relativeFrom="paragraph">
                  <wp:posOffset>636270</wp:posOffset>
                </wp:positionV>
                <wp:extent cx="5242560" cy="4853940"/>
                <wp:effectExtent l="0" t="0" r="0" b="3810"/>
                <wp:wrapNone/>
                <wp:docPr id="1050096771" name="Прямокутник 3"/>
                <wp:cNvGraphicFramePr/>
                <a:graphic xmlns:a="http://schemas.openxmlformats.org/drawingml/2006/main">
                  <a:graphicData uri="http://schemas.microsoft.com/office/word/2010/wordprocessingShape">
                    <wps:wsp>
                      <wps:cNvSpPr/>
                      <wps:spPr>
                        <a:xfrm>
                          <a:off x="0" y="0"/>
                          <a:ext cx="5242560" cy="4853940"/>
                        </a:xfrm>
                        <a:prstGeom prst="rect">
                          <a:avLst/>
                        </a:prstGeom>
                        <a:solidFill>
                          <a:srgbClr val="C4E1CF"/>
                        </a:solidFill>
                      </wps:spPr>
                      <wps:txbx>
                        <w:txbxContent>
                          <w:p w14:paraId="6564A500" w14:textId="77777777" w:rsidR="009D0C1D" w:rsidRDefault="009D0C1D" w:rsidP="00454445">
                            <w:pPr>
                              <w:spacing w:after="56" w:line="314" w:lineRule="auto"/>
                              <w:jc w:val="both"/>
                              <w:rPr>
                                <w:rFonts w:eastAsia="+mn-ea" w:cs="+mn-cs"/>
                                <w:kern w:val="24"/>
                                <w:sz w:val="20"/>
                                <w:szCs w:val="20"/>
                              </w:rPr>
                            </w:pPr>
                            <w:r>
                              <w:rPr>
                                <w:sz w:val="20"/>
                              </w:rPr>
                              <w:t>Для осіб з позитивним мазком мокротиння або культивованим ізолятом MTBC початковими тестами замість фенотипового культурального ТМЧ для виявлення резистентності до рифампіцину та ізоніазиду можуть бути доступні у продажу молекулярні LPA.</w:t>
                            </w:r>
                          </w:p>
                          <w:p w14:paraId="611ADA93" w14:textId="77777777" w:rsidR="009D0C1D" w:rsidRDefault="009D0C1D" w:rsidP="00454445">
                            <w:pPr>
                              <w:spacing w:after="56" w:line="314" w:lineRule="auto"/>
                              <w:jc w:val="both"/>
                              <w:rPr>
                                <w:rFonts w:eastAsia="+mn-ea" w:cs="+mn-cs"/>
                                <w:kern w:val="24"/>
                                <w:sz w:val="20"/>
                                <w:szCs w:val="20"/>
                              </w:rPr>
                            </w:pPr>
                            <w:r>
                              <w:rPr>
                                <w:i/>
                                <w:sz w:val="20"/>
                              </w:rPr>
                              <w:t>(Умовна рекомендація, середній рівень достовірності доказів)</w:t>
                            </w:r>
                          </w:p>
                          <w:p w14:paraId="5E40109E" w14:textId="77777777" w:rsidR="009D0C1D" w:rsidRDefault="009D0C1D" w:rsidP="00454445">
                            <w:pPr>
                              <w:spacing w:after="56" w:line="314" w:lineRule="auto"/>
                              <w:jc w:val="both"/>
                              <w:rPr>
                                <w:rFonts w:eastAsia="+mn-ea" w:cs="+mn-cs"/>
                                <w:kern w:val="24"/>
                                <w:sz w:val="20"/>
                                <w:szCs w:val="20"/>
                              </w:rPr>
                            </w:pPr>
                            <w:r>
                              <w:rPr>
                                <w:sz w:val="20"/>
                              </w:rPr>
                              <w:t>Примітки:</w:t>
                            </w:r>
                          </w:p>
                          <w:p w14:paraId="5ACA67B8" w14:textId="727B5405"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Ця рекомендація застосовується до використання LPA для тестування зразків мокротиння з позитивним мазком (безпосереднє тестування) та культивованих ізолятів MTBC (непряме тестування) як з легеневих, так і з позалегеневих ділянок.</w:t>
                            </w:r>
                          </w:p>
                          <w:p w14:paraId="21F9F462" w14:textId="52E00EB2" w:rsidR="009D0C1D" w:rsidRDefault="009D0C1D" w:rsidP="00454445">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LPA не рекомендуються для безпосереднього тестування зразків мокротиння з негативним мазком.</w:t>
                            </w:r>
                          </w:p>
                          <w:p w14:paraId="0D2114B8" w14:textId="432A22C4"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Ця рекомендація застосовується до виявлення MTBC та діагностики МЛС-ТБ, але визнає відмінності у точності виявлення резистентності до RIF та INH, а отже, знижену точність у діагностиці МЛС-ТБ.</w:t>
                            </w:r>
                          </w:p>
                          <w:p w14:paraId="49248466" w14:textId="78909545"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Ця рекомендація не виключає необхідності проведення стандартного культурального ТМЧ для визначення резистентності до інших протитуберкульозних препаратів та для контролю додаткової медикаментозної резистентності.</w:t>
                            </w:r>
                          </w:p>
                          <w:p w14:paraId="18F827AE" w14:textId="5B2B6DC6"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Стандартне культуральне ТМЧ для INH все ще може використовуватись для дослідження пацієнтів, якщо результат LPA не демонструє резистентності до INH. Це особливо важливо для популяцій з високою клінічною передбачуваністю щодо резистентності до INH.</w:t>
                            </w:r>
                          </w:p>
                          <w:p w14:paraId="031703E6" w14:textId="182AC125" w:rsidR="009D0C1D" w:rsidRDefault="009D0C1D" w:rsidP="00454445">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Ці рекомендації застосовуються до використання LPA у дітей на основі узагальнення даних, отриманих від дорослих.</w:t>
                            </w:r>
                          </w:p>
                        </w:txbxContent>
                      </wps:txbx>
                      <wps:bodyPr lIns="0" tIns="0" rIns="0" bIns="0">
                        <a:noAutofit/>
                      </wps:bodyPr>
                    </wps:wsp>
                  </a:graphicData>
                </a:graphic>
                <wp14:sizeRelV relativeFrom="margin">
                  <wp14:pctHeight>0</wp14:pctHeight>
                </wp14:sizeRelV>
              </wp:anchor>
            </w:drawing>
          </mc:Choice>
          <mc:Fallback>
            <w:pict>
              <v:rect w14:anchorId="003973A5" id="_x0000_s1107" style="position:absolute;margin-left:25.6pt;margin-top:50.1pt;width:412.8pt;height:382.2pt;z-index:25148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" fillcolor="#c4e1cf" stroked="f">
                <v:textbox inset="0,0,0,0">
                  <w:txbxContent>
                    <w:p w14:paraId="6564A500" w14:textId="77777777" w:rsidR="009D0C1D" w:rsidRDefault="009D0C1D" w:rsidP="00454445">
                      <w:pPr>
                        <w:spacing w:after="56" w:line="314" w:lineRule="auto"/>
                        <w:jc w:val="both"/>
                        <w:rPr>
                          <w:rFonts w:eastAsia="+mn-ea" w:cs="+mn-cs"/>
                          <w:kern w:val="24"/>
                          <w:sz w:val="20"/>
                          <w:szCs w:val="20"/>
                        </w:rPr>
                      </w:pPr>
                      <w:r>
                        <w:rPr>
                          <w:sz w:val="20"/>
                        </w:rPr>
                        <w:t>Для осіб з позитивним мазком мокротиння або культивованим ізолятом MTBC початковими тестами замість фенотипового культурального ТМЧ для виявлення резистентності до рифампіцину та ізоніазиду можуть бути доступні у продажу молекулярні LPA.</w:t>
                      </w:r>
                    </w:p>
                    <w:p w14:paraId="611ADA93" w14:textId="77777777" w:rsidR="009D0C1D" w:rsidRDefault="009D0C1D" w:rsidP="00454445">
                      <w:pPr>
                        <w:spacing w:after="56" w:line="314" w:lineRule="auto"/>
                        <w:jc w:val="both"/>
                        <w:rPr>
                          <w:rFonts w:eastAsia="+mn-ea" w:cs="+mn-cs"/>
                          <w:kern w:val="24"/>
                          <w:sz w:val="20"/>
                          <w:szCs w:val="20"/>
                        </w:rPr>
                      </w:pPr>
                      <w:r>
                        <w:rPr>
                          <w:i/>
                          <w:sz w:val="20"/>
                        </w:rPr>
                        <w:t>(Умовна рекомендація, середній рівень достовірності доказів)</w:t>
                      </w:r>
                    </w:p>
                    <w:p w14:paraId="5E40109E" w14:textId="77777777" w:rsidR="009D0C1D" w:rsidRDefault="009D0C1D" w:rsidP="00454445">
                      <w:pPr>
                        <w:spacing w:after="56" w:line="314" w:lineRule="auto"/>
                        <w:jc w:val="both"/>
                        <w:rPr>
                          <w:rFonts w:eastAsia="+mn-ea" w:cs="+mn-cs"/>
                          <w:kern w:val="24"/>
                          <w:sz w:val="20"/>
                          <w:szCs w:val="20"/>
                        </w:rPr>
                      </w:pPr>
                      <w:r>
                        <w:rPr>
                          <w:sz w:val="20"/>
                        </w:rPr>
                        <w:t>Примітки:</w:t>
                      </w:r>
                    </w:p>
                    <w:p w14:paraId="5ACA67B8" w14:textId="727B5405"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Ця рекомендація застосовується до використання LPA для тестування зразків мокротиння з позитивним мазком (безпосереднє тестування) та культивованих ізолятів MTBC (непряме тестування) як з легеневих, так і з позалегеневих ділянок.</w:t>
                      </w:r>
                    </w:p>
                    <w:p w14:paraId="21F9F462" w14:textId="52E00EB2" w:rsidR="009D0C1D" w:rsidRDefault="009D0C1D" w:rsidP="00454445">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LPA не рекомендуються для безпосереднього тестування зразків мокротиння з негативним мазком.</w:t>
                      </w:r>
                    </w:p>
                    <w:p w14:paraId="0D2114B8" w14:textId="432A22C4"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Ця рекомендація застосовується до виявлення MTBC та діагностики МЛС-ТБ, але визнає відмінності у точності виявлення резистентності до RIF та INH, а отже, знижену точність у діагностиці МЛС-ТБ.</w:t>
                      </w:r>
                    </w:p>
                    <w:p w14:paraId="49248466" w14:textId="78909545"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Ця рекомендація не виключає необхідності проведення стандартного культурального ТМЧ для визначення резистентності до інших протитуберкульозних препаратів та для контролю додаткової медикаментозної резистентності.</w:t>
                      </w:r>
                    </w:p>
                    <w:p w14:paraId="18F827AE" w14:textId="5B2B6DC6"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Стандартне культуральне ТМЧ для INH все ще може використовуватись для дослідження пацієнтів, якщо результат LPA не демонструє резистентності до INH. Це особливо важливо для популяцій з високою клінічною передбачуваністю щодо резистентності до INH.</w:t>
                      </w:r>
                    </w:p>
                    <w:p w14:paraId="031703E6" w14:textId="182AC125" w:rsidR="009D0C1D" w:rsidRDefault="009D0C1D" w:rsidP="00454445">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Ці рекомендації застосовуються до використання LPA у дітей на основі узагальнення даних, отриманих від дорослих.</w:t>
                      </w:r>
                    </w:p>
                  </w:txbxContent>
                </v:textbox>
              </v:rect>
            </w:pict>
          </mc:Fallback>
        </mc:AlternateContent>
      </w:r>
      <w:r w:rsidR="00454445">
        <w:rPr>
          <w:noProof/>
        </w:rPr>
        <mc:AlternateContent>
          <mc:Choice Requires="wps">
            <w:drawing>
              <wp:anchor distT="0" distB="0" distL="114300" distR="114300" simplePos="0" relativeHeight="251487232" behindDoc="0" locked="0" layoutInCell="1" allowOverlap="1" wp14:anchorId="67F1AC50" wp14:editId="096FF1B7">
                <wp:simplePos x="0" y="0"/>
                <wp:positionH relativeFrom="column">
                  <wp:posOffset>127000</wp:posOffset>
                </wp:positionH>
                <wp:positionV relativeFrom="paragraph">
                  <wp:posOffset>217170</wp:posOffset>
                </wp:positionV>
                <wp:extent cx="3079750" cy="289560"/>
                <wp:effectExtent l="0" t="0" r="6350" b="0"/>
                <wp:wrapNone/>
                <wp:docPr id="446523113" name="Прямокутник 2"/>
                <wp:cNvGraphicFramePr/>
                <a:graphic xmlns:a="http://schemas.openxmlformats.org/drawingml/2006/main">
                  <a:graphicData uri="http://schemas.microsoft.com/office/word/2010/wordprocessingShape">
                    <wps:wsp>
                      <wps:cNvSpPr/>
                      <wps:spPr>
                        <a:xfrm>
                          <a:off x="0" y="0"/>
                          <a:ext cx="3079750" cy="289560"/>
                        </a:xfrm>
                        <a:prstGeom prst="rect">
                          <a:avLst/>
                        </a:prstGeom>
                        <a:solidFill>
                          <a:srgbClr val="009649"/>
                        </a:solidFill>
                      </wps:spPr>
                      <wps:txbx>
                        <w:txbxContent>
                          <w:p w14:paraId="32260B3E" w14:textId="77777777" w:rsidR="009D0C1D" w:rsidRPr="0079021A" w:rsidRDefault="009D0C1D" w:rsidP="00454445">
                            <w:pPr>
                              <w:rPr>
                                <w:rFonts w:eastAsia="+mn-ea" w:cs="+mn-cs"/>
                                <w:b/>
                                <w:bCs/>
                                <w:color w:val="FFFFFF"/>
                                <w:kern w:val="24"/>
                                <w:sz w:val="20"/>
                                <w:szCs w:val="20"/>
                              </w:rPr>
                            </w:pPr>
                            <w:r>
                              <w:rPr>
                                <w:b/>
                                <w:color w:val="FFFFFF"/>
                                <w:sz w:val="20"/>
                              </w:rPr>
                              <w:t xml:space="preserve">Вставка 2.6. Рекомендація ВООЗ щодо FL-LPA </w:t>
                            </w:r>
                            <w:r>
                              <w:rPr>
                                <w:b/>
                                <w:i/>
                                <w:color w:val="FFFFFF"/>
                                <w:sz w:val="20"/>
                              </w:rPr>
                              <w:t>(6)</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7F1AC50" id="_x0000_s1108" style="position:absolute;margin-left:10pt;margin-top:17.1pt;width:242.5pt;height:22.8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" fillcolor="#009649" stroked="f">
                <v:textbox inset="0,0,0,0">
                  <w:txbxContent>
                    <w:p w14:paraId="32260B3E" w14:textId="77777777" w:rsidR="009D0C1D" w:rsidRPr="0079021A" w:rsidRDefault="009D0C1D" w:rsidP="00454445">
                      <w:pPr>
                        <w:rPr>
                          <w:rFonts w:eastAsia="+mn-ea" w:cs="+mn-cs"/>
                          <w:b/>
                          <w:bCs/>
                          <w:color w:val="FFFFFF"/>
                          <w:kern w:val="24"/>
                          <w:sz w:val="20"/>
                          <w:szCs w:val="20"/>
                        </w:rPr>
                      </w:pPr>
                      <w:r>
                        <w:rPr>
                          <w:b/>
                          <w:color w:val="FFFFFF"/>
                          <w:sz w:val="20"/>
                        </w:rPr>
                        <w:t xml:space="preserve">Вставка 2.6. Рекомендація ВООЗ щодо FL-LPA </w:t>
                      </w:r>
                      <w:r>
                        <w:rPr>
                          <w:b/>
                          <w:i/>
                          <w:color w:val="FFFFFF"/>
                          <w:sz w:val="20"/>
                        </w:rPr>
                        <w:t>(6)</w:t>
                      </w:r>
                    </w:p>
                  </w:txbxContent>
                </v:textbox>
              </v:rect>
            </w:pict>
          </mc:Fallback>
        </mc:AlternateContent>
      </w:r>
      <w:r w:rsidR="00454445">
        <w:rPr>
          <w:noProof/>
        </w:rPr>
        <w:drawing>
          <wp:inline distT="0" distB="0" distL="0" distR="0" wp14:anchorId="72699B12" wp14:editId="5F42DAD5">
            <wp:extent cx="5782310" cy="5554980"/>
            <wp:effectExtent l="0" t="0" r="8890" b="7620"/>
            <wp:docPr id="43"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61" cstate="print">
                      <a:extLst>
                        <a:ext uri="{28A0092B-C50C-407E-A947-70E740481C1C}">
                          <a14:useLocalDpi xmlns:a14="http://schemas.microsoft.com/office/drawing/2010/main" val="0"/>
                        </a:ext>
                      </a:extLst>
                    </a:blip>
                    <a:stretch/>
                  </pic:blipFill>
                  <pic:spPr>
                    <a:xfrm>
                      <a:off x="0" y="0"/>
                      <a:ext cx="5782310" cy="5554980"/>
                    </a:xfrm>
                    <a:prstGeom prst="rect">
                      <a:avLst/>
                    </a:prstGeom>
                  </pic:spPr>
                </pic:pic>
              </a:graphicData>
            </a:graphic>
          </wp:inline>
        </w:drawing>
      </w:r>
      <w:r w:rsidR="00454445">
        <w:t xml:space="preserve"> </w:t>
      </w:r>
    </w:p>
    <w:p w14:paraId="44251196"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14:paraId="0A03B7EF" w14:textId="77777777">
        <w:trPr>
          <w:trHeight w:hRule="exact" w:val="1272"/>
        </w:trPr>
        <w:tc>
          <w:tcPr>
            <w:tcW w:w="9106" w:type="dxa"/>
            <w:shd w:val="clear" w:color="auto" w:fill="FFFFFF"/>
          </w:tcPr>
          <w:p w14:paraId="5D206DEC" w14:textId="77777777" w:rsidR="00366CB9" w:rsidRPr="00356397" w:rsidRDefault="009D0C1D" w:rsidP="00457B0A">
            <w:pPr>
              <w:pStyle w:val="a6"/>
              <w:shd w:val="clear" w:color="auto" w:fill="auto"/>
              <w:spacing w:after="180" w:line="271" w:lineRule="auto"/>
              <w:rPr>
                <w:i/>
                <w:iCs/>
                <w:sz w:val="24"/>
                <w:szCs w:val="24"/>
              </w:rPr>
            </w:pPr>
            <w:r>
              <w:rPr>
                <w:b w:val="0"/>
                <w:i/>
                <w:color w:val="019648"/>
                <w:sz w:val="24"/>
              </w:rPr>
              <w:t>LPA препаратів другої лінії</w:t>
            </w:r>
          </w:p>
          <w:p w14:paraId="4025ED0C" w14:textId="77777777" w:rsidR="00366CB9" w:rsidRDefault="009D0C1D" w:rsidP="00457B0A">
            <w:pPr>
              <w:pStyle w:val="a6"/>
              <w:shd w:val="clear" w:color="auto" w:fill="auto"/>
              <w:spacing w:line="326" w:lineRule="auto"/>
              <w:rPr>
                <w:sz w:val="20"/>
                <w:szCs w:val="20"/>
              </w:rPr>
            </w:pPr>
            <w:bookmarkStart w:id="52" w:name="bookmark49"/>
            <w:r w:rsidRPr="00E80D3A">
              <w:rPr>
                <w:b w:val="0"/>
                <w:color w:val="000000"/>
                <w:sz w:val="18"/>
                <w:szCs w:val="24"/>
              </w:rPr>
              <w:t>Аналізи олігонуклеотидними зондами для препаратів другої лінії (SL-LPA), такі як GenoType MTBDR</w:t>
            </w:r>
            <w:r w:rsidRPr="00E80D3A">
              <w:rPr>
                <w:b w:val="0"/>
                <w:i/>
                <w:color w:val="000000"/>
                <w:sz w:val="18"/>
                <w:szCs w:val="24"/>
              </w:rPr>
              <w:t>sl</w:t>
            </w:r>
            <w:r w:rsidRPr="00E80D3A">
              <w:rPr>
                <w:b w:val="0"/>
                <w:color w:val="000000"/>
                <w:sz w:val="18"/>
                <w:szCs w:val="24"/>
              </w:rPr>
              <w:t>, дозволяють виявити резистентність до FQ та AMK (</w:t>
            </w:r>
            <w:hyperlink w:anchor="bookmark49" w:tooltip="Поточний документ">
              <w:r w:rsidR="00366CB9" w:rsidRPr="00E80D3A">
                <w:rPr>
                  <w:color w:val="000000"/>
                  <w:sz w:val="18"/>
                  <w:szCs w:val="24"/>
                </w:rPr>
                <w:t>Вставка 2.7</w:t>
              </w:r>
            </w:hyperlink>
            <w:r w:rsidRPr="00E80D3A">
              <w:rPr>
                <w:b w:val="0"/>
                <w:color w:val="000000"/>
                <w:sz w:val="18"/>
                <w:szCs w:val="24"/>
              </w:rPr>
              <w:t>).</w:t>
            </w:r>
            <w:bookmarkEnd w:id="52"/>
          </w:p>
        </w:tc>
      </w:tr>
      <w:tr w:rsidR="00366CB9" w14:paraId="544D3386" w14:textId="77777777">
        <w:trPr>
          <w:trHeight w:hRule="exact" w:val="11746"/>
        </w:trPr>
        <w:tc>
          <w:tcPr>
            <w:tcW w:w="9106" w:type="dxa"/>
            <w:shd w:val="clear" w:color="auto" w:fill="FFFFFF"/>
          </w:tcPr>
          <w:p w14:paraId="4BB405BE" w14:textId="16508401" w:rsidR="00366CB9" w:rsidRDefault="00356397" w:rsidP="00457B0A">
            <w:pPr>
              <w:rPr>
                <w:sz w:val="2"/>
                <w:szCs w:val="2"/>
              </w:rPr>
            </w:pPr>
            <w:r>
              <w:rPr>
                <w:noProof/>
              </w:rPr>
              <mc:AlternateContent>
                <mc:Choice Requires="wps">
                  <w:drawing>
                    <wp:anchor distT="0" distB="0" distL="114300" distR="114300" simplePos="0" relativeHeight="251490304" behindDoc="0" locked="0" layoutInCell="1" allowOverlap="1" wp14:anchorId="6DC858CA" wp14:editId="0A3C0E64">
                      <wp:simplePos x="0" y="0"/>
                      <wp:positionH relativeFrom="column">
                        <wp:posOffset>337820</wp:posOffset>
                      </wp:positionH>
                      <wp:positionV relativeFrom="paragraph">
                        <wp:posOffset>638810</wp:posOffset>
                      </wp:positionV>
                      <wp:extent cx="5217795" cy="6650355"/>
                      <wp:effectExtent l="0" t="0" r="1905" b="0"/>
                      <wp:wrapNone/>
                      <wp:docPr id="65889776" name="Прямокутник 3"/>
                      <wp:cNvGraphicFramePr/>
                      <a:graphic xmlns:a="http://schemas.openxmlformats.org/drawingml/2006/main">
                        <a:graphicData uri="http://schemas.microsoft.com/office/word/2010/wordprocessingShape">
                          <wps:wsp>
                            <wps:cNvSpPr/>
                            <wps:spPr>
                              <a:xfrm>
                                <a:off x="0" y="0"/>
                                <a:ext cx="5217795" cy="6650355"/>
                              </a:xfrm>
                              <a:prstGeom prst="rect">
                                <a:avLst/>
                              </a:prstGeom>
                              <a:solidFill>
                                <a:srgbClr val="C6E0CE"/>
                              </a:solidFill>
                            </wps:spPr>
                            <wps:txbx>
                              <w:txbxContent>
                                <w:p w14:paraId="52592F82" w14:textId="77777777" w:rsidR="009D0C1D" w:rsidRDefault="009D0C1D" w:rsidP="00454445">
                                  <w:pPr>
                                    <w:spacing w:after="56" w:line="316" w:lineRule="auto"/>
                                    <w:jc w:val="both"/>
                                    <w:rPr>
                                      <w:rFonts w:eastAsia="+mn-ea" w:cs="+mn-cs"/>
                                      <w:kern w:val="24"/>
                                      <w:sz w:val="20"/>
                                      <w:szCs w:val="20"/>
                                    </w:rPr>
                                  </w:pPr>
                                  <w:r>
                                    <w:rPr>
                                      <w:sz w:val="20"/>
                                    </w:rPr>
                                    <w:t>Для осіб з підтвердженим МЛС/Риф-ТБ початковим тестом замість фенотипового культурального ТМЧ для виявлення резистентності до фторхінолонів може бути SL-LPA.</w:t>
                                  </w:r>
                                </w:p>
                                <w:p w14:paraId="4280819E" w14:textId="77777777" w:rsidR="009D0C1D" w:rsidRDefault="009D0C1D" w:rsidP="00454445">
                                  <w:pPr>
                                    <w:spacing w:after="98" w:line="314" w:lineRule="auto"/>
                                    <w:jc w:val="both"/>
                                    <w:rPr>
                                      <w:rFonts w:eastAsia="+mn-ea" w:cs="+mn-cs"/>
                                      <w:kern w:val="24"/>
                                      <w:sz w:val="20"/>
                                      <w:szCs w:val="20"/>
                                    </w:rPr>
                                  </w:pPr>
                                  <w:r>
                                    <w:rPr>
                                      <w:i/>
                                      <w:sz w:val="20"/>
                                    </w:rPr>
                                    <w:t>(Умовна рекомендація, середній рівень достовірності доказів)</w:t>
                                  </w:r>
                                </w:p>
                                <w:p w14:paraId="56F959BF" w14:textId="77777777" w:rsidR="009D0C1D" w:rsidRDefault="009D0C1D" w:rsidP="00454445">
                                  <w:pPr>
                                    <w:spacing w:after="56" w:line="312" w:lineRule="auto"/>
                                    <w:jc w:val="both"/>
                                    <w:rPr>
                                      <w:rFonts w:eastAsia="+mn-ea" w:cs="+mn-cs"/>
                                      <w:kern w:val="24"/>
                                      <w:sz w:val="20"/>
                                      <w:szCs w:val="20"/>
                                    </w:rPr>
                                  </w:pPr>
                                  <w:r>
                                    <w:rPr>
                                      <w:sz w:val="20"/>
                                    </w:rPr>
                                    <w:t>Для осіб з підтвердженим МЛС/Риф-ТБ початковим тестом замість фенотипового культурального ТМЧ для виявлення резистентності до ІПДЛ.</w:t>
                                  </w:r>
                                </w:p>
                                <w:p w14:paraId="36F4DBF0" w14:textId="77777777" w:rsidR="009D0C1D" w:rsidRDefault="009D0C1D" w:rsidP="00454445">
                                  <w:pPr>
                                    <w:spacing w:after="98" w:line="314" w:lineRule="auto"/>
                                    <w:jc w:val="both"/>
                                    <w:rPr>
                                      <w:rFonts w:eastAsia="+mn-ea" w:cs="+mn-cs"/>
                                      <w:kern w:val="24"/>
                                      <w:sz w:val="20"/>
                                      <w:szCs w:val="20"/>
                                    </w:rPr>
                                  </w:pPr>
                                  <w:r>
                                    <w:rPr>
                                      <w:i/>
                                      <w:sz w:val="20"/>
                                    </w:rPr>
                                    <w:t>(Умовна рекомендація, низький рівень достовірності доказів)</w:t>
                                  </w:r>
                                </w:p>
                                <w:p w14:paraId="6AA66113" w14:textId="77777777" w:rsidR="009D0C1D" w:rsidRDefault="009D0C1D" w:rsidP="00454445">
                                  <w:pPr>
                                    <w:spacing w:after="56" w:line="314" w:lineRule="auto"/>
                                    <w:jc w:val="both"/>
                                    <w:rPr>
                                      <w:rFonts w:eastAsia="+mn-ea" w:cs="+mn-cs"/>
                                      <w:kern w:val="24"/>
                                      <w:sz w:val="20"/>
                                      <w:szCs w:val="20"/>
                                    </w:rPr>
                                  </w:pPr>
                                  <w:r>
                                    <w:rPr>
                                      <w:sz w:val="20"/>
                                    </w:rPr>
                                    <w:t>Примітки:</w:t>
                                  </w:r>
                                </w:p>
                                <w:p w14:paraId="0BE6FC68" w14:textId="23917FC5"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 xml:space="preserve">Ці рекомендації застосовуються до використання SL-LPA для тестування зразків мокротиння (безпосереднє тестування) та культивованих ізолятів </w:t>
                                  </w:r>
                                  <w:r>
                                    <w:rPr>
                                      <w:i/>
                                      <w:sz w:val="20"/>
                                    </w:rPr>
                                    <w:t>Mtb</w:t>
                                  </w:r>
                                  <w:r>
                                    <w:rPr>
                                      <w:sz w:val="20"/>
                                    </w:rPr>
                                    <w:t xml:space="preserve"> (непряме тестування) як з легеневих, так і з позалегеневих ділянок. Безпосереднє тестування на зразках мокротиння дозволяє раніше розпочати відповідне лікування.</w:t>
                                  </w:r>
                                </w:p>
                                <w:p w14:paraId="376DE7D7" w14:textId="3FC2F659" w:rsidR="009D0C1D" w:rsidRDefault="009D0C1D" w:rsidP="00454445">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Ці рекомендації застосовуються до безпосереднього тестування зразків мокротиння МЛС/Риф-ТБ, незалежно від статусу мазка, що визнає, що рівень невизначеності є вищим при тестуванні зразків мокротиння з негативним мазком, ніж при тестуванні зразків мокротиння з позитивним мазком.</w:t>
                                  </w:r>
                                </w:p>
                                <w:p w14:paraId="0E63F694" w14:textId="2A814525"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Ці рекомендації не виключають необхідності проведення стандартного культурального ТМЧ для підтвердження резистентності до інших лікарських засобів та для контролю додаткової медикаментозної резистентності.</w:t>
                                  </w:r>
                                </w:p>
                                <w:p w14:paraId="2BF74C95" w14:textId="08E67D3F"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Звичайне фенотипове ТМЧ все ще може використовуватись при дослідженні пацієнтів з негативними результатами SL-LPA, особливо у популяціях з високою клінічною передбачуваністю щодо резистентності до FQ або ін’єкційних препаратів другої лінії (або обидва випадки).</w:t>
                                  </w:r>
                                </w:p>
                                <w:p w14:paraId="4941A82D" w14:textId="28FEEC5A" w:rsidR="009D0C1D" w:rsidRDefault="009D0C1D" w:rsidP="00454445">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Ці рекомендації застосовуються до використання SL-LPA у дітей з підтвердженим МЛС-Риф-ТБ на основі узагальнення даних, отриманих від дорослих.</w:t>
                                  </w:r>
                                </w:p>
                                <w:p w14:paraId="76DD9B17" w14:textId="6850DB1E" w:rsidR="009D0C1D" w:rsidRDefault="009D0C1D" w:rsidP="00454445">
                                  <w:pPr>
                                    <w:spacing w:after="56" w:line="316" w:lineRule="auto"/>
                                    <w:ind w:left="403" w:hanging="403"/>
                                    <w:jc w:val="both"/>
                                    <w:rPr>
                                      <w:rFonts w:eastAsia="+mn-ea" w:cs="+mn-cs"/>
                                      <w:color w:val="019648"/>
                                      <w:kern w:val="24"/>
                                      <w:sz w:val="20"/>
                                      <w:szCs w:val="20"/>
                                    </w:rPr>
                                  </w:pPr>
                                  <w:r>
                                    <w:rPr>
                                      <w:rFonts w:ascii="Wingdings" w:hAnsi="Wingdings"/>
                                      <w:color w:val="019648"/>
                                    </w:rPr>
                                    <w:t></w:t>
                                  </w:r>
                                  <w:r>
                                    <w:tab/>
                                  </w:r>
                                  <w:r>
                                    <w:rPr>
                                      <w:sz w:val="20"/>
                                    </w:rPr>
                                    <w:t>Стійкість, що надає мутації, виявлені SL-LPA, сильно корелює з фенотиповою резистентністю до офлоксацину та левофлоксацину.</w:t>
                                  </w:r>
                                </w:p>
                                <w:p w14:paraId="2E93ABE8" w14:textId="5EE632E1" w:rsidR="009D0C1D" w:rsidRDefault="009D0C1D" w:rsidP="00454445">
                                  <w:pPr>
                                    <w:spacing w:after="56" w:line="316" w:lineRule="auto"/>
                                    <w:ind w:left="403" w:hanging="403"/>
                                    <w:jc w:val="both"/>
                                    <w:rPr>
                                      <w:rFonts w:eastAsia="+mn-ea" w:cs="+mn-cs"/>
                                      <w:color w:val="019648"/>
                                      <w:kern w:val="24"/>
                                      <w:sz w:val="20"/>
                                      <w:szCs w:val="20"/>
                                    </w:rPr>
                                  </w:pPr>
                                  <w:r>
                                    <w:rPr>
                                      <w:rFonts w:ascii="Wingdings" w:hAnsi="Wingdings"/>
                                      <w:color w:val="019648"/>
                                    </w:rPr>
                                    <w:t></w:t>
                                  </w:r>
                                  <w:r>
                                    <w:tab/>
                                  </w:r>
                                  <w:r>
                                    <w:rPr>
                                      <w:sz w:val="20"/>
                                    </w:rPr>
                                    <w:t>Стійкість, що надає мутації, виявлені SL-LPA, сильно корелює з фенотиповою резистентністю до SLID.</w:t>
                                  </w:r>
                                </w:p>
                                <w:p w14:paraId="7236A225" w14:textId="2B54B168" w:rsidR="009D0C1D" w:rsidRDefault="009D0C1D" w:rsidP="00454445">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Враховуючи високу специфічність щодо виявлення резистентності до FQ та SLID, позитивні результати SL-LPA можна використовувати для впровадження відповідних запобіжних заходів щодо інфекційного контролю.</w:t>
                                  </w:r>
                                </w:p>
                              </w:txbxContent>
                            </wps:txbx>
                            <wps:bodyPr lIns="0" tIns="0" rIns="0" bIns="0">
                              <a:noAutofit/>
                            </wps:bodyPr>
                          </wps:wsp>
                        </a:graphicData>
                      </a:graphic>
                    </wp:anchor>
                  </w:drawing>
                </mc:Choice>
                <mc:Fallback>
                  <w:pict>
                    <v:rect w14:anchorId="6DC858CA" id="_x0000_s1109" style="position:absolute;margin-left:26.6pt;margin-top:50.3pt;width:410.85pt;height:523.65pt;z-index:25149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" fillcolor="#c6e0ce" stroked="f">
                      <v:textbox inset="0,0,0,0">
                        <w:txbxContent>
                          <w:p w14:paraId="52592F82" w14:textId="77777777" w:rsidR="009D0C1D" w:rsidRDefault="009D0C1D" w:rsidP="00454445">
                            <w:pPr>
                              <w:spacing w:after="56" w:line="316" w:lineRule="auto"/>
                              <w:jc w:val="both"/>
                              <w:rPr>
                                <w:rFonts w:eastAsia="+mn-ea" w:cs="+mn-cs"/>
                                <w:kern w:val="24"/>
                                <w:sz w:val="20"/>
                                <w:szCs w:val="20"/>
                              </w:rPr>
                            </w:pPr>
                            <w:r>
                              <w:rPr>
                                <w:sz w:val="20"/>
                              </w:rPr>
                              <w:t>Для осіб з підтвердженим МЛС/Риф-ТБ початковим тестом замість фенотипового культурального ТМЧ для виявлення резистентності до фторхінолонів може бути SL-LPA.</w:t>
                            </w:r>
                          </w:p>
                          <w:p w14:paraId="4280819E" w14:textId="77777777" w:rsidR="009D0C1D" w:rsidRDefault="009D0C1D" w:rsidP="00454445">
                            <w:pPr>
                              <w:spacing w:after="98" w:line="314" w:lineRule="auto"/>
                              <w:jc w:val="both"/>
                              <w:rPr>
                                <w:rFonts w:eastAsia="+mn-ea" w:cs="+mn-cs"/>
                                <w:kern w:val="24"/>
                                <w:sz w:val="20"/>
                                <w:szCs w:val="20"/>
                              </w:rPr>
                            </w:pPr>
                            <w:r>
                              <w:rPr>
                                <w:i/>
                                <w:sz w:val="20"/>
                              </w:rPr>
                              <w:t>(Умовна рекомендація, середній рівень достовірності доказів)</w:t>
                            </w:r>
                          </w:p>
                          <w:p w14:paraId="56F959BF" w14:textId="77777777" w:rsidR="009D0C1D" w:rsidRDefault="009D0C1D" w:rsidP="00454445">
                            <w:pPr>
                              <w:spacing w:after="56" w:line="312" w:lineRule="auto"/>
                              <w:jc w:val="both"/>
                              <w:rPr>
                                <w:rFonts w:eastAsia="+mn-ea" w:cs="+mn-cs"/>
                                <w:kern w:val="24"/>
                                <w:sz w:val="20"/>
                                <w:szCs w:val="20"/>
                              </w:rPr>
                            </w:pPr>
                            <w:r>
                              <w:rPr>
                                <w:sz w:val="20"/>
                              </w:rPr>
                              <w:t>Для осіб з підтвердженим МЛС/Риф-ТБ початковим тестом замість фенотипового культурального ТМЧ для виявлення резистентності до ІПДЛ.</w:t>
                            </w:r>
                          </w:p>
                          <w:p w14:paraId="36F4DBF0" w14:textId="77777777" w:rsidR="009D0C1D" w:rsidRDefault="009D0C1D" w:rsidP="00454445">
                            <w:pPr>
                              <w:spacing w:after="98" w:line="314" w:lineRule="auto"/>
                              <w:jc w:val="both"/>
                              <w:rPr>
                                <w:rFonts w:eastAsia="+mn-ea" w:cs="+mn-cs"/>
                                <w:kern w:val="24"/>
                                <w:sz w:val="20"/>
                                <w:szCs w:val="20"/>
                              </w:rPr>
                            </w:pPr>
                            <w:r>
                              <w:rPr>
                                <w:i/>
                                <w:sz w:val="20"/>
                              </w:rPr>
                              <w:t>(Умовна рекомендація, низький рівень достовірності доказів)</w:t>
                            </w:r>
                          </w:p>
                          <w:p w14:paraId="6AA66113" w14:textId="77777777" w:rsidR="009D0C1D" w:rsidRDefault="009D0C1D" w:rsidP="00454445">
                            <w:pPr>
                              <w:spacing w:after="56" w:line="314" w:lineRule="auto"/>
                              <w:jc w:val="both"/>
                              <w:rPr>
                                <w:rFonts w:eastAsia="+mn-ea" w:cs="+mn-cs"/>
                                <w:kern w:val="24"/>
                                <w:sz w:val="20"/>
                                <w:szCs w:val="20"/>
                              </w:rPr>
                            </w:pPr>
                            <w:r>
                              <w:rPr>
                                <w:sz w:val="20"/>
                              </w:rPr>
                              <w:t>Примітки:</w:t>
                            </w:r>
                          </w:p>
                          <w:p w14:paraId="0BE6FC68" w14:textId="23917FC5"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 xml:space="preserve">Ці рекомендації застосовуються до використання SL-LPA для тестування зразків мокротиння (безпосереднє тестування) та культивованих ізолятів </w:t>
                            </w:r>
                            <w:r>
                              <w:rPr>
                                <w:i/>
                                <w:sz w:val="20"/>
                              </w:rPr>
                              <w:t>Mtb</w:t>
                            </w:r>
                            <w:r>
                              <w:rPr>
                                <w:sz w:val="20"/>
                              </w:rPr>
                              <w:t xml:space="preserve"> (непряме тестування) як з легеневих, так і з позалегеневих ділянок. Безпосереднє тестування на зразках мокротиння дозволяє раніше розпочати відповідне лікування.</w:t>
                            </w:r>
                          </w:p>
                          <w:p w14:paraId="376DE7D7" w14:textId="3FC2F659" w:rsidR="009D0C1D" w:rsidRDefault="009D0C1D" w:rsidP="00454445">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Ці рекомендації застосовуються до безпосереднього тестування зразків мокротиння МЛС/Риф-ТБ, незалежно від статусу мазка, що визнає, що рівень невизначеності є вищим при тестуванні зразків мокротиння з негативним мазком, ніж при тестуванні зразків мокротиння з позитивним мазком.</w:t>
                            </w:r>
                          </w:p>
                          <w:p w14:paraId="0E63F694" w14:textId="2A814525"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Ці рекомендації не виключають необхідності проведення стандартного культурального ТМЧ для підтвердження резистентності до інших лікарських засобів та для контролю додаткової медикаментозної резистентності.</w:t>
                            </w:r>
                          </w:p>
                          <w:p w14:paraId="2BF74C95" w14:textId="08E67D3F"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Звичайне фенотипове ТМЧ все ще може використовуватись при дослідженні пацієнтів з негативними результатами SL-LPA, особливо у популяціях з високою клінічною передбачуваністю щодо резистентності до FQ або ін’єкційних препаратів другої лінії (або обидва випадки).</w:t>
                            </w:r>
                          </w:p>
                          <w:p w14:paraId="4941A82D" w14:textId="28FEEC5A" w:rsidR="009D0C1D" w:rsidRDefault="009D0C1D" w:rsidP="00454445">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Ці рекомендації застосовуються до використання SL-LPA у дітей з підтвердженим МЛС-Риф-ТБ на основі узагальнення даних, отриманих від дорослих.</w:t>
                            </w:r>
                          </w:p>
                          <w:p w14:paraId="76DD9B17" w14:textId="6850DB1E" w:rsidR="009D0C1D" w:rsidRDefault="009D0C1D" w:rsidP="00454445">
                            <w:pPr>
                              <w:spacing w:after="56" w:line="316" w:lineRule="auto"/>
                              <w:ind w:left="403" w:hanging="403"/>
                              <w:jc w:val="both"/>
                              <w:rPr>
                                <w:rFonts w:eastAsia="+mn-ea" w:cs="+mn-cs"/>
                                <w:color w:val="019648"/>
                                <w:kern w:val="24"/>
                                <w:sz w:val="20"/>
                                <w:szCs w:val="20"/>
                              </w:rPr>
                            </w:pPr>
                            <w:r>
                              <w:rPr>
                                <w:rFonts w:ascii="Wingdings" w:hAnsi="Wingdings"/>
                                <w:color w:val="019648"/>
                              </w:rPr>
                              <w:t></w:t>
                            </w:r>
                            <w:r>
                              <w:tab/>
                            </w:r>
                            <w:r>
                              <w:rPr>
                                <w:sz w:val="20"/>
                              </w:rPr>
                              <w:t>Стійкість, що надає мутації, виявлені SL-LPA, сильно корелює з фенотиповою резистентністю до офлоксацину та левофлоксацину.</w:t>
                            </w:r>
                          </w:p>
                          <w:p w14:paraId="2E93ABE8" w14:textId="5EE632E1" w:rsidR="009D0C1D" w:rsidRDefault="009D0C1D" w:rsidP="00454445">
                            <w:pPr>
                              <w:spacing w:after="56" w:line="316" w:lineRule="auto"/>
                              <w:ind w:left="403" w:hanging="403"/>
                              <w:jc w:val="both"/>
                              <w:rPr>
                                <w:rFonts w:eastAsia="+mn-ea" w:cs="+mn-cs"/>
                                <w:color w:val="019648"/>
                                <w:kern w:val="24"/>
                                <w:sz w:val="20"/>
                                <w:szCs w:val="20"/>
                              </w:rPr>
                            </w:pPr>
                            <w:r>
                              <w:rPr>
                                <w:rFonts w:ascii="Wingdings" w:hAnsi="Wingdings"/>
                                <w:color w:val="019648"/>
                              </w:rPr>
                              <w:t></w:t>
                            </w:r>
                            <w:r>
                              <w:tab/>
                            </w:r>
                            <w:r>
                              <w:rPr>
                                <w:sz w:val="20"/>
                              </w:rPr>
                              <w:t>Стійкість, що надає мутації, виявлені SL-LPA, сильно корелює з фенотиповою резистентністю до SLID.</w:t>
                            </w:r>
                          </w:p>
                          <w:p w14:paraId="7236A225" w14:textId="2B54B168" w:rsidR="009D0C1D" w:rsidRDefault="009D0C1D" w:rsidP="00454445">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Враховуючи високу специфічність щодо виявлення резистентності до FQ та SLID, позитивні результати SL-LPA можна використовувати для впровадження відповідних запобіжних заходів щодо інфекційного контролю.</w:t>
                            </w:r>
                          </w:p>
                        </w:txbxContent>
                      </v:textbox>
                    </v:rect>
                  </w:pict>
                </mc:Fallback>
              </mc:AlternateContent>
            </w:r>
            <w:r>
              <w:rPr>
                <w:noProof/>
              </w:rPr>
              <mc:AlternateContent>
                <mc:Choice Requires="wps">
                  <w:drawing>
                    <wp:anchor distT="0" distB="0" distL="114300" distR="114300" simplePos="0" relativeHeight="251489280" behindDoc="0" locked="0" layoutInCell="1" allowOverlap="1" wp14:anchorId="06411BF4" wp14:editId="29E4D436">
                      <wp:simplePos x="0" y="0"/>
                      <wp:positionH relativeFrom="column">
                        <wp:posOffset>123719</wp:posOffset>
                      </wp:positionH>
                      <wp:positionV relativeFrom="paragraph">
                        <wp:posOffset>277958</wp:posOffset>
                      </wp:positionV>
                      <wp:extent cx="3173506" cy="152400"/>
                      <wp:effectExtent l="0" t="0" r="8255" b="0"/>
                      <wp:wrapNone/>
                      <wp:docPr id="1750539020" name="Прямокутник 2"/>
                      <wp:cNvGraphicFramePr/>
                      <a:graphic xmlns:a="http://schemas.openxmlformats.org/drawingml/2006/main">
                        <a:graphicData uri="http://schemas.microsoft.com/office/word/2010/wordprocessingShape">
                          <wps:wsp>
                            <wps:cNvSpPr/>
                            <wps:spPr>
                              <a:xfrm>
                                <a:off x="0" y="0"/>
                                <a:ext cx="3173506" cy="152400"/>
                              </a:xfrm>
                              <a:prstGeom prst="rect">
                                <a:avLst/>
                              </a:prstGeom>
                              <a:solidFill>
                                <a:srgbClr val="009649"/>
                              </a:solidFill>
                            </wps:spPr>
                            <wps:txbx>
                              <w:txbxContent>
                                <w:p w14:paraId="53F44BA7" w14:textId="77777777" w:rsidR="009D0C1D" w:rsidRPr="0079021A" w:rsidRDefault="009D0C1D" w:rsidP="00454445">
                                  <w:pPr>
                                    <w:rPr>
                                      <w:rFonts w:eastAsia="+mn-ea" w:cs="+mn-cs"/>
                                      <w:b/>
                                      <w:bCs/>
                                      <w:color w:val="FFFFFF"/>
                                      <w:kern w:val="24"/>
                                      <w:sz w:val="20"/>
                                      <w:szCs w:val="20"/>
                                    </w:rPr>
                                  </w:pPr>
                                  <w:r>
                                    <w:rPr>
                                      <w:b/>
                                      <w:color w:val="FFFFFF"/>
                                      <w:sz w:val="20"/>
                                    </w:rPr>
                                    <w:t xml:space="preserve">Вставка 2.7. Рекомендація ВООЗ щодо SL-LPA </w:t>
                                  </w:r>
                                  <w:r>
                                    <w:rPr>
                                      <w:b/>
                                      <w:i/>
                                      <w:color w:val="FFFFFF"/>
                                      <w:sz w:val="20"/>
                                    </w:rPr>
                                    <w:t>(6)</w:t>
                                  </w:r>
                                </w:p>
                              </w:txbxContent>
                            </wps:txbx>
                            <wps:bodyPr wrap="square" lIns="0" tIns="0" rIns="0" bIns="0">
                              <a:noAutofit/>
                            </wps:bodyPr>
                          </wps:wsp>
                        </a:graphicData>
                      </a:graphic>
                      <wp14:sizeRelH relativeFrom="margin">
                        <wp14:pctWidth>0</wp14:pctWidth>
                      </wp14:sizeRelH>
                    </wp:anchor>
                  </w:drawing>
                </mc:Choice>
                <mc:Fallback>
                  <w:pict>
                    <v:rect w14:anchorId="06411BF4" id="_x0000_s1110" style="position:absolute;margin-left:9.75pt;margin-top:21.9pt;width:249.9pt;height:12pt;z-index:25148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" fillcolor="#009649" stroked="f">
                      <v:textbox inset="0,0,0,0">
                        <w:txbxContent>
                          <w:p w14:paraId="53F44BA7" w14:textId="77777777" w:rsidR="009D0C1D" w:rsidRPr="0079021A" w:rsidRDefault="009D0C1D" w:rsidP="00454445">
                            <w:pPr>
                              <w:rPr>
                                <w:rFonts w:eastAsia="+mn-ea" w:cs="+mn-cs"/>
                                <w:b/>
                                <w:bCs/>
                                <w:color w:val="FFFFFF"/>
                                <w:kern w:val="24"/>
                                <w:sz w:val="20"/>
                                <w:szCs w:val="20"/>
                              </w:rPr>
                            </w:pPr>
                            <w:r>
                              <w:rPr>
                                <w:b/>
                                <w:color w:val="FFFFFF"/>
                                <w:sz w:val="20"/>
                              </w:rPr>
                              <w:t xml:space="preserve">Вставка 2.7. Рекомендація ВООЗ щодо SL-LPA </w:t>
                            </w:r>
                            <w:r>
                              <w:rPr>
                                <w:b/>
                                <w:i/>
                                <w:color w:val="FFFFFF"/>
                                <w:sz w:val="20"/>
                              </w:rPr>
                              <w:t>(6)</w:t>
                            </w:r>
                          </w:p>
                        </w:txbxContent>
                      </v:textbox>
                    </v:rect>
                  </w:pict>
                </mc:Fallback>
              </mc:AlternateContent>
            </w:r>
            <w:r>
              <w:rPr>
                <w:noProof/>
              </w:rPr>
              <w:drawing>
                <wp:inline distT="0" distB="0" distL="0" distR="0" wp14:anchorId="33FC1AB5" wp14:editId="0BA5AEBC">
                  <wp:extent cx="5782310" cy="745871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62"/>
                          <a:stretch/>
                        </pic:blipFill>
                        <pic:spPr>
                          <a:xfrm>
                            <a:off x="0" y="0"/>
                            <a:ext cx="5782310" cy="7458710"/>
                          </a:xfrm>
                          <a:prstGeom prst="rect">
                            <a:avLst/>
                          </a:prstGeom>
                        </pic:spPr>
                      </pic:pic>
                    </a:graphicData>
                  </a:graphic>
                </wp:inline>
              </w:drawing>
            </w:r>
          </w:p>
        </w:tc>
      </w:tr>
    </w:tbl>
    <w:p w14:paraId="30BE6BEE" w14:textId="638917A2"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143F518C"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14:paraId="27CF140D" w14:textId="77777777" w:rsidTr="00E80D3A">
        <w:trPr>
          <w:trHeight w:hRule="exact" w:val="3628"/>
        </w:trPr>
        <w:tc>
          <w:tcPr>
            <w:tcW w:w="9106" w:type="dxa"/>
            <w:shd w:val="clear" w:color="auto" w:fill="FFFFFF"/>
          </w:tcPr>
          <w:p w14:paraId="5C28114B" w14:textId="77777777" w:rsidR="00366CB9" w:rsidRDefault="009D0C1D" w:rsidP="00457B0A">
            <w:pPr>
              <w:pStyle w:val="a6"/>
              <w:shd w:val="clear" w:color="auto" w:fill="auto"/>
              <w:spacing w:after="200"/>
            </w:pPr>
            <w:r>
              <w:rPr>
                <w:b w:val="0"/>
                <w:color w:val="019648"/>
              </w:rPr>
              <w:t>2.4.3 NAAT на основі зворотної гібридизації високої складності</w:t>
            </w:r>
          </w:p>
          <w:p w14:paraId="082C553F" w14:textId="77777777" w:rsidR="00366CB9" w:rsidRDefault="009D0C1D" w:rsidP="00457B0A">
            <w:pPr>
              <w:pStyle w:val="a6"/>
              <w:shd w:val="clear" w:color="auto" w:fill="auto"/>
              <w:spacing w:line="324" w:lineRule="auto"/>
              <w:jc w:val="both"/>
              <w:rPr>
                <w:sz w:val="20"/>
                <w:szCs w:val="20"/>
              </w:rPr>
            </w:pPr>
            <w:r w:rsidRPr="00E80D3A">
              <w:rPr>
                <w:b w:val="0"/>
                <w:color w:val="000000"/>
                <w:sz w:val="18"/>
                <w:szCs w:val="24"/>
              </w:rPr>
              <w:t xml:space="preserve">«Першим за класом» продуктом для класу HC-rNAAT є Genoscholar PZA-TB (Nipro, Осака, Японія) для виявлення резистентності до PZA. Тест Genoscholar PZA-TB дотримується того ж принципу, що й FL-LPA та SL-LPA, але вимагає використання багатьох гібридизаційних зондів для охоплення повного гена </w:t>
            </w:r>
            <w:r w:rsidRPr="00E80D3A">
              <w:rPr>
                <w:b w:val="0"/>
                <w:i/>
                <w:iCs/>
                <w:color w:val="000000"/>
                <w:sz w:val="18"/>
                <w:szCs w:val="24"/>
              </w:rPr>
              <w:t>pncA</w:t>
            </w:r>
            <w:r w:rsidRPr="00E80D3A">
              <w:rPr>
                <w:b w:val="0"/>
                <w:color w:val="000000"/>
                <w:sz w:val="18"/>
                <w:szCs w:val="24"/>
              </w:rPr>
              <w:t xml:space="preserve"> (&gt; 700 пар основ). Зчитування результатів гібридизації на смужках з 48 зондами вимагає обережності; однак тест надає швидші результати, ніж фенотипове ТМЧ, та заснований на молекулярному виявленні. Загальний об’єднаний показник чутливості щодо виявлення резистентності до PZA становив 81,2 % (95 % ДІ: 75,4-85,8 %), а об’єднаний показник специфічності – 97,8 % (95 % ДІ: 96,5-98,6 %) (</w:t>
            </w:r>
            <w:hyperlink w:anchor="bookmark196" w:tooltip="Поточний документ">
              <w:r w:rsidR="00366CB9" w:rsidRPr="00E80D3A">
                <w:rPr>
                  <w:b w:val="0"/>
                  <w:color w:val="000000"/>
                  <w:sz w:val="18"/>
                  <w:szCs w:val="24"/>
                </w:rPr>
                <w:t>22</w:t>
              </w:r>
            </w:hyperlink>
            <w:r w:rsidRPr="00E80D3A">
              <w:rPr>
                <w:b w:val="0"/>
                <w:color w:val="000000"/>
                <w:sz w:val="18"/>
                <w:szCs w:val="24"/>
              </w:rPr>
              <w:t>). Гібридизація може здійснюватись на приладах TwinCubator (Bruker-Hain, Німеччина), що використовуються для LPA (</w:t>
            </w:r>
            <w:hyperlink w:anchor="bookmark196" w:tooltip="Поточний документ">
              <w:r w:rsidR="00366CB9" w:rsidRPr="00E80D3A">
                <w:rPr>
                  <w:b w:val="0"/>
                  <w:color w:val="000000"/>
                  <w:sz w:val="18"/>
                  <w:szCs w:val="24"/>
                </w:rPr>
                <w:t>19</w:t>
              </w:r>
            </w:hyperlink>
            <w:r w:rsidRPr="00E80D3A">
              <w:rPr>
                <w:b w:val="0"/>
                <w:color w:val="000000"/>
                <w:sz w:val="18"/>
                <w:szCs w:val="24"/>
              </w:rPr>
              <w:t xml:space="preserve">). Інформаційний аркуш з узагальненням HC-rNAAT представлено у </w:t>
            </w:r>
            <w:hyperlink r:id="rId63" w:history="1">
              <w:r w:rsidR="00366CB9" w:rsidRPr="00E80D3A">
                <w:rPr>
                  <w:color w:val="000000"/>
                  <w:sz w:val="18"/>
                  <w:szCs w:val="24"/>
                </w:rPr>
                <w:t>Вебдодатку A</w:t>
              </w:r>
            </w:hyperlink>
            <w:r w:rsidRPr="00E80D3A">
              <w:rPr>
                <w:b w:val="0"/>
                <w:color w:val="000000"/>
                <w:sz w:val="18"/>
                <w:szCs w:val="24"/>
              </w:rPr>
              <w:t xml:space="preserve">. Рекомендація ВООЗ щодо HC-rNAAT наведена у </w:t>
            </w:r>
            <w:r w:rsidRPr="00E80D3A">
              <w:rPr>
                <w:color w:val="000000"/>
                <w:sz w:val="18"/>
                <w:szCs w:val="24"/>
              </w:rPr>
              <w:t>Вставці 2.8</w:t>
            </w:r>
            <w:r w:rsidRPr="00E80D3A">
              <w:rPr>
                <w:b w:val="0"/>
                <w:color w:val="000000"/>
                <w:sz w:val="18"/>
                <w:szCs w:val="24"/>
              </w:rPr>
              <w:t>.</w:t>
            </w:r>
          </w:p>
        </w:tc>
      </w:tr>
      <w:tr w:rsidR="00366CB9" w14:paraId="2DA17E77" w14:textId="77777777">
        <w:trPr>
          <w:trHeight w:hRule="exact" w:val="3734"/>
        </w:trPr>
        <w:tc>
          <w:tcPr>
            <w:tcW w:w="9106" w:type="dxa"/>
            <w:shd w:val="clear" w:color="auto" w:fill="FFFFFF"/>
          </w:tcPr>
          <w:p w14:paraId="4E40F91C" w14:textId="5B05588B" w:rsidR="00366CB9" w:rsidRDefault="00356397" w:rsidP="00457B0A">
            <w:pPr>
              <w:rPr>
                <w:sz w:val="2"/>
                <w:szCs w:val="2"/>
              </w:rPr>
            </w:pPr>
            <w:r>
              <w:rPr>
                <w:noProof/>
              </w:rPr>
              <mc:AlternateContent>
                <mc:Choice Requires="wps">
                  <w:drawing>
                    <wp:anchor distT="0" distB="0" distL="114300" distR="114300" simplePos="0" relativeHeight="251492352" behindDoc="0" locked="0" layoutInCell="1" allowOverlap="1" wp14:anchorId="66912A23" wp14:editId="15106383">
                      <wp:simplePos x="0" y="0"/>
                      <wp:positionH relativeFrom="column">
                        <wp:posOffset>334010</wp:posOffset>
                      </wp:positionH>
                      <wp:positionV relativeFrom="paragraph">
                        <wp:posOffset>635000</wp:posOffset>
                      </wp:positionV>
                      <wp:extent cx="5229860" cy="1600200"/>
                      <wp:effectExtent l="0" t="0" r="8890" b="0"/>
                      <wp:wrapNone/>
                      <wp:docPr id="217463094" name="Прямокутник 4"/>
                      <wp:cNvGraphicFramePr/>
                      <a:graphic xmlns:a="http://schemas.openxmlformats.org/drawingml/2006/main">
                        <a:graphicData uri="http://schemas.microsoft.com/office/word/2010/wordprocessingShape">
                          <wps:wsp>
                            <wps:cNvSpPr/>
                            <wps:spPr>
                              <a:xfrm>
                                <a:off x="0" y="0"/>
                                <a:ext cx="5229860" cy="1600200"/>
                              </a:xfrm>
                              <a:prstGeom prst="rect">
                                <a:avLst/>
                              </a:prstGeom>
                              <a:solidFill>
                                <a:srgbClr val="C6E0CE"/>
                              </a:solidFill>
                            </wps:spPr>
                            <wps:txbx>
                              <w:txbxContent>
                                <w:p w14:paraId="4310B39B" w14:textId="77777777" w:rsidR="009D0C1D" w:rsidRDefault="009D0C1D" w:rsidP="00454445">
                                  <w:pPr>
                                    <w:spacing w:after="56" w:line="314" w:lineRule="auto"/>
                                    <w:jc w:val="both"/>
                                    <w:rPr>
                                      <w:rFonts w:eastAsia="+mn-ea" w:cs="+mn-cs"/>
                                      <w:kern w:val="24"/>
                                      <w:sz w:val="20"/>
                                      <w:szCs w:val="20"/>
                                    </w:rPr>
                                  </w:pPr>
                                  <w:r>
                                    <w:rPr>
                                      <w:sz w:val="20"/>
                                    </w:rPr>
                                    <w:t xml:space="preserve">Для осіб з бактеріологічно підтвердженим ТБ для виявлення резистентності до піразинаміду на ізолятах культури </w:t>
                                  </w:r>
                                  <w:r>
                                    <w:rPr>
                                      <w:i/>
                                      <w:iCs/>
                                      <w:sz w:val="20"/>
                                    </w:rPr>
                                    <w:t>Mtb</w:t>
                                  </w:r>
                                  <w:r>
                                    <w:rPr>
                                      <w:sz w:val="20"/>
                                    </w:rPr>
                                    <w:t xml:space="preserve"> можуть застосовуватись NAAT на основі зворотної гібридизації високої складності, а не фенотипове культуральне ТМЧ.</w:t>
                                  </w:r>
                                </w:p>
                                <w:p w14:paraId="72C71899" w14:textId="77777777" w:rsidR="009D0C1D" w:rsidRDefault="009D0C1D" w:rsidP="00454445">
                                  <w:pPr>
                                    <w:spacing w:after="56" w:line="314" w:lineRule="auto"/>
                                    <w:jc w:val="both"/>
                                    <w:rPr>
                                      <w:rFonts w:eastAsia="+mn-ea" w:cs="+mn-cs"/>
                                      <w:kern w:val="24"/>
                                      <w:sz w:val="20"/>
                                      <w:szCs w:val="20"/>
                                    </w:rPr>
                                  </w:pPr>
                                  <w:r>
                                    <w:rPr>
                                      <w:i/>
                                      <w:sz w:val="20"/>
                                    </w:rPr>
                                    <w:t>(Умовна рекомендація, дуже низький рівень достовірності доказів)</w:t>
                                  </w:r>
                                </w:p>
                                <w:p w14:paraId="5B0796DF" w14:textId="77777777" w:rsidR="009D0C1D" w:rsidRDefault="009D0C1D" w:rsidP="00454445">
                                  <w:pPr>
                                    <w:spacing w:after="56" w:line="314" w:lineRule="auto"/>
                                    <w:jc w:val="both"/>
                                    <w:rPr>
                                      <w:rFonts w:eastAsia="+mn-ea" w:cs="+mn-cs"/>
                                      <w:kern w:val="24"/>
                                      <w:sz w:val="20"/>
                                      <w:szCs w:val="20"/>
                                    </w:rPr>
                                  </w:pPr>
                                  <w:r>
                                    <w:rPr>
                                      <w:sz w:val="20"/>
                                    </w:rPr>
                                    <w:t>Примітки:</w:t>
                                  </w:r>
                                </w:p>
                                <w:p w14:paraId="4D33DB6D" w14:textId="4DBDBE0C" w:rsidR="009D0C1D" w:rsidRDefault="009D0C1D" w:rsidP="00454445">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Рекомендація застосовується лише до ізолятів культури; таким чином, цей тест доцільно використовувати лише у спеціальних умовах для посіву.</w:t>
                                  </w:r>
                                </w:p>
                              </w:txbxContent>
                            </wps:txbx>
                            <wps:bodyPr lIns="0" tIns="0" rIns="0" bIns="0">
                              <a:noAutofit/>
                            </wps:bodyPr>
                          </wps:wsp>
                        </a:graphicData>
                      </a:graphic>
                      <wp14:sizeRelV relativeFrom="margin">
                        <wp14:pctHeight>0</wp14:pctHeight>
                      </wp14:sizeRelV>
                    </wp:anchor>
                  </w:drawing>
                </mc:Choice>
                <mc:Fallback>
                  <w:pict>
                    <v:rect w14:anchorId="66912A23" id="Прямокутник 4" o:spid="_x0000_s1111" style="position:absolute;margin-left:26.3pt;margin-top:50pt;width:411.8pt;height:126pt;z-index:25149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" fillcolor="#c6e0ce" stroked="f">
                      <v:textbox inset="0,0,0,0">
                        <w:txbxContent>
                          <w:p w14:paraId="4310B39B" w14:textId="77777777" w:rsidR="009D0C1D" w:rsidRDefault="009D0C1D" w:rsidP="00454445">
                            <w:pPr>
                              <w:spacing w:after="56" w:line="314" w:lineRule="auto"/>
                              <w:jc w:val="both"/>
                              <w:rPr>
                                <w:rFonts w:eastAsia="+mn-ea" w:cs="+mn-cs"/>
                                <w:kern w:val="24"/>
                                <w:sz w:val="20"/>
                                <w:szCs w:val="20"/>
                              </w:rPr>
                            </w:pPr>
                            <w:r>
                              <w:rPr>
                                <w:sz w:val="20"/>
                              </w:rPr>
                              <w:t xml:space="preserve">Для осіб з бактеріологічно підтвердженим ТБ для виявлення резистентності до піразинаміду на ізолятах культури </w:t>
                            </w:r>
                            <w:r>
                              <w:rPr>
                                <w:i/>
                                <w:iCs/>
                                <w:sz w:val="20"/>
                              </w:rPr>
                              <w:t>Mtb</w:t>
                            </w:r>
                            <w:r>
                              <w:rPr>
                                <w:sz w:val="20"/>
                              </w:rPr>
                              <w:t xml:space="preserve"> можуть застосовуватись NAAT на основі зворотної гібридизації високої складності, а не фенотипове культуральне ТМЧ.</w:t>
                            </w:r>
                          </w:p>
                          <w:p w14:paraId="72C71899" w14:textId="77777777" w:rsidR="009D0C1D" w:rsidRDefault="009D0C1D" w:rsidP="00454445">
                            <w:pPr>
                              <w:spacing w:after="56" w:line="314" w:lineRule="auto"/>
                              <w:jc w:val="both"/>
                              <w:rPr>
                                <w:rFonts w:eastAsia="+mn-ea" w:cs="+mn-cs"/>
                                <w:kern w:val="24"/>
                                <w:sz w:val="20"/>
                                <w:szCs w:val="20"/>
                              </w:rPr>
                            </w:pPr>
                            <w:r>
                              <w:rPr>
                                <w:i/>
                                <w:sz w:val="20"/>
                              </w:rPr>
                              <w:t>(Умовна рекомендація, дуже низький рівень достовірності доказів)</w:t>
                            </w:r>
                          </w:p>
                          <w:p w14:paraId="5B0796DF" w14:textId="77777777" w:rsidR="009D0C1D" w:rsidRDefault="009D0C1D" w:rsidP="00454445">
                            <w:pPr>
                              <w:spacing w:after="56" w:line="314" w:lineRule="auto"/>
                              <w:jc w:val="both"/>
                              <w:rPr>
                                <w:rFonts w:eastAsia="+mn-ea" w:cs="+mn-cs"/>
                                <w:kern w:val="24"/>
                                <w:sz w:val="20"/>
                                <w:szCs w:val="20"/>
                              </w:rPr>
                            </w:pPr>
                            <w:r>
                              <w:rPr>
                                <w:sz w:val="20"/>
                              </w:rPr>
                              <w:t>Примітки:</w:t>
                            </w:r>
                          </w:p>
                          <w:p w14:paraId="4D33DB6D" w14:textId="4DBDBE0C" w:rsidR="009D0C1D" w:rsidRDefault="009D0C1D" w:rsidP="00454445">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Рекомендація застосовується лише до ізолятів культури; таким чином, цей тест доцільно використовувати лише у спеціальних умовах для посіву.</w:t>
                            </w:r>
                          </w:p>
                        </w:txbxContent>
                      </v:textbox>
                    </v:rect>
                  </w:pict>
                </mc:Fallback>
              </mc:AlternateContent>
            </w:r>
            <w:r>
              <w:rPr>
                <w:noProof/>
              </w:rPr>
              <mc:AlternateContent>
                <mc:Choice Requires="wps">
                  <w:drawing>
                    <wp:anchor distT="0" distB="0" distL="114300" distR="114300" simplePos="0" relativeHeight="251491328" behindDoc="0" locked="0" layoutInCell="1" allowOverlap="1" wp14:anchorId="53DF1C5D" wp14:editId="7722A25C">
                      <wp:simplePos x="0" y="0"/>
                      <wp:positionH relativeFrom="column">
                        <wp:posOffset>132080</wp:posOffset>
                      </wp:positionH>
                      <wp:positionV relativeFrom="paragraph">
                        <wp:posOffset>257810</wp:posOffset>
                      </wp:positionV>
                      <wp:extent cx="3308350" cy="173355"/>
                      <wp:effectExtent l="0" t="0" r="6350" b="0"/>
                      <wp:wrapNone/>
                      <wp:docPr id="389188423" name="Прямокутник 3"/>
                      <wp:cNvGraphicFramePr/>
                      <a:graphic xmlns:a="http://schemas.openxmlformats.org/drawingml/2006/main">
                        <a:graphicData uri="http://schemas.microsoft.com/office/word/2010/wordprocessingShape">
                          <wps:wsp>
                            <wps:cNvSpPr/>
                            <wps:spPr>
                              <a:xfrm>
                                <a:off x="0" y="0"/>
                                <a:ext cx="3308350" cy="173355"/>
                              </a:xfrm>
                              <a:prstGeom prst="rect">
                                <a:avLst/>
                              </a:prstGeom>
                              <a:solidFill>
                                <a:srgbClr val="009649"/>
                              </a:solidFill>
                            </wps:spPr>
                            <wps:txbx>
                              <w:txbxContent>
                                <w:p w14:paraId="682E8F45" w14:textId="77777777" w:rsidR="009D0C1D" w:rsidRPr="0079021A" w:rsidRDefault="009D0C1D" w:rsidP="00454445">
                                  <w:pPr>
                                    <w:rPr>
                                      <w:rFonts w:eastAsia="+mn-ea" w:cs="+mn-cs"/>
                                      <w:b/>
                                      <w:bCs/>
                                      <w:color w:val="FFFFFF"/>
                                      <w:kern w:val="24"/>
                                      <w:sz w:val="20"/>
                                      <w:szCs w:val="20"/>
                                    </w:rPr>
                                  </w:pPr>
                                  <w:r>
                                    <w:rPr>
                                      <w:b/>
                                      <w:color w:val="FFFFFF"/>
                                      <w:sz w:val="20"/>
                                    </w:rPr>
                                    <w:t xml:space="preserve">Вставка 2.8. Рекомендація ВООЗ щодо HC-rNAAT </w:t>
                                  </w:r>
                                  <w:r>
                                    <w:rPr>
                                      <w:b/>
                                      <w:i/>
                                      <w:color w:val="FFFFFF"/>
                                      <w:sz w:val="20"/>
                                    </w:rPr>
                                    <w:t>(6)</w:t>
                                  </w:r>
                                </w:p>
                              </w:txbxContent>
                            </wps:txbx>
                            <wps:bodyPr wrap="square" lIns="0" tIns="0" rIns="0" bIns="0">
                              <a:noAutofit/>
                            </wps:bodyPr>
                          </wps:wsp>
                        </a:graphicData>
                      </a:graphic>
                      <wp14:sizeRelH relativeFrom="margin">
                        <wp14:pctWidth>0</wp14:pctWidth>
                      </wp14:sizeRelH>
                    </wp:anchor>
                  </w:drawing>
                </mc:Choice>
                <mc:Fallback>
                  <w:pict>
                    <v:rect w14:anchorId="53DF1C5D" id="_x0000_s1112" style="position:absolute;margin-left:10.4pt;margin-top:20.3pt;width:260.5pt;height:13.65pt;z-index:25149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" fillcolor="#009649" stroked="f">
                      <v:textbox inset="0,0,0,0">
                        <w:txbxContent>
                          <w:p w14:paraId="682E8F45" w14:textId="77777777" w:rsidR="009D0C1D" w:rsidRPr="0079021A" w:rsidRDefault="009D0C1D" w:rsidP="00454445">
                            <w:pPr>
                              <w:rPr>
                                <w:rFonts w:eastAsia="+mn-ea" w:cs="+mn-cs"/>
                                <w:b/>
                                <w:bCs/>
                                <w:color w:val="FFFFFF"/>
                                <w:kern w:val="24"/>
                                <w:sz w:val="20"/>
                                <w:szCs w:val="20"/>
                              </w:rPr>
                            </w:pPr>
                            <w:r>
                              <w:rPr>
                                <w:b/>
                                <w:color w:val="FFFFFF"/>
                                <w:sz w:val="20"/>
                              </w:rPr>
                              <w:t xml:space="preserve">Вставка 2.8. Рекомендація ВООЗ щодо HC-rNAAT </w:t>
                            </w:r>
                            <w:r>
                              <w:rPr>
                                <w:b/>
                                <w:i/>
                                <w:color w:val="FFFFFF"/>
                                <w:sz w:val="20"/>
                              </w:rPr>
                              <w:t>(6)</w:t>
                            </w:r>
                          </w:p>
                        </w:txbxContent>
                      </v:textbox>
                    </v:rect>
                  </w:pict>
                </mc:Fallback>
              </mc:AlternateContent>
            </w:r>
            <w:r>
              <w:rPr>
                <w:noProof/>
              </w:rPr>
              <w:drawing>
                <wp:inline distT="0" distB="0" distL="0" distR="0" wp14:anchorId="3C7CA681" wp14:editId="5D3E1138">
                  <wp:extent cx="5782310" cy="237109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4"/>
                          <a:stretch/>
                        </pic:blipFill>
                        <pic:spPr>
                          <a:xfrm>
                            <a:off x="0" y="0"/>
                            <a:ext cx="5782310" cy="2371090"/>
                          </a:xfrm>
                          <a:prstGeom prst="rect">
                            <a:avLst/>
                          </a:prstGeom>
                        </pic:spPr>
                      </pic:pic>
                    </a:graphicData>
                  </a:graphic>
                </wp:inline>
              </w:drawing>
            </w:r>
          </w:p>
        </w:tc>
      </w:tr>
    </w:tbl>
    <w:p w14:paraId="277D6629" w14:textId="0D97A430" w:rsidR="00366CB9" w:rsidRDefault="009D0C1D" w:rsidP="00457B0A">
      <w:pPr>
        <w:pStyle w:val="80"/>
        <w:shd w:val="clear" w:color="auto" w:fill="auto"/>
        <w:spacing w:before="360"/>
        <w:jc w:val="both"/>
      </w:pPr>
      <w:bookmarkStart w:id="53" w:name="bookmark50"/>
      <w:r>
        <w:t>2.4.4 Комплексні рішення в рамках цільового СНП</w:t>
      </w:r>
      <w:bookmarkEnd w:id="53"/>
      <w:r>
        <w:t xml:space="preserve"> </w:t>
      </w:r>
    </w:p>
    <w:p w14:paraId="10C4FEF3" w14:textId="77777777" w:rsidR="00366CB9" w:rsidRPr="00E80D3A" w:rsidRDefault="009D0C1D" w:rsidP="00457B0A">
      <w:pPr>
        <w:pStyle w:val="1"/>
        <w:shd w:val="clear" w:color="auto" w:fill="auto"/>
        <w:spacing w:line="324" w:lineRule="auto"/>
        <w:jc w:val="both"/>
        <w:rPr>
          <w:sz w:val="18"/>
          <w:szCs w:val="18"/>
        </w:rPr>
      </w:pPr>
      <w:r w:rsidRPr="00E80D3A">
        <w:rPr>
          <w:sz w:val="18"/>
          <w:szCs w:val="18"/>
        </w:rPr>
        <w:t xml:space="preserve">Клас тестів в рамках цільового СНП було визначено як робочі процеси, що передбачають масове паралельне секвенування для виявлення резистентності до протитуберкульозних препаратів, починаючи з обробленого клінічного зразка та завершуючи звітом кінцевого користувача, що пов’язує виявлені мутації </w:t>
      </w:r>
      <w:r w:rsidRPr="00E80D3A">
        <w:rPr>
          <w:i/>
          <w:iCs/>
          <w:sz w:val="18"/>
          <w:szCs w:val="18"/>
        </w:rPr>
        <w:t>Mtb</w:t>
      </w:r>
      <w:r w:rsidRPr="00E80D3A">
        <w:rPr>
          <w:sz w:val="18"/>
          <w:szCs w:val="18"/>
        </w:rPr>
        <w:t xml:space="preserve"> з наявністю (або відсутністю) медикаментозної резистентності, на основі тлумачення каталогу мутацій ВООЗ (</w:t>
      </w:r>
      <w:hyperlink w:anchor="bookmark196" w:tooltip="Поточний документ">
        <w:r w:rsidR="00366CB9" w:rsidRPr="00E80D3A">
          <w:rPr>
            <w:sz w:val="18"/>
            <w:szCs w:val="18"/>
          </w:rPr>
          <w:t>23</w:t>
        </w:r>
      </w:hyperlink>
      <w:r w:rsidRPr="00E80D3A">
        <w:rPr>
          <w:sz w:val="18"/>
          <w:szCs w:val="18"/>
        </w:rPr>
        <w:t xml:space="preserve">). Рішення, що включають комплексні тести в рамках цільового СНП, поєднують виділення ДНК та ампліфікацію обраних генів за допомогою технології СНП для виявлення резистентності до багатьох препаратів за допомогою одного тесту, як показано на </w:t>
      </w:r>
      <w:r w:rsidRPr="00E80D3A">
        <w:rPr>
          <w:b/>
          <w:bCs/>
          <w:sz w:val="18"/>
          <w:szCs w:val="18"/>
        </w:rPr>
        <w:t>рис. 2.2</w:t>
      </w:r>
      <w:r w:rsidRPr="00E80D3A">
        <w:rPr>
          <w:sz w:val="18"/>
          <w:szCs w:val="18"/>
        </w:rPr>
        <w:t>. Оскільки тести в рамках цільового СНП можуть досліджувати цілі гени для виявлення специфічних мутацій, пов’язаних з резистентністю, ці тести можуть бути більш точним, ніж інші mWRD. Крім того, тести в рамках цільового СНП можуть виявляти резистентність до нових та перепрофільованих препаратів, що наразі не включено до інших молекулярних аналізів. Таким чином, ці тести мають великий потенціал щодо забезпечення комплексного виявлення резистентності, що співвідноситься з сучасними схемами лікування (</w:t>
      </w:r>
      <w:hyperlink w:anchor="bookmark196" w:tooltip="Поточний документ">
        <w:r w:rsidR="00366CB9" w:rsidRPr="00E80D3A">
          <w:rPr>
            <w:sz w:val="18"/>
            <w:szCs w:val="18"/>
          </w:rPr>
          <w:t>24</w:t>
        </w:r>
      </w:hyperlink>
      <w:r w:rsidRPr="00E80D3A">
        <w:rPr>
          <w:sz w:val="18"/>
          <w:szCs w:val="18"/>
        </w:rPr>
        <w:t>).</w:t>
      </w:r>
    </w:p>
    <w:p w14:paraId="707571C3"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649A3C99" w14:textId="1AB85384"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rsidRPr="0079021A" w14:paraId="6B3B6C28" w14:textId="77777777">
        <w:trPr>
          <w:trHeight w:hRule="exact" w:val="581"/>
        </w:trPr>
        <w:tc>
          <w:tcPr>
            <w:tcW w:w="9106" w:type="dxa"/>
            <w:shd w:val="clear" w:color="auto" w:fill="FFFFFF"/>
          </w:tcPr>
          <w:p w14:paraId="0C13B60B" w14:textId="77777777" w:rsidR="00366CB9" w:rsidRPr="0079021A" w:rsidRDefault="009D0C1D" w:rsidP="00457B0A">
            <w:pPr>
              <w:pStyle w:val="a6"/>
              <w:shd w:val="clear" w:color="auto" w:fill="auto"/>
              <w:rPr>
                <w:sz w:val="24"/>
                <w:szCs w:val="24"/>
              </w:rPr>
            </w:pPr>
            <w:r>
              <w:rPr>
                <w:color w:val="636466"/>
                <w:sz w:val="24"/>
              </w:rPr>
              <w:t>Рис. 2.2. Процес тестування, від зразка до звіту про результати, для цільового СНП</w:t>
            </w:r>
          </w:p>
        </w:tc>
      </w:tr>
      <w:tr w:rsidR="00366CB9" w14:paraId="63783A76" w14:textId="77777777" w:rsidTr="00457B0A">
        <w:trPr>
          <w:trHeight w:hRule="exact" w:val="1963"/>
        </w:trPr>
        <w:tc>
          <w:tcPr>
            <w:tcW w:w="9106" w:type="dxa"/>
            <w:shd w:val="clear" w:color="auto" w:fill="FFFFFF"/>
          </w:tcPr>
          <w:p w14:paraId="61B12228" w14:textId="07FEA25F" w:rsidR="00366CB9" w:rsidRDefault="002947ED" w:rsidP="00457B0A">
            <w:pPr>
              <w:rPr>
                <w:sz w:val="2"/>
                <w:szCs w:val="2"/>
              </w:rPr>
            </w:pPr>
            <w:r>
              <w:rPr>
                <w:noProof/>
              </w:rPr>
              <mc:AlternateContent>
                <mc:Choice Requires="wps">
                  <w:drawing>
                    <wp:anchor distT="0" distB="0" distL="114300" distR="114300" simplePos="0" relativeHeight="251498496" behindDoc="0" locked="0" layoutInCell="1" allowOverlap="1" wp14:anchorId="08CDD215" wp14:editId="424AD879">
                      <wp:simplePos x="0" y="0"/>
                      <wp:positionH relativeFrom="column">
                        <wp:posOffset>5264150</wp:posOffset>
                      </wp:positionH>
                      <wp:positionV relativeFrom="paragraph">
                        <wp:posOffset>84455</wp:posOffset>
                      </wp:positionV>
                      <wp:extent cx="516890" cy="299720"/>
                      <wp:effectExtent l="0" t="0" r="0" b="5080"/>
                      <wp:wrapNone/>
                      <wp:docPr id="518234951" name="Прямокутник 12"/>
                      <wp:cNvGraphicFramePr/>
                      <a:graphic xmlns:a="http://schemas.openxmlformats.org/drawingml/2006/main">
                        <a:graphicData uri="http://schemas.microsoft.com/office/word/2010/wordprocessingShape">
                          <wps:wsp>
                            <wps:cNvSpPr/>
                            <wps:spPr>
                              <a:xfrm>
                                <a:off x="0" y="0"/>
                                <a:ext cx="516890" cy="299720"/>
                              </a:xfrm>
                              <a:prstGeom prst="rect">
                                <a:avLst/>
                              </a:prstGeom>
                              <a:solidFill>
                                <a:srgbClr val="FFFFFF"/>
                              </a:solidFill>
                            </wps:spPr>
                            <wps:txbx>
                              <w:txbxContent>
                                <w:p w14:paraId="6B566C21" w14:textId="77777777" w:rsidR="009D0C1D" w:rsidRPr="002947ED" w:rsidRDefault="009D0C1D" w:rsidP="00454445">
                                  <w:pPr>
                                    <w:rPr>
                                      <w:rFonts w:ascii="Century Gothic" w:eastAsia="+mn-ea" w:hAnsi="Century Gothic" w:cs="+mn-cs"/>
                                      <w:b/>
                                      <w:bCs/>
                                      <w:kern w:val="24"/>
                                      <w:sz w:val="14"/>
                                      <w:szCs w:val="14"/>
                                    </w:rPr>
                                  </w:pPr>
                                  <w:r w:rsidRPr="002947ED">
                                    <w:rPr>
                                      <w:rFonts w:ascii="Century Gothic" w:hAnsi="Century Gothic"/>
                                      <w:b/>
                                      <w:sz w:val="14"/>
                                      <w:szCs w:val="18"/>
                                    </w:rPr>
                                    <w:t>Звіт про результати</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8CDD215" id="Прямокутник 12" o:spid="_x0000_s1113" style="position:absolute;margin-left:414.5pt;margin-top:6.65pt;width:40.7pt;height:23.6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" stroked="f">
                      <v:textbox inset="0,0,0,0">
                        <w:txbxContent>
                          <w:p w14:paraId="6B566C21" w14:textId="77777777" w:rsidR="009D0C1D" w:rsidRPr="002947ED" w:rsidRDefault="009D0C1D" w:rsidP="00454445">
                            <w:pPr>
                              <w:rPr>
                                <w:rFonts w:ascii="Century Gothic" w:eastAsia="+mn-ea" w:hAnsi="Century Gothic" w:cs="+mn-cs"/>
                                <w:b/>
                                <w:bCs/>
                                <w:kern w:val="24"/>
                                <w:sz w:val="14"/>
                                <w:szCs w:val="14"/>
                              </w:rPr>
                            </w:pPr>
                            <w:r w:rsidRPr="002947ED">
                              <w:rPr>
                                <w:rFonts w:ascii="Century Gothic" w:hAnsi="Century Gothic"/>
                                <w:b/>
                                <w:sz w:val="14"/>
                                <w:szCs w:val="18"/>
                              </w:rPr>
                              <w:t>Звіт про результати</w:t>
                            </w:r>
                          </w:p>
                        </w:txbxContent>
                      </v:textbox>
                    </v:rect>
                  </w:pict>
                </mc:Fallback>
              </mc:AlternateContent>
            </w:r>
            <w:r>
              <w:rPr>
                <w:noProof/>
              </w:rPr>
              <mc:AlternateContent>
                <mc:Choice Requires="wps">
                  <w:drawing>
                    <wp:anchor distT="0" distB="0" distL="114300" distR="114300" simplePos="0" relativeHeight="251496448" behindDoc="0" locked="0" layoutInCell="1" allowOverlap="1" wp14:anchorId="5E2DAD4F" wp14:editId="0639854D">
                      <wp:simplePos x="0" y="0"/>
                      <wp:positionH relativeFrom="column">
                        <wp:posOffset>3084830</wp:posOffset>
                      </wp:positionH>
                      <wp:positionV relativeFrom="paragraph">
                        <wp:posOffset>160655</wp:posOffset>
                      </wp:positionV>
                      <wp:extent cx="838200" cy="200660"/>
                      <wp:effectExtent l="0" t="0" r="0" b="8890"/>
                      <wp:wrapNone/>
                      <wp:docPr id="11" name="Прямокутник 10"/>
                      <wp:cNvGraphicFramePr/>
                      <a:graphic xmlns:a="http://schemas.openxmlformats.org/drawingml/2006/main">
                        <a:graphicData uri="http://schemas.microsoft.com/office/word/2010/wordprocessingShape">
                          <wps:wsp>
                            <wps:cNvSpPr/>
                            <wps:spPr>
                              <a:xfrm>
                                <a:off x="0" y="0"/>
                                <a:ext cx="838200" cy="200660"/>
                              </a:xfrm>
                              <a:prstGeom prst="rect">
                                <a:avLst/>
                              </a:prstGeom>
                              <a:solidFill>
                                <a:srgbClr val="F89195"/>
                              </a:solidFill>
                            </wps:spPr>
                            <wps:txbx>
                              <w:txbxContent>
                                <w:p w14:paraId="36E27415" w14:textId="77777777" w:rsidR="009D0C1D" w:rsidRPr="002947ED" w:rsidRDefault="009D0C1D" w:rsidP="00454445">
                                  <w:pPr>
                                    <w:rPr>
                                      <w:rFonts w:ascii="Century Gothic" w:eastAsia="+mn-ea" w:hAnsi="Century Gothic" w:cs="+mn-cs"/>
                                      <w:b/>
                                      <w:bCs/>
                                      <w:kern w:val="24"/>
                                      <w:sz w:val="14"/>
                                      <w:szCs w:val="14"/>
                                    </w:rPr>
                                  </w:pPr>
                                  <w:r w:rsidRPr="002947ED">
                                    <w:rPr>
                                      <w:rFonts w:ascii="Century Gothic" w:hAnsi="Century Gothic"/>
                                      <w:b/>
                                      <w:sz w:val="14"/>
                                      <w:szCs w:val="18"/>
                                    </w:rPr>
                                    <w:t>Секвенування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E2DAD4F" id="Прямокутник 10" o:spid="_x0000_s1114" style="position:absolute;margin-left:242.9pt;margin-top:12.65pt;width:66pt;height:15.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" fillcolor="#f89195" stroked="f">
                      <v:textbox inset="0,0,0,0">
                        <w:txbxContent>
                          <w:p w14:paraId="36E27415" w14:textId="77777777" w:rsidR="009D0C1D" w:rsidRPr="002947ED" w:rsidRDefault="009D0C1D" w:rsidP="00454445">
                            <w:pPr>
                              <w:rPr>
                                <w:rFonts w:ascii="Century Gothic" w:eastAsia="+mn-ea" w:hAnsi="Century Gothic" w:cs="+mn-cs"/>
                                <w:b/>
                                <w:bCs/>
                                <w:kern w:val="24"/>
                                <w:sz w:val="14"/>
                                <w:szCs w:val="14"/>
                              </w:rPr>
                            </w:pPr>
                            <w:r w:rsidRPr="002947ED">
                              <w:rPr>
                                <w:rFonts w:ascii="Century Gothic" w:hAnsi="Century Gothic"/>
                                <w:b/>
                                <w:sz w:val="14"/>
                                <w:szCs w:val="18"/>
                              </w:rPr>
                              <w:t>Секвенування</w:t>
                            </w:r>
                          </w:p>
                        </w:txbxContent>
                      </v:textbox>
                    </v:rect>
                  </w:pict>
                </mc:Fallback>
              </mc:AlternateContent>
            </w:r>
            <w:r>
              <w:rPr>
                <w:noProof/>
              </w:rPr>
              <mc:AlternateContent>
                <mc:Choice Requires="wps">
                  <w:drawing>
                    <wp:anchor distT="0" distB="0" distL="114300" distR="114300" simplePos="0" relativeHeight="251495424" behindDoc="0" locked="0" layoutInCell="1" allowOverlap="1" wp14:anchorId="0D42754F" wp14:editId="04FB6707">
                      <wp:simplePos x="0" y="0"/>
                      <wp:positionH relativeFrom="column">
                        <wp:posOffset>1858010</wp:posOffset>
                      </wp:positionH>
                      <wp:positionV relativeFrom="paragraph">
                        <wp:posOffset>69215</wp:posOffset>
                      </wp:positionV>
                      <wp:extent cx="868680" cy="365760"/>
                      <wp:effectExtent l="0" t="0" r="7620" b="0"/>
                      <wp:wrapNone/>
                      <wp:docPr id="629301032" name="Прямокутник 9"/>
                      <wp:cNvGraphicFramePr/>
                      <a:graphic xmlns:a="http://schemas.openxmlformats.org/drawingml/2006/main">
                        <a:graphicData uri="http://schemas.microsoft.com/office/word/2010/wordprocessingShape">
                          <wps:wsp>
                            <wps:cNvSpPr/>
                            <wps:spPr>
                              <a:xfrm>
                                <a:off x="0" y="0"/>
                                <a:ext cx="868680" cy="365760"/>
                              </a:xfrm>
                              <a:prstGeom prst="rect">
                                <a:avLst/>
                              </a:prstGeom>
                              <a:solidFill>
                                <a:srgbClr val="F89195"/>
                              </a:solidFill>
                            </wps:spPr>
                            <wps:txbx>
                              <w:txbxContent>
                                <w:p w14:paraId="026EF001" w14:textId="77777777" w:rsidR="009D0C1D" w:rsidRPr="002947ED" w:rsidRDefault="009D0C1D" w:rsidP="00454445">
                                  <w:pPr>
                                    <w:jc w:val="center"/>
                                    <w:rPr>
                                      <w:rFonts w:ascii="Century Gothic" w:eastAsia="+mn-ea" w:hAnsi="Century Gothic" w:cs="+mn-cs"/>
                                      <w:b/>
                                      <w:bCs/>
                                      <w:kern w:val="24"/>
                                      <w:sz w:val="14"/>
                                      <w:szCs w:val="14"/>
                                    </w:rPr>
                                  </w:pPr>
                                  <w:r w:rsidRPr="002947ED">
                                    <w:rPr>
                                      <w:rFonts w:ascii="Century Gothic" w:hAnsi="Century Gothic"/>
                                      <w:b/>
                                      <w:sz w:val="14"/>
                                      <w:szCs w:val="18"/>
                                    </w:rPr>
                                    <w:t>Підготовка бібліотеки фрагментів ДНК</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D42754F" id="Прямокутник 9" o:spid="_x0000_s1115" style="position:absolute;margin-left:146.3pt;margin-top:5.45pt;width:68.4pt;height:28.8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" fillcolor="#f89195" stroked="f">
                      <v:textbox inset="0,0,0,0">
                        <w:txbxContent>
                          <w:p w14:paraId="026EF001" w14:textId="77777777" w:rsidR="009D0C1D" w:rsidRPr="002947ED" w:rsidRDefault="009D0C1D" w:rsidP="00454445">
                            <w:pPr>
                              <w:jc w:val="center"/>
                              <w:rPr>
                                <w:rFonts w:ascii="Century Gothic" w:eastAsia="+mn-ea" w:hAnsi="Century Gothic" w:cs="+mn-cs"/>
                                <w:b/>
                                <w:bCs/>
                                <w:kern w:val="24"/>
                                <w:sz w:val="14"/>
                                <w:szCs w:val="14"/>
                              </w:rPr>
                            </w:pPr>
                            <w:r w:rsidRPr="002947ED">
                              <w:rPr>
                                <w:rFonts w:ascii="Century Gothic" w:hAnsi="Century Gothic"/>
                                <w:b/>
                                <w:sz w:val="14"/>
                                <w:szCs w:val="18"/>
                              </w:rPr>
                              <w:t>Підготовка бібліотеки фрагментів ДНК</w:t>
                            </w:r>
                          </w:p>
                        </w:txbxContent>
                      </v:textbox>
                    </v:rect>
                  </w:pict>
                </mc:Fallback>
              </mc:AlternateContent>
            </w:r>
            <w:r w:rsidR="00454445">
              <w:rPr>
                <w:noProof/>
              </w:rPr>
              <mc:AlternateContent>
                <mc:Choice Requires="wps">
                  <w:drawing>
                    <wp:anchor distT="0" distB="0" distL="114300" distR="114300" simplePos="0" relativeHeight="251497472" behindDoc="0" locked="0" layoutInCell="1" allowOverlap="1" wp14:anchorId="5F9D8D74" wp14:editId="4B9C8001">
                      <wp:simplePos x="0" y="0"/>
                      <wp:positionH relativeFrom="column">
                        <wp:posOffset>4154805</wp:posOffset>
                      </wp:positionH>
                      <wp:positionV relativeFrom="paragraph">
                        <wp:posOffset>87630</wp:posOffset>
                      </wp:positionV>
                      <wp:extent cx="1008380" cy="276860"/>
                      <wp:effectExtent l="0" t="0" r="1270" b="8890"/>
                      <wp:wrapNone/>
                      <wp:docPr id="444554663" name="Прямокутник 11"/>
                      <wp:cNvGraphicFramePr/>
                      <a:graphic xmlns:a="http://schemas.openxmlformats.org/drawingml/2006/main">
                        <a:graphicData uri="http://schemas.microsoft.com/office/word/2010/wordprocessingShape">
                          <wps:wsp>
                            <wps:cNvSpPr/>
                            <wps:spPr>
                              <a:xfrm>
                                <a:off x="0" y="0"/>
                                <a:ext cx="1008380" cy="276860"/>
                              </a:xfrm>
                              <a:prstGeom prst="rect">
                                <a:avLst/>
                              </a:prstGeom>
                              <a:solidFill>
                                <a:srgbClr val="F89195"/>
                              </a:solidFill>
                            </wps:spPr>
                            <wps:txbx>
                              <w:txbxContent>
                                <w:p w14:paraId="232E04C9" w14:textId="77777777" w:rsidR="009D0C1D" w:rsidRPr="002947ED" w:rsidRDefault="009D0C1D" w:rsidP="00454445">
                                  <w:pPr>
                                    <w:jc w:val="center"/>
                                    <w:rPr>
                                      <w:rFonts w:ascii="Century Gothic" w:eastAsia="+mn-ea" w:hAnsi="Century Gothic" w:cs="+mn-cs"/>
                                      <w:b/>
                                      <w:bCs/>
                                      <w:kern w:val="24"/>
                                      <w:sz w:val="14"/>
                                      <w:szCs w:val="14"/>
                                    </w:rPr>
                                  </w:pPr>
                                  <w:r w:rsidRPr="002947ED">
                                    <w:rPr>
                                      <w:rFonts w:ascii="Century Gothic" w:hAnsi="Century Gothic"/>
                                      <w:b/>
                                      <w:sz w:val="14"/>
                                      <w:szCs w:val="20"/>
                                    </w:rPr>
                                    <w:t>Аналіз та тлумачення даних</w:t>
                                  </w:r>
                                </w:p>
                              </w:txbxContent>
                            </wps:txbx>
                            <wps:bodyPr wrap="square" lIns="0" tIns="0" rIns="0" bIns="0">
                              <a:noAutofit/>
                            </wps:bodyPr>
                          </wps:wsp>
                        </a:graphicData>
                      </a:graphic>
                    </wp:anchor>
                  </w:drawing>
                </mc:Choice>
                <mc:Fallback>
                  <w:pict>
                    <v:rect w14:anchorId="5F9D8D74" id="Прямокутник 11" o:spid="_x0000_s1116" style="position:absolute;margin-left:327.15pt;margin-top:6.9pt;width:79.4pt;height:21.8pt;z-index:25149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" fillcolor="#f89195" stroked="f">
                      <v:textbox inset="0,0,0,0">
                        <w:txbxContent>
                          <w:p w14:paraId="232E04C9" w14:textId="77777777" w:rsidR="009D0C1D" w:rsidRPr="002947ED" w:rsidRDefault="009D0C1D" w:rsidP="00454445">
                            <w:pPr>
                              <w:jc w:val="center"/>
                              <w:rPr>
                                <w:rFonts w:ascii="Century Gothic" w:eastAsia="+mn-ea" w:hAnsi="Century Gothic" w:cs="+mn-cs"/>
                                <w:b/>
                                <w:bCs/>
                                <w:kern w:val="24"/>
                                <w:sz w:val="14"/>
                                <w:szCs w:val="14"/>
                              </w:rPr>
                            </w:pPr>
                            <w:r w:rsidRPr="002947ED">
                              <w:rPr>
                                <w:rFonts w:ascii="Century Gothic" w:hAnsi="Century Gothic"/>
                                <w:b/>
                                <w:sz w:val="14"/>
                                <w:szCs w:val="20"/>
                              </w:rPr>
                              <w:t>Аналіз та тлумачення даних</w:t>
                            </w:r>
                          </w:p>
                        </w:txbxContent>
                      </v:textbox>
                    </v:rect>
                  </w:pict>
                </mc:Fallback>
              </mc:AlternateContent>
            </w:r>
            <w:r w:rsidR="00454445">
              <w:rPr>
                <w:noProof/>
              </w:rPr>
              <mc:AlternateContent>
                <mc:Choice Requires="wps">
                  <w:drawing>
                    <wp:anchor distT="0" distB="0" distL="114300" distR="114300" simplePos="0" relativeHeight="251494400" behindDoc="0" locked="0" layoutInCell="1" allowOverlap="1" wp14:anchorId="18F175CC" wp14:editId="3E01BB3F">
                      <wp:simplePos x="0" y="0"/>
                      <wp:positionH relativeFrom="column">
                        <wp:posOffset>774700</wp:posOffset>
                      </wp:positionH>
                      <wp:positionV relativeFrom="paragraph">
                        <wp:posOffset>75565</wp:posOffset>
                      </wp:positionV>
                      <wp:extent cx="682625" cy="307340"/>
                      <wp:effectExtent l="0" t="0" r="3175" b="0"/>
                      <wp:wrapNone/>
                      <wp:docPr id="9" name="Прямокутник 8"/>
                      <wp:cNvGraphicFramePr/>
                      <a:graphic xmlns:a="http://schemas.openxmlformats.org/drawingml/2006/main">
                        <a:graphicData uri="http://schemas.microsoft.com/office/word/2010/wordprocessingShape">
                          <wps:wsp>
                            <wps:cNvSpPr/>
                            <wps:spPr>
                              <a:xfrm>
                                <a:off x="0" y="0"/>
                                <a:ext cx="682625" cy="307340"/>
                              </a:xfrm>
                              <a:prstGeom prst="rect">
                                <a:avLst/>
                              </a:prstGeom>
                              <a:solidFill>
                                <a:srgbClr val="F89195"/>
                              </a:solidFill>
                            </wps:spPr>
                            <wps:txbx>
                              <w:txbxContent>
                                <w:p w14:paraId="6F9B76E8" w14:textId="77777777" w:rsidR="009D0C1D" w:rsidRPr="002947ED" w:rsidRDefault="009D0C1D" w:rsidP="00454445">
                                  <w:pPr>
                                    <w:jc w:val="center"/>
                                    <w:rPr>
                                      <w:rFonts w:ascii="Century Gothic" w:eastAsia="+mn-ea" w:hAnsi="Century Gothic" w:cs="+mn-cs"/>
                                      <w:b/>
                                      <w:bCs/>
                                      <w:kern w:val="24"/>
                                      <w:sz w:val="14"/>
                                      <w:szCs w:val="14"/>
                                    </w:rPr>
                                  </w:pPr>
                                  <w:r w:rsidRPr="002947ED">
                                    <w:rPr>
                                      <w:rFonts w:ascii="Century Gothic" w:hAnsi="Century Gothic"/>
                                      <w:b/>
                                      <w:sz w:val="14"/>
                                      <w:szCs w:val="18"/>
                                    </w:rPr>
                                    <w:t>Виділення ДНК</w:t>
                                  </w:r>
                                </w:p>
                              </w:txbxContent>
                            </wps:txbx>
                            <wps:bodyPr wrap="square" lIns="0" tIns="0" rIns="0" bIns="0">
                              <a:noAutofit/>
                            </wps:bodyPr>
                          </wps:wsp>
                        </a:graphicData>
                      </a:graphic>
                    </wp:anchor>
                  </w:drawing>
                </mc:Choice>
                <mc:Fallback>
                  <w:pict>
                    <v:rect w14:anchorId="18F175CC" id="Прямокутник 8" o:spid="_x0000_s1117" style="position:absolute;margin-left:61pt;margin-top:5.95pt;width:53.75pt;height:24.2pt;z-index:25149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" fillcolor="#f89195" stroked="f">
                      <v:textbox inset="0,0,0,0">
                        <w:txbxContent>
                          <w:p w14:paraId="6F9B76E8" w14:textId="77777777" w:rsidR="009D0C1D" w:rsidRPr="002947ED" w:rsidRDefault="009D0C1D" w:rsidP="00454445">
                            <w:pPr>
                              <w:jc w:val="center"/>
                              <w:rPr>
                                <w:rFonts w:ascii="Century Gothic" w:eastAsia="+mn-ea" w:hAnsi="Century Gothic" w:cs="+mn-cs"/>
                                <w:b/>
                                <w:bCs/>
                                <w:kern w:val="24"/>
                                <w:sz w:val="14"/>
                                <w:szCs w:val="14"/>
                              </w:rPr>
                            </w:pPr>
                            <w:r w:rsidRPr="002947ED">
                              <w:rPr>
                                <w:rFonts w:ascii="Century Gothic" w:hAnsi="Century Gothic"/>
                                <w:b/>
                                <w:sz w:val="14"/>
                                <w:szCs w:val="18"/>
                              </w:rPr>
                              <w:t>Виділення ДНК</w:t>
                            </w:r>
                          </w:p>
                        </w:txbxContent>
                      </v:textbox>
                    </v:rect>
                  </w:pict>
                </mc:Fallback>
              </mc:AlternateContent>
            </w:r>
            <w:r w:rsidR="00454445">
              <w:rPr>
                <w:noProof/>
              </w:rPr>
              <mc:AlternateContent>
                <mc:Choice Requires="wps">
                  <w:drawing>
                    <wp:anchor distT="0" distB="0" distL="114300" distR="114300" simplePos="0" relativeHeight="251493376" behindDoc="0" locked="0" layoutInCell="1" allowOverlap="1" wp14:anchorId="1F5BDE4B" wp14:editId="0695DB10">
                      <wp:simplePos x="0" y="0"/>
                      <wp:positionH relativeFrom="column">
                        <wp:posOffset>4283</wp:posOffset>
                      </wp:positionH>
                      <wp:positionV relativeFrom="paragraph">
                        <wp:posOffset>179070</wp:posOffset>
                      </wp:positionV>
                      <wp:extent cx="484505" cy="153670"/>
                      <wp:effectExtent l="0" t="0" r="0" b="0"/>
                      <wp:wrapNone/>
                      <wp:docPr id="368819549" name="Прямокутник 7"/>
                      <wp:cNvGraphicFramePr/>
                      <a:graphic xmlns:a="http://schemas.openxmlformats.org/drawingml/2006/main">
                        <a:graphicData uri="http://schemas.microsoft.com/office/word/2010/wordprocessingShape">
                          <wps:wsp>
                            <wps:cNvSpPr/>
                            <wps:spPr>
                              <a:xfrm>
                                <a:off x="0" y="0"/>
                                <a:ext cx="484505" cy="153670"/>
                              </a:xfrm>
                              <a:prstGeom prst="rect">
                                <a:avLst/>
                              </a:prstGeom>
                              <a:solidFill>
                                <a:srgbClr val="FFFFFF"/>
                              </a:solidFill>
                            </wps:spPr>
                            <wps:txbx>
                              <w:txbxContent>
                                <w:p w14:paraId="7175E9CD" w14:textId="77777777" w:rsidR="009D0C1D" w:rsidRPr="002947ED" w:rsidRDefault="009D0C1D" w:rsidP="00454445">
                                  <w:pPr>
                                    <w:rPr>
                                      <w:rFonts w:ascii="Century Gothic" w:eastAsia="+mn-ea" w:hAnsi="Century Gothic" w:cs="+mn-cs"/>
                                      <w:b/>
                                      <w:bCs/>
                                      <w:kern w:val="24"/>
                                      <w:sz w:val="14"/>
                                      <w:szCs w:val="14"/>
                                    </w:rPr>
                                  </w:pPr>
                                  <w:r w:rsidRPr="002947ED">
                                    <w:rPr>
                                      <w:rFonts w:ascii="Century Gothic" w:hAnsi="Century Gothic"/>
                                      <w:b/>
                                      <w:sz w:val="14"/>
                                      <w:szCs w:val="18"/>
                                    </w:rPr>
                                    <w:t>Зразок</w:t>
                                  </w:r>
                                </w:p>
                              </w:txbxContent>
                            </wps:txbx>
                            <wps:bodyPr wrap="square" lIns="0" tIns="0" rIns="0" bIns="0">
                              <a:noAutofit/>
                            </wps:bodyPr>
                          </wps:wsp>
                        </a:graphicData>
                      </a:graphic>
                    </wp:anchor>
                  </w:drawing>
                </mc:Choice>
                <mc:Fallback>
                  <w:pict>
                    <v:rect w14:anchorId="1F5BDE4B" id="Прямокутник 7" o:spid="_x0000_s1118" style="position:absolute;margin-left:.35pt;margin-top:14.1pt;width:38.15pt;height:12.1pt;z-index:25149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" stroked="f">
                      <v:textbox inset="0,0,0,0">
                        <w:txbxContent>
                          <w:p w14:paraId="7175E9CD" w14:textId="77777777" w:rsidR="009D0C1D" w:rsidRPr="002947ED" w:rsidRDefault="009D0C1D" w:rsidP="00454445">
                            <w:pPr>
                              <w:rPr>
                                <w:rFonts w:ascii="Century Gothic" w:eastAsia="+mn-ea" w:hAnsi="Century Gothic" w:cs="+mn-cs"/>
                                <w:b/>
                                <w:bCs/>
                                <w:kern w:val="24"/>
                                <w:sz w:val="14"/>
                                <w:szCs w:val="14"/>
                              </w:rPr>
                            </w:pPr>
                            <w:r w:rsidRPr="002947ED">
                              <w:rPr>
                                <w:rFonts w:ascii="Century Gothic" w:hAnsi="Century Gothic"/>
                                <w:b/>
                                <w:sz w:val="14"/>
                                <w:szCs w:val="18"/>
                              </w:rPr>
                              <w:t>Зразок</w:t>
                            </w:r>
                          </w:p>
                        </w:txbxContent>
                      </v:textbox>
                    </v:rect>
                  </w:pict>
                </mc:Fallback>
              </mc:AlternateContent>
            </w:r>
            <w:r w:rsidR="00454445">
              <w:rPr>
                <w:noProof/>
              </w:rPr>
              <w:drawing>
                <wp:inline distT="0" distB="0" distL="0" distR="0" wp14:anchorId="1BD3AEA9" wp14:editId="54F02D22">
                  <wp:extent cx="5782310" cy="124650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5"/>
                          <a:stretch/>
                        </pic:blipFill>
                        <pic:spPr>
                          <a:xfrm>
                            <a:off x="0" y="0"/>
                            <a:ext cx="5782310" cy="1246505"/>
                          </a:xfrm>
                          <a:prstGeom prst="rect">
                            <a:avLst/>
                          </a:prstGeom>
                        </pic:spPr>
                      </pic:pic>
                    </a:graphicData>
                  </a:graphic>
                </wp:inline>
              </w:drawing>
            </w:r>
          </w:p>
        </w:tc>
      </w:tr>
    </w:tbl>
    <w:p w14:paraId="1667AA38" w14:textId="4C09F26E" w:rsidR="00366CB9" w:rsidRDefault="009D0C1D" w:rsidP="00457B0A">
      <w:pPr>
        <w:pStyle w:val="af"/>
        <w:shd w:val="clear" w:color="auto" w:fill="auto"/>
        <w:spacing w:before="360" w:after="360" w:line="240" w:lineRule="auto"/>
        <w:jc w:val="both"/>
        <w:rPr>
          <w:sz w:val="17"/>
          <w:szCs w:val="17"/>
        </w:rPr>
      </w:pPr>
      <w:r>
        <w:rPr>
          <w:color w:val="000000"/>
          <w:sz w:val="17"/>
        </w:rPr>
        <w:t>ДНК: дезоксирибонуклеїнова кислота; СНП: секвенування наступного покоління</w:t>
      </w:r>
      <w:r>
        <w:t xml:space="preserve"> </w:t>
      </w:r>
    </w:p>
    <w:p w14:paraId="21F9E8A8" w14:textId="77777777" w:rsidR="00366CB9" w:rsidRPr="00E80D3A" w:rsidRDefault="009D0C1D" w:rsidP="00457B0A">
      <w:pPr>
        <w:pStyle w:val="1"/>
        <w:shd w:val="clear" w:color="auto" w:fill="auto"/>
        <w:spacing w:line="324" w:lineRule="auto"/>
        <w:jc w:val="both"/>
        <w:rPr>
          <w:sz w:val="18"/>
          <w:szCs w:val="18"/>
        </w:rPr>
      </w:pPr>
      <w:r w:rsidRPr="00E80D3A">
        <w:rPr>
          <w:sz w:val="18"/>
          <w:szCs w:val="18"/>
        </w:rPr>
        <w:t xml:space="preserve">У 2023 році ВООЗ рекомендувала клас рішень в рамках цільового СНП для виявлення медикаментозної резистентності для прийняття клінічних рішень та включила три рішення як «перші за класом» технології. У січні 2025 року ТКГ ВООЗ оцінила нові та оновлені рішення в рамках цільового СНП, що відповідали критеріям класу. На основі наявних доказів та результатів оцінки доказів до класу рішень в рамках цільового СНП не додавали нових технологій. Однак програмне забезпечення для тлумачення резистентності для рішення AmPORE-TB було оновлено, та було встановлено, що цей продукт відповідає критеріям ефективності на основі класу для виявлення резистентності до трьох додаткових препаратів (PZA, BDQ та CFZ). Поточний перелік рішень в рамках цільового СНП та лікарських засобів, застосування яких ВООЗ рекомендує для виявлення резистентності, наведено у </w:t>
      </w:r>
      <w:r w:rsidRPr="00E80D3A">
        <w:rPr>
          <w:b/>
          <w:bCs/>
          <w:sz w:val="18"/>
          <w:szCs w:val="18"/>
        </w:rPr>
        <w:t>Таблиці 2.8</w:t>
      </w:r>
      <w:r w:rsidRPr="00E80D3A">
        <w:rPr>
          <w:sz w:val="18"/>
          <w:szCs w:val="18"/>
        </w:rPr>
        <w:t>.</w:t>
      </w:r>
    </w:p>
    <w:p w14:paraId="0B5F455C" w14:textId="77777777" w:rsidR="00366CB9" w:rsidRPr="0079021A" w:rsidRDefault="009D0C1D" w:rsidP="00457B0A">
      <w:pPr>
        <w:pStyle w:val="af"/>
        <w:shd w:val="clear" w:color="auto" w:fill="auto"/>
        <w:spacing w:before="240" w:after="240" w:line="254" w:lineRule="auto"/>
        <w:rPr>
          <w:b/>
          <w:bCs/>
        </w:rPr>
      </w:pPr>
      <w:bookmarkStart w:id="54" w:name="bookmark51"/>
      <w:r>
        <w:rPr>
          <w:b/>
        </w:rPr>
        <w:t>Таблиця 2.8. Перелік рішень в рамках СНП та лікарських засобів, застосування яких рекомендує ВООЗ</w:t>
      </w:r>
      <w:bookmarkEnd w:id="54"/>
    </w:p>
    <w:tbl>
      <w:tblPr>
        <w:tblOverlap w:val="never"/>
        <w:tblW w:w="0" w:type="auto"/>
        <w:tblLayout w:type="fixed"/>
        <w:tblCellMar>
          <w:left w:w="10" w:type="dxa"/>
          <w:right w:w="10" w:type="dxa"/>
        </w:tblCellMar>
        <w:tblLook w:val="0000" w:firstRow="0" w:lastRow="0" w:firstColumn="0" w:lastColumn="0" w:noHBand="0" w:noVBand="0"/>
      </w:tblPr>
      <w:tblGrid>
        <w:gridCol w:w="2294"/>
        <w:gridCol w:w="662"/>
        <w:gridCol w:w="691"/>
        <w:gridCol w:w="672"/>
        <w:gridCol w:w="672"/>
        <w:gridCol w:w="672"/>
        <w:gridCol w:w="682"/>
        <w:gridCol w:w="701"/>
        <w:gridCol w:w="667"/>
        <w:gridCol w:w="686"/>
        <w:gridCol w:w="682"/>
      </w:tblGrid>
      <w:tr w:rsidR="00366CB9" w14:paraId="57993434" w14:textId="77777777" w:rsidTr="007751D5">
        <w:trPr>
          <w:trHeight w:hRule="exact" w:val="456"/>
        </w:trPr>
        <w:tc>
          <w:tcPr>
            <w:tcW w:w="2294" w:type="dxa"/>
            <w:vMerge w:val="restart"/>
            <w:tcBorders>
              <w:top w:val="single" w:sz="8" w:space="0" w:color="00B050"/>
              <w:left w:val="single" w:sz="8" w:space="0" w:color="00B050"/>
              <w:bottom w:val="single" w:sz="8" w:space="0" w:color="00B050"/>
              <w:right w:val="single" w:sz="8" w:space="0" w:color="00B050"/>
            </w:tcBorders>
            <w:shd w:val="clear" w:color="auto" w:fill="62A86A"/>
            <w:vAlign w:val="center"/>
          </w:tcPr>
          <w:p w14:paraId="60F4831B" w14:textId="77777777" w:rsidR="00366CB9" w:rsidRPr="002947ED" w:rsidRDefault="009D0C1D" w:rsidP="002947ED">
            <w:pPr>
              <w:pStyle w:val="a6"/>
              <w:shd w:val="clear" w:color="auto" w:fill="auto"/>
              <w:spacing w:line="271" w:lineRule="auto"/>
              <w:rPr>
                <w:sz w:val="18"/>
                <w:szCs w:val="24"/>
              </w:rPr>
            </w:pPr>
            <w:r w:rsidRPr="002947ED">
              <w:rPr>
                <w:color w:val="FFFFFF"/>
                <w:sz w:val="18"/>
                <w:szCs w:val="24"/>
              </w:rPr>
              <w:t>Комплексне рішення в рамках цільового СНП</w:t>
            </w:r>
          </w:p>
        </w:tc>
        <w:tc>
          <w:tcPr>
            <w:tcW w:w="6787" w:type="dxa"/>
            <w:gridSpan w:val="10"/>
            <w:tcBorders>
              <w:top w:val="single" w:sz="8" w:space="0" w:color="00B050"/>
              <w:left w:val="single" w:sz="8" w:space="0" w:color="00B050"/>
              <w:bottom w:val="single" w:sz="8" w:space="0" w:color="00B050"/>
              <w:right w:val="single" w:sz="8" w:space="0" w:color="00B050"/>
            </w:tcBorders>
            <w:shd w:val="clear" w:color="auto" w:fill="62A86A"/>
            <w:vAlign w:val="center"/>
          </w:tcPr>
          <w:p w14:paraId="1F5694DA" w14:textId="77777777" w:rsidR="00366CB9" w:rsidRPr="002947ED" w:rsidRDefault="009D0C1D" w:rsidP="00E4138A">
            <w:pPr>
              <w:pStyle w:val="a6"/>
              <w:shd w:val="clear" w:color="auto" w:fill="auto"/>
              <w:rPr>
                <w:sz w:val="18"/>
                <w:szCs w:val="24"/>
              </w:rPr>
            </w:pPr>
            <w:r w:rsidRPr="002947ED">
              <w:rPr>
                <w:color w:val="FFFFFF"/>
                <w:sz w:val="18"/>
                <w:szCs w:val="24"/>
              </w:rPr>
              <w:t>Протитуберкульозні препарати, для яких рекомендується виявлення резистентності</w:t>
            </w:r>
          </w:p>
        </w:tc>
      </w:tr>
      <w:tr w:rsidR="00366CB9" w14:paraId="45EB3B86" w14:textId="77777777" w:rsidTr="007751D5">
        <w:trPr>
          <w:trHeight w:hRule="exact" w:val="437"/>
        </w:trPr>
        <w:tc>
          <w:tcPr>
            <w:tcW w:w="2294" w:type="dxa"/>
            <w:vMerge/>
            <w:tcBorders>
              <w:top w:val="single" w:sz="8" w:space="0" w:color="00B050"/>
              <w:left w:val="single" w:sz="8" w:space="0" w:color="00B050"/>
              <w:bottom w:val="single" w:sz="8" w:space="0" w:color="00B050"/>
              <w:right w:val="single" w:sz="8" w:space="0" w:color="00B050"/>
            </w:tcBorders>
            <w:shd w:val="clear" w:color="auto" w:fill="62A86A"/>
            <w:vAlign w:val="center"/>
          </w:tcPr>
          <w:p w14:paraId="2B7493E5" w14:textId="77777777" w:rsidR="00366CB9" w:rsidRPr="002947ED" w:rsidRDefault="00366CB9" w:rsidP="002947ED">
            <w:pPr>
              <w:rPr>
                <w:b/>
                <w:bCs/>
                <w:sz w:val="18"/>
              </w:rPr>
            </w:pPr>
          </w:p>
        </w:tc>
        <w:tc>
          <w:tcPr>
            <w:tcW w:w="66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25A8C56" w14:textId="77777777" w:rsidR="00366CB9" w:rsidRPr="002947ED" w:rsidRDefault="009D0C1D" w:rsidP="00E4138A">
            <w:pPr>
              <w:pStyle w:val="a6"/>
              <w:shd w:val="clear" w:color="auto" w:fill="auto"/>
              <w:jc w:val="center"/>
              <w:rPr>
                <w:sz w:val="18"/>
                <w:szCs w:val="24"/>
              </w:rPr>
            </w:pPr>
            <w:r w:rsidRPr="002947ED">
              <w:rPr>
                <w:color w:val="FFFFFF"/>
                <w:sz w:val="18"/>
                <w:szCs w:val="24"/>
              </w:rPr>
              <w:t>RIF</w:t>
            </w:r>
          </w:p>
        </w:tc>
        <w:tc>
          <w:tcPr>
            <w:tcW w:w="691"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6C69868" w14:textId="77777777" w:rsidR="00366CB9" w:rsidRPr="002947ED" w:rsidRDefault="009D0C1D" w:rsidP="00E4138A">
            <w:pPr>
              <w:pStyle w:val="a6"/>
              <w:shd w:val="clear" w:color="auto" w:fill="auto"/>
              <w:jc w:val="center"/>
              <w:rPr>
                <w:sz w:val="18"/>
                <w:szCs w:val="24"/>
              </w:rPr>
            </w:pPr>
            <w:r w:rsidRPr="002947ED">
              <w:rPr>
                <w:color w:val="FFFFFF"/>
                <w:sz w:val="18"/>
                <w:szCs w:val="24"/>
              </w:rPr>
              <w:t>INH</w:t>
            </w:r>
          </w:p>
        </w:tc>
        <w:tc>
          <w:tcPr>
            <w:tcW w:w="67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BD1AD78" w14:textId="77777777" w:rsidR="00366CB9" w:rsidRPr="002947ED" w:rsidRDefault="009D0C1D" w:rsidP="00E4138A">
            <w:pPr>
              <w:pStyle w:val="a6"/>
              <w:shd w:val="clear" w:color="auto" w:fill="auto"/>
              <w:jc w:val="center"/>
              <w:rPr>
                <w:sz w:val="18"/>
                <w:szCs w:val="24"/>
              </w:rPr>
            </w:pPr>
            <w:r w:rsidRPr="002947ED">
              <w:rPr>
                <w:color w:val="FFFFFF"/>
                <w:sz w:val="18"/>
                <w:szCs w:val="24"/>
              </w:rPr>
              <w:t>PZA</w:t>
            </w:r>
          </w:p>
        </w:tc>
        <w:tc>
          <w:tcPr>
            <w:tcW w:w="67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5F88658" w14:textId="77777777" w:rsidR="00366CB9" w:rsidRPr="002947ED" w:rsidRDefault="009D0C1D" w:rsidP="00E4138A">
            <w:pPr>
              <w:pStyle w:val="a6"/>
              <w:shd w:val="clear" w:color="auto" w:fill="auto"/>
              <w:jc w:val="center"/>
              <w:rPr>
                <w:sz w:val="18"/>
                <w:szCs w:val="24"/>
              </w:rPr>
            </w:pPr>
            <w:r w:rsidRPr="002947ED">
              <w:rPr>
                <w:color w:val="FFFFFF"/>
                <w:sz w:val="18"/>
                <w:szCs w:val="24"/>
              </w:rPr>
              <w:t>EMB</w:t>
            </w:r>
          </w:p>
        </w:tc>
        <w:tc>
          <w:tcPr>
            <w:tcW w:w="67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A46CF30" w14:textId="77777777" w:rsidR="00366CB9" w:rsidRPr="002947ED" w:rsidRDefault="009D0C1D" w:rsidP="00E4138A">
            <w:pPr>
              <w:pStyle w:val="a6"/>
              <w:shd w:val="clear" w:color="auto" w:fill="auto"/>
              <w:jc w:val="center"/>
              <w:rPr>
                <w:sz w:val="18"/>
                <w:szCs w:val="24"/>
              </w:rPr>
            </w:pPr>
            <w:r w:rsidRPr="002947ED">
              <w:rPr>
                <w:color w:val="FFFFFF"/>
                <w:sz w:val="18"/>
                <w:szCs w:val="24"/>
              </w:rPr>
              <w:t>FQ</w:t>
            </w:r>
          </w:p>
        </w:tc>
        <w:tc>
          <w:tcPr>
            <w:tcW w:w="68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49872985" w14:textId="77777777" w:rsidR="00366CB9" w:rsidRPr="002947ED" w:rsidRDefault="009D0C1D" w:rsidP="00E4138A">
            <w:pPr>
              <w:pStyle w:val="a6"/>
              <w:shd w:val="clear" w:color="auto" w:fill="auto"/>
              <w:jc w:val="center"/>
              <w:rPr>
                <w:sz w:val="18"/>
                <w:szCs w:val="24"/>
              </w:rPr>
            </w:pPr>
            <w:r w:rsidRPr="002947ED">
              <w:rPr>
                <w:color w:val="FFFFFF"/>
                <w:sz w:val="18"/>
                <w:szCs w:val="24"/>
              </w:rPr>
              <w:t>BDQ</w:t>
            </w:r>
          </w:p>
        </w:tc>
        <w:tc>
          <w:tcPr>
            <w:tcW w:w="701"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150BF49" w14:textId="77777777" w:rsidR="00366CB9" w:rsidRPr="002947ED" w:rsidRDefault="009D0C1D" w:rsidP="00E4138A">
            <w:pPr>
              <w:pStyle w:val="a6"/>
              <w:shd w:val="clear" w:color="auto" w:fill="auto"/>
              <w:jc w:val="center"/>
              <w:rPr>
                <w:sz w:val="18"/>
                <w:szCs w:val="24"/>
              </w:rPr>
            </w:pPr>
            <w:r w:rsidRPr="002947ED">
              <w:rPr>
                <w:color w:val="FFFFFF"/>
                <w:sz w:val="18"/>
                <w:szCs w:val="24"/>
              </w:rPr>
              <w:t>LZD</w:t>
            </w:r>
          </w:p>
        </w:tc>
        <w:tc>
          <w:tcPr>
            <w:tcW w:w="66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1C749E7" w14:textId="77777777" w:rsidR="00366CB9" w:rsidRPr="002947ED" w:rsidRDefault="009D0C1D" w:rsidP="00E4138A">
            <w:pPr>
              <w:pStyle w:val="a6"/>
              <w:shd w:val="clear" w:color="auto" w:fill="auto"/>
              <w:jc w:val="center"/>
              <w:rPr>
                <w:sz w:val="18"/>
                <w:szCs w:val="24"/>
              </w:rPr>
            </w:pPr>
            <w:r w:rsidRPr="002947ED">
              <w:rPr>
                <w:color w:val="FFFFFF"/>
                <w:sz w:val="18"/>
                <w:szCs w:val="24"/>
              </w:rPr>
              <w:t>CFZ</w:t>
            </w:r>
          </w:p>
        </w:tc>
        <w:tc>
          <w:tcPr>
            <w:tcW w:w="68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56B22D3" w14:textId="77777777" w:rsidR="00366CB9" w:rsidRPr="002947ED" w:rsidRDefault="009D0C1D" w:rsidP="00E4138A">
            <w:pPr>
              <w:pStyle w:val="a6"/>
              <w:shd w:val="clear" w:color="auto" w:fill="auto"/>
              <w:jc w:val="center"/>
              <w:rPr>
                <w:sz w:val="18"/>
                <w:szCs w:val="24"/>
              </w:rPr>
            </w:pPr>
            <w:r w:rsidRPr="002947ED">
              <w:rPr>
                <w:color w:val="FFFFFF"/>
                <w:sz w:val="18"/>
                <w:szCs w:val="24"/>
              </w:rPr>
              <w:t>AMK</w:t>
            </w:r>
          </w:p>
        </w:tc>
        <w:tc>
          <w:tcPr>
            <w:tcW w:w="68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A23AE86" w14:textId="77777777" w:rsidR="00366CB9" w:rsidRPr="002947ED" w:rsidRDefault="009D0C1D" w:rsidP="00E4138A">
            <w:pPr>
              <w:pStyle w:val="a6"/>
              <w:shd w:val="clear" w:color="auto" w:fill="auto"/>
              <w:jc w:val="center"/>
              <w:rPr>
                <w:sz w:val="18"/>
                <w:szCs w:val="24"/>
              </w:rPr>
            </w:pPr>
            <w:r w:rsidRPr="002947ED">
              <w:rPr>
                <w:color w:val="FFFFFF"/>
                <w:sz w:val="18"/>
                <w:szCs w:val="24"/>
              </w:rPr>
              <w:t>STR</w:t>
            </w:r>
          </w:p>
        </w:tc>
      </w:tr>
      <w:tr w:rsidR="00457B0A" w14:paraId="2D77C3CE" w14:textId="77777777" w:rsidTr="007751D5">
        <w:trPr>
          <w:trHeight w:hRule="exact" w:val="720"/>
        </w:trPr>
        <w:tc>
          <w:tcPr>
            <w:tcW w:w="2294" w:type="dxa"/>
            <w:tcBorders>
              <w:top w:val="single" w:sz="8" w:space="0" w:color="00B050"/>
              <w:bottom w:val="single" w:sz="8" w:space="0" w:color="00B050"/>
            </w:tcBorders>
            <w:shd w:val="clear" w:color="auto" w:fill="FFFFFF"/>
            <w:vAlign w:val="center"/>
          </w:tcPr>
          <w:p w14:paraId="6C574C6F" w14:textId="77777777" w:rsidR="00457B0A" w:rsidRPr="002947ED" w:rsidRDefault="00457B0A" w:rsidP="002947ED">
            <w:pPr>
              <w:pStyle w:val="a6"/>
              <w:shd w:val="clear" w:color="auto" w:fill="auto"/>
              <w:rPr>
                <w:sz w:val="18"/>
                <w:szCs w:val="24"/>
              </w:rPr>
            </w:pPr>
            <w:r w:rsidRPr="002947ED">
              <w:rPr>
                <w:b w:val="0"/>
                <w:color w:val="000000"/>
                <w:sz w:val="18"/>
                <w:szCs w:val="24"/>
              </w:rPr>
              <w:t>Deeplex Myc-TB</w:t>
            </w:r>
          </w:p>
          <w:p w14:paraId="6C1C2679" w14:textId="77777777" w:rsidR="00457B0A" w:rsidRPr="002947ED" w:rsidRDefault="00457B0A" w:rsidP="002947ED">
            <w:pPr>
              <w:pStyle w:val="a6"/>
              <w:shd w:val="clear" w:color="auto" w:fill="auto"/>
              <w:rPr>
                <w:sz w:val="18"/>
                <w:szCs w:val="24"/>
              </w:rPr>
            </w:pPr>
            <w:r w:rsidRPr="002947ED">
              <w:rPr>
                <w:b w:val="0"/>
                <w:color w:val="000000"/>
                <w:sz w:val="18"/>
                <w:szCs w:val="24"/>
              </w:rPr>
              <w:t>(GenoScreen)</w:t>
            </w:r>
          </w:p>
        </w:tc>
        <w:tc>
          <w:tcPr>
            <w:tcW w:w="662" w:type="dxa"/>
            <w:tcBorders>
              <w:top w:val="single" w:sz="8" w:space="0" w:color="00B050"/>
              <w:bottom w:val="single" w:sz="8" w:space="0" w:color="00B050"/>
            </w:tcBorders>
            <w:shd w:val="clear" w:color="auto" w:fill="FFFFFF"/>
          </w:tcPr>
          <w:p w14:paraId="0EFCDC62" w14:textId="2683AA59"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691" w:type="dxa"/>
            <w:tcBorders>
              <w:top w:val="single" w:sz="8" w:space="0" w:color="00B050"/>
              <w:bottom w:val="single" w:sz="8" w:space="0" w:color="00B050"/>
            </w:tcBorders>
            <w:shd w:val="clear" w:color="auto" w:fill="FFFFFF"/>
          </w:tcPr>
          <w:p w14:paraId="159F48C9" w14:textId="1E88146F"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672" w:type="dxa"/>
            <w:tcBorders>
              <w:top w:val="single" w:sz="8" w:space="0" w:color="00B050"/>
              <w:bottom w:val="single" w:sz="8" w:space="0" w:color="00B050"/>
            </w:tcBorders>
            <w:shd w:val="clear" w:color="auto" w:fill="FFFFFF"/>
          </w:tcPr>
          <w:p w14:paraId="1AB80ECE" w14:textId="2EB0753F"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672" w:type="dxa"/>
            <w:tcBorders>
              <w:top w:val="single" w:sz="8" w:space="0" w:color="00B050"/>
              <w:bottom w:val="single" w:sz="8" w:space="0" w:color="00B050"/>
            </w:tcBorders>
            <w:shd w:val="clear" w:color="auto" w:fill="FFFFFF"/>
          </w:tcPr>
          <w:p w14:paraId="221CA8C3" w14:textId="7678E64C"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672" w:type="dxa"/>
            <w:tcBorders>
              <w:top w:val="single" w:sz="8" w:space="0" w:color="00B050"/>
              <w:bottom w:val="single" w:sz="8" w:space="0" w:color="00B050"/>
            </w:tcBorders>
            <w:shd w:val="clear" w:color="auto" w:fill="FFFFFF"/>
          </w:tcPr>
          <w:p w14:paraId="408315F5" w14:textId="71D3918C"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682" w:type="dxa"/>
            <w:tcBorders>
              <w:top w:val="single" w:sz="8" w:space="0" w:color="00B050"/>
              <w:bottom w:val="single" w:sz="8" w:space="0" w:color="00B050"/>
            </w:tcBorders>
            <w:shd w:val="clear" w:color="auto" w:fill="FFFFFF"/>
          </w:tcPr>
          <w:p w14:paraId="7FEE3F07" w14:textId="42E45359"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701" w:type="dxa"/>
            <w:tcBorders>
              <w:top w:val="single" w:sz="8" w:space="0" w:color="00B050"/>
              <w:bottom w:val="single" w:sz="8" w:space="0" w:color="00B050"/>
            </w:tcBorders>
            <w:shd w:val="clear" w:color="auto" w:fill="FFFFFF"/>
          </w:tcPr>
          <w:p w14:paraId="71F4E660" w14:textId="5B1A9AF5"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667" w:type="dxa"/>
            <w:tcBorders>
              <w:top w:val="single" w:sz="8" w:space="0" w:color="00B050"/>
              <w:bottom w:val="single" w:sz="8" w:space="0" w:color="00B050"/>
            </w:tcBorders>
            <w:shd w:val="clear" w:color="auto" w:fill="FFFFFF"/>
          </w:tcPr>
          <w:p w14:paraId="5B36F45F" w14:textId="68BECEAA"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686" w:type="dxa"/>
            <w:tcBorders>
              <w:top w:val="single" w:sz="8" w:space="0" w:color="00B050"/>
              <w:bottom w:val="single" w:sz="8" w:space="0" w:color="00B050"/>
            </w:tcBorders>
            <w:shd w:val="clear" w:color="auto" w:fill="FFFFFF"/>
          </w:tcPr>
          <w:p w14:paraId="6649D852" w14:textId="7A9492B8"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682" w:type="dxa"/>
            <w:tcBorders>
              <w:top w:val="single" w:sz="8" w:space="0" w:color="00B050"/>
              <w:bottom w:val="single" w:sz="8" w:space="0" w:color="00B050"/>
            </w:tcBorders>
            <w:shd w:val="clear" w:color="auto" w:fill="FFFFFF"/>
          </w:tcPr>
          <w:p w14:paraId="39FCACA3" w14:textId="5A2E7131"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r>
      <w:tr w:rsidR="00457B0A" w14:paraId="63D162F2" w14:textId="77777777" w:rsidTr="007751D5">
        <w:trPr>
          <w:trHeight w:hRule="exact" w:val="470"/>
        </w:trPr>
        <w:tc>
          <w:tcPr>
            <w:tcW w:w="2294" w:type="dxa"/>
            <w:tcBorders>
              <w:top w:val="single" w:sz="8" w:space="0" w:color="00B050"/>
              <w:bottom w:val="single" w:sz="8" w:space="0" w:color="00B050"/>
            </w:tcBorders>
            <w:shd w:val="clear" w:color="auto" w:fill="FFFFFF"/>
            <w:vAlign w:val="center"/>
          </w:tcPr>
          <w:p w14:paraId="669F8076" w14:textId="77777777" w:rsidR="00457B0A" w:rsidRPr="002947ED" w:rsidRDefault="00457B0A" w:rsidP="002947ED">
            <w:pPr>
              <w:pStyle w:val="a6"/>
              <w:shd w:val="clear" w:color="auto" w:fill="auto"/>
              <w:rPr>
                <w:sz w:val="18"/>
                <w:szCs w:val="24"/>
              </w:rPr>
            </w:pPr>
            <w:r w:rsidRPr="002947ED">
              <w:rPr>
                <w:b w:val="0"/>
                <w:color w:val="000000"/>
                <w:sz w:val="18"/>
                <w:szCs w:val="24"/>
              </w:rPr>
              <w:t>AmPORE-TB (ONT)</w:t>
            </w:r>
          </w:p>
        </w:tc>
        <w:tc>
          <w:tcPr>
            <w:tcW w:w="662" w:type="dxa"/>
            <w:tcBorders>
              <w:top w:val="single" w:sz="8" w:space="0" w:color="00B050"/>
              <w:bottom w:val="single" w:sz="8" w:space="0" w:color="00B050"/>
            </w:tcBorders>
            <w:shd w:val="clear" w:color="auto" w:fill="FFFFFF"/>
          </w:tcPr>
          <w:p w14:paraId="10102BC7" w14:textId="0CC04470"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691" w:type="dxa"/>
            <w:tcBorders>
              <w:top w:val="single" w:sz="8" w:space="0" w:color="00B050"/>
              <w:bottom w:val="single" w:sz="8" w:space="0" w:color="00B050"/>
            </w:tcBorders>
            <w:shd w:val="clear" w:color="auto" w:fill="FFFFFF"/>
          </w:tcPr>
          <w:p w14:paraId="576C1CE6" w14:textId="076BA0A6"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672" w:type="dxa"/>
            <w:tcBorders>
              <w:top w:val="single" w:sz="8" w:space="0" w:color="00B050"/>
              <w:bottom w:val="single" w:sz="8" w:space="0" w:color="00B050"/>
            </w:tcBorders>
            <w:shd w:val="clear" w:color="auto" w:fill="FFFFFF"/>
          </w:tcPr>
          <w:p w14:paraId="699D98D1" w14:textId="46FEAB77"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672" w:type="dxa"/>
            <w:tcBorders>
              <w:top w:val="single" w:sz="8" w:space="0" w:color="00B050"/>
              <w:bottom w:val="single" w:sz="8" w:space="0" w:color="00B050"/>
            </w:tcBorders>
            <w:shd w:val="clear" w:color="auto" w:fill="FFFFFF"/>
          </w:tcPr>
          <w:p w14:paraId="5DFC6E07" w14:textId="42B953B2" w:rsidR="00457B0A" w:rsidRPr="002947ED" w:rsidRDefault="00457B0A" w:rsidP="00457B0A">
            <w:pPr>
              <w:jc w:val="center"/>
              <w:rPr>
                <w:rFonts w:ascii="Wingdings" w:hAnsi="Wingdings"/>
                <w:sz w:val="18"/>
              </w:rPr>
            </w:pPr>
          </w:p>
        </w:tc>
        <w:tc>
          <w:tcPr>
            <w:tcW w:w="672" w:type="dxa"/>
            <w:tcBorders>
              <w:top w:val="single" w:sz="8" w:space="0" w:color="00B050"/>
              <w:bottom w:val="single" w:sz="8" w:space="0" w:color="00B050"/>
            </w:tcBorders>
            <w:shd w:val="clear" w:color="auto" w:fill="FFFFFF"/>
          </w:tcPr>
          <w:p w14:paraId="3815F628" w14:textId="3460D1BE"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682" w:type="dxa"/>
            <w:tcBorders>
              <w:top w:val="single" w:sz="8" w:space="0" w:color="00B050"/>
              <w:bottom w:val="single" w:sz="8" w:space="0" w:color="00B050"/>
            </w:tcBorders>
            <w:shd w:val="clear" w:color="auto" w:fill="FFFFFF"/>
          </w:tcPr>
          <w:p w14:paraId="3D9140C9" w14:textId="58CC05A3"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701" w:type="dxa"/>
            <w:tcBorders>
              <w:top w:val="single" w:sz="8" w:space="0" w:color="00B050"/>
              <w:bottom w:val="single" w:sz="8" w:space="0" w:color="00B050"/>
            </w:tcBorders>
            <w:shd w:val="clear" w:color="auto" w:fill="FFFFFF"/>
          </w:tcPr>
          <w:p w14:paraId="086F3A36" w14:textId="16E45625"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667" w:type="dxa"/>
            <w:tcBorders>
              <w:top w:val="single" w:sz="8" w:space="0" w:color="00B050"/>
              <w:bottom w:val="single" w:sz="8" w:space="0" w:color="00B050"/>
            </w:tcBorders>
            <w:shd w:val="clear" w:color="auto" w:fill="FFFFFF"/>
          </w:tcPr>
          <w:p w14:paraId="2E18DF44" w14:textId="5C5FB9D4"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686" w:type="dxa"/>
            <w:tcBorders>
              <w:top w:val="single" w:sz="8" w:space="0" w:color="00B050"/>
              <w:bottom w:val="single" w:sz="8" w:space="0" w:color="00B050"/>
            </w:tcBorders>
            <w:shd w:val="clear" w:color="auto" w:fill="FFFFFF"/>
          </w:tcPr>
          <w:p w14:paraId="0B3A0FA5" w14:textId="535DACB0"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c>
          <w:tcPr>
            <w:tcW w:w="682" w:type="dxa"/>
            <w:tcBorders>
              <w:top w:val="single" w:sz="8" w:space="0" w:color="00B050"/>
              <w:bottom w:val="single" w:sz="8" w:space="0" w:color="00B050"/>
            </w:tcBorders>
            <w:shd w:val="clear" w:color="auto" w:fill="FFFFFF"/>
          </w:tcPr>
          <w:p w14:paraId="4D76DB8C" w14:textId="4BB6B6E6" w:rsidR="00457B0A" w:rsidRPr="002947ED" w:rsidRDefault="00457B0A" w:rsidP="00457B0A">
            <w:pPr>
              <w:jc w:val="center"/>
              <w:rPr>
                <w:rFonts w:ascii="Wingdings" w:hAnsi="Wingdings"/>
                <w:sz w:val="18"/>
              </w:rPr>
            </w:pPr>
            <w:r w:rsidRPr="002947ED">
              <w:rPr>
                <w:rStyle w:val="A18"/>
                <w:rFonts w:ascii="Wingdings" w:hAnsi="Wingdings"/>
                <w:sz w:val="18"/>
                <w:szCs w:val="24"/>
              </w:rPr>
              <w:t></w:t>
            </w:r>
          </w:p>
        </w:tc>
      </w:tr>
      <w:tr w:rsidR="00457B0A" w14:paraId="05D6C94B" w14:textId="77777777" w:rsidTr="007751D5">
        <w:trPr>
          <w:trHeight w:hRule="exact" w:val="970"/>
        </w:trPr>
        <w:tc>
          <w:tcPr>
            <w:tcW w:w="2294" w:type="dxa"/>
            <w:tcBorders>
              <w:top w:val="single" w:sz="8" w:space="0" w:color="00B050"/>
              <w:bottom w:val="single" w:sz="8" w:space="0" w:color="00B050"/>
            </w:tcBorders>
            <w:shd w:val="clear" w:color="auto" w:fill="FFFFFF"/>
            <w:vAlign w:val="center"/>
          </w:tcPr>
          <w:p w14:paraId="72CDDCFD" w14:textId="77777777" w:rsidR="00457B0A" w:rsidRPr="002947ED" w:rsidRDefault="00457B0A" w:rsidP="002947ED">
            <w:pPr>
              <w:pStyle w:val="a6"/>
              <w:shd w:val="clear" w:color="auto" w:fill="auto"/>
              <w:rPr>
                <w:sz w:val="18"/>
                <w:szCs w:val="24"/>
              </w:rPr>
            </w:pPr>
            <w:r w:rsidRPr="002947ED">
              <w:rPr>
                <w:b w:val="0"/>
                <w:color w:val="000000"/>
                <w:sz w:val="18"/>
                <w:szCs w:val="24"/>
              </w:rPr>
              <w:t>TBSeq (Shengting</w:t>
            </w:r>
          </w:p>
          <w:p w14:paraId="5EA3D882" w14:textId="77777777" w:rsidR="00457B0A" w:rsidRPr="002947ED" w:rsidRDefault="00457B0A" w:rsidP="002947ED">
            <w:pPr>
              <w:pStyle w:val="a6"/>
              <w:shd w:val="clear" w:color="auto" w:fill="auto"/>
              <w:rPr>
                <w:sz w:val="18"/>
                <w:szCs w:val="24"/>
              </w:rPr>
            </w:pPr>
            <w:r w:rsidRPr="002947ED">
              <w:rPr>
                <w:b w:val="0"/>
                <w:color w:val="000000"/>
                <w:sz w:val="18"/>
                <w:szCs w:val="24"/>
              </w:rPr>
              <w:t>Medical Technology</w:t>
            </w:r>
          </w:p>
          <w:p w14:paraId="4EB5E425" w14:textId="77777777" w:rsidR="00457B0A" w:rsidRPr="002947ED" w:rsidRDefault="00457B0A" w:rsidP="002947ED">
            <w:pPr>
              <w:pStyle w:val="a6"/>
              <w:shd w:val="clear" w:color="auto" w:fill="auto"/>
              <w:rPr>
                <w:sz w:val="18"/>
                <w:szCs w:val="24"/>
              </w:rPr>
            </w:pPr>
            <w:r w:rsidRPr="002947ED">
              <w:rPr>
                <w:b w:val="0"/>
                <w:color w:val="000000"/>
                <w:sz w:val="18"/>
                <w:szCs w:val="24"/>
              </w:rPr>
              <w:t>Co Ltd)</w:t>
            </w:r>
          </w:p>
        </w:tc>
        <w:tc>
          <w:tcPr>
            <w:tcW w:w="662" w:type="dxa"/>
            <w:tcBorders>
              <w:top w:val="single" w:sz="8" w:space="0" w:color="00B050"/>
              <w:bottom w:val="single" w:sz="8" w:space="0" w:color="00B050"/>
            </w:tcBorders>
            <w:shd w:val="clear" w:color="auto" w:fill="FFFFFF"/>
          </w:tcPr>
          <w:p w14:paraId="32FE2F04" w14:textId="063C8996" w:rsidR="00457B0A" w:rsidRPr="002947ED" w:rsidRDefault="00457B0A" w:rsidP="00457B0A">
            <w:pPr>
              <w:jc w:val="center"/>
              <w:rPr>
                <w:rFonts w:ascii="Wingdings" w:hAnsi="Wingdings"/>
                <w:sz w:val="18"/>
              </w:rPr>
            </w:pPr>
          </w:p>
        </w:tc>
        <w:tc>
          <w:tcPr>
            <w:tcW w:w="691" w:type="dxa"/>
            <w:tcBorders>
              <w:top w:val="single" w:sz="8" w:space="0" w:color="00B050"/>
              <w:bottom w:val="single" w:sz="8" w:space="0" w:color="00B050"/>
            </w:tcBorders>
            <w:shd w:val="clear" w:color="auto" w:fill="FFFFFF"/>
          </w:tcPr>
          <w:p w14:paraId="5C5E828B" w14:textId="1F57CC12" w:rsidR="00457B0A" w:rsidRPr="002947ED" w:rsidRDefault="00457B0A" w:rsidP="00457B0A">
            <w:pPr>
              <w:jc w:val="center"/>
              <w:rPr>
                <w:rFonts w:ascii="Wingdings" w:hAnsi="Wingdings"/>
                <w:sz w:val="18"/>
              </w:rPr>
            </w:pPr>
          </w:p>
        </w:tc>
        <w:tc>
          <w:tcPr>
            <w:tcW w:w="672" w:type="dxa"/>
            <w:tcBorders>
              <w:top w:val="single" w:sz="8" w:space="0" w:color="00B050"/>
              <w:bottom w:val="single" w:sz="8" w:space="0" w:color="00B050"/>
            </w:tcBorders>
            <w:shd w:val="clear" w:color="auto" w:fill="FFFFFF"/>
          </w:tcPr>
          <w:p w14:paraId="30C30363" w14:textId="5A37878B" w:rsidR="00457B0A" w:rsidRPr="002947ED" w:rsidRDefault="00457B0A" w:rsidP="00457B0A">
            <w:pPr>
              <w:jc w:val="center"/>
              <w:rPr>
                <w:rFonts w:ascii="Wingdings" w:hAnsi="Wingdings"/>
                <w:sz w:val="18"/>
              </w:rPr>
            </w:pPr>
          </w:p>
        </w:tc>
        <w:tc>
          <w:tcPr>
            <w:tcW w:w="672" w:type="dxa"/>
            <w:tcBorders>
              <w:top w:val="single" w:sz="8" w:space="0" w:color="00B050"/>
              <w:bottom w:val="single" w:sz="8" w:space="0" w:color="00B050"/>
            </w:tcBorders>
            <w:shd w:val="clear" w:color="auto" w:fill="FFFFFF"/>
          </w:tcPr>
          <w:p w14:paraId="4465AE3A" w14:textId="287079D0" w:rsidR="00457B0A" w:rsidRPr="002947ED" w:rsidRDefault="00457B0A" w:rsidP="00457B0A">
            <w:pPr>
              <w:pStyle w:val="Pa41"/>
              <w:spacing w:after="80"/>
              <w:jc w:val="center"/>
              <w:rPr>
                <w:sz w:val="18"/>
              </w:rPr>
            </w:pPr>
            <w:r w:rsidRPr="002947ED">
              <w:rPr>
                <w:rStyle w:val="A18"/>
                <w:sz w:val="18"/>
                <w:szCs w:val="24"/>
              </w:rPr>
              <w:t></w:t>
            </w:r>
          </w:p>
        </w:tc>
        <w:tc>
          <w:tcPr>
            <w:tcW w:w="672" w:type="dxa"/>
            <w:tcBorders>
              <w:top w:val="single" w:sz="8" w:space="0" w:color="00B050"/>
              <w:bottom w:val="single" w:sz="8" w:space="0" w:color="00B050"/>
            </w:tcBorders>
            <w:shd w:val="clear" w:color="auto" w:fill="FFFFFF"/>
          </w:tcPr>
          <w:p w14:paraId="0BD9C8EE" w14:textId="5B76F810" w:rsidR="00457B0A" w:rsidRPr="002947ED" w:rsidRDefault="00457B0A" w:rsidP="00457B0A">
            <w:pPr>
              <w:jc w:val="center"/>
              <w:rPr>
                <w:rFonts w:ascii="Wingdings" w:hAnsi="Wingdings"/>
                <w:sz w:val="18"/>
              </w:rPr>
            </w:pPr>
          </w:p>
        </w:tc>
        <w:tc>
          <w:tcPr>
            <w:tcW w:w="682" w:type="dxa"/>
            <w:tcBorders>
              <w:top w:val="single" w:sz="8" w:space="0" w:color="00B050"/>
              <w:bottom w:val="single" w:sz="8" w:space="0" w:color="00B050"/>
            </w:tcBorders>
            <w:shd w:val="clear" w:color="auto" w:fill="FFFFFF"/>
          </w:tcPr>
          <w:p w14:paraId="3CFE0E7B" w14:textId="7E175CF8" w:rsidR="00457B0A" w:rsidRPr="002947ED" w:rsidRDefault="00457B0A" w:rsidP="00457B0A">
            <w:pPr>
              <w:jc w:val="center"/>
              <w:rPr>
                <w:rFonts w:ascii="Wingdings" w:hAnsi="Wingdings"/>
                <w:sz w:val="18"/>
              </w:rPr>
            </w:pPr>
          </w:p>
        </w:tc>
        <w:tc>
          <w:tcPr>
            <w:tcW w:w="701" w:type="dxa"/>
            <w:tcBorders>
              <w:top w:val="single" w:sz="8" w:space="0" w:color="00B050"/>
              <w:bottom w:val="single" w:sz="8" w:space="0" w:color="00B050"/>
            </w:tcBorders>
            <w:shd w:val="clear" w:color="auto" w:fill="FFFFFF"/>
          </w:tcPr>
          <w:p w14:paraId="797E4B1D" w14:textId="61568A28" w:rsidR="00457B0A" w:rsidRPr="002947ED" w:rsidRDefault="00457B0A" w:rsidP="00457B0A">
            <w:pPr>
              <w:jc w:val="center"/>
              <w:rPr>
                <w:rFonts w:ascii="Wingdings" w:hAnsi="Wingdings"/>
                <w:sz w:val="18"/>
              </w:rPr>
            </w:pPr>
          </w:p>
        </w:tc>
        <w:tc>
          <w:tcPr>
            <w:tcW w:w="667" w:type="dxa"/>
            <w:tcBorders>
              <w:top w:val="single" w:sz="8" w:space="0" w:color="00B050"/>
              <w:bottom w:val="single" w:sz="8" w:space="0" w:color="00B050"/>
            </w:tcBorders>
            <w:shd w:val="clear" w:color="auto" w:fill="FFFFFF"/>
          </w:tcPr>
          <w:p w14:paraId="7D148DD8" w14:textId="4FFF084E" w:rsidR="00457B0A" w:rsidRPr="002947ED" w:rsidRDefault="00457B0A" w:rsidP="00457B0A">
            <w:pPr>
              <w:jc w:val="center"/>
              <w:rPr>
                <w:rFonts w:ascii="Wingdings" w:hAnsi="Wingdings"/>
                <w:sz w:val="18"/>
              </w:rPr>
            </w:pPr>
          </w:p>
        </w:tc>
        <w:tc>
          <w:tcPr>
            <w:tcW w:w="686" w:type="dxa"/>
            <w:tcBorders>
              <w:top w:val="single" w:sz="8" w:space="0" w:color="00B050"/>
              <w:bottom w:val="single" w:sz="8" w:space="0" w:color="00B050"/>
            </w:tcBorders>
            <w:shd w:val="clear" w:color="auto" w:fill="FFFFFF"/>
          </w:tcPr>
          <w:p w14:paraId="1892907B" w14:textId="05EE8822" w:rsidR="00457B0A" w:rsidRPr="002947ED" w:rsidRDefault="00457B0A" w:rsidP="00457B0A">
            <w:pPr>
              <w:jc w:val="center"/>
              <w:rPr>
                <w:rFonts w:ascii="Wingdings" w:hAnsi="Wingdings"/>
                <w:sz w:val="18"/>
              </w:rPr>
            </w:pPr>
          </w:p>
        </w:tc>
        <w:tc>
          <w:tcPr>
            <w:tcW w:w="682" w:type="dxa"/>
            <w:tcBorders>
              <w:top w:val="single" w:sz="8" w:space="0" w:color="00B050"/>
              <w:bottom w:val="single" w:sz="8" w:space="0" w:color="00B050"/>
            </w:tcBorders>
            <w:shd w:val="clear" w:color="auto" w:fill="FFFFFF"/>
          </w:tcPr>
          <w:p w14:paraId="49BD7FA5" w14:textId="2AE93421" w:rsidR="00457B0A" w:rsidRPr="002947ED" w:rsidRDefault="00457B0A" w:rsidP="00457B0A">
            <w:pPr>
              <w:jc w:val="center"/>
              <w:rPr>
                <w:rFonts w:ascii="Wingdings" w:hAnsi="Wingdings"/>
                <w:sz w:val="18"/>
              </w:rPr>
            </w:pPr>
          </w:p>
        </w:tc>
      </w:tr>
      <w:tr w:rsidR="00457B0A" w14:paraId="67A46F96" w14:textId="77777777" w:rsidTr="007751D5">
        <w:trPr>
          <w:trHeight w:hRule="exact" w:val="816"/>
        </w:trPr>
        <w:tc>
          <w:tcPr>
            <w:tcW w:w="9081" w:type="dxa"/>
            <w:gridSpan w:val="11"/>
            <w:tcBorders>
              <w:top w:val="single" w:sz="8" w:space="0" w:color="00B050"/>
            </w:tcBorders>
            <w:shd w:val="clear" w:color="auto" w:fill="FFFFFF"/>
            <w:vAlign w:val="bottom"/>
          </w:tcPr>
          <w:p w14:paraId="1BF4E863" w14:textId="77777777" w:rsidR="00457B0A" w:rsidRDefault="00457B0A" w:rsidP="00457B0A">
            <w:pPr>
              <w:pStyle w:val="a6"/>
              <w:shd w:val="clear" w:color="auto" w:fill="auto"/>
              <w:spacing w:line="266" w:lineRule="auto"/>
              <w:rPr>
                <w:sz w:val="17"/>
                <w:szCs w:val="17"/>
              </w:rPr>
            </w:pPr>
            <w:r>
              <w:rPr>
                <w:b w:val="0"/>
                <w:color w:val="000000"/>
                <w:sz w:val="17"/>
              </w:rPr>
              <w:t>СНП: секвенування наступного покоління; ТБ: туберкульоз; ВООЗ: Всесвітня організація охорони здоров’я.</w:t>
            </w:r>
          </w:p>
          <w:p w14:paraId="1D83E2E7" w14:textId="77777777" w:rsidR="00457B0A" w:rsidRDefault="00457B0A" w:rsidP="00457B0A">
            <w:pPr>
              <w:pStyle w:val="a6"/>
              <w:shd w:val="clear" w:color="auto" w:fill="auto"/>
              <w:spacing w:line="266" w:lineRule="auto"/>
              <w:rPr>
                <w:sz w:val="17"/>
                <w:szCs w:val="17"/>
              </w:rPr>
            </w:pPr>
            <w:r>
              <w:rPr>
                <w:b w:val="0"/>
                <w:color w:val="000000"/>
                <w:sz w:val="17"/>
              </w:rPr>
              <w:t>Лікарські засоби: AMK: амікацин; BDQ: бедаквілін; CFZ: клофазимін; EMB: етамбутол; FQ: фторхінолон; INH: ізоніазид; LZD: лінезолід; PZA: піразинамід; RIF: рифампіцин; STR: стрептоміцин.</w:t>
            </w:r>
          </w:p>
        </w:tc>
      </w:tr>
    </w:tbl>
    <w:p w14:paraId="2A59CC1F" w14:textId="77777777" w:rsidR="00366CB9" w:rsidRPr="00E80D3A" w:rsidRDefault="009D0C1D" w:rsidP="00457B0A">
      <w:pPr>
        <w:pStyle w:val="1"/>
        <w:shd w:val="clear" w:color="auto" w:fill="auto"/>
        <w:spacing w:before="360" w:line="322" w:lineRule="auto"/>
        <w:jc w:val="both"/>
        <w:rPr>
          <w:sz w:val="18"/>
          <w:szCs w:val="18"/>
        </w:rPr>
      </w:pPr>
      <w:r w:rsidRPr="00E80D3A">
        <w:rPr>
          <w:sz w:val="18"/>
          <w:szCs w:val="18"/>
        </w:rPr>
        <w:t xml:space="preserve">Програмна заява ВООЗ щодо результатів зустрічі ТКГ узагальнена у </w:t>
      </w:r>
      <w:r w:rsidRPr="00E80D3A">
        <w:rPr>
          <w:b/>
          <w:sz w:val="18"/>
          <w:szCs w:val="18"/>
        </w:rPr>
        <w:t>Вставці 2.9</w:t>
      </w:r>
      <w:r w:rsidRPr="00E80D3A">
        <w:rPr>
          <w:sz w:val="18"/>
          <w:szCs w:val="18"/>
        </w:rPr>
        <w:t xml:space="preserve">. Подальші міркування щодо впровадження рішень в рамках СНП представлено у </w:t>
      </w:r>
      <w:r w:rsidRPr="00E80D3A">
        <w:rPr>
          <w:b/>
          <w:bCs/>
          <w:sz w:val="18"/>
          <w:szCs w:val="18"/>
        </w:rPr>
        <w:t>Додатку 3</w:t>
      </w:r>
      <w:r w:rsidRPr="00E80D3A">
        <w:rPr>
          <w:sz w:val="18"/>
          <w:szCs w:val="18"/>
        </w:rPr>
        <w:t>; ці міркування підтверджуються посібником ВООЗ щодо використання СНП для епідеміологічного нагляду за ЛС-ТБ (</w:t>
      </w:r>
      <w:hyperlink w:anchor="bookmark196" w:tooltip="Поточний документ">
        <w:r w:rsidR="00366CB9" w:rsidRPr="00E80D3A">
          <w:rPr>
            <w:sz w:val="18"/>
            <w:szCs w:val="18"/>
          </w:rPr>
          <w:t>25</w:t>
        </w:r>
      </w:hyperlink>
      <w:r w:rsidRPr="00E80D3A">
        <w:rPr>
          <w:sz w:val="18"/>
          <w:szCs w:val="18"/>
        </w:rPr>
        <w:t>).</w:t>
      </w:r>
    </w:p>
    <w:p w14:paraId="51F89A0D"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493AC7ED" w14:textId="3F39D0D9" w:rsidR="00366CB9" w:rsidRDefault="00366CB9" w:rsidP="00425523">
      <w:pPr>
        <w:spacing w:line="1" w:lineRule="exact"/>
      </w:pPr>
    </w:p>
    <w:p w14:paraId="6F14BBD1" w14:textId="2D8C271F" w:rsidR="00366CB9" w:rsidRDefault="00E4138A" w:rsidP="001948E1">
      <w:pPr>
        <w:sectPr w:rsidR="00366CB9" w:rsidSect="00E4138A">
          <w:type w:val="nextColumn"/>
          <w:pgSz w:w="11913" w:h="16840"/>
          <w:pgMar w:top="1276" w:right="1378" w:bottom="794" w:left="1372" w:header="0" w:footer="6" w:gutter="0"/>
          <w:paperSrc w:first="15" w:other="15"/>
          <w:cols w:space="720"/>
          <w:noEndnote/>
          <w:docGrid w:linePitch="360"/>
        </w:sectPr>
      </w:pPr>
      <w:r>
        <w:rPr>
          <w:noProof/>
        </w:rPr>
        <mc:AlternateContent>
          <mc:Choice Requires="wps">
            <w:drawing>
              <wp:anchor distT="0" distB="0" distL="114300" distR="114300" simplePos="0" relativeHeight="251500544" behindDoc="0" locked="0" layoutInCell="1" allowOverlap="1" wp14:anchorId="2FADEB36" wp14:editId="502DCF56">
                <wp:simplePos x="0" y="0"/>
                <wp:positionH relativeFrom="column">
                  <wp:posOffset>325120</wp:posOffset>
                </wp:positionH>
                <wp:positionV relativeFrom="paragraph">
                  <wp:posOffset>758825</wp:posOffset>
                </wp:positionV>
                <wp:extent cx="5257800" cy="8534400"/>
                <wp:effectExtent l="0" t="0" r="0" b="0"/>
                <wp:wrapNone/>
                <wp:docPr id="1601898940" name="Прямокутник 3"/>
                <wp:cNvGraphicFramePr/>
                <a:graphic xmlns:a="http://schemas.openxmlformats.org/drawingml/2006/main">
                  <a:graphicData uri="http://schemas.microsoft.com/office/word/2010/wordprocessingShape">
                    <wps:wsp>
                      <wps:cNvSpPr/>
                      <wps:spPr>
                        <a:xfrm>
                          <a:off x="0" y="0"/>
                          <a:ext cx="5257800" cy="8534400"/>
                        </a:xfrm>
                        <a:prstGeom prst="rect">
                          <a:avLst/>
                        </a:prstGeom>
                        <a:solidFill>
                          <a:srgbClr val="C6E0CE"/>
                        </a:solidFill>
                      </wps:spPr>
                      <wps:txbx>
                        <w:txbxContent>
                          <w:p w14:paraId="52D97E39" w14:textId="77777777" w:rsidR="009D0C1D" w:rsidRPr="00E4138A" w:rsidRDefault="009D0C1D" w:rsidP="00454445">
                            <w:pPr>
                              <w:spacing w:after="56" w:line="314" w:lineRule="auto"/>
                              <w:jc w:val="both"/>
                              <w:rPr>
                                <w:rFonts w:eastAsia="+mn-ea" w:cs="+mn-cs"/>
                                <w:kern w:val="24"/>
                                <w:sz w:val="20"/>
                                <w:szCs w:val="20"/>
                              </w:rPr>
                            </w:pPr>
                            <w:r w:rsidRPr="00E4138A">
                              <w:rPr>
                                <w:sz w:val="20"/>
                              </w:rPr>
                              <w:t>Нещодавно було розроблено нові та оновлені рішення в рамках цільового СНП для тестування на виявлення резистентності до протитуберкульозних препаратів. ВООЗ запросила інформацію про ці технології безпосередньо у виробників та зробила публічний запит на отримання інформації. Крім того, проводився систематичний огляд опублікованої та неопублікованої літератури. Усі наявні докази були оцінені ТКГ у січні 2025 року. Продуктами з достатніми незалежними доказами були AmPORE-TB (Oxford Nanopore Technologies) та DeepChek Assay 13-Plex KB Drug Susceptibility Testing (ABL Diagnostics SA).</w:t>
                            </w:r>
                          </w:p>
                          <w:p w14:paraId="7CCC43B8" w14:textId="77777777" w:rsidR="009D0C1D" w:rsidRPr="00E4138A" w:rsidRDefault="009D0C1D" w:rsidP="00454445">
                            <w:pPr>
                              <w:spacing w:line="314" w:lineRule="auto"/>
                              <w:rPr>
                                <w:rFonts w:eastAsia="+mn-ea" w:cs="+mn-cs"/>
                                <w:kern w:val="24"/>
                                <w:sz w:val="20"/>
                                <w:szCs w:val="20"/>
                              </w:rPr>
                            </w:pPr>
                            <w:r w:rsidRPr="00E4138A">
                              <w:rPr>
                                <w:sz w:val="20"/>
                              </w:rPr>
                              <w:t>Після огляду та рекомендацій ТКГ, ВООЗ зробила такі програмні заяви:</w:t>
                            </w:r>
                          </w:p>
                          <w:p w14:paraId="434EE314" w14:textId="5E75CD49" w:rsidR="009D0C1D" w:rsidRPr="00E4138A" w:rsidRDefault="009D0C1D" w:rsidP="00454445">
                            <w:pPr>
                              <w:spacing w:line="312" w:lineRule="auto"/>
                              <w:ind w:left="374" w:hanging="374"/>
                              <w:jc w:val="both"/>
                              <w:rPr>
                                <w:rFonts w:eastAsia="+mn-ea" w:cs="+mn-cs"/>
                                <w:kern w:val="24"/>
                                <w:sz w:val="20"/>
                                <w:szCs w:val="20"/>
                              </w:rPr>
                            </w:pPr>
                            <w:r w:rsidRPr="00E4138A">
                              <w:rPr>
                                <w:sz w:val="20"/>
                              </w:rPr>
                              <w:t>1.</w:t>
                            </w:r>
                            <w:r w:rsidRPr="00E4138A">
                              <w:t xml:space="preserve"> </w:t>
                            </w:r>
                            <w:r w:rsidRPr="00E4138A">
                              <w:tab/>
                            </w:r>
                            <w:r w:rsidRPr="00E4138A">
                              <w:rPr>
                                <w:sz w:val="20"/>
                              </w:rPr>
                              <w:t>Ефективність комплексного рішення AmPORE-TB (ONT) є порівнянною з іншими рішеннями в рамках СНП, рекомендованими ВООЗ, для виявлення резистентності до RIF, INH, FQ та PZA у осіб з бактеріологічно підтвердженим ТБ легень.</w:t>
                            </w:r>
                          </w:p>
                          <w:p w14:paraId="446A4C35" w14:textId="4A9BD44A" w:rsidR="009D0C1D" w:rsidRPr="00E4138A" w:rsidRDefault="009D0C1D" w:rsidP="00454445">
                            <w:pPr>
                              <w:spacing w:line="314" w:lineRule="auto"/>
                              <w:ind w:left="374" w:hanging="374"/>
                              <w:jc w:val="both"/>
                              <w:rPr>
                                <w:rFonts w:eastAsia="+mn-ea" w:cs="+mn-cs"/>
                                <w:kern w:val="24"/>
                                <w:sz w:val="20"/>
                                <w:szCs w:val="20"/>
                              </w:rPr>
                            </w:pPr>
                            <w:r w:rsidRPr="00E4138A">
                              <w:rPr>
                                <w:sz w:val="20"/>
                              </w:rPr>
                              <w:t>2.</w:t>
                            </w:r>
                            <w:r w:rsidRPr="00E4138A">
                              <w:t xml:space="preserve"> </w:t>
                            </w:r>
                            <w:r w:rsidRPr="00E4138A">
                              <w:tab/>
                            </w:r>
                            <w:r w:rsidRPr="00E4138A">
                              <w:rPr>
                                <w:sz w:val="20"/>
                              </w:rPr>
                              <w:t>Ефективність комплексного рішення AmPORE-TB (ONT) є порівнянною з іншими рішеннями в рамках СНП, рекомендованими ВООЗ, для виявлення резистентності до INH, FQ, BDQ, LZD, CFZ, PZA, AMK та STR у осіб з Риф-ТБ.</w:t>
                            </w:r>
                          </w:p>
                          <w:p w14:paraId="3CFA7435" w14:textId="5475C919" w:rsidR="009D0C1D" w:rsidRPr="00E4138A" w:rsidRDefault="009D0C1D" w:rsidP="00454445">
                            <w:pPr>
                              <w:spacing w:line="312" w:lineRule="auto"/>
                              <w:ind w:left="374" w:hanging="374"/>
                              <w:jc w:val="both"/>
                              <w:rPr>
                                <w:rFonts w:eastAsia="+mn-ea" w:cs="+mn-cs"/>
                                <w:kern w:val="24"/>
                                <w:sz w:val="20"/>
                                <w:szCs w:val="20"/>
                              </w:rPr>
                            </w:pPr>
                            <w:r w:rsidRPr="00E4138A">
                              <w:rPr>
                                <w:sz w:val="20"/>
                              </w:rPr>
                              <w:t>3.</w:t>
                            </w:r>
                            <w:r w:rsidRPr="00E4138A">
                              <w:t xml:space="preserve"> </w:t>
                            </w:r>
                            <w:r w:rsidRPr="00E4138A">
                              <w:tab/>
                            </w:r>
                            <w:r w:rsidRPr="00E4138A">
                              <w:rPr>
                                <w:sz w:val="20"/>
                              </w:rPr>
                              <w:t>Ефективність рішення DeepChek Assay 13-Plex KB Drug Susceptibility Testing (ABL Diagnostics SA) не можна належним чином порівняти з ефективністю рішень в рамках СНП, рекомендованих ВООЗ, для виявлення медикаментозної резистентності у осіб з бактеріологічно підтвердженим ТБ легень, з резистентністю до RIF або без неї.</w:t>
                            </w:r>
                          </w:p>
                          <w:p w14:paraId="6F48DEC2" w14:textId="1211AEDE" w:rsidR="009D0C1D" w:rsidRPr="00E4138A" w:rsidRDefault="009D0C1D" w:rsidP="00454445">
                            <w:pPr>
                              <w:spacing w:after="56" w:line="314" w:lineRule="auto"/>
                              <w:ind w:left="374" w:hanging="374"/>
                              <w:jc w:val="both"/>
                              <w:rPr>
                                <w:rFonts w:eastAsia="+mn-ea" w:cs="+mn-cs"/>
                                <w:kern w:val="24"/>
                                <w:sz w:val="20"/>
                                <w:szCs w:val="20"/>
                              </w:rPr>
                            </w:pPr>
                            <w:r w:rsidRPr="00E4138A">
                              <w:rPr>
                                <w:sz w:val="20"/>
                              </w:rPr>
                              <w:t>4.</w:t>
                            </w:r>
                            <w:r w:rsidRPr="00E4138A">
                              <w:t xml:space="preserve"> </w:t>
                            </w:r>
                            <w:r w:rsidRPr="00E4138A">
                              <w:tab/>
                            </w:r>
                            <w:r w:rsidRPr="00E4138A">
                              <w:rPr>
                                <w:sz w:val="20"/>
                              </w:rPr>
                              <w:t>Поточні рекомендації ВООЗ щодо використання рішень в рамках СНП є дійсними для рішення AmPORE-TB (ONT), що наразі відповідає критеріям ефективності на основі класів для виявлення резистентності до трьох додаткових лікарських засобів (PZA, BDQ та CFZ).</w:t>
                            </w:r>
                          </w:p>
                          <w:p w14:paraId="59969995" w14:textId="77777777" w:rsidR="009D0C1D" w:rsidRPr="00E4138A" w:rsidRDefault="009D0C1D" w:rsidP="00454445">
                            <w:pPr>
                              <w:spacing w:after="56" w:line="314" w:lineRule="auto"/>
                              <w:rPr>
                                <w:rFonts w:eastAsia="+mn-ea" w:cs="+mn-cs"/>
                                <w:kern w:val="24"/>
                                <w:sz w:val="20"/>
                                <w:szCs w:val="20"/>
                              </w:rPr>
                            </w:pPr>
                            <w:r w:rsidRPr="00E4138A">
                              <w:rPr>
                                <w:sz w:val="20"/>
                              </w:rPr>
                              <w:t>Примітки:</w:t>
                            </w:r>
                          </w:p>
                          <w:p w14:paraId="018ED28F" w14:textId="21A3A7FC" w:rsidR="009D0C1D" w:rsidRPr="00E4138A" w:rsidRDefault="009D0C1D" w:rsidP="00454445">
                            <w:pPr>
                              <w:spacing w:line="314" w:lineRule="auto"/>
                              <w:ind w:left="374" w:hanging="374"/>
                              <w:jc w:val="both"/>
                              <w:rPr>
                                <w:rFonts w:eastAsia="+mn-ea" w:cs="+mn-cs"/>
                                <w:color w:val="019648"/>
                                <w:kern w:val="24"/>
                                <w:sz w:val="20"/>
                                <w:szCs w:val="20"/>
                              </w:rPr>
                            </w:pPr>
                            <w:r w:rsidRPr="00E4138A">
                              <w:rPr>
                                <w:rFonts w:ascii="Wingdings" w:hAnsi="Wingdings"/>
                                <w:color w:val="019648"/>
                              </w:rPr>
                              <w:t></w:t>
                            </w:r>
                            <w:r w:rsidRPr="00E4138A">
                              <w:tab/>
                            </w:r>
                            <w:r w:rsidRPr="00E4138A">
                              <w:rPr>
                                <w:sz w:val="20"/>
                              </w:rPr>
                              <w:t>Ефективність AmPORE-TB не була порівнянною з результатами класу рішень в рамках цСНП для виявлення резистентності до етамбутолу, тому заяву щодо виявлення резистентності до цього лікарського засобу не було зроблено в жодній з популяцій.</w:t>
                            </w:r>
                          </w:p>
                          <w:p w14:paraId="5F305ADD" w14:textId="4D33069A" w:rsidR="009D0C1D" w:rsidRPr="00E4138A" w:rsidRDefault="009D0C1D" w:rsidP="00454445">
                            <w:pPr>
                              <w:spacing w:line="314" w:lineRule="auto"/>
                              <w:ind w:left="374" w:hanging="374"/>
                              <w:jc w:val="both"/>
                              <w:rPr>
                                <w:rFonts w:eastAsia="+mn-ea" w:cs="+mn-cs"/>
                                <w:color w:val="019648"/>
                                <w:kern w:val="24"/>
                                <w:sz w:val="20"/>
                                <w:szCs w:val="20"/>
                              </w:rPr>
                            </w:pPr>
                            <w:r w:rsidRPr="00E4138A">
                              <w:rPr>
                                <w:rFonts w:ascii="Wingdings" w:hAnsi="Wingdings"/>
                                <w:color w:val="019648"/>
                              </w:rPr>
                              <w:t></w:t>
                            </w:r>
                            <w:r w:rsidRPr="00E4138A">
                              <w:tab/>
                            </w:r>
                            <w:r w:rsidRPr="00E4138A">
                              <w:rPr>
                                <w:sz w:val="20"/>
                              </w:rPr>
                              <w:t>Рішення щодо AmPORE-TB з використанням стрептоміцину не було прийнято одностайно через занепокоєння щодо відносно нижчої чутливості порівняно з критеріями ефективності класу. Однак, враховуючи, що це крайній лікарський засіб, а на отримання результатів фТМЧ потрібно більше часу, його було визнано прийнятним для включення.</w:t>
                            </w:r>
                          </w:p>
                          <w:p w14:paraId="5D1AC2DA" w14:textId="2BE9A696" w:rsidR="009D0C1D" w:rsidRPr="00E4138A" w:rsidRDefault="009D0C1D" w:rsidP="00454445">
                            <w:pPr>
                              <w:spacing w:line="314" w:lineRule="auto"/>
                              <w:ind w:left="374" w:hanging="374"/>
                              <w:jc w:val="both"/>
                              <w:rPr>
                                <w:rFonts w:eastAsia="+mn-ea" w:cs="+mn-cs"/>
                                <w:color w:val="019648"/>
                                <w:kern w:val="24"/>
                                <w:sz w:val="20"/>
                                <w:szCs w:val="20"/>
                              </w:rPr>
                            </w:pPr>
                            <w:r w:rsidRPr="00E4138A">
                              <w:rPr>
                                <w:rFonts w:ascii="Wingdings" w:hAnsi="Wingdings"/>
                                <w:color w:val="019648"/>
                              </w:rPr>
                              <w:t></w:t>
                            </w:r>
                            <w:r w:rsidRPr="00E4138A">
                              <w:tab/>
                            </w:r>
                            <w:r w:rsidRPr="00E4138A">
                              <w:rPr>
                                <w:sz w:val="20"/>
                              </w:rPr>
                              <w:t>Рішення щодо порівнянності DeepChek було засновано на високій частоті відмов при аналізі зразків та лікарських засобів в усьому діапазоні напівкількісних категорій Xpert MTB/RIF порівняно з частотою щодо класу рішень в рамках цСНП. Група перевірки та ТКГ не змогли оцінити, чи рівне невизначеності були зумовлені відмінностями, специфічними для конкретного дослідницького центру. Цікавим фактом є те, що три центри оцінювання застосовували різні методи виділення ДНК; однак вплив відмінності у методології не можна було оцінити окремо, крім інших факторів, що варіювали між дослідницькими центрами. ВООЗ розглядає подання виробником у майбутньому більш незалежних доказів ефективності комплексного рішення. У разі застосування кількох методів виділення можуть знадобитися дані про ефективність та еквівалентність методу виявлення.</w:t>
                            </w:r>
                          </w:p>
                        </w:txbxContent>
                      </wps:txbx>
                      <wps:bodyPr lIns="0" tIns="0" rIns="0" bIns="0">
                        <a:noAutofit/>
                      </wps:bodyPr>
                    </wps:wsp>
                  </a:graphicData>
                </a:graphic>
                <wp14:sizeRelV relativeFrom="margin">
                  <wp14:pctHeight>0</wp14:pctHeight>
                </wp14:sizeRelV>
              </wp:anchor>
            </w:drawing>
          </mc:Choice>
          <mc:Fallback>
            <w:pict>
              <v:rect w14:anchorId="2FADEB36" id="_x0000_s1119" style="position:absolute;margin-left:25.6pt;margin-top:59.75pt;width:414pt;height:672pt;z-index:25150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" fillcolor="#c6e0ce" stroked="f">
                <v:textbox inset="0,0,0,0">
                  <w:txbxContent>
                    <w:p w14:paraId="52D97E39" w14:textId="77777777" w:rsidR="009D0C1D" w:rsidRPr="00E4138A" w:rsidRDefault="009D0C1D" w:rsidP="00454445">
                      <w:pPr>
                        <w:spacing w:after="56" w:line="314" w:lineRule="auto"/>
                        <w:jc w:val="both"/>
                        <w:rPr>
                          <w:rFonts w:eastAsia="+mn-ea" w:cs="+mn-cs"/>
                          <w:kern w:val="24"/>
                          <w:sz w:val="20"/>
                          <w:szCs w:val="20"/>
                        </w:rPr>
                      </w:pPr>
                      <w:r w:rsidRPr="00E4138A">
                        <w:rPr>
                          <w:sz w:val="20"/>
                        </w:rPr>
                        <w:t>Нещодавно було розроблено нові та оновлені рішення в рамках цільового СНП для тестування на виявлення резистентності до протитуберкульозних препаратів. ВООЗ запросила інформацію про ці технології безпосередньо у виробників та зробила публічний запит на отримання інформації. Крім того, проводився систематичний огляд опублікованої та неопублікованої літератури. Усі наявні докази були оцінені ТКГ у січні 2025 року. Продуктами з достатніми незалежними доказами були AmPORE-TB (Oxford Nanopore Technologies) та DeepChek Assay 13-Plex KB Drug Susceptibility Testing (ABL Diagnostics SA).</w:t>
                      </w:r>
                    </w:p>
                    <w:p w14:paraId="7CCC43B8" w14:textId="77777777" w:rsidR="009D0C1D" w:rsidRPr="00E4138A" w:rsidRDefault="009D0C1D" w:rsidP="00454445">
                      <w:pPr>
                        <w:spacing w:line="314" w:lineRule="auto"/>
                        <w:rPr>
                          <w:rFonts w:eastAsia="+mn-ea" w:cs="+mn-cs"/>
                          <w:kern w:val="24"/>
                          <w:sz w:val="20"/>
                          <w:szCs w:val="20"/>
                        </w:rPr>
                      </w:pPr>
                      <w:r w:rsidRPr="00E4138A">
                        <w:rPr>
                          <w:sz w:val="20"/>
                        </w:rPr>
                        <w:t>Після огляду та рекомендацій ТКГ, ВООЗ зробила такі програмні заяви:</w:t>
                      </w:r>
                    </w:p>
                    <w:p w14:paraId="434EE314" w14:textId="5E75CD49" w:rsidR="009D0C1D" w:rsidRPr="00E4138A" w:rsidRDefault="009D0C1D" w:rsidP="00454445">
                      <w:pPr>
                        <w:spacing w:line="312" w:lineRule="auto"/>
                        <w:ind w:left="374" w:hanging="374"/>
                        <w:jc w:val="both"/>
                        <w:rPr>
                          <w:rFonts w:eastAsia="+mn-ea" w:cs="+mn-cs"/>
                          <w:kern w:val="24"/>
                          <w:sz w:val="20"/>
                          <w:szCs w:val="20"/>
                        </w:rPr>
                      </w:pPr>
                      <w:r w:rsidRPr="00E4138A">
                        <w:rPr>
                          <w:sz w:val="20"/>
                        </w:rPr>
                        <w:t>1.</w:t>
                      </w:r>
                      <w:r w:rsidRPr="00E4138A">
                        <w:t xml:space="preserve"> </w:t>
                      </w:r>
                      <w:r w:rsidRPr="00E4138A">
                        <w:tab/>
                      </w:r>
                      <w:r w:rsidRPr="00E4138A">
                        <w:rPr>
                          <w:sz w:val="20"/>
                        </w:rPr>
                        <w:t>Ефективність комплексного рішення AmPORE-TB (ONT) є порівнянною з іншими рішеннями в рамках СНП, рекомендованими ВООЗ, для виявлення резистентності до RIF, INH, FQ та PZA у осіб з бактеріологічно підтвердженим ТБ легень.</w:t>
                      </w:r>
                    </w:p>
                    <w:p w14:paraId="446A4C35" w14:textId="4A9BD44A" w:rsidR="009D0C1D" w:rsidRPr="00E4138A" w:rsidRDefault="009D0C1D" w:rsidP="00454445">
                      <w:pPr>
                        <w:spacing w:line="314" w:lineRule="auto"/>
                        <w:ind w:left="374" w:hanging="374"/>
                        <w:jc w:val="both"/>
                        <w:rPr>
                          <w:rFonts w:eastAsia="+mn-ea" w:cs="+mn-cs"/>
                          <w:kern w:val="24"/>
                          <w:sz w:val="20"/>
                          <w:szCs w:val="20"/>
                        </w:rPr>
                      </w:pPr>
                      <w:r w:rsidRPr="00E4138A">
                        <w:rPr>
                          <w:sz w:val="20"/>
                        </w:rPr>
                        <w:t>2.</w:t>
                      </w:r>
                      <w:r w:rsidRPr="00E4138A">
                        <w:t xml:space="preserve"> </w:t>
                      </w:r>
                      <w:r w:rsidRPr="00E4138A">
                        <w:tab/>
                      </w:r>
                      <w:r w:rsidRPr="00E4138A">
                        <w:rPr>
                          <w:sz w:val="20"/>
                        </w:rPr>
                        <w:t>Ефективність комплексного рішення AmPORE-TB (ONT) є порівнянною з іншими рішеннями в рамках СНП, рекомендованими ВООЗ, для виявлення резистентності до INH, FQ, BDQ, LZD, CFZ, PZA, AMK та STR у осіб з Риф-ТБ.</w:t>
                      </w:r>
                    </w:p>
                    <w:p w14:paraId="3CFA7435" w14:textId="5475C919" w:rsidR="009D0C1D" w:rsidRPr="00E4138A" w:rsidRDefault="009D0C1D" w:rsidP="00454445">
                      <w:pPr>
                        <w:spacing w:line="312" w:lineRule="auto"/>
                        <w:ind w:left="374" w:hanging="374"/>
                        <w:jc w:val="both"/>
                        <w:rPr>
                          <w:rFonts w:eastAsia="+mn-ea" w:cs="+mn-cs"/>
                          <w:kern w:val="24"/>
                          <w:sz w:val="20"/>
                          <w:szCs w:val="20"/>
                        </w:rPr>
                      </w:pPr>
                      <w:r w:rsidRPr="00E4138A">
                        <w:rPr>
                          <w:sz w:val="20"/>
                        </w:rPr>
                        <w:t>3.</w:t>
                      </w:r>
                      <w:r w:rsidRPr="00E4138A">
                        <w:t xml:space="preserve"> </w:t>
                      </w:r>
                      <w:r w:rsidRPr="00E4138A">
                        <w:tab/>
                      </w:r>
                      <w:r w:rsidRPr="00E4138A">
                        <w:rPr>
                          <w:sz w:val="20"/>
                        </w:rPr>
                        <w:t>Ефективність рішення DeepChek Assay 13-Plex KB Drug Susceptibility Testing (ABL Diagnostics SA) не можна належним чином порівняти з ефективністю рішень в рамках СНП, рекомендованих ВООЗ, для виявлення медикаментозної резистентності у осіб з бактеріологічно підтвердженим ТБ легень, з резистентністю до RIF або без неї.</w:t>
                      </w:r>
                    </w:p>
                    <w:p w14:paraId="6F48DEC2" w14:textId="1211AEDE" w:rsidR="009D0C1D" w:rsidRPr="00E4138A" w:rsidRDefault="009D0C1D" w:rsidP="00454445">
                      <w:pPr>
                        <w:spacing w:after="56" w:line="314" w:lineRule="auto"/>
                        <w:ind w:left="374" w:hanging="374"/>
                        <w:jc w:val="both"/>
                        <w:rPr>
                          <w:rFonts w:eastAsia="+mn-ea" w:cs="+mn-cs"/>
                          <w:kern w:val="24"/>
                          <w:sz w:val="20"/>
                          <w:szCs w:val="20"/>
                        </w:rPr>
                      </w:pPr>
                      <w:r w:rsidRPr="00E4138A">
                        <w:rPr>
                          <w:sz w:val="20"/>
                        </w:rPr>
                        <w:t>4.</w:t>
                      </w:r>
                      <w:r w:rsidRPr="00E4138A">
                        <w:t xml:space="preserve"> </w:t>
                      </w:r>
                      <w:r w:rsidRPr="00E4138A">
                        <w:tab/>
                      </w:r>
                      <w:r w:rsidRPr="00E4138A">
                        <w:rPr>
                          <w:sz w:val="20"/>
                        </w:rPr>
                        <w:t>Поточні рекомендації ВООЗ щодо використання рішень в рамках СНП є дійсними для рішення AmPORE-TB (ONT), що наразі відповідає критеріям ефективності на основі класів для виявлення резистентності до трьох додаткових лікарських засобів (PZA, BDQ та CFZ).</w:t>
                      </w:r>
                    </w:p>
                    <w:p w14:paraId="59969995" w14:textId="77777777" w:rsidR="009D0C1D" w:rsidRPr="00E4138A" w:rsidRDefault="009D0C1D" w:rsidP="00454445">
                      <w:pPr>
                        <w:spacing w:after="56" w:line="314" w:lineRule="auto"/>
                        <w:rPr>
                          <w:rFonts w:eastAsia="+mn-ea" w:cs="+mn-cs"/>
                          <w:kern w:val="24"/>
                          <w:sz w:val="20"/>
                          <w:szCs w:val="20"/>
                        </w:rPr>
                      </w:pPr>
                      <w:r w:rsidRPr="00E4138A">
                        <w:rPr>
                          <w:sz w:val="20"/>
                        </w:rPr>
                        <w:t>Примітки:</w:t>
                      </w:r>
                    </w:p>
                    <w:p w14:paraId="018ED28F" w14:textId="21A3A7FC" w:rsidR="009D0C1D" w:rsidRPr="00E4138A" w:rsidRDefault="009D0C1D" w:rsidP="00454445">
                      <w:pPr>
                        <w:spacing w:line="314" w:lineRule="auto"/>
                        <w:ind w:left="374" w:hanging="374"/>
                        <w:jc w:val="both"/>
                        <w:rPr>
                          <w:rFonts w:eastAsia="+mn-ea" w:cs="+mn-cs"/>
                          <w:color w:val="019648"/>
                          <w:kern w:val="24"/>
                          <w:sz w:val="20"/>
                          <w:szCs w:val="20"/>
                        </w:rPr>
                      </w:pPr>
                      <w:r w:rsidRPr="00E4138A">
                        <w:rPr>
                          <w:rFonts w:ascii="Wingdings" w:hAnsi="Wingdings"/>
                          <w:color w:val="019648"/>
                        </w:rPr>
                        <w:t></w:t>
                      </w:r>
                      <w:r w:rsidRPr="00E4138A">
                        <w:tab/>
                      </w:r>
                      <w:r w:rsidRPr="00E4138A">
                        <w:rPr>
                          <w:sz w:val="20"/>
                        </w:rPr>
                        <w:t>Ефективність AmPORE-TB не була порівнянною з результатами класу рішень в рамках цСНП для виявлення резистентності до етамбутолу, тому заяву щодо виявлення резистентності до цього лікарського засобу не було зроблено в жодній з популяцій.</w:t>
                      </w:r>
                    </w:p>
                    <w:p w14:paraId="5F305ADD" w14:textId="4D33069A" w:rsidR="009D0C1D" w:rsidRPr="00E4138A" w:rsidRDefault="009D0C1D" w:rsidP="00454445">
                      <w:pPr>
                        <w:spacing w:line="314" w:lineRule="auto"/>
                        <w:ind w:left="374" w:hanging="374"/>
                        <w:jc w:val="both"/>
                        <w:rPr>
                          <w:rFonts w:eastAsia="+mn-ea" w:cs="+mn-cs"/>
                          <w:color w:val="019648"/>
                          <w:kern w:val="24"/>
                          <w:sz w:val="20"/>
                          <w:szCs w:val="20"/>
                        </w:rPr>
                      </w:pPr>
                      <w:r w:rsidRPr="00E4138A">
                        <w:rPr>
                          <w:rFonts w:ascii="Wingdings" w:hAnsi="Wingdings"/>
                          <w:color w:val="019648"/>
                        </w:rPr>
                        <w:t></w:t>
                      </w:r>
                      <w:r w:rsidRPr="00E4138A">
                        <w:tab/>
                      </w:r>
                      <w:r w:rsidRPr="00E4138A">
                        <w:rPr>
                          <w:sz w:val="20"/>
                        </w:rPr>
                        <w:t>Рішення щодо AmPORE-TB з використанням стрептоміцину не було прийнято одностайно через занепокоєння щодо відносно нижчої чутливості порівняно з критеріями ефективності класу. Однак, враховуючи, що це крайній лікарський засіб, а на отримання результатів фТМЧ потрібно більше часу, його було визнано прийнятним для включення.</w:t>
                      </w:r>
                    </w:p>
                    <w:p w14:paraId="5D1AC2DA" w14:textId="2BE9A696" w:rsidR="009D0C1D" w:rsidRPr="00E4138A" w:rsidRDefault="009D0C1D" w:rsidP="00454445">
                      <w:pPr>
                        <w:spacing w:line="314" w:lineRule="auto"/>
                        <w:ind w:left="374" w:hanging="374"/>
                        <w:jc w:val="both"/>
                        <w:rPr>
                          <w:rFonts w:eastAsia="+mn-ea" w:cs="+mn-cs"/>
                          <w:color w:val="019648"/>
                          <w:kern w:val="24"/>
                          <w:sz w:val="20"/>
                          <w:szCs w:val="20"/>
                        </w:rPr>
                      </w:pPr>
                      <w:r w:rsidRPr="00E4138A">
                        <w:rPr>
                          <w:rFonts w:ascii="Wingdings" w:hAnsi="Wingdings"/>
                          <w:color w:val="019648"/>
                        </w:rPr>
                        <w:t></w:t>
                      </w:r>
                      <w:r w:rsidRPr="00E4138A">
                        <w:tab/>
                      </w:r>
                      <w:r w:rsidRPr="00E4138A">
                        <w:rPr>
                          <w:sz w:val="20"/>
                        </w:rPr>
                        <w:t>Рішення щодо порівнянності DeepChek було засновано на високій частоті відмов при аналізі зразків та лікарських засобів в усьому діапазоні напівкількісних категорій Xpert MTB/RIF порівняно з частотою щодо класу рішень в рамках цСНП. Група перевірки та ТКГ не змогли оцінити, чи рівне невизначеності були зумовлені відмінностями, специфічними для конкретного дослідницького центру. Цікавим фактом є те, що три центри оцінювання застосовували різні методи виділення ДНК; однак вплив відмінності у методології не можна було оцінити окремо, крім інших факторів, що варіювали між дослідницькими центрами. ВООЗ розглядає подання виробником у майбутньому більш незалежних доказів ефективності комплексного рішення. У разі застосування кількох методів виділення можуть знадобитися дані про ефективність та еквівалентність методу виявлення.</w:t>
                      </w:r>
                    </w:p>
                  </w:txbxContent>
                </v:textbox>
              </v:rect>
            </w:pict>
          </mc:Fallback>
        </mc:AlternateContent>
      </w:r>
      <w:r w:rsidR="00454445">
        <w:rPr>
          <w:noProof/>
        </w:rPr>
        <mc:AlternateContent>
          <mc:Choice Requires="wps">
            <w:drawing>
              <wp:anchor distT="0" distB="0" distL="114300" distR="114300" simplePos="0" relativeHeight="251499520" behindDoc="0" locked="0" layoutInCell="1" allowOverlap="1" wp14:anchorId="5D703A68" wp14:editId="04A18BFE">
                <wp:simplePos x="0" y="0"/>
                <wp:positionH relativeFrom="column">
                  <wp:posOffset>127000</wp:posOffset>
                </wp:positionH>
                <wp:positionV relativeFrom="paragraph">
                  <wp:posOffset>288290</wp:posOffset>
                </wp:positionV>
                <wp:extent cx="4029075" cy="359410"/>
                <wp:effectExtent l="0" t="0" r="9525" b="2540"/>
                <wp:wrapNone/>
                <wp:docPr id="1482491426" name="Прямокутник 2"/>
                <wp:cNvGraphicFramePr/>
                <a:graphic xmlns:a="http://schemas.openxmlformats.org/drawingml/2006/main">
                  <a:graphicData uri="http://schemas.microsoft.com/office/word/2010/wordprocessingShape">
                    <wps:wsp>
                      <wps:cNvSpPr/>
                      <wps:spPr>
                        <a:xfrm>
                          <a:off x="0" y="0"/>
                          <a:ext cx="4029075" cy="359410"/>
                        </a:xfrm>
                        <a:prstGeom prst="rect">
                          <a:avLst/>
                        </a:prstGeom>
                        <a:solidFill>
                          <a:srgbClr val="009649"/>
                        </a:solidFill>
                      </wps:spPr>
                      <wps:txbx>
                        <w:txbxContent>
                          <w:p w14:paraId="1ECE70D7" w14:textId="77777777" w:rsidR="009D0C1D" w:rsidRPr="0079021A" w:rsidRDefault="009D0C1D" w:rsidP="00454445">
                            <w:pPr>
                              <w:spacing w:line="312" w:lineRule="auto"/>
                              <w:rPr>
                                <w:rFonts w:eastAsia="+mn-ea" w:cs="+mn-cs"/>
                                <w:b/>
                                <w:bCs/>
                                <w:i/>
                                <w:iCs/>
                                <w:color w:val="FFFFFF"/>
                                <w:kern w:val="24"/>
                                <w:sz w:val="20"/>
                                <w:szCs w:val="20"/>
                              </w:rPr>
                            </w:pPr>
                            <w:r>
                              <w:rPr>
                                <w:b/>
                                <w:color w:val="FFFFFF"/>
                                <w:sz w:val="20"/>
                              </w:rPr>
                              <w:t xml:space="preserve">Вставка 2.9. </w:t>
                            </w:r>
                            <w:r>
                              <w:rPr>
                                <w:b/>
                                <w:i/>
                                <w:color w:val="FFFFFF"/>
                                <w:sz w:val="20"/>
                              </w:rPr>
                              <w:t>Програмна заява ВООЗ щодо рішень в рамках цільового СНП для виявлення ЛС-ТБ, 2025 рік</w:t>
                            </w:r>
                          </w:p>
                        </w:txbxContent>
                      </wps:txbx>
                      <wps:bodyPr lIns="0" tIns="0" rIns="0" bIns="0">
                        <a:noAutofit/>
                      </wps:bodyPr>
                    </wps:wsp>
                  </a:graphicData>
                </a:graphic>
                <wp14:sizeRelV relativeFrom="margin">
                  <wp14:pctHeight>0</wp14:pctHeight>
                </wp14:sizeRelV>
              </wp:anchor>
            </w:drawing>
          </mc:Choice>
          <mc:Fallback>
            <w:pict>
              <v:rect w14:anchorId="5D703A68" id="_x0000_s1120" style="position:absolute;margin-left:10pt;margin-top:22.7pt;width:317.25pt;height:28.3pt;z-index:25149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" fillcolor="#009649" stroked="f">
                <v:textbox inset="0,0,0,0">
                  <w:txbxContent>
                    <w:p w14:paraId="1ECE70D7" w14:textId="77777777" w:rsidR="009D0C1D" w:rsidRPr="0079021A" w:rsidRDefault="009D0C1D" w:rsidP="00454445">
                      <w:pPr>
                        <w:spacing w:line="312" w:lineRule="auto"/>
                        <w:rPr>
                          <w:rFonts w:eastAsia="+mn-ea" w:cs="+mn-cs"/>
                          <w:b/>
                          <w:bCs/>
                          <w:i/>
                          <w:iCs/>
                          <w:color w:val="FFFFFF"/>
                          <w:kern w:val="24"/>
                          <w:sz w:val="20"/>
                          <w:szCs w:val="20"/>
                        </w:rPr>
                      </w:pPr>
                      <w:r>
                        <w:rPr>
                          <w:b/>
                          <w:color w:val="FFFFFF"/>
                          <w:sz w:val="20"/>
                        </w:rPr>
                        <w:t xml:space="preserve">Вставка 2.9. </w:t>
                      </w:r>
                      <w:r>
                        <w:rPr>
                          <w:b/>
                          <w:i/>
                          <w:color w:val="FFFFFF"/>
                          <w:sz w:val="20"/>
                        </w:rPr>
                        <w:t>Програмна заява ВООЗ щодо рішень в рамках цільового СНП для виявлення ЛС-ТБ, 2025 рік</w:t>
                      </w:r>
                    </w:p>
                  </w:txbxContent>
                </v:textbox>
              </v:rect>
            </w:pict>
          </mc:Fallback>
        </mc:AlternateContent>
      </w:r>
      <w:r w:rsidR="00454445">
        <w:rPr>
          <w:noProof/>
        </w:rPr>
        <w:drawing>
          <wp:inline distT="0" distB="0" distL="0" distR="0" wp14:anchorId="2B7F60A4" wp14:editId="76BD8276">
            <wp:extent cx="5782310" cy="9349740"/>
            <wp:effectExtent l="0" t="0" r="8890" b="3810"/>
            <wp:docPr id="78" name="Shape 78"/>
            <wp:cNvGraphicFramePr/>
            <a:graphic xmlns:a="http://schemas.openxmlformats.org/drawingml/2006/main">
              <a:graphicData uri="http://schemas.openxmlformats.org/drawingml/2006/picture">
                <pic:pic xmlns:pic="http://schemas.openxmlformats.org/drawingml/2006/picture">
                  <pic:nvPicPr>
                    <pic:cNvPr id="79" name="Picture box 79"/>
                    <pic:cNvPicPr/>
                  </pic:nvPicPr>
                  <pic:blipFill>
                    <a:blip r:embed="rId66" cstate="print">
                      <a:extLst>
                        <a:ext uri="{28A0092B-C50C-407E-A947-70E740481C1C}">
                          <a14:useLocalDpi xmlns:a14="http://schemas.microsoft.com/office/drawing/2010/main" val="0"/>
                        </a:ext>
                      </a:extLst>
                    </a:blip>
                    <a:stretch/>
                  </pic:blipFill>
                  <pic:spPr>
                    <a:xfrm>
                      <a:off x="0" y="0"/>
                      <a:ext cx="5782310" cy="9349740"/>
                    </a:xfrm>
                    <a:prstGeom prst="rect">
                      <a:avLst/>
                    </a:prstGeom>
                  </pic:spPr>
                </pic:pic>
              </a:graphicData>
            </a:graphic>
          </wp:inline>
        </w:drawing>
      </w:r>
    </w:p>
    <w:p w14:paraId="09763046"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93"/>
        <w:gridCol w:w="8113"/>
      </w:tblGrid>
      <w:tr w:rsidR="00366CB9" w14:paraId="6284BB20" w14:textId="77777777">
        <w:trPr>
          <w:trHeight w:hRule="exact" w:val="8304"/>
        </w:trPr>
        <w:tc>
          <w:tcPr>
            <w:tcW w:w="9106" w:type="dxa"/>
            <w:gridSpan w:val="2"/>
            <w:shd w:val="clear" w:color="auto" w:fill="FFFFFF"/>
          </w:tcPr>
          <w:p w14:paraId="16269DE9" w14:textId="7B096BA4" w:rsidR="00366CB9" w:rsidRDefault="00454445" w:rsidP="003323FC">
            <w:pPr>
              <w:rPr>
                <w:sz w:val="2"/>
                <w:szCs w:val="2"/>
              </w:rPr>
            </w:pPr>
            <w:r>
              <w:rPr>
                <w:noProof/>
              </w:rPr>
              <mc:AlternateContent>
                <mc:Choice Requires="wps">
                  <w:drawing>
                    <wp:anchor distT="0" distB="0" distL="114300" distR="114300" simplePos="0" relativeHeight="251501568" behindDoc="0" locked="0" layoutInCell="1" allowOverlap="1" wp14:anchorId="143D66D4" wp14:editId="43E21A3C">
                      <wp:simplePos x="0" y="0"/>
                      <wp:positionH relativeFrom="column">
                        <wp:posOffset>174152</wp:posOffset>
                      </wp:positionH>
                      <wp:positionV relativeFrom="paragraph">
                        <wp:posOffset>243840</wp:posOffset>
                      </wp:positionV>
                      <wp:extent cx="5266944" cy="4687824"/>
                      <wp:effectExtent l="0" t="0" r="0" b="0"/>
                      <wp:wrapNone/>
                      <wp:docPr id="144267711" name="Прямокутник 4"/>
                      <wp:cNvGraphicFramePr/>
                      <a:graphic xmlns:a="http://schemas.openxmlformats.org/drawingml/2006/main">
                        <a:graphicData uri="http://schemas.microsoft.com/office/word/2010/wordprocessingShape">
                          <wps:wsp>
                            <wps:cNvSpPr/>
                            <wps:spPr>
                              <a:xfrm>
                                <a:off x="0" y="0"/>
                                <a:ext cx="5266944" cy="4687824"/>
                              </a:xfrm>
                              <a:prstGeom prst="rect">
                                <a:avLst/>
                              </a:prstGeom>
                              <a:solidFill>
                                <a:srgbClr val="C6E0CE"/>
                              </a:solidFill>
                            </wps:spPr>
                            <wps:txbx>
                              <w:txbxContent>
                                <w:p w14:paraId="0F577F74" w14:textId="7B8D0F72" w:rsidR="009D0C1D" w:rsidRDefault="009D0C1D" w:rsidP="00454445">
                                  <w:pPr>
                                    <w:spacing w:after="56" w:line="312" w:lineRule="auto"/>
                                    <w:ind w:left="418" w:hanging="418"/>
                                    <w:rPr>
                                      <w:rFonts w:eastAsia="+mn-ea" w:cs="+mn-cs"/>
                                      <w:color w:val="019648"/>
                                      <w:kern w:val="24"/>
                                      <w:sz w:val="20"/>
                                      <w:szCs w:val="20"/>
                                    </w:rPr>
                                  </w:pPr>
                                  <w:r>
                                    <w:rPr>
                                      <w:rFonts w:ascii="Wingdings" w:hAnsi="Wingdings"/>
                                      <w:color w:val="019648"/>
                                    </w:rPr>
                                    <w:t></w:t>
                                  </w:r>
                                  <w:r>
                                    <w:tab/>
                                  </w:r>
                                  <w:r>
                                    <w:rPr>
                                      <w:sz w:val="20"/>
                                    </w:rPr>
                                    <w:t>Програмне забезпечення для аналізу комплексних рішень в рамках цСНП має бути оновлено на нові версії каталогу мутацій ВООЗ; ці оновлення з часом можуть покращити ефективність рішень для виявлення резистентності, але вони вимагатимуть оцінки.</w:t>
                                  </w:r>
                                </w:p>
                                <w:p w14:paraId="2AC14F79" w14:textId="77777777" w:rsidR="009D0C1D" w:rsidRPr="0079021A" w:rsidRDefault="009D0C1D" w:rsidP="00454445">
                                  <w:pPr>
                                    <w:spacing w:after="56" w:line="314" w:lineRule="auto"/>
                                    <w:jc w:val="both"/>
                                    <w:rPr>
                                      <w:rFonts w:eastAsia="+mn-ea" w:cs="+mn-cs"/>
                                      <w:b/>
                                      <w:bCs/>
                                      <w:kern w:val="24"/>
                                      <w:sz w:val="20"/>
                                      <w:szCs w:val="20"/>
                                    </w:rPr>
                                  </w:pPr>
                                  <w:r>
                                    <w:rPr>
                                      <w:b/>
                                      <w:sz w:val="20"/>
                                    </w:rPr>
                                    <w:t>Міркування щодо впровадження</w:t>
                                  </w:r>
                                </w:p>
                                <w:p w14:paraId="55128FA0" w14:textId="77777777" w:rsidR="009D0C1D" w:rsidRDefault="009D0C1D" w:rsidP="00454445">
                                  <w:pPr>
                                    <w:spacing w:after="56" w:line="314" w:lineRule="auto"/>
                                    <w:jc w:val="both"/>
                                    <w:rPr>
                                      <w:rFonts w:eastAsia="+mn-ea" w:cs="+mn-cs"/>
                                      <w:kern w:val="24"/>
                                      <w:sz w:val="20"/>
                                      <w:szCs w:val="20"/>
                                    </w:rPr>
                                  </w:pPr>
                                  <w:r>
                                    <w:rPr>
                                      <w:sz w:val="20"/>
                                    </w:rPr>
                                    <w:t xml:space="preserve">При впровадженні цільового СНП програми мають враховувати такі фактори, як тягар захворювання, роль СНП, витрати, кваліфікація персоналу та діагностична мережа. Крім міркувань щодо впровадження, що ГРК висловило у 2024 році при рекомендації цільового СНП </w:t>
                                  </w:r>
                                  <w:r>
                                    <w:rPr>
                                      <w:i/>
                                      <w:iCs/>
                                      <w:sz w:val="20"/>
                                    </w:rPr>
                                    <w:t>(5)</w:t>
                                  </w:r>
                                  <w:r>
                                    <w:rPr>
                                      <w:sz w:val="20"/>
                                    </w:rPr>
                                    <w:t>, ТКГ зазначила додаткові фактори під час зустрічі у січні 2025 року:</w:t>
                                  </w:r>
                                </w:p>
                                <w:p w14:paraId="441CCF95" w14:textId="00915EDA" w:rsidR="009D0C1D" w:rsidRDefault="009D0C1D" w:rsidP="00454445">
                                  <w:pPr>
                                    <w:spacing w:after="56" w:line="312" w:lineRule="auto"/>
                                    <w:ind w:left="418" w:hanging="418"/>
                                    <w:jc w:val="both"/>
                                    <w:rPr>
                                      <w:rFonts w:eastAsia="+mn-ea" w:cs="+mn-cs"/>
                                      <w:color w:val="019648"/>
                                      <w:kern w:val="24"/>
                                      <w:sz w:val="20"/>
                                      <w:szCs w:val="20"/>
                                    </w:rPr>
                                  </w:pPr>
                                  <w:r>
                                    <w:rPr>
                                      <w:rFonts w:ascii="Wingdings" w:hAnsi="Wingdings"/>
                                      <w:color w:val="019648"/>
                                    </w:rPr>
                                    <w:t></w:t>
                                  </w:r>
                                  <w:r>
                                    <w:tab/>
                                  </w:r>
                                  <w:r>
                                    <w:rPr>
                                      <w:sz w:val="20"/>
                                    </w:rPr>
                                    <w:t>Для безперервної роботи технологічного рішення, що підтримує аналіз та автоматизоване звітування, потрібен високошвидкісний інтернет.</w:t>
                                  </w:r>
                                </w:p>
                                <w:p w14:paraId="20545488" w14:textId="0F25FD73" w:rsidR="009D0C1D" w:rsidRDefault="009D0C1D" w:rsidP="00454445">
                                  <w:pPr>
                                    <w:spacing w:after="56" w:line="316" w:lineRule="auto"/>
                                    <w:ind w:left="418" w:hanging="418"/>
                                    <w:jc w:val="both"/>
                                    <w:rPr>
                                      <w:rFonts w:eastAsia="+mn-ea" w:cs="+mn-cs"/>
                                      <w:color w:val="019648"/>
                                      <w:kern w:val="24"/>
                                      <w:sz w:val="20"/>
                                      <w:szCs w:val="20"/>
                                    </w:rPr>
                                  </w:pPr>
                                  <w:r>
                                    <w:rPr>
                                      <w:rFonts w:ascii="Wingdings" w:hAnsi="Wingdings"/>
                                      <w:color w:val="019648"/>
                                    </w:rPr>
                                    <w:t></w:t>
                                  </w:r>
                                  <w:r>
                                    <w:tab/>
                                  </w:r>
                                  <w:r>
                                    <w:rPr>
                                      <w:sz w:val="20"/>
                                    </w:rPr>
                                    <w:t>СНП генерує великі обсяги даних, що вимагають планування та наявності відповідної обсягу пам’яті.</w:t>
                                  </w:r>
                                </w:p>
                                <w:p w14:paraId="5E3BB13B" w14:textId="70B9ABFD" w:rsidR="009D0C1D" w:rsidRDefault="009D0C1D" w:rsidP="00454445">
                                  <w:pPr>
                                    <w:spacing w:after="56" w:line="312" w:lineRule="auto"/>
                                    <w:ind w:left="418" w:hanging="418"/>
                                    <w:jc w:val="both"/>
                                    <w:rPr>
                                      <w:rFonts w:eastAsia="+mn-ea" w:cs="+mn-cs"/>
                                      <w:color w:val="019648"/>
                                      <w:kern w:val="24"/>
                                      <w:sz w:val="20"/>
                                      <w:szCs w:val="20"/>
                                    </w:rPr>
                                  </w:pPr>
                                  <w:r>
                                    <w:rPr>
                                      <w:rFonts w:ascii="Wingdings" w:hAnsi="Wingdings"/>
                                      <w:color w:val="019648"/>
                                    </w:rPr>
                                    <w:t></w:t>
                                  </w:r>
                                  <w:r>
                                    <w:tab/>
                                  </w:r>
                                  <w:r>
                                    <w:rPr>
                                      <w:sz w:val="20"/>
                                    </w:rPr>
                                    <w:t>У країнах необхідно включити тестування цільового СНП до програми ЗОЯ для секвенування, що охоплює всі відповідні цілі.</w:t>
                                  </w:r>
                                </w:p>
                                <w:p w14:paraId="330B1DBE" w14:textId="77777777" w:rsidR="009D0C1D" w:rsidRDefault="009D0C1D" w:rsidP="00454445">
                                  <w:pPr>
                                    <w:spacing w:after="56" w:line="316" w:lineRule="auto"/>
                                    <w:jc w:val="both"/>
                                    <w:rPr>
                                      <w:rFonts w:eastAsia="+mn-ea" w:cs="+mn-cs"/>
                                      <w:kern w:val="24"/>
                                      <w:sz w:val="20"/>
                                      <w:szCs w:val="20"/>
                                    </w:rPr>
                                  </w:pPr>
                                  <w:r>
                                    <w:rPr>
                                      <w:sz w:val="20"/>
                                    </w:rPr>
                                    <w:t xml:space="preserve">У керівництві також зазначається, що необхідні </w:t>
                                  </w:r>
                                  <w:r>
                                    <w:rPr>
                                      <w:b/>
                                      <w:bCs/>
                                      <w:sz w:val="20"/>
                                    </w:rPr>
                                    <w:t>подальші дослідження</w:t>
                                  </w:r>
                                  <w:r>
                                    <w:rPr>
                                      <w:sz w:val="20"/>
                                    </w:rPr>
                                    <w:t xml:space="preserve"> для усунення прогалин у знаннях щодо цільового СНП.</w:t>
                                  </w:r>
                                </w:p>
                                <w:p w14:paraId="4C80DEC9" w14:textId="77777777" w:rsidR="009D0C1D" w:rsidRPr="0079021A" w:rsidRDefault="009D0C1D" w:rsidP="00454445">
                                  <w:pPr>
                                    <w:spacing w:line="314" w:lineRule="auto"/>
                                    <w:jc w:val="both"/>
                                    <w:rPr>
                                      <w:rFonts w:eastAsia="+mn-ea" w:cs="+mn-cs"/>
                                      <w:b/>
                                      <w:bCs/>
                                      <w:kern w:val="24"/>
                                      <w:sz w:val="20"/>
                                      <w:szCs w:val="20"/>
                                    </w:rPr>
                                  </w:pPr>
                                  <w:r>
                                    <w:rPr>
                                      <w:sz w:val="20"/>
                                    </w:rPr>
                                    <w:t xml:space="preserve">Якщо продукт ще не відповідає вимогам для конкретного лікарського засобу (тобто лікарський засіб наразі не вказаний у </w:t>
                                  </w:r>
                                  <w:r>
                                    <w:rPr>
                                      <w:b/>
                                      <w:bCs/>
                                      <w:sz w:val="20"/>
                                    </w:rPr>
                                    <w:t>Таблиці 2.8</w:t>
                                  </w:r>
                                  <w:r>
                                    <w:rPr>
                                      <w:sz w:val="20"/>
                                    </w:rPr>
                                    <w:t xml:space="preserve">), потребуються подальші вдосконалення продукту та перевірка доказів до використання результатів ТМЧ для конкретного лікарського засобу в клінічній практиці. Див. повний звіт про перевірку ТКГ у </w:t>
                                  </w:r>
                                  <w:hyperlink r:id="rId67" w:history="1">
                                    <w:r>
                                      <w:rPr>
                                        <w:rStyle w:val="af4"/>
                                        <w:b/>
                                        <w:color w:val="000000"/>
                                        <w:sz w:val="20"/>
                                        <w:u w:val="none"/>
                                      </w:rPr>
                                      <w:t>Вебдодатку D</w:t>
                                    </w:r>
                                  </w:hyperlink>
                                  <w:r>
                                    <w:rPr>
                                      <w:b/>
                                      <w:sz w:val="20"/>
                                    </w:rPr>
                                    <w:t>.</w:t>
                                  </w:r>
                                </w:p>
                              </w:txbxContent>
                            </wps:txbx>
                            <wps:bodyPr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43D66D4" id="_x0000_s1121" style="position:absolute;margin-left:13.7pt;margin-top:19.2pt;width:414.7pt;height:369.1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" fillcolor="#c6e0ce" stroked="f">
                      <v:textbox inset="0,0,0,0">
                        <w:txbxContent>
                          <w:p w14:paraId="0F577F74" w14:textId="7B8D0F72" w:rsidR="009D0C1D" w:rsidRDefault="009D0C1D" w:rsidP="00454445">
                            <w:pPr>
                              <w:spacing w:after="56" w:line="312" w:lineRule="auto"/>
                              <w:ind w:left="418" w:hanging="418"/>
                              <w:rPr>
                                <w:rFonts w:eastAsia="+mn-ea" w:cs="+mn-cs"/>
                                <w:color w:val="019648"/>
                                <w:kern w:val="24"/>
                                <w:sz w:val="20"/>
                                <w:szCs w:val="20"/>
                              </w:rPr>
                            </w:pPr>
                            <w:r>
                              <w:rPr>
                                <w:rFonts w:ascii="Wingdings" w:hAnsi="Wingdings"/>
                                <w:color w:val="019648"/>
                              </w:rPr>
                              <w:t></w:t>
                            </w:r>
                            <w:r>
                              <w:tab/>
                            </w:r>
                            <w:r>
                              <w:rPr>
                                <w:sz w:val="20"/>
                              </w:rPr>
                              <w:t>Програмне забезпечення для аналізу комплексних рішень в рамках цСНП має бути оновлено на нові версії каталогу мутацій ВООЗ; ці оновлення з часом можуть покращити ефективність рішень для виявлення резистентності, але вони вимагатимуть оцінки.</w:t>
                            </w:r>
                          </w:p>
                          <w:p w14:paraId="2AC14F79" w14:textId="77777777" w:rsidR="009D0C1D" w:rsidRPr="0079021A" w:rsidRDefault="009D0C1D" w:rsidP="00454445">
                            <w:pPr>
                              <w:spacing w:after="56" w:line="314" w:lineRule="auto"/>
                              <w:jc w:val="both"/>
                              <w:rPr>
                                <w:rFonts w:eastAsia="+mn-ea" w:cs="+mn-cs"/>
                                <w:b/>
                                <w:bCs/>
                                <w:kern w:val="24"/>
                                <w:sz w:val="20"/>
                                <w:szCs w:val="20"/>
                              </w:rPr>
                            </w:pPr>
                            <w:r>
                              <w:rPr>
                                <w:b/>
                                <w:sz w:val="20"/>
                              </w:rPr>
                              <w:t>Міркування щодо впровадження</w:t>
                            </w:r>
                          </w:p>
                          <w:p w14:paraId="55128FA0" w14:textId="77777777" w:rsidR="009D0C1D" w:rsidRDefault="009D0C1D" w:rsidP="00454445">
                            <w:pPr>
                              <w:spacing w:after="56" w:line="314" w:lineRule="auto"/>
                              <w:jc w:val="both"/>
                              <w:rPr>
                                <w:rFonts w:eastAsia="+mn-ea" w:cs="+mn-cs"/>
                                <w:kern w:val="24"/>
                                <w:sz w:val="20"/>
                                <w:szCs w:val="20"/>
                              </w:rPr>
                            </w:pPr>
                            <w:r>
                              <w:rPr>
                                <w:sz w:val="20"/>
                              </w:rPr>
                              <w:t xml:space="preserve">При впровадженні цільового СНП програми мають враховувати такі фактори, як тягар захворювання, роль СНП, витрати, кваліфікація персоналу та діагностична мережа. Крім міркувань щодо впровадження, що ГРК висловило у 2024 році при рекомендації цільового СНП </w:t>
                            </w:r>
                            <w:r>
                              <w:rPr>
                                <w:i/>
                                <w:iCs/>
                                <w:sz w:val="20"/>
                              </w:rPr>
                              <w:t>(5)</w:t>
                            </w:r>
                            <w:r>
                              <w:rPr>
                                <w:sz w:val="20"/>
                              </w:rPr>
                              <w:t>, ТКГ зазначила додаткові фактори під час зустрічі у січні 2025 року:</w:t>
                            </w:r>
                          </w:p>
                          <w:p w14:paraId="441CCF95" w14:textId="00915EDA" w:rsidR="009D0C1D" w:rsidRDefault="009D0C1D" w:rsidP="00454445">
                            <w:pPr>
                              <w:spacing w:after="56" w:line="312" w:lineRule="auto"/>
                              <w:ind w:left="418" w:hanging="418"/>
                              <w:jc w:val="both"/>
                              <w:rPr>
                                <w:rFonts w:eastAsia="+mn-ea" w:cs="+mn-cs"/>
                                <w:color w:val="019648"/>
                                <w:kern w:val="24"/>
                                <w:sz w:val="20"/>
                                <w:szCs w:val="20"/>
                              </w:rPr>
                            </w:pPr>
                            <w:r>
                              <w:rPr>
                                <w:rFonts w:ascii="Wingdings" w:hAnsi="Wingdings"/>
                                <w:color w:val="019648"/>
                              </w:rPr>
                              <w:t></w:t>
                            </w:r>
                            <w:r>
                              <w:tab/>
                            </w:r>
                            <w:r>
                              <w:rPr>
                                <w:sz w:val="20"/>
                              </w:rPr>
                              <w:t>Для безперервної роботи технологічного рішення, що підтримує аналіз та автоматизоване звітування, потрібен високошвидкісний інтернет.</w:t>
                            </w:r>
                          </w:p>
                          <w:p w14:paraId="20545488" w14:textId="0F25FD73" w:rsidR="009D0C1D" w:rsidRDefault="009D0C1D" w:rsidP="00454445">
                            <w:pPr>
                              <w:spacing w:after="56" w:line="316" w:lineRule="auto"/>
                              <w:ind w:left="418" w:hanging="418"/>
                              <w:jc w:val="both"/>
                              <w:rPr>
                                <w:rFonts w:eastAsia="+mn-ea" w:cs="+mn-cs"/>
                                <w:color w:val="019648"/>
                                <w:kern w:val="24"/>
                                <w:sz w:val="20"/>
                                <w:szCs w:val="20"/>
                              </w:rPr>
                            </w:pPr>
                            <w:r>
                              <w:rPr>
                                <w:rFonts w:ascii="Wingdings" w:hAnsi="Wingdings"/>
                                <w:color w:val="019648"/>
                              </w:rPr>
                              <w:t></w:t>
                            </w:r>
                            <w:r>
                              <w:tab/>
                            </w:r>
                            <w:r>
                              <w:rPr>
                                <w:sz w:val="20"/>
                              </w:rPr>
                              <w:t>СНП генерує великі обсяги даних, що вимагають планування та наявності відповідної обсягу пам’яті.</w:t>
                            </w:r>
                          </w:p>
                          <w:p w14:paraId="5E3BB13B" w14:textId="70B9ABFD" w:rsidR="009D0C1D" w:rsidRDefault="009D0C1D" w:rsidP="00454445">
                            <w:pPr>
                              <w:spacing w:after="56" w:line="312" w:lineRule="auto"/>
                              <w:ind w:left="418" w:hanging="418"/>
                              <w:jc w:val="both"/>
                              <w:rPr>
                                <w:rFonts w:eastAsia="+mn-ea" w:cs="+mn-cs"/>
                                <w:color w:val="019648"/>
                                <w:kern w:val="24"/>
                                <w:sz w:val="20"/>
                                <w:szCs w:val="20"/>
                              </w:rPr>
                            </w:pPr>
                            <w:r>
                              <w:rPr>
                                <w:rFonts w:ascii="Wingdings" w:hAnsi="Wingdings"/>
                                <w:color w:val="019648"/>
                              </w:rPr>
                              <w:t></w:t>
                            </w:r>
                            <w:r>
                              <w:tab/>
                            </w:r>
                            <w:r>
                              <w:rPr>
                                <w:sz w:val="20"/>
                              </w:rPr>
                              <w:t>У країнах необхідно включити тестування цільового СНП до програми ЗОЯ для секвенування, що охоплює всі відповідні цілі.</w:t>
                            </w:r>
                          </w:p>
                          <w:p w14:paraId="330B1DBE" w14:textId="77777777" w:rsidR="009D0C1D" w:rsidRDefault="009D0C1D" w:rsidP="00454445">
                            <w:pPr>
                              <w:spacing w:after="56" w:line="316" w:lineRule="auto"/>
                              <w:jc w:val="both"/>
                              <w:rPr>
                                <w:rFonts w:eastAsia="+mn-ea" w:cs="+mn-cs"/>
                                <w:kern w:val="24"/>
                                <w:sz w:val="20"/>
                                <w:szCs w:val="20"/>
                              </w:rPr>
                            </w:pPr>
                            <w:r>
                              <w:rPr>
                                <w:sz w:val="20"/>
                              </w:rPr>
                              <w:t xml:space="preserve">У керівництві також зазначається, що необхідні </w:t>
                            </w:r>
                            <w:r>
                              <w:rPr>
                                <w:b/>
                                <w:bCs/>
                                <w:sz w:val="20"/>
                              </w:rPr>
                              <w:t>подальші дослідження</w:t>
                            </w:r>
                            <w:r>
                              <w:rPr>
                                <w:sz w:val="20"/>
                              </w:rPr>
                              <w:t xml:space="preserve"> для усунення прогалин у знаннях щодо цільового СНП.</w:t>
                            </w:r>
                          </w:p>
                          <w:p w14:paraId="4C80DEC9" w14:textId="77777777" w:rsidR="009D0C1D" w:rsidRPr="0079021A" w:rsidRDefault="009D0C1D" w:rsidP="00454445">
                            <w:pPr>
                              <w:spacing w:line="314" w:lineRule="auto"/>
                              <w:jc w:val="both"/>
                              <w:rPr>
                                <w:rFonts w:eastAsia="+mn-ea" w:cs="+mn-cs"/>
                                <w:b/>
                                <w:bCs/>
                                <w:kern w:val="24"/>
                                <w:sz w:val="20"/>
                                <w:szCs w:val="20"/>
                              </w:rPr>
                            </w:pPr>
                            <w:r>
                              <w:rPr>
                                <w:sz w:val="20"/>
                              </w:rPr>
                              <w:t xml:space="preserve">Якщо продукт ще не відповідає вимогам для конкретного лікарського засобу (тобто лікарський засіб наразі не вказаний у </w:t>
                            </w:r>
                            <w:r>
                              <w:rPr>
                                <w:b/>
                                <w:bCs/>
                                <w:sz w:val="20"/>
                              </w:rPr>
                              <w:t>Таблиці 2.8</w:t>
                            </w:r>
                            <w:r>
                              <w:rPr>
                                <w:sz w:val="20"/>
                              </w:rPr>
                              <w:t xml:space="preserve">), потребуються подальші вдосконалення продукту та перевірка доказів до використання результатів ТМЧ для конкретного лікарського засобу в клінічній практиці. Див. повний звіт про перевірку ТКГ у </w:t>
                            </w:r>
                            <w:hyperlink r:id="rId68" w:history="1">
                              <w:r>
                                <w:rPr>
                                  <w:rStyle w:val="af4"/>
                                  <w:b/>
                                  <w:color w:val="000000"/>
                                  <w:sz w:val="20"/>
                                  <w:u w:val="none"/>
                                </w:rPr>
                                <w:t>Вебдодатку D</w:t>
                              </w:r>
                            </w:hyperlink>
                            <w:r>
                              <w:rPr>
                                <w:b/>
                                <w:sz w:val="20"/>
                              </w:rPr>
                              <w:t>.</w:t>
                            </w:r>
                          </w:p>
                        </w:txbxContent>
                      </v:textbox>
                    </v:rect>
                  </w:pict>
                </mc:Fallback>
              </mc:AlternateContent>
            </w:r>
            <w:r>
              <w:rPr>
                <w:noProof/>
              </w:rPr>
              <w:drawing>
                <wp:inline distT="0" distB="0" distL="0" distR="0" wp14:anchorId="5610BBB0" wp14:editId="5AFD45C6">
                  <wp:extent cx="5782310" cy="527304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69"/>
                          <a:stretch/>
                        </pic:blipFill>
                        <pic:spPr>
                          <a:xfrm>
                            <a:off x="0" y="0"/>
                            <a:ext cx="5782310" cy="5273040"/>
                          </a:xfrm>
                          <a:prstGeom prst="rect">
                            <a:avLst/>
                          </a:prstGeom>
                        </pic:spPr>
                      </pic:pic>
                    </a:graphicData>
                  </a:graphic>
                </wp:inline>
              </w:drawing>
            </w:r>
          </w:p>
        </w:tc>
      </w:tr>
      <w:tr w:rsidR="00366CB9" w14:paraId="08795D59" w14:textId="77777777" w:rsidTr="00E4138A">
        <w:trPr>
          <w:trHeight w:hRule="exact" w:val="600"/>
        </w:trPr>
        <w:tc>
          <w:tcPr>
            <w:tcW w:w="993" w:type="dxa"/>
            <w:shd w:val="clear" w:color="auto" w:fill="FFFFFF"/>
          </w:tcPr>
          <w:p w14:paraId="190B9F68" w14:textId="3672BC54" w:rsidR="00366CB9" w:rsidRDefault="00FD1486" w:rsidP="003323FC">
            <w:pPr>
              <w:rPr>
                <w:sz w:val="2"/>
                <w:szCs w:val="2"/>
              </w:rPr>
            </w:pPr>
            <w:r>
              <w:rPr>
                <w:noProof/>
              </w:rPr>
              <mc:AlternateContent>
                <mc:Choice Requires="wpg">
                  <w:drawing>
                    <wp:inline distT="0" distB="0" distL="0" distR="0" wp14:anchorId="6AAFB77B" wp14:editId="4F166AC3">
                      <wp:extent cx="632460" cy="338667"/>
                      <wp:effectExtent l="0" t="0" r="0" b="0"/>
                      <wp:docPr id="83779216" name="Групувати 12"/>
                      <wp:cNvGraphicFramePr/>
                      <a:graphic xmlns:a="http://schemas.openxmlformats.org/drawingml/2006/main">
                        <a:graphicData uri="http://schemas.microsoft.com/office/word/2010/wordprocessingGroup">
                          <wpg:wgp>
                            <wpg:cNvGrpSpPr/>
                            <wpg:grpSpPr>
                              <a:xfrm>
                                <a:off x="0" y="0"/>
                                <a:ext cx="632460" cy="338667"/>
                                <a:chOff x="0" y="0"/>
                                <a:chExt cx="515620" cy="338667"/>
                              </a:xfrm>
                            </wpg:grpSpPr>
                            <wps:wsp>
                              <wps:cNvPr id="1537391643" name="object 6"/>
                              <wps:cNvSpPr/>
                              <wps:spPr>
                                <a:xfrm>
                                  <a:off x="0" y="0"/>
                                  <a:ext cx="515620" cy="245745"/>
                                </a:xfrm>
                                <a:custGeom>
                                  <a:avLst/>
                                  <a:gdLst/>
                                  <a:ahLst/>
                                  <a:cxnLst/>
                                  <a:rect l="l" t="t" r="r" b="b"/>
                                  <a:pathLst>
                                    <a:path w="515620" h="245744">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wps:wsp>
                            <wps:wsp>
                              <wps:cNvPr id="928813012" name="object 7"/>
                              <wps:cNvSpPr txBox="1"/>
                              <wps:spPr>
                                <a:xfrm>
                                  <a:off x="94798" y="33867"/>
                                  <a:ext cx="323215" cy="304800"/>
                                </a:xfrm>
                                <a:prstGeom prst="rect">
                                  <a:avLst/>
                                </a:prstGeom>
                              </wps:spPr>
                              <wps:txbx>
                                <w:txbxContent>
                                  <w:p w14:paraId="0F4B1966" w14:textId="77777777" w:rsidR="009D0C1D" w:rsidRPr="0061381C" w:rsidRDefault="009D0C1D" w:rsidP="00FD1486">
                                    <w:pPr>
                                      <w:ind w:left="14"/>
                                      <w:rPr>
                                        <w:color w:val="FFFFFF"/>
                                        <w:spacing w:val="-5"/>
                                        <w:sz w:val="20"/>
                                        <w:szCs w:val="20"/>
                                      </w:rPr>
                                    </w:pPr>
                                    <w:r>
                                      <w:rPr>
                                        <w:color w:val="FFFFFF"/>
                                        <w:sz w:val="20"/>
                                      </w:rPr>
                                      <w:t>НОВЕ</w:t>
                                    </w:r>
                                  </w:p>
                                </w:txbxContent>
                              </wps:txbx>
                              <wps:bodyPr vert="horz" wrap="square" lIns="0" tIns="12700" rIns="0" bIns="0" rtlCol="0">
                                <a:noAutofit/>
                              </wps:bodyPr>
                            </wps:wsp>
                          </wpg:wgp>
                        </a:graphicData>
                      </a:graphic>
                    </wp:inline>
                  </w:drawing>
                </mc:Choice>
                <mc:Fallback>
                  <w:pict>
                    <v:group w14:anchorId="6AAFB77B" id="_x0000_s1122" style="width:49.8pt;height:26.65pt;mso-position-horizontal-relative:char;mso-position-vertical-relative:line" coordsize="515620,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">
                      <v:shape id="object 6" o:spid="_x0000_s1123" style="position:absolute;width:515620;height:245745;visibility:visible;mso-wrap-style:square;v-text-anchor:top" coordsize="515620,24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" path="m515543,l,,,122796r9650,47797l35966,209626r39032,26316l122796,245592r269951,l440545,235942r39032,-26316l505893,170593r9650,-47797l515543,xe" fillcolor="#0c8140" stroked="f">
                        <v:path arrowok="t"/>
                      </v:shape>
                      <v:shape id="object 7" o:spid="_x0000_s1124" type="#_x0000_t202" style="position:absolute;left:94798;top:33867;width:323215;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" filled="f" stroked="f">
                        <v:textbox inset="0,1pt,0,0">
                          <w:txbxContent>
                            <w:p w14:paraId="0F4B1966" w14:textId="77777777" w:rsidR="009D0C1D" w:rsidRPr="0061381C" w:rsidRDefault="009D0C1D" w:rsidP="00FD1486">
                              <w:pPr>
                                <w:ind w:left="14"/>
                                <w:rPr>
                                  <w:color w:val="FFFFFF"/>
                                  <w:spacing w:val="-5"/>
                                  <w:sz w:val="20"/>
                                  <w:szCs w:val="20"/>
                                </w:rPr>
                              </w:pPr>
                              <w:r>
                                <w:rPr>
                                  <w:color w:val="FFFFFF"/>
                                  <w:sz w:val="20"/>
                                </w:rPr>
                                <w:t>НОВЕ</w:t>
                              </w:r>
                            </w:p>
                          </w:txbxContent>
                        </v:textbox>
                      </v:shape>
                      <w10:anchorlock/>
                    </v:group>
                  </w:pict>
                </mc:Fallback>
              </mc:AlternateContent>
            </w:r>
          </w:p>
        </w:tc>
        <w:tc>
          <w:tcPr>
            <w:tcW w:w="8113" w:type="dxa"/>
            <w:shd w:val="clear" w:color="auto" w:fill="FFFFFF"/>
            <w:vAlign w:val="bottom"/>
          </w:tcPr>
          <w:p w14:paraId="6DEF1805" w14:textId="1940828D" w:rsidR="00366CB9" w:rsidRPr="00E80D3A" w:rsidRDefault="009D0C1D" w:rsidP="003323FC">
            <w:pPr>
              <w:pStyle w:val="a6"/>
              <w:shd w:val="clear" w:color="auto" w:fill="auto"/>
              <w:spacing w:line="326" w:lineRule="auto"/>
              <w:rPr>
                <w:sz w:val="18"/>
                <w:szCs w:val="24"/>
              </w:rPr>
            </w:pPr>
            <w:r w:rsidRPr="00E80D3A">
              <w:rPr>
                <w:b w:val="0"/>
                <w:color w:val="000000"/>
                <w:sz w:val="18"/>
                <w:szCs w:val="24"/>
              </w:rPr>
              <w:t>У звіті ТКГ описані плани оновлення ефективності діагностичного класу в рамках цільового СНП після покращення ефективності окремого продукту з часом.</w:t>
            </w:r>
          </w:p>
        </w:tc>
      </w:tr>
    </w:tbl>
    <w:p w14:paraId="32FED79B" w14:textId="11DA33FF" w:rsidR="00366CB9" w:rsidRPr="00E80D3A" w:rsidRDefault="009D0C1D" w:rsidP="003323FC">
      <w:pPr>
        <w:pStyle w:val="1"/>
        <w:shd w:val="clear" w:color="auto" w:fill="auto"/>
        <w:spacing w:before="240" w:line="324" w:lineRule="auto"/>
        <w:jc w:val="both"/>
        <w:rPr>
          <w:sz w:val="18"/>
          <w:szCs w:val="18"/>
        </w:rPr>
      </w:pPr>
      <w:r w:rsidRPr="00E80D3A">
        <w:rPr>
          <w:sz w:val="18"/>
          <w:szCs w:val="18"/>
        </w:rPr>
        <w:t>ВООЗ надає дві рекомендації щодо застосування цільового СНП (</w:t>
      </w:r>
      <w:hyperlink w:anchor="bookmark52" w:tooltip="Поточний документ">
        <w:r w:rsidR="00366CB9" w:rsidRPr="00E80D3A">
          <w:rPr>
            <w:b/>
            <w:sz w:val="18"/>
            <w:szCs w:val="18"/>
          </w:rPr>
          <w:t>Вставка 2.1</w:t>
        </w:r>
        <w:r w:rsidR="00366CB9" w:rsidRPr="00E80D3A">
          <w:rPr>
            <w:sz w:val="18"/>
            <w:szCs w:val="18"/>
          </w:rPr>
          <w:t>0</w:t>
        </w:r>
      </w:hyperlink>
      <w:r w:rsidRPr="00E80D3A">
        <w:rPr>
          <w:sz w:val="18"/>
          <w:szCs w:val="18"/>
        </w:rPr>
        <w:t>). У осіб з бактеріологічно підтвердженим ТБ легень результати тестування цільового СНП (</w:t>
      </w:r>
      <w:hyperlink w:anchor="bookmark80" w:tooltip="Поточний документ">
        <w:r w:rsidR="00366CB9" w:rsidRPr="00E80D3A">
          <w:rPr>
            <w:b/>
            <w:sz w:val="18"/>
            <w:szCs w:val="18"/>
          </w:rPr>
          <w:t>Таблиця 3.3</w:t>
        </w:r>
      </w:hyperlink>
      <w:r w:rsidRPr="00E80D3A">
        <w:rPr>
          <w:sz w:val="18"/>
          <w:szCs w:val="18"/>
        </w:rPr>
        <w:t xml:space="preserve">, </w:t>
      </w:r>
      <w:hyperlink w:anchor="bookmark81" w:tooltip="Поточний документ">
        <w:r w:rsidR="00366CB9" w:rsidRPr="00E80D3A">
          <w:rPr>
            <w:b/>
            <w:sz w:val="18"/>
            <w:szCs w:val="18"/>
          </w:rPr>
          <w:t>Таблиця 3.4</w:t>
        </w:r>
      </w:hyperlink>
      <w:r w:rsidRPr="00E80D3A">
        <w:rPr>
          <w:sz w:val="18"/>
          <w:szCs w:val="18"/>
        </w:rPr>
        <w:t xml:space="preserve"> та </w:t>
      </w:r>
      <w:hyperlink w:anchor="bookmark82" w:tooltip="Поточний документ">
        <w:r w:rsidR="00366CB9" w:rsidRPr="00E80D3A">
          <w:rPr>
            <w:b/>
            <w:sz w:val="18"/>
            <w:szCs w:val="18"/>
          </w:rPr>
          <w:t>Таблиця 3.5</w:t>
        </w:r>
      </w:hyperlink>
      <w:r w:rsidRPr="00E80D3A">
        <w:rPr>
          <w:sz w:val="18"/>
          <w:szCs w:val="18"/>
        </w:rPr>
        <w:t xml:space="preserve"> у </w:t>
      </w:r>
      <w:hyperlink w:anchor="bookmark71" w:tooltip="Поточний документ">
        <w:r w:rsidR="00366CB9" w:rsidRPr="00E80D3A">
          <w:rPr>
            <w:b/>
            <w:sz w:val="18"/>
            <w:szCs w:val="18"/>
          </w:rPr>
          <w:t>розділі 3</w:t>
        </w:r>
      </w:hyperlink>
      <w:r w:rsidRPr="00E80D3A">
        <w:rPr>
          <w:sz w:val="18"/>
          <w:szCs w:val="18"/>
        </w:rPr>
        <w:t>) були точними для всіх лікарських засобів, включених до оцінки, із об’єднаним показником чутливості принаймні 95 % для INH, MFX та EMB; понад 93 % для RIF та LFX; та 88 % для PZA.</w:t>
      </w:r>
      <w:r w:rsidRPr="00E80D3A">
        <w:rPr>
          <w:sz w:val="18"/>
          <w:szCs w:val="18"/>
          <w:vertAlign w:val="superscript"/>
        </w:rPr>
        <w:t>4</w:t>
      </w:r>
      <w:r w:rsidRPr="00E80D3A">
        <w:rPr>
          <w:sz w:val="18"/>
          <w:szCs w:val="18"/>
        </w:rPr>
        <w:t xml:space="preserve"> Об’єднаний показник специфічності становив принаймні 96 % для всіх лікарських засобів. Стандартом було фенотипове ТМЧ для INH, LFX та MFX, а також комбінація фенотипового ТМЧ та повногеномного секвенування (ПГС) для RIF, PZA та EMB. Рівень невизначеності коливалася від 7 % (AMK) до 18 % (PZA), але був найвищим у зразках з низьким або дуже низьким бацилярним навантаженням, що може впливати впровадження; тому пріоритет слід віддавати зразкам з вищим бацилярним навантаженням. Загальна достовірність доказів коливалась від низької до середньої для точності тесту. </w:t>
      </w:r>
    </w:p>
    <w:p w14:paraId="007F7754" w14:textId="185CEF77" w:rsidR="00E4138A" w:rsidRPr="0014192D" w:rsidRDefault="00E4138A" w:rsidP="00E4138A">
      <w:pPr>
        <w:pStyle w:val="ad"/>
        <w:framePr w:w="9163" w:h="1141" w:hRule="exact" w:wrap="none" w:vAnchor="page" w:hAnchor="page" w:x="1321" w:y="14677"/>
        <w:shd w:val="clear" w:color="auto" w:fill="auto"/>
        <w:spacing w:line="305" w:lineRule="auto"/>
        <w:jc w:val="both"/>
        <w:rPr>
          <w:vertAlign w:val="superscript"/>
          <w:lang w:val="ru-RU"/>
        </w:rPr>
      </w:pPr>
      <w:r w:rsidRPr="0014192D">
        <w:rPr>
          <w:vertAlign w:val="superscript"/>
          <w:lang w:val="ru-RU"/>
        </w:rPr>
        <w:t>_______________________________________</w:t>
      </w:r>
    </w:p>
    <w:p w14:paraId="75A21897" w14:textId="2AB1C280" w:rsidR="00366CB9" w:rsidRDefault="009D0C1D" w:rsidP="00E4138A">
      <w:pPr>
        <w:pStyle w:val="ad"/>
        <w:framePr w:w="9163" w:h="1141" w:hRule="exact" w:wrap="none" w:vAnchor="page" w:hAnchor="page" w:x="1321" w:y="14677"/>
        <w:shd w:val="clear" w:color="auto" w:fill="auto"/>
        <w:spacing w:line="305" w:lineRule="auto"/>
        <w:jc w:val="both"/>
      </w:pPr>
      <w:r>
        <w:rPr>
          <w:vertAlign w:val="superscript"/>
        </w:rPr>
        <w:t>4</w:t>
      </w:r>
      <w:r w:rsidR="00E4138A">
        <w:tab/>
      </w:r>
      <w:r>
        <w:t xml:space="preserve">Об’єднану чутливість та специфічність щодо цільового СНП розраховували на основі «перших за класом» тестів після отримання рекомендації щодо класу; значення можна оновити у майбутньому у разі покращення ефективності. Див. міркування щодо оновлення значень ефективності для класу рішень в межах цільового СНП у звіті про зустріч ТКГ у </w:t>
      </w:r>
      <w:r>
        <w:rPr>
          <w:b/>
          <w:bCs/>
        </w:rPr>
        <w:t>Вебдодатку D</w:t>
      </w:r>
      <w:r>
        <w:t>.</w:t>
      </w:r>
    </w:p>
    <w:p w14:paraId="66965D67"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318A1EB2" w14:textId="77777777" w:rsidR="00366CB9" w:rsidRDefault="00366CB9" w:rsidP="00425523">
      <w:pPr>
        <w:spacing w:line="1" w:lineRule="exact"/>
      </w:pPr>
    </w:p>
    <w:tbl>
      <w:tblPr>
        <w:tblOverlap w:val="never"/>
        <w:tblW w:w="9214" w:type="dxa"/>
        <w:tblLayout w:type="fixed"/>
        <w:tblCellMar>
          <w:left w:w="10" w:type="dxa"/>
          <w:right w:w="10" w:type="dxa"/>
        </w:tblCellMar>
        <w:tblLook w:val="0000" w:firstRow="0" w:lastRow="0" w:firstColumn="0" w:lastColumn="0" w:noHBand="0" w:noVBand="0"/>
      </w:tblPr>
      <w:tblGrid>
        <w:gridCol w:w="9214"/>
      </w:tblGrid>
      <w:tr w:rsidR="00366CB9" w14:paraId="159E468C" w14:textId="77777777" w:rsidTr="00E80D3A">
        <w:trPr>
          <w:trHeight w:hRule="exact" w:val="2324"/>
        </w:trPr>
        <w:tc>
          <w:tcPr>
            <w:tcW w:w="9214" w:type="dxa"/>
            <w:shd w:val="clear" w:color="auto" w:fill="FFFFFF"/>
          </w:tcPr>
          <w:p w14:paraId="1AC86A2F" w14:textId="77777777" w:rsidR="00366CB9" w:rsidRDefault="009D0C1D" w:rsidP="003323FC">
            <w:pPr>
              <w:pStyle w:val="a6"/>
              <w:shd w:val="clear" w:color="auto" w:fill="auto"/>
              <w:spacing w:line="324" w:lineRule="auto"/>
              <w:jc w:val="both"/>
              <w:rPr>
                <w:sz w:val="20"/>
                <w:szCs w:val="20"/>
              </w:rPr>
            </w:pPr>
            <w:bookmarkStart w:id="55" w:name="bookmark52"/>
            <w:r w:rsidRPr="00E80D3A">
              <w:rPr>
                <w:b w:val="0"/>
                <w:color w:val="000000"/>
                <w:sz w:val="18"/>
                <w:szCs w:val="24"/>
              </w:rPr>
              <w:t>У осіб з бактеріологічно підтвердженим рифампіцин-резистентним ТБ легень результати тестів цільового СНП (</w:t>
            </w:r>
            <w:hyperlink w:anchor="bookmark83" w:tooltip="Поточний документ">
              <w:r w:rsidR="00366CB9" w:rsidRPr="00E80D3A">
                <w:rPr>
                  <w:color w:val="000000"/>
                  <w:sz w:val="18"/>
                  <w:szCs w:val="24"/>
                </w:rPr>
                <w:t>Таблиця 3.6</w:t>
              </w:r>
            </w:hyperlink>
            <w:r w:rsidRPr="00E80D3A">
              <w:rPr>
                <w:b w:val="0"/>
                <w:color w:val="000000"/>
                <w:sz w:val="18"/>
                <w:szCs w:val="24"/>
              </w:rPr>
              <w:t xml:space="preserve"> у </w:t>
            </w:r>
            <w:hyperlink w:anchor="bookmark71" w:tooltip="Поточний документ">
              <w:r w:rsidR="00366CB9" w:rsidRPr="00E80D3A">
                <w:rPr>
                  <w:color w:val="000000"/>
                  <w:sz w:val="18"/>
                  <w:szCs w:val="24"/>
                </w:rPr>
                <w:t>розділі 3</w:t>
              </w:r>
            </w:hyperlink>
            <w:r w:rsidRPr="00E80D3A">
              <w:rPr>
                <w:b w:val="0"/>
                <w:color w:val="000000"/>
                <w:sz w:val="18"/>
                <w:szCs w:val="24"/>
              </w:rPr>
              <w:t>) були точними для INH, LFX, MFX, STR та EMB (об’єднаний показник чутливості ≥ 95 %), а також прийнятними для BDQ (68 %), LZD (69 %), CFZ (70 %), AMK (87 %) та PZA (90 %). Специфічність становила принаймні 95 % для всіх лікарських засобів, крім STR (75 %). Стандартом було фенотипове ТМЧ для всіх лікарських засобів, крім EMB та PZA, при застосуванні комбінації фенотипового ТМЧ та ПГС. Рівень невизначеності коливався від 9 % (LFX та MFX) до 21 % (EMB) та залежав від бактеріального навантаження. Для точності тесту загальна достовірність доказів коливалась від низької до високої.</w:t>
            </w:r>
            <w:bookmarkEnd w:id="55"/>
          </w:p>
        </w:tc>
      </w:tr>
      <w:tr w:rsidR="00366CB9" w14:paraId="04F16BD6" w14:textId="77777777" w:rsidTr="00E4138A">
        <w:trPr>
          <w:trHeight w:hRule="exact" w:val="10658"/>
        </w:trPr>
        <w:tc>
          <w:tcPr>
            <w:tcW w:w="9214" w:type="dxa"/>
            <w:shd w:val="clear" w:color="auto" w:fill="FFFFFF"/>
          </w:tcPr>
          <w:p w14:paraId="7405288C" w14:textId="301012E2" w:rsidR="00366CB9" w:rsidRDefault="00E4138A" w:rsidP="003323FC">
            <w:pPr>
              <w:rPr>
                <w:sz w:val="2"/>
                <w:szCs w:val="2"/>
              </w:rPr>
            </w:pPr>
            <w:r>
              <w:rPr>
                <w:noProof/>
              </w:rPr>
              <mc:AlternateContent>
                <mc:Choice Requires="wps">
                  <w:drawing>
                    <wp:anchor distT="0" distB="0" distL="114300" distR="114300" simplePos="0" relativeHeight="251503616" behindDoc="0" locked="0" layoutInCell="1" allowOverlap="1" wp14:anchorId="7B41E13B" wp14:editId="7DB48609">
                      <wp:simplePos x="0" y="0"/>
                      <wp:positionH relativeFrom="column">
                        <wp:posOffset>334010</wp:posOffset>
                      </wp:positionH>
                      <wp:positionV relativeFrom="paragraph">
                        <wp:posOffset>651510</wp:posOffset>
                      </wp:positionV>
                      <wp:extent cx="5233035" cy="5996940"/>
                      <wp:effectExtent l="0" t="0" r="5715" b="3810"/>
                      <wp:wrapNone/>
                      <wp:docPr id="1356605297" name="Прямокутник 3"/>
                      <wp:cNvGraphicFramePr/>
                      <a:graphic xmlns:a="http://schemas.openxmlformats.org/drawingml/2006/main">
                        <a:graphicData uri="http://schemas.microsoft.com/office/word/2010/wordprocessingShape">
                          <wps:wsp>
                            <wps:cNvSpPr/>
                            <wps:spPr>
                              <a:xfrm>
                                <a:off x="0" y="0"/>
                                <a:ext cx="5233035" cy="5996940"/>
                              </a:xfrm>
                              <a:prstGeom prst="rect">
                                <a:avLst/>
                              </a:prstGeom>
                              <a:solidFill>
                                <a:srgbClr val="C6E0CE"/>
                              </a:solidFill>
                            </wps:spPr>
                            <wps:txbx>
                              <w:txbxContent>
                                <w:p w14:paraId="545403C0" w14:textId="77777777" w:rsidR="009D0C1D" w:rsidRDefault="009D0C1D" w:rsidP="00454445">
                                  <w:pPr>
                                    <w:spacing w:after="56" w:line="314" w:lineRule="auto"/>
                                    <w:jc w:val="both"/>
                                    <w:rPr>
                                      <w:rFonts w:eastAsia="+mn-ea" w:cs="+mn-cs"/>
                                      <w:kern w:val="24"/>
                                      <w:sz w:val="20"/>
                                      <w:szCs w:val="20"/>
                                    </w:rPr>
                                  </w:pPr>
                                  <w:r>
                                    <w:rPr>
                                      <w:sz w:val="20"/>
                                    </w:rPr>
                                    <w:t>Для осіб з бактеріологічно підтвердженим ТБ легень для діагностики резистентності до рифампіцину, ізоніазиду, фторхінолонів, піразинаміду та етамбутолу можуть застосовуватись технології цільового секвенування наступного покоління на зразках з дихальних шляхів, а не фенотипове культуральне тестування медикаментозної чутливості.</w:t>
                                  </w:r>
                                </w:p>
                                <w:p w14:paraId="3620C3ED" w14:textId="77777777" w:rsidR="009D0C1D" w:rsidRDefault="009D0C1D" w:rsidP="00454445">
                                  <w:pPr>
                                    <w:spacing w:after="56" w:line="312" w:lineRule="auto"/>
                                    <w:jc w:val="both"/>
                                    <w:rPr>
                                      <w:rFonts w:eastAsia="+mn-ea" w:cs="+mn-cs"/>
                                      <w:kern w:val="24"/>
                                      <w:sz w:val="20"/>
                                      <w:szCs w:val="20"/>
                                    </w:rPr>
                                  </w:pPr>
                                  <w:r>
                                    <w:rPr>
                                      <w:i/>
                                      <w:sz w:val="20"/>
                                    </w:rPr>
                                    <w:t>(Умовна рекомендація, середній [ізоніазид та піразинамід] та низький [рифампіцин, фторхінолони та етамбутол] рівень достовірності доказів)</w:t>
                                  </w:r>
                                </w:p>
                                <w:p w14:paraId="22093982" w14:textId="77777777" w:rsidR="009D0C1D" w:rsidRDefault="009D0C1D" w:rsidP="00454445">
                                  <w:pPr>
                                    <w:spacing w:after="56" w:line="314" w:lineRule="auto"/>
                                    <w:jc w:val="both"/>
                                    <w:rPr>
                                      <w:rFonts w:eastAsia="+mn-ea" w:cs="+mn-cs"/>
                                      <w:kern w:val="24"/>
                                      <w:sz w:val="20"/>
                                      <w:szCs w:val="20"/>
                                    </w:rPr>
                                  </w:pPr>
                                  <w:r>
                                    <w:rPr>
                                      <w:sz w:val="20"/>
                                    </w:rPr>
                                    <w:t>Примітки:</w:t>
                                  </w:r>
                                </w:p>
                                <w:p w14:paraId="56F004F8" w14:textId="09812AC2" w:rsidR="009D0C1D" w:rsidRDefault="009D0C1D" w:rsidP="00454445">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Пріоритет необхідно віддавати особам з підвищеним ризиком резистентності до препаратів першої лінії, включаючи осіб, які:</w:t>
                                  </w:r>
                                </w:p>
                                <w:p w14:paraId="50FB88A4" w14:textId="0DCF2086" w:rsidR="009D0C1D" w:rsidRDefault="009D0C1D" w:rsidP="00E4138A">
                                  <w:pPr>
                                    <w:spacing w:after="56" w:line="316" w:lineRule="auto"/>
                                    <w:ind w:left="576" w:hanging="245"/>
                                    <w:jc w:val="both"/>
                                    <w:rPr>
                                      <w:rFonts w:eastAsia="+mn-ea" w:cs="+mn-cs"/>
                                      <w:color w:val="019648"/>
                                      <w:kern w:val="24"/>
                                      <w:sz w:val="20"/>
                                      <w:szCs w:val="20"/>
                                    </w:rPr>
                                  </w:pPr>
                                  <w:r>
                                    <w:rPr>
                                      <w:color w:val="019648"/>
                                      <w:sz w:val="20"/>
                                    </w:rPr>
                                    <w:sym w:font="Wingdings" w:char="F09F"/>
                                  </w:r>
                                  <w:r>
                                    <w:tab/>
                                  </w:r>
                                  <w:r>
                                    <w:rPr>
                                      <w:sz w:val="20"/>
                                    </w:rPr>
                                    <w:t>мають позитивний результат мазку або посіву після 2 місяців лікування (або більше), або після неефективності лікування;</w:t>
                                  </w:r>
                                </w:p>
                                <w:p w14:paraId="5CB5E0A8" w14:textId="75E8A2F4" w:rsidR="009D0C1D" w:rsidRDefault="009D0C1D" w:rsidP="00E4138A">
                                  <w:pPr>
                                    <w:spacing w:after="56" w:line="314" w:lineRule="auto"/>
                                    <w:ind w:left="576" w:hanging="245"/>
                                    <w:rPr>
                                      <w:rFonts w:eastAsia="+mn-ea" w:cs="+mn-cs"/>
                                      <w:color w:val="019648"/>
                                      <w:kern w:val="24"/>
                                      <w:sz w:val="20"/>
                                      <w:szCs w:val="20"/>
                                    </w:rPr>
                                  </w:pPr>
                                  <w:r>
                                    <w:rPr>
                                      <w:color w:val="019648"/>
                                      <w:sz w:val="20"/>
                                    </w:rPr>
                                    <w:sym w:font="Wingdings" w:char="F09F"/>
                                  </w:r>
                                  <w:r>
                                    <w:tab/>
                                  </w:r>
                                  <w:r>
                                    <w:rPr>
                                      <w:sz w:val="20"/>
                                    </w:rPr>
                                    <w:t>раніше отримували лікування ТБ;</w:t>
                                  </w:r>
                                </w:p>
                                <w:p w14:paraId="48786825" w14:textId="322E1C2F" w:rsidR="009D0C1D" w:rsidRDefault="009D0C1D" w:rsidP="00E4138A">
                                  <w:pPr>
                                    <w:spacing w:after="56" w:line="314" w:lineRule="auto"/>
                                    <w:ind w:left="576" w:hanging="245"/>
                                    <w:rPr>
                                      <w:rFonts w:eastAsia="+mn-ea" w:cs="+mn-cs"/>
                                      <w:color w:val="019648"/>
                                      <w:kern w:val="24"/>
                                      <w:sz w:val="20"/>
                                      <w:szCs w:val="20"/>
                                    </w:rPr>
                                  </w:pPr>
                                  <w:r>
                                    <w:rPr>
                                      <w:color w:val="019648"/>
                                      <w:sz w:val="20"/>
                                    </w:rPr>
                                    <w:sym w:font="Wingdings" w:char="F09F"/>
                                  </w:r>
                                  <w:r>
                                    <w:tab/>
                                  </w:r>
                                  <w:r>
                                    <w:rPr>
                                      <w:sz w:val="20"/>
                                    </w:rPr>
                                    <w:t>контактують з особою з резистентністю до протитуберкульозних препаратів; або</w:t>
                                  </w:r>
                                </w:p>
                                <w:p w14:paraId="4E40287C" w14:textId="7036EB32" w:rsidR="009D0C1D" w:rsidRDefault="009D0C1D" w:rsidP="00E4138A">
                                  <w:pPr>
                                    <w:spacing w:after="56" w:line="314" w:lineRule="auto"/>
                                    <w:ind w:left="576" w:hanging="245"/>
                                    <w:jc w:val="both"/>
                                    <w:rPr>
                                      <w:rFonts w:eastAsia="+mn-ea" w:cs="+mn-cs"/>
                                      <w:color w:val="019648"/>
                                      <w:kern w:val="24"/>
                                      <w:sz w:val="20"/>
                                      <w:szCs w:val="20"/>
                                    </w:rPr>
                                  </w:pPr>
                                  <w:r>
                                    <w:rPr>
                                      <w:color w:val="019648"/>
                                      <w:sz w:val="20"/>
                                    </w:rPr>
                                    <w:sym w:font="Wingdings" w:char="F09F"/>
                                  </w:r>
                                  <w:r>
                                    <w:tab/>
                                  </w:r>
                                  <w:r>
                                    <w:rPr>
                                      <w:sz w:val="20"/>
                                    </w:rPr>
                                    <w:t xml:space="preserve">проживають в умовах або належать до підгруп з високим ризиком резистентності до RIF, INH або FQ (що застосовуються в рамках нових короткострокових схем), або з високою поширеністю штамів </w:t>
                                  </w:r>
                                  <w:r>
                                    <w:rPr>
                                      <w:i/>
                                      <w:iCs/>
                                      <w:sz w:val="20"/>
                                    </w:rPr>
                                    <w:t>Mtb</w:t>
                                  </w:r>
                                  <w:r>
                                    <w:rPr>
                                      <w:sz w:val="20"/>
                                    </w:rPr>
                                    <w:t xml:space="preserve"> з мутаціями, не виявленими іншими молекулярними експрес-тестами.</w:t>
                                  </w:r>
                                </w:p>
                                <w:p w14:paraId="0E5DFD1C" w14:textId="3AA268DF"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Ця рекомендація є умовною через відсутність даних про переваги для здоров’я, змінний рівень достовірності доказів щодо діагностичної та неоптимальної точності для певних лікарських засобів. Крім того, оскільки це нова та недостатньо розповсюджена технологія, все ще спостерігаються обмежені та змінні докази щодо витрат, ефективності витрат та доцільності впровадження.</w:t>
                                  </w:r>
                                </w:p>
                                <w:p w14:paraId="46C3C967" w14:textId="77777777" w:rsidR="009D0C1D" w:rsidRDefault="009D0C1D" w:rsidP="00454445">
                                  <w:pPr>
                                    <w:spacing w:line="314" w:lineRule="auto"/>
                                    <w:jc w:val="both"/>
                                    <w:rPr>
                                      <w:rFonts w:eastAsia="+mn-ea" w:cs="+mn-cs"/>
                                      <w:kern w:val="24"/>
                                      <w:sz w:val="20"/>
                                      <w:szCs w:val="20"/>
                                    </w:rPr>
                                  </w:pPr>
                                  <w:r>
                                    <w:rPr>
                                      <w:sz w:val="20"/>
                                    </w:rPr>
                                    <w:t>Для осіб з бактеріологічно підтвердженим рифампіцин-резистентним ТБ легень для діагностики резистентності до ізоніазиду, фторхінолонів, бедаквіліну, лінезоліду, клофазиміну, піразинаміду, етамбутолу, амікацину та стрептоміцину можуть застосовуватись технології цільового секвенування наступного покоління на зразках з дихальних шляхів, а не фенотипове культуральне тестування медикаментозної чутливості.</w:t>
                                  </w:r>
                                </w:p>
                              </w:txbxContent>
                            </wps:txbx>
                            <wps:bodyPr lIns="0" tIns="0" rIns="0" bIns="0">
                              <a:noAutofit/>
                            </wps:bodyPr>
                          </wps:wsp>
                        </a:graphicData>
                      </a:graphic>
                      <wp14:sizeRelV relativeFrom="margin">
                        <wp14:pctHeight>0</wp14:pctHeight>
                      </wp14:sizeRelV>
                    </wp:anchor>
                  </w:drawing>
                </mc:Choice>
                <mc:Fallback>
                  <w:pict>
                    <v:rect w14:anchorId="7B41E13B" id="_x0000_s1125" style="position:absolute;margin-left:26.3pt;margin-top:51.3pt;width:412.05pt;height:472.2pt;z-index:25150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" fillcolor="#c6e0ce" stroked="f">
                      <v:textbox inset="0,0,0,0">
                        <w:txbxContent>
                          <w:p w14:paraId="545403C0" w14:textId="77777777" w:rsidR="009D0C1D" w:rsidRDefault="009D0C1D" w:rsidP="00454445">
                            <w:pPr>
                              <w:spacing w:after="56" w:line="314" w:lineRule="auto"/>
                              <w:jc w:val="both"/>
                              <w:rPr>
                                <w:rFonts w:eastAsia="+mn-ea" w:cs="+mn-cs"/>
                                <w:kern w:val="24"/>
                                <w:sz w:val="20"/>
                                <w:szCs w:val="20"/>
                              </w:rPr>
                            </w:pPr>
                            <w:r>
                              <w:rPr>
                                <w:sz w:val="20"/>
                              </w:rPr>
                              <w:t>Для осіб з бактеріологічно підтвердженим ТБ легень для діагностики резистентності до рифампіцину, ізоніазиду, фторхінолонів, піразинаміду та етамбутолу можуть застосовуватись технології цільового секвенування наступного покоління на зразках з дихальних шляхів, а не фенотипове культуральне тестування медикаментозної чутливості.</w:t>
                            </w:r>
                          </w:p>
                          <w:p w14:paraId="3620C3ED" w14:textId="77777777" w:rsidR="009D0C1D" w:rsidRDefault="009D0C1D" w:rsidP="00454445">
                            <w:pPr>
                              <w:spacing w:after="56" w:line="312" w:lineRule="auto"/>
                              <w:jc w:val="both"/>
                              <w:rPr>
                                <w:rFonts w:eastAsia="+mn-ea" w:cs="+mn-cs"/>
                                <w:kern w:val="24"/>
                                <w:sz w:val="20"/>
                                <w:szCs w:val="20"/>
                              </w:rPr>
                            </w:pPr>
                            <w:r>
                              <w:rPr>
                                <w:i/>
                                <w:sz w:val="20"/>
                              </w:rPr>
                              <w:t>(Умовна рекомендація, середній [ізоніазид та піразинамід] та низький [рифампіцин, фторхінолони та етамбутол] рівень достовірності доказів)</w:t>
                            </w:r>
                          </w:p>
                          <w:p w14:paraId="22093982" w14:textId="77777777" w:rsidR="009D0C1D" w:rsidRDefault="009D0C1D" w:rsidP="00454445">
                            <w:pPr>
                              <w:spacing w:after="56" w:line="314" w:lineRule="auto"/>
                              <w:jc w:val="both"/>
                              <w:rPr>
                                <w:rFonts w:eastAsia="+mn-ea" w:cs="+mn-cs"/>
                                <w:kern w:val="24"/>
                                <w:sz w:val="20"/>
                                <w:szCs w:val="20"/>
                              </w:rPr>
                            </w:pPr>
                            <w:r>
                              <w:rPr>
                                <w:sz w:val="20"/>
                              </w:rPr>
                              <w:t>Примітки:</w:t>
                            </w:r>
                          </w:p>
                          <w:p w14:paraId="56F004F8" w14:textId="09812AC2" w:rsidR="009D0C1D" w:rsidRDefault="009D0C1D" w:rsidP="00454445">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Пріоритет необхідно віддавати особам з підвищеним ризиком резистентності до препаратів першої лінії, включаючи осіб, які:</w:t>
                            </w:r>
                          </w:p>
                          <w:p w14:paraId="50FB88A4" w14:textId="0DCF2086" w:rsidR="009D0C1D" w:rsidRDefault="009D0C1D" w:rsidP="00E4138A">
                            <w:pPr>
                              <w:spacing w:after="56" w:line="316" w:lineRule="auto"/>
                              <w:ind w:left="576" w:hanging="245"/>
                              <w:jc w:val="both"/>
                              <w:rPr>
                                <w:rFonts w:eastAsia="+mn-ea" w:cs="+mn-cs"/>
                                <w:color w:val="019648"/>
                                <w:kern w:val="24"/>
                                <w:sz w:val="20"/>
                                <w:szCs w:val="20"/>
                              </w:rPr>
                            </w:pPr>
                            <w:r>
                              <w:rPr>
                                <w:color w:val="019648"/>
                                <w:sz w:val="20"/>
                              </w:rPr>
                              <w:sym w:font="Wingdings" w:char="F09F"/>
                            </w:r>
                            <w:r>
                              <w:tab/>
                            </w:r>
                            <w:r>
                              <w:rPr>
                                <w:sz w:val="20"/>
                              </w:rPr>
                              <w:t>мають позитивний результат мазку або посіву після 2 місяців лікування (або більше), або після неефективності лікування;</w:t>
                            </w:r>
                          </w:p>
                          <w:p w14:paraId="5CB5E0A8" w14:textId="75E8A2F4" w:rsidR="009D0C1D" w:rsidRDefault="009D0C1D" w:rsidP="00E4138A">
                            <w:pPr>
                              <w:spacing w:after="56" w:line="314" w:lineRule="auto"/>
                              <w:ind w:left="576" w:hanging="245"/>
                              <w:rPr>
                                <w:rFonts w:eastAsia="+mn-ea" w:cs="+mn-cs"/>
                                <w:color w:val="019648"/>
                                <w:kern w:val="24"/>
                                <w:sz w:val="20"/>
                                <w:szCs w:val="20"/>
                              </w:rPr>
                            </w:pPr>
                            <w:r>
                              <w:rPr>
                                <w:color w:val="019648"/>
                                <w:sz w:val="20"/>
                              </w:rPr>
                              <w:sym w:font="Wingdings" w:char="F09F"/>
                            </w:r>
                            <w:r>
                              <w:tab/>
                            </w:r>
                            <w:r>
                              <w:rPr>
                                <w:sz w:val="20"/>
                              </w:rPr>
                              <w:t>раніше отримували лікування ТБ;</w:t>
                            </w:r>
                          </w:p>
                          <w:p w14:paraId="48786825" w14:textId="322E1C2F" w:rsidR="009D0C1D" w:rsidRDefault="009D0C1D" w:rsidP="00E4138A">
                            <w:pPr>
                              <w:spacing w:after="56" w:line="314" w:lineRule="auto"/>
                              <w:ind w:left="576" w:hanging="245"/>
                              <w:rPr>
                                <w:rFonts w:eastAsia="+mn-ea" w:cs="+mn-cs"/>
                                <w:color w:val="019648"/>
                                <w:kern w:val="24"/>
                                <w:sz w:val="20"/>
                                <w:szCs w:val="20"/>
                              </w:rPr>
                            </w:pPr>
                            <w:r>
                              <w:rPr>
                                <w:color w:val="019648"/>
                                <w:sz w:val="20"/>
                              </w:rPr>
                              <w:sym w:font="Wingdings" w:char="F09F"/>
                            </w:r>
                            <w:r>
                              <w:tab/>
                            </w:r>
                            <w:r>
                              <w:rPr>
                                <w:sz w:val="20"/>
                              </w:rPr>
                              <w:t>контактують з особою з резистентністю до протитуберкульозних препаратів; або</w:t>
                            </w:r>
                          </w:p>
                          <w:p w14:paraId="4E40287C" w14:textId="7036EB32" w:rsidR="009D0C1D" w:rsidRDefault="009D0C1D" w:rsidP="00E4138A">
                            <w:pPr>
                              <w:spacing w:after="56" w:line="314" w:lineRule="auto"/>
                              <w:ind w:left="576" w:hanging="245"/>
                              <w:jc w:val="both"/>
                              <w:rPr>
                                <w:rFonts w:eastAsia="+mn-ea" w:cs="+mn-cs"/>
                                <w:color w:val="019648"/>
                                <w:kern w:val="24"/>
                                <w:sz w:val="20"/>
                                <w:szCs w:val="20"/>
                              </w:rPr>
                            </w:pPr>
                            <w:r>
                              <w:rPr>
                                <w:color w:val="019648"/>
                                <w:sz w:val="20"/>
                              </w:rPr>
                              <w:sym w:font="Wingdings" w:char="F09F"/>
                            </w:r>
                            <w:r>
                              <w:tab/>
                            </w:r>
                            <w:r>
                              <w:rPr>
                                <w:sz w:val="20"/>
                              </w:rPr>
                              <w:t xml:space="preserve">проживають в умовах або належать до підгруп з високим ризиком резистентності до RIF, INH або FQ (що застосовуються в рамках нових короткострокових схем), або з високою поширеністю штамів </w:t>
                            </w:r>
                            <w:r>
                              <w:rPr>
                                <w:i/>
                                <w:iCs/>
                                <w:sz w:val="20"/>
                              </w:rPr>
                              <w:t>Mtb</w:t>
                            </w:r>
                            <w:r>
                              <w:rPr>
                                <w:sz w:val="20"/>
                              </w:rPr>
                              <w:t xml:space="preserve"> з мутаціями, не виявленими іншими молекулярними експрес-тестами.</w:t>
                            </w:r>
                          </w:p>
                          <w:p w14:paraId="0E5DFD1C" w14:textId="3AA268DF" w:rsidR="009D0C1D" w:rsidRDefault="009D0C1D" w:rsidP="00454445">
                            <w:pPr>
                              <w:spacing w:after="56"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Ця рекомендація є умовною через відсутність даних про переваги для здоров’я, змінний рівень достовірності доказів щодо діагностичної та неоптимальної точності для певних лікарських засобів. Крім того, оскільки це нова та недостатньо розповсюджена технологія, все ще спостерігаються обмежені та змінні докази щодо витрат, ефективності витрат та доцільності впровадження.</w:t>
                            </w:r>
                          </w:p>
                          <w:p w14:paraId="46C3C967" w14:textId="77777777" w:rsidR="009D0C1D" w:rsidRDefault="009D0C1D" w:rsidP="00454445">
                            <w:pPr>
                              <w:spacing w:line="314" w:lineRule="auto"/>
                              <w:jc w:val="both"/>
                              <w:rPr>
                                <w:rFonts w:eastAsia="+mn-ea" w:cs="+mn-cs"/>
                                <w:kern w:val="24"/>
                                <w:sz w:val="20"/>
                                <w:szCs w:val="20"/>
                              </w:rPr>
                            </w:pPr>
                            <w:r>
                              <w:rPr>
                                <w:sz w:val="20"/>
                              </w:rPr>
                              <w:t>Для осіб з бактеріологічно підтвердженим рифампіцин-резистентним ТБ легень для діагностики резистентності до ізоніазиду, фторхінолонів, бедаквіліну, лінезоліду, клофазиміну, піразинаміду, етамбутолу, амікацину та стрептоміцину можуть застосовуватись технології цільового секвенування наступного покоління на зразках з дихальних шляхів, а не фенотипове культуральне тестування медикаментозної чутливості.</w:t>
                            </w:r>
                          </w:p>
                        </w:txbxContent>
                      </v:textbox>
                    </v:rect>
                  </w:pict>
                </mc:Fallback>
              </mc:AlternateContent>
            </w:r>
            <w:r w:rsidR="00454445">
              <w:rPr>
                <w:noProof/>
              </w:rPr>
              <mc:AlternateContent>
                <mc:Choice Requires="wps">
                  <w:drawing>
                    <wp:anchor distT="0" distB="0" distL="114300" distR="114300" simplePos="0" relativeHeight="251502592" behindDoc="0" locked="0" layoutInCell="1" allowOverlap="1" wp14:anchorId="656606A6" wp14:editId="5E2AABB2">
                      <wp:simplePos x="0" y="0"/>
                      <wp:positionH relativeFrom="column">
                        <wp:posOffset>113030</wp:posOffset>
                      </wp:positionH>
                      <wp:positionV relativeFrom="paragraph">
                        <wp:posOffset>232410</wp:posOffset>
                      </wp:positionV>
                      <wp:extent cx="3680460" cy="213360"/>
                      <wp:effectExtent l="0" t="0" r="0" b="0"/>
                      <wp:wrapNone/>
                      <wp:docPr id="584438923" name="Прямокутник 2"/>
                      <wp:cNvGraphicFramePr/>
                      <a:graphic xmlns:a="http://schemas.openxmlformats.org/drawingml/2006/main">
                        <a:graphicData uri="http://schemas.microsoft.com/office/word/2010/wordprocessingShape">
                          <wps:wsp>
                            <wps:cNvSpPr/>
                            <wps:spPr>
                              <a:xfrm>
                                <a:off x="0" y="0"/>
                                <a:ext cx="3680460" cy="213360"/>
                              </a:xfrm>
                              <a:prstGeom prst="rect">
                                <a:avLst/>
                              </a:prstGeom>
                              <a:solidFill>
                                <a:srgbClr val="009649"/>
                              </a:solidFill>
                            </wps:spPr>
                            <wps:txbx>
                              <w:txbxContent>
                                <w:p w14:paraId="3814B2AD" w14:textId="77777777" w:rsidR="009D0C1D" w:rsidRPr="0079021A" w:rsidRDefault="009D0C1D" w:rsidP="00454445">
                                  <w:pPr>
                                    <w:rPr>
                                      <w:rFonts w:eastAsia="+mn-ea" w:cs="+mn-cs"/>
                                      <w:b/>
                                      <w:bCs/>
                                      <w:color w:val="FFFFFF"/>
                                      <w:kern w:val="24"/>
                                      <w:sz w:val="20"/>
                                      <w:szCs w:val="20"/>
                                    </w:rPr>
                                  </w:pPr>
                                  <w:r>
                                    <w:rPr>
                                      <w:b/>
                                      <w:color w:val="FFFFFF"/>
                                      <w:sz w:val="20"/>
                                    </w:rPr>
                                    <w:t xml:space="preserve">Вставка 2.10. Рекомендації ВООЗ щодо цільового СНП </w:t>
                                  </w:r>
                                  <w:r>
                                    <w:rPr>
                                      <w:b/>
                                      <w:i/>
                                      <w:color w:val="FFFFFF"/>
                                      <w:sz w:val="20"/>
                                    </w:rPr>
                                    <w:t>(6)</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56606A6" id="_x0000_s1126" style="position:absolute;margin-left:8.9pt;margin-top:18.3pt;width:289.8pt;height:16.8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" fillcolor="#009649" stroked="f">
                      <v:textbox inset="0,0,0,0">
                        <w:txbxContent>
                          <w:p w14:paraId="3814B2AD" w14:textId="77777777" w:rsidR="009D0C1D" w:rsidRPr="0079021A" w:rsidRDefault="009D0C1D" w:rsidP="00454445">
                            <w:pPr>
                              <w:rPr>
                                <w:rFonts w:eastAsia="+mn-ea" w:cs="+mn-cs"/>
                                <w:b/>
                                <w:bCs/>
                                <w:color w:val="FFFFFF"/>
                                <w:kern w:val="24"/>
                                <w:sz w:val="20"/>
                                <w:szCs w:val="20"/>
                              </w:rPr>
                            </w:pPr>
                            <w:r>
                              <w:rPr>
                                <w:b/>
                                <w:color w:val="FFFFFF"/>
                                <w:sz w:val="20"/>
                              </w:rPr>
                              <w:t xml:space="preserve">Вставка 2.10. Рекомендації ВООЗ щодо цільового СНП </w:t>
                            </w:r>
                            <w:r>
                              <w:rPr>
                                <w:b/>
                                <w:i/>
                                <w:color w:val="FFFFFF"/>
                                <w:sz w:val="20"/>
                              </w:rPr>
                              <w:t>(6)</w:t>
                            </w:r>
                          </w:p>
                        </w:txbxContent>
                      </v:textbox>
                    </v:rect>
                  </w:pict>
                </mc:Fallback>
              </mc:AlternateContent>
            </w:r>
            <w:r w:rsidR="00454445">
              <w:rPr>
                <w:noProof/>
              </w:rPr>
              <w:drawing>
                <wp:inline distT="0" distB="0" distL="0" distR="0" wp14:anchorId="515CBDF5" wp14:editId="24AA8863">
                  <wp:extent cx="5782310" cy="6697980"/>
                  <wp:effectExtent l="0" t="0" r="8890" b="762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0"/>
                          <a:stretch/>
                        </pic:blipFill>
                        <pic:spPr>
                          <a:xfrm>
                            <a:off x="0" y="0"/>
                            <a:ext cx="5782310" cy="6697980"/>
                          </a:xfrm>
                          <a:prstGeom prst="rect">
                            <a:avLst/>
                          </a:prstGeom>
                        </pic:spPr>
                      </pic:pic>
                    </a:graphicData>
                  </a:graphic>
                </wp:inline>
              </w:drawing>
            </w:r>
          </w:p>
        </w:tc>
      </w:tr>
    </w:tbl>
    <w:p w14:paraId="3CC2B6A7" w14:textId="2270F8B9" w:rsidR="00366CB9" w:rsidRDefault="00366CB9" w:rsidP="00425523">
      <w:pPr>
        <w:spacing w:line="1" w:lineRule="exact"/>
        <w:sectPr w:rsidR="00366CB9" w:rsidSect="00E4138A">
          <w:type w:val="nextColumn"/>
          <w:pgSz w:w="11913" w:h="16840"/>
          <w:pgMar w:top="1469" w:right="1378" w:bottom="284" w:left="1372" w:header="0" w:footer="6" w:gutter="0"/>
          <w:paperSrc w:first="15" w:other="15"/>
          <w:cols w:space="720"/>
          <w:noEndnote/>
          <w:docGrid w:linePitch="360"/>
        </w:sectPr>
      </w:pPr>
    </w:p>
    <w:p w14:paraId="14E5EA34"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10"/>
      </w:tblGrid>
      <w:tr w:rsidR="00366CB9" w14:paraId="3BC34293" w14:textId="77777777">
        <w:trPr>
          <w:trHeight w:hRule="exact" w:val="6888"/>
        </w:trPr>
        <w:tc>
          <w:tcPr>
            <w:tcW w:w="9110" w:type="dxa"/>
            <w:shd w:val="clear" w:color="auto" w:fill="FFFFFF"/>
          </w:tcPr>
          <w:p w14:paraId="535695F2" w14:textId="792D92A6" w:rsidR="00366CB9" w:rsidRDefault="00454445" w:rsidP="003323FC">
            <w:pPr>
              <w:rPr>
                <w:sz w:val="2"/>
                <w:szCs w:val="2"/>
              </w:rPr>
            </w:pPr>
            <w:r>
              <w:rPr>
                <w:noProof/>
              </w:rPr>
              <mc:AlternateContent>
                <mc:Choice Requires="wps">
                  <w:drawing>
                    <wp:anchor distT="0" distB="0" distL="114300" distR="114300" simplePos="0" relativeHeight="251504640" behindDoc="0" locked="0" layoutInCell="1" allowOverlap="1" wp14:anchorId="077BC715" wp14:editId="21F39031">
                      <wp:simplePos x="0" y="0"/>
                      <wp:positionH relativeFrom="column">
                        <wp:posOffset>329565</wp:posOffset>
                      </wp:positionH>
                      <wp:positionV relativeFrom="paragraph">
                        <wp:posOffset>195892</wp:posOffset>
                      </wp:positionV>
                      <wp:extent cx="5236464" cy="3749040"/>
                      <wp:effectExtent l="0" t="0" r="2540" b="3810"/>
                      <wp:wrapNone/>
                      <wp:docPr id="695572132" name="Прямокутник 2"/>
                      <wp:cNvGraphicFramePr/>
                      <a:graphic xmlns:a="http://schemas.openxmlformats.org/drawingml/2006/main">
                        <a:graphicData uri="http://schemas.microsoft.com/office/word/2010/wordprocessingShape">
                          <wps:wsp>
                            <wps:cNvSpPr/>
                            <wps:spPr>
                              <a:xfrm>
                                <a:off x="0" y="0"/>
                                <a:ext cx="5236464" cy="3749040"/>
                              </a:xfrm>
                              <a:prstGeom prst="rect">
                                <a:avLst/>
                              </a:prstGeom>
                              <a:solidFill>
                                <a:srgbClr val="C6E0CE"/>
                              </a:solidFill>
                            </wps:spPr>
                            <wps:txbx>
                              <w:txbxContent>
                                <w:p w14:paraId="373DF822" w14:textId="77777777" w:rsidR="009D0C1D" w:rsidRPr="00356397" w:rsidRDefault="009D0C1D" w:rsidP="00454445">
                                  <w:pPr>
                                    <w:spacing w:after="56" w:line="314" w:lineRule="auto"/>
                                    <w:rPr>
                                      <w:rFonts w:eastAsia="+mn-ea" w:cs="+mn-cs"/>
                                      <w:i/>
                                      <w:iCs/>
                                      <w:kern w:val="24"/>
                                      <w:sz w:val="20"/>
                                      <w:szCs w:val="20"/>
                                    </w:rPr>
                                  </w:pPr>
                                  <w:r>
                                    <w:rPr>
                                      <w:i/>
                                      <w:sz w:val="20"/>
                                    </w:rPr>
                                    <w:t>(Умовна рекомендація, високий [ізоніазид, фторхінолони та піразинамід], середній [етамбутол], низький [бедаквілін, лінезолід, клофазимін та стрептоміцин] та дуже низький [амікацин] рівень достовірності доказів)</w:t>
                                  </w:r>
                                </w:p>
                                <w:p w14:paraId="5F650FF5" w14:textId="77777777" w:rsidR="009D0C1D" w:rsidRDefault="009D0C1D" w:rsidP="00454445">
                                  <w:pPr>
                                    <w:spacing w:after="56" w:line="312" w:lineRule="auto"/>
                                    <w:rPr>
                                      <w:rFonts w:eastAsia="+mn-ea" w:cs="+mn-cs"/>
                                      <w:kern w:val="24"/>
                                      <w:sz w:val="20"/>
                                      <w:szCs w:val="20"/>
                                    </w:rPr>
                                  </w:pPr>
                                  <w:r>
                                    <w:rPr>
                                      <w:sz w:val="20"/>
                                    </w:rPr>
                                    <w:t>Примітки:</w:t>
                                  </w:r>
                                </w:p>
                                <w:p w14:paraId="43222184" w14:textId="36564478" w:rsidR="009D0C1D" w:rsidRDefault="009D0C1D" w:rsidP="00454445">
                                  <w:pPr>
                                    <w:spacing w:after="56" w:line="316" w:lineRule="auto"/>
                                    <w:ind w:left="403" w:hanging="403"/>
                                    <w:jc w:val="both"/>
                                    <w:rPr>
                                      <w:rFonts w:eastAsia="+mn-ea" w:cs="+mn-cs"/>
                                      <w:color w:val="019648"/>
                                      <w:kern w:val="24"/>
                                      <w:sz w:val="20"/>
                                      <w:szCs w:val="20"/>
                                    </w:rPr>
                                  </w:pPr>
                                  <w:r>
                                    <w:rPr>
                                      <w:rFonts w:ascii="Wingdings" w:hAnsi="Wingdings"/>
                                      <w:color w:val="019648"/>
                                    </w:rPr>
                                    <w:t></w:t>
                                  </w:r>
                                  <w:r>
                                    <w:tab/>
                                  </w:r>
                                  <w:r>
                                    <w:rPr>
                                      <w:sz w:val="20"/>
                                    </w:rPr>
                                    <w:t>Пріоритет необхідно віддавати особам з підвищеним ризиком резистентності до лікарських засобів для лікування Риф-ТБ, включаючи осіб, які:</w:t>
                                  </w:r>
                                </w:p>
                                <w:p w14:paraId="0F6C93EE" w14:textId="14932072" w:rsidR="009D0C1D" w:rsidRDefault="009D0C1D" w:rsidP="00E4138A">
                                  <w:pPr>
                                    <w:spacing w:after="56" w:line="312" w:lineRule="auto"/>
                                    <w:ind w:left="590" w:hanging="245"/>
                                    <w:jc w:val="both"/>
                                    <w:rPr>
                                      <w:rFonts w:eastAsia="+mn-ea" w:cs="+mn-cs"/>
                                      <w:color w:val="019648"/>
                                      <w:kern w:val="24"/>
                                      <w:sz w:val="20"/>
                                      <w:szCs w:val="20"/>
                                    </w:rPr>
                                  </w:pPr>
                                  <w:r>
                                    <w:rPr>
                                      <w:color w:val="019648"/>
                                      <w:sz w:val="20"/>
                                    </w:rPr>
                                    <w:sym w:font="Wingdings" w:char="F09F"/>
                                  </w:r>
                                  <w:r>
                                    <w:tab/>
                                  </w:r>
                                  <w:r>
                                    <w:rPr>
                                      <w:sz w:val="20"/>
                                    </w:rPr>
                                    <w:t>мають позитивний результат мазку або посіву після 2 місяців лікування (або більше), або після неефективності лікування;</w:t>
                                  </w:r>
                                </w:p>
                                <w:p w14:paraId="5373D62B" w14:textId="45648091" w:rsidR="009D0C1D" w:rsidRDefault="009D0C1D" w:rsidP="00E4138A">
                                  <w:pPr>
                                    <w:spacing w:after="56" w:line="316" w:lineRule="auto"/>
                                    <w:ind w:left="590" w:hanging="245"/>
                                    <w:jc w:val="both"/>
                                    <w:rPr>
                                      <w:rFonts w:eastAsia="+mn-ea" w:cs="+mn-cs"/>
                                      <w:color w:val="019648"/>
                                      <w:kern w:val="24"/>
                                      <w:sz w:val="20"/>
                                      <w:szCs w:val="20"/>
                                    </w:rPr>
                                  </w:pPr>
                                  <w:r>
                                    <w:rPr>
                                      <w:color w:val="019648"/>
                                      <w:sz w:val="20"/>
                                    </w:rPr>
                                    <w:sym w:font="Wingdings" w:char="F09F"/>
                                  </w:r>
                                  <w:r>
                                    <w:tab/>
                                  </w:r>
                                  <w:r>
                                    <w:rPr>
                                      <w:sz w:val="20"/>
                                    </w:rPr>
                                    <w:t>отримували лікування ТБ, включаючи нові та перепрофільовані препарати;</w:t>
                                  </w:r>
                                </w:p>
                                <w:p w14:paraId="1DEC1F1E" w14:textId="7EB39529" w:rsidR="009D0C1D" w:rsidRDefault="009D0C1D" w:rsidP="00E4138A">
                                  <w:pPr>
                                    <w:spacing w:after="56" w:line="312" w:lineRule="auto"/>
                                    <w:ind w:left="590" w:hanging="245"/>
                                    <w:jc w:val="both"/>
                                    <w:rPr>
                                      <w:rFonts w:eastAsia="+mn-ea" w:cs="+mn-cs"/>
                                      <w:color w:val="019648"/>
                                      <w:kern w:val="24"/>
                                      <w:sz w:val="20"/>
                                      <w:szCs w:val="20"/>
                                    </w:rPr>
                                  </w:pPr>
                                  <w:r>
                                    <w:rPr>
                                      <w:color w:val="019648"/>
                                      <w:sz w:val="20"/>
                                    </w:rPr>
                                    <w:sym w:font="Wingdings" w:char="F09F"/>
                                  </w:r>
                                  <w:r>
                                    <w:tab/>
                                  </w:r>
                                  <w:r>
                                    <w:rPr>
                                      <w:sz w:val="20"/>
                                    </w:rPr>
                                    <w:t>контактують з особою з резистентністю до протитуберкульозних препаратів, включаючи нові та перепрофільовані препарати; або</w:t>
                                  </w:r>
                                </w:p>
                                <w:p w14:paraId="0672802B" w14:textId="7A7D1226" w:rsidR="009D0C1D" w:rsidRDefault="009D0C1D" w:rsidP="00E4138A">
                                  <w:pPr>
                                    <w:spacing w:after="56" w:line="312" w:lineRule="auto"/>
                                    <w:ind w:left="590" w:hanging="245"/>
                                    <w:jc w:val="both"/>
                                    <w:rPr>
                                      <w:rFonts w:eastAsia="+mn-ea" w:cs="+mn-cs"/>
                                      <w:color w:val="019648"/>
                                      <w:kern w:val="24"/>
                                      <w:sz w:val="20"/>
                                      <w:szCs w:val="20"/>
                                    </w:rPr>
                                  </w:pPr>
                                  <w:r>
                                    <w:rPr>
                                      <w:color w:val="019648"/>
                                      <w:sz w:val="20"/>
                                    </w:rPr>
                                    <w:sym w:font="Wingdings" w:char="F09F"/>
                                  </w:r>
                                  <w:r>
                                    <w:tab/>
                                  </w:r>
                                  <w:r>
                                    <w:rPr>
                                      <w:sz w:val="20"/>
                                    </w:rPr>
                                    <w:t>мають пре-ШЛС-ТБ з резистентністю до FQ.</w:t>
                                  </w:r>
                                </w:p>
                                <w:p w14:paraId="71ABA2EC" w14:textId="140D8C8B" w:rsidR="009D0C1D" w:rsidRDefault="009D0C1D" w:rsidP="00454445">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Відповідно до вищезазначеної інформації, ця рекомендація є умовною через відсутність даних про переваги для здоров’я, змінний рівень достовірності доказів щодо діагностичної та неоптимальної точності для певних лікарських засобів, та обмежені та змінні докази про витрати, ефективність витрат та доцільність впровадження.</w:t>
                                  </w:r>
                                </w:p>
                              </w:txbxContent>
                            </wps:txbx>
                            <wps:bodyPr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77BC715" id="_x0000_s1127" style="position:absolute;margin-left:25.95pt;margin-top:15.4pt;width:412.3pt;height:295.2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" fillcolor="#c6e0ce" stroked="f">
                      <v:textbox inset="0,0,0,0">
                        <w:txbxContent>
                          <w:p w14:paraId="373DF822" w14:textId="77777777" w:rsidR="009D0C1D" w:rsidRPr="00356397" w:rsidRDefault="009D0C1D" w:rsidP="00454445">
                            <w:pPr>
                              <w:spacing w:after="56" w:line="314" w:lineRule="auto"/>
                              <w:rPr>
                                <w:rFonts w:eastAsia="+mn-ea" w:cs="+mn-cs"/>
                                <w:i/>
                                <w:iCs/>
                                <w:kern w:val="24"/>
                                <w:sz w:val="20"/>
                                <w:szCs w:val="20"/>
                              </w:rPr>
                            </w:pPr>
                            <w:r>
                              <w:rPr>
                                <w:i/>
                                <w:sz w:val="20"/>
                              </w:rPr>
                              <w:t>(Умовна рекомендація, високий [ізоніазид, фторхінолони та піразинамід], середній [етамбутол], низький [бедаквілін, лінезолід, клофазимін та стрептоміцин] та дуже низький [амікацин] рівень достовірності доказів)</w:t>
                            </w:r>
                          </w:p>
                          <w:p w14:paraId="5F650FF5" w14:textId="77777777" w:rsidR="009D0C1D" w:rsidRDefault="009D0C1D" w:rsidP="00454445">
                            <w:pPr>
                              <w:spacing w:after="56" w:line="312" w:lineRule="auto"/>
                              <w:rPr>
                                <w:rFonts w:eastAsia="+mn-ea" w:cs="+mn-cs"/>
                                <w:kern w:val="24"/>
                                <w:sz w:val="20"/>
                                <w:szCs w:val="20"/>
                              </w:rPr>
                            </w:pPr>
                            <w:r>
                              <w:rPr>
                                <w:sz w:val="20"/>
                              </w:rPr>
                              <w:t>Примітки:</w:t>
                            </w:r>
                          </w:p>
                          <w:p w14:paraId="43222184" w14:textId="36564478" w:rsidR="009D0C1D" w:rsidRDefault="009D0C1D" w:rsidP="00454445">
                            <w:pPr>
                              <w:spacing w:after="56" w:line="316" w:lineRule="auto"/>
                              <w:ind w:left="403" w:hanging="403"/>
                              <w:jc w:val="both"/>
                              <w:rPr>
                                <w:rFonts w:eastAsia="+mn-ea" w:cs="+mn-cs"/>
                                <w:color w:val="019648"/>
                                <w:kern w:val="24"/>
                                <w:sz w:val="20"/>
                                <w:szCs w:val="20"/>
                              </w:rPr>
                            </w:pPr>
                            <w:r>
                              <w:rPr>
                                <w:rFonts w:ascii="Wingdings" w:hAnsi="Wingdings"/>
                                <w:color w:val="019648"/>
                              </w:rPr>
                              <w:t></w:t>
                            </w:r>
                            <w:r>
                              <w:tab/>
                            </w:r>
                            <w:r>
                              <w:rPr>
                                <w:sz w:val="20"/>
                              </w:rPr>
                              <w:t>Пріоритет необхідно віддавати особам з підвищеним ризиком резистентності до лікарських засобів для лікування Риф-ТБ, включаючи осіб, які:</w:t>
                            </w:r>
                          </w:p>
                          <w:p w14:paraId="0F6C93EE" w14:textId="14932072" w:rsidR="009D0C1D" w:rsidRDefault="009D0C1D" w:rsidP="00E4138A">
                            <w:pPr>
                              <w:spacing w:after="56" w:line="312" w:lineRule="auto"/>
                              <w:ind w:left="590" w:hanging="245"/>
                              <w:jc w:val="both"/>
                              <w:rPr>
                                <w:rFonts w:eastAsia="+mn-ea" w:cs="+mn-cs"/>
                                <w:color w:val="019648"/>
                                <w:kern w:val="24"/>
                                <w:sz w:val="20"/>
                                <w:szCs w:val="20"/>
                              </w:rPr>
                            </w:pPr>
                            <w:r>
                              <w:rPr>
                                <w:color w:val="019648"/>
                                <w:sz w:val="20"/>
                              </w:rPr>
                              <w:sym w:font="Wingdings" w:char="F09F"/>
                            </w:r>
                            <w:r>
                              <w:tab/>
                            </w:r>
                            <w:r>
                              <w:rPr>
                                <w:sz w:val="20"/>
                              </w:rPr>
                              <w:t>мають позитивний результат мазку або посіву після 2 місяців лікування (або більше), або після неефективності лікування;</w:t>
                            </w:r>
                          </w:p>
                          <w:p w14:paraId="5373D62B" w14:textId="45648091" w:rsidR="009D0C1D" w:rsidRDefault="009D0C1D" w:rsidP="00E4138A">
                            <w:pPr>
                              <w:spacing w:after="56" w:line="316" w:lineRule="auto"/>
                              <w:ind w:left="590" w:hanging="245"/>
                              <w:jc w:val="both"/>
                              <w:rPr>
                                <w:rFonts w:eastAsia="+mn-ea" w:cs="+mn-cs"/>
                                <w:color w:val="019648"/>
                                <w:kern w:val="24"/>
                                <w:sz w:val="20"/>
                                <w:szCs w:val="20"/>
                              </w:rPr>
                            </w:pPr>
                            <w:r>
                              <w:rPr>
                                <w:color w:val="019648"/>
                                <w:sz w:val="20"/>
                              </w:rPr>
                              <w:sym w:font="Wingdings" w:char="F09F"/>
                            </w:r>
                            <w:r>
                              <w:tab/>
                            </w:r>
                            <w:r>
                              <w:rPr>
                                <w:sz w:val="20"/>
                              </w:rPr>
                              <w:t>отримували лікування ТБ, включаючи нові та перепрофільовані препарати;</w:t>
                            </w:r>
                          </w:p>
                          <w:p w14:paraId="1DEC1F1E" w14:textId="7EB39529" w:rsidR="009D0C1D" w:rsidRDefault="009D0C1D" w:rsidP="00E4138A">
                            <w:pPr>
                              <w:spacing w:after="56" w:line="312" w:lineRule="auto"/>
                              <w:ind w:left="590" w:hanging="245"/>
                              <w:jc w:val="both"/>
                              <w:rPr>
                                <w:rFonts w:eastAsia="+mn-ea" w:cs="+mn-cs"/>
                                <w:color w:val="019648"/>
                                <w:kern w:val="24"/>
                                <w:sz w:val="20"/>
                                <w:szCs w:val="20"/>
                              </w:rPr>
                            </w:pPr>
                            <w:r>
                              <w:rPr>
                                <w:color w:val="019648"/>
                                <w:sz w:val="20"/>
                              </w:rPr>
                              <w:sym w:font="Wingdings" w:char="F09F"/>
                            </w:r>
                            <w:r>
                              <w:tab/>
                            </w:r>
                            <w:r>
                              <w:rPr>
                                <w:sz w:val="20"/>
                              </w:rPr>
                              <w:t>контактують з особою з резистентністю до протитуберкульозних препаратів, включаючи нові та перепрофільовані препарати; або</w:t>
                            </w:r>
                          </w:p>
                          <w:p w14:paraId="0672802B" w14:textId="7A7D1226" w:rsidR="009D0C1D" w:rsidRDefault="009D0C1D" w:rsidP="00E4138A">
                            <w:pPr>
                              <w:spacing w:after="56" w:line="312" w:lineRule="auto"/>
                              <w:ind w:left="590" w:hanging="245"/>
                              <w:jc w:val="both"/>
                              <w:rPr>
                                <w:rFonts w:eastAsia="+mn-ea" w:cs="+mn-cs"/>
                                <w:color w:val="019648"/>
                                <w:kern w:val="24"/>
                                <w:sz w:val="20"/>
                                <w:szCs w:val="20"/>
                              </w:rPr>
                            </w:pPr>
                            <w:r>
                              <w:rPr>
                                <w:color w:val="019648"/>
                                <w:sz w:val="20"/>
                              </w:rPr>
                              <w:sym w:font="Wingdings" w:char="F09F"/>
                            </w:r>
                            <w:r>
                              <w:tab/>
                            </w:r>
                            <w:r>
                              <w:rPr>
                                <w:sz w:val="20"/>
                              </w:rPr>
                              <w:t>мають пре-ШЛС-ТБ з резистентністю до FQ.</w:t>
                            </w:r>
                          </w:p>
                          <w:p w14:paraId="71ABA2EC" w14:textId="140D8C8B" w:rsidR="009D0C1D" w:rsidRDefault="009D0C1D" w:rsidP="00454445">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Відповідно до вищезазначеної інформації, ця рекомендація є умовною через відсутність даних про переваги для здоров’я, змінний рівень достовірності доказів щодо діагностичної та неоптимальної точності для певних лікарських засобів, та обмежені та змінні докази про витрати, ефективність витрат та доцільність впровадження.</w:t>
                            </w:r>
                          </w:p>
                        </w:txbxContent>
                      </v:textbox>
                    </v:rect>
                  </w:pict>
                </mc:Fallback>
              </mc:AlternateContent>
            </w:r>
            <w:r>
              <w:rPr>
                <w:noProof/>
              </w:rPr>
              <w:drawing>
                <wp:inline distT="0" distB="0" distL="0" distR="0" wp14:anchorId="3485FE07" wp14:editId="136F2F88">
                  <wp:extent cx="5784850" cy="437388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71"/>
                          <a:stretch/>
                        </pic:blipFill>
                        <pic:spPr>
                          <a:xfrm>
                            <a:off x="0" y="0"/>
                            <a:ext cx="5784850" cy="4373880"/>
                          </a:xfrm>
                          <a:prstGeom prst="rect">
                            <a:avLst/>
                          </a:prstGeom>
                        </pic:spPr>
                      </pic:pic>
                    </a:graphicData>
                  </a:graphic>
                </wp:inline>
              </w:drawing>
            </w:r>
          </w:p>
        </w:tc>
      </w:tr>
      <w:tr w:rsidR="00366CB9" w14:paraId="55500323" w14:textId="77777777" w:rsidTr="00E80D3A">
        <w:trPr>
          <w:trHeight w:hRule="exact" w:val="6433"/>
        </w:trPr>
        <w:tc>
          <w:tcPr>
            <w:tcW w:w="9110" w:type="dxa"/>
            <w:shd w:val="clear" w:color="auto" w:fill="FFFFFF"/>
          </w:tcPr>
          <w:p w14:paraId="4CDDDD30" w14:textId="53BEA762" w:rsidR="00366CB9" w:rsidRPr="00E80D3A" w:rsidRDefault="009D0C1D" w:rsidP="00E80D3A">
            <w:pPr>
              <w:pStyle w:val="a6"/>
              <w:shd w:val="clear" w:color="auto" w:fill="auto"/>
              <w:spacing w:after="240" w:line="324" w:lineRule="auto"/>
              <w:rPr>
                <w:sz w:val="18"/>
                <w:szCs w:val="18"/>
              </w:rPr>
            </w:pPr>
            <w:bookmarkStart w:id="56" w:name="bookmark53"/>
            <w:r w:rsidRPr="00E80D3A">
              <w:rPr>
                <w:b w:val="0"/>
                <w:color w:val="000000"/>
                <w:sz w:val="18"/>
                <w:szCs w:val="24"/>
              </w:rPr>
              <w:t>Усі продукти, рекомендовані ВООЗ, має бути автоматично включено до переліку основних діагностичних засобів ВООЗ. Рекомендації ВООЗ щодо діагностики засновані на результатах клінічних досліджень; вони не включають оцінку якості продуктів або процесу виробництва. Перед впровадженням будь-яких нових продуктів необхідно переконатись, що ці продукти відповідають місцевим або міжнародним регуляторним вимогам.</w:t>
            </w:r>
            <w:bookmarkEnd w:id="56"/>
          </w:p>
          <w:p w14:paraId="767B67D4" w14:textId="5800AB11" w:rsidR="00366CB9" w:rsidRDefault="009D0C1D" w:rsidP="00E80D3A">
            <w:pPr>
              <w:pStyle w:val="a6"/>
              <w:shd w:val="clear" w:color="auto" w:fill="auto"/>
              <w:spacing w:after="160" w:line="262" w:lineRule="auto"/>
              <w:rPr>
                <w:sz w:val="36"/>
                <w:szCs w:val="36"/>
              </w:rPr>
            </w:pPr>
            <w:bookmarkStart w:id="57" w:name="bookmark54"/>
            <w:r>
              <w:rPr>
                <w:b w:val="0"/>
                <w:color w:val="019648"/>
                <w:sz w:val="36"/>
              </w:rPr>
              <w:t>2.5 Методи фенотипового та генотипового тестування медикаментозної резистентності</w:t>
            </w:r>
            <w:bookmarkEnd w:id="57"/>
          </w:p>
          <w:p w14:paraId="774B37B5" w14:textId="77777777" w:rsidR="00366CB9" w:rsidRDefault="009D0C1D" w:rsidP="00E80D3A">
            <w:pPr>
              <w:pStyle w:val="a6"/>
              <w:shd w:val="clear" w:color="auto" w:fill="auto"/>
              <w:spacing w:after="200"/>
            </w:pPr>
            <w:bookmarkStart w:id="58" w:name="bookmark55"/>
            <w:r>
              <w:rPr>
                <w:b w:val="0"/>
                <w:color w:val="019648"/>
              </w:rPr>
              <w:t>2.5.1 Фенотипове ТМЧ</w:t>
            </w:r>
            <w:bookmarkEnd w:id="58"/>
          </w:p>
          <w:p w14:paraId="1BA51929" w14:textId="71E9FB2C" w:rsidR="00366CB9" w:rsidRPr="00E80D3A" w:rsidRDefault="009D0C1D" w:rsidP="00E80D3A">
            <w:pPr>
              <w:pStyle w:val="a6"/>
              <w:shd w:val="clear" w:color="auto" w:fill="auto"/>
              <w:spacing w:after="160" w:line="324" w:lineRule="auto"/>
              <w:rPr>
                <w:sz w:val="18"/>
                <w:szCs w:val="18"/>
              </w:rPr>
            </w:pPr>
            <w:r w:rsidRPr="00E80D3A">
              <w:rPr>
                <w:b w:val="0"/>
                <w:color w:val="000000"/>
                <w:sz w:val="18"/>
                <w:szCs w:val="24"/>
              </w:rPr>
              <w:t>Лікування ТБ за останні роки суттєво змінилось, рекомендуються нові лікарські засоби та схеми лікування; тому визначення ЛС-ТБ були переглянуті належним чином. Оновлені визначення (</w:t>
            </w:r>
            <w:hyperlink w:anchor="bookmark196" w:tooltip="Поточний документ">
              <w:r w:rsidR="00366CB9" w:rsidRPr="00E80D3A">
                <w:rPr>
                  <w:b w:val="0"/>
                  <w:color w:val="000000"/>
                  <w:sz w:val="18"/>
                  <w:szCs w:val="24"/>
                </w:rPr>
                <w:t>26</w:t>
              </w:r>
            </w:hyperlink>
            <w:r w:rsidRPr="00E80D3A">
              <w:rPr>
                <w:b w:val="0"/>
                <w:color w:val="000000"/>
                <w:sz w:val="18"/>
                <w:szCs w:val="24"/>
              </w:rPr>
              <w:t>):</w:t>
            </w:r>
          </w:p>
          <w:p w14:paraId="27C2FDDB" w14:textId="32B2983D" w:rsidR="00366CB9" w:rsidRPr="00E80D3A" w:rsidRDefault="009D0C1D" w:rsidP="00E80D3A">
            <w:pPr>
              <w:pStyle w:val="a6"/>
              <w:shd w:val="clear" w:color="auto" w:fill="auto"/>
              <w:spacing w:line="322" w:lineRule="auto"/>
              <w:ind w:left="272" w:hanging="240"/>
              <w:rPr>
                <w:sz w:val="18"/>
                <w:szCs w:val="18"/>
              </w:rPr>
            </w:pPr>
            <w:r w:rsidRPr="00E80D3A">
              <w:rPr>
                <w:b w:val="0"/>
                <w:color w:val="019648"/>
                <w:sz w:val="18"/>
                <w:szCs w:val="24"/>
              </w:rPr>
              <w:t>•</w:t>
            </w:r>
            <w:r w:rsidR="00E4138A" w:rsidRPr="00E80D3A">
              <w:rPr>
                <w:sz w:val="24"/>
                <w:szCs w:val="24"/>
              </w:rPr>
              <w:tab/>
            </w:r>
            <w:r w:rsidRPr="00E80D3A">
              <w:rPr>
                <w:b w:val="0"/>
                <w:color w:val="000000"/>
                <w:sz w:val="18"/>
                <w:szCs w:val="24"/>
              </w:rPr>
              <w:t xml:space="preserve">пре-ШЛС-ТБ – це ТБ, спричинений штамами </w:t>
            </w:r>
            <w:r w:rsidRPr="00E80D3A">
              <w:rPr>
                <w:b w:val="0"/>
                <w:i/>
                <w:color w:val="000000"/>
                <w:sz w:val="18"/>
                <w:szCs w:val="24"/>
              </w:rPr>
              <w:t xml:space="preserve">M. tuberculosis, </w:t>
            </w:r>
            <w:r w:rsidRPr="00E80D3A">
              <w:rPr>
                <w:b w:val="0"/>
                <w:color w:val="000000"/>
                <w:sz w:val="18"/>
                <w:szCs w:val="24"/>
              </w:rPr>
              <w:t>що відповідають визначенню МЛС/Риф-ТБ та також є резистентними до FQ; та</w:t>
            </w:r>
          </w:p>
          <w:p w14:paraId="7E918ABA" w14:textId="1647A00F" w:rsidR="00366CB9" w:rsidRPr="00E80D3A" w:rsidRDefault="009D0C1D" w:rsidP="00E80D3A">
            <w:pPr>
              <w:pStyle w:val="a6"/>
              <w:shd w:val="clear" w:color="auto" w:fill="auto"/>
              <w:spacing w:after="160" w:line="322" w:lineRule="auto"/>
              <w:ind w:left="272" w:hanging="240"/>
              <w:rPr>
                <w:sz w:val="18"/>
                <w:szCs w:val="18"/>
              </w:rPr>
            </w:pPr>
            <w:r w:rsidRPr="00E80D3A">
              <w:rPr>
                <w:b w:val="0"/>
                <w:color w:val="019648"/>
                <w:sz w:val="18"/>
                <w:szCs w:val="24"/>
              </w:rPr>
              <w:t>•</w:t>
            </w:r>
            <w:r w:rsidR="00E4138A" w:rsidRPr="00E80D3A">
              <w:rPr>
                <w:sz w:val="24"/>
                <w:szCs w:val="24"/>
              </w:rPr>
              <w:tab/>
            </w:r>
            <w:r w:rsidRPr="00E80D3A">
              <w:rPr>
                <w:b w:val="0"/>
                <w:color w:val="000000"/>
                <w:sz w:val="18"/>
                <w:szCs w:val="24"/>
              </w:rPr>
              <w:t xml:space="preserve">ШЛС-ТБ – це ТБ, спричинений штамами </w:t>
            </w:r>
            <w:r w:rsidRPr="00E80D3A">
              <w:rPr>
                <w:b w:val="0"/>
                <w:i/>
                <w:color w:val="000000"/>
                <w:sz w:val="18"/>
                <w:szCs w:val="24"/>
              </w:rPr>
              <w:t xml:space="preserve">M. tuberculosis, </w:t>
            </w:r>
            <w:r w:rsidRPr="00E80D3A">
              <w:rPr>
                <w:b w:val="0"/>
                <w:color w:val="000000"/>
                <w:sz w:val="18"/>
                <w:szCs w:val="24"/>
              </w:rPr>
              <w:t>що відповідають визначенню МЛС/Риф-ТБ та також є резистентними до FQ та принаймні до ще одного лікарського засобу групи А (тобто BDQ або LZD).</w:t>
            </w:r>
          </w:p>
          <w:p w14:paraId="30840F69" w14:textId="22FD33E6" w:rsidR="00366CB9" w:rsidRDefault="009D0C1D" w:rsidP="00E80D3A">
            <w:pPr>
              <w:pStyle w:val="a6"/>
              <w:shd w:val="clear" w:color="auto" w:fill="auto"/>
              <w:spacing w:after="180" w:line="324" w:lineRule="auto"/>
              <w:rPr>
                <w:sz w:val="20"/>
                <w:szCs w:val="20"/>
              </w:rPr>
            </w:pPr>
            <w:r w:rsidRPr="00E80D3A">
              <w:rPr>
                <w:b w:val="0"/>
                <w:color w:val="000000"/>
                <w:sz w:val="18"/>
                <w:szCs w:val="24"/>
              </w:rPr>
              <w:t>Ці зміни мають значення для держав-членів, зокрема для покращення виявлення резистентності до FQ та BDQ. Крім того, зростає попит на ТМЧ для інших нових та перепрофільованих препаратів.</w:t>
            </w:r>
          </w:p>
        </w:tc>
      </w:tr>
    </w:tbl>
    <w:p w14:paraId="7995474E" w14:textId="1321224D"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6EDD6342" w14:textId="77777777" w:rsidR="00366CB9" w:rsidRDefault="00366CB9" w:rsidP="00425523">
      <w:pPr>
        <w:spacing w:line="1" w:lineRule="exact"/>
      </w:pPr>
    </w:p>
    <w:tbl>
      <w:tblPr>
        <w:tblOverlap w:val="never"/>
        <w:tblW w:w="9166" w:type="dxa"/>
        <w:tblLayout w:type="fixed"/>
        <w:tblCellMar>
          <w:left w:w="10" w:type="dxa"/>
          <w:right w:w="10" w:type="dxa"/>
        </w:tblCellMar>
        <w:tblLook w:val="0000" w:firstRow="0" w:lastRow="0" w:firstColumn="0" w:lastColumn="0" w:noHBand="0" w:noVBand="0"/>
      </w:tblPr>
      <w:tblGrid>
        <w:gridCol w:w="9166"/>
      </w:tblGrid>
      <w:tr w:rsidR="00366CB9" w14:paraId="32CA4999" w14:textId="77777777" w:rsidTr="00E4138A">
        <w:trPr>
          <w:trHeight w:val="3156"/>
        </w:trPr>
        <w:tc>
          <w:tcPr>
            <w:tcW w:w="9166" w:type="dxa"/>
            <w:shd w:val="clear" w:color="auto" w:fill="FFFFFF"/>
          </w:tcPr>
          <w:p w14:paraId="3E35D8C8" w14:textId="77777777" w:rsidR="00366CB9" w:rsidRPr="00E80D3A" w:rsidRDefault="009D0C1D" w:rsidP="003323FC">
            <w:pPr>
              <w:pStyle w:val="a6"/>
              <w:shd w:val="clear" w:color="auto" w:fill="auto"/>
              <w:spacing w:line="324" w:lineRule="auto"/>
              <w:jc w:val="both"/>
              <w:rPr>
                <w:sz w:val="18"/>
                <w:szCs w:val="24"/>
              </w:rPr>
            </w:pPr>
            <w:r w:rsidRPr="00E80D3A">
              <w:rPr>
                <w:b w:val="0"/>
                <w:color w:val="000000"/>
                <w:sz w:val="18"/>
                <w:szCs w:val="24"/>
              </w:rPr>
              <w:t>Непряме фенотипове ТМЧ на твердих (СЛЄ, агар 7H10, агар 7H11) та рідких середовищах (бульйон 7H9, система BACTEC Mycobacterial Growth Indicator Tube [MGIT]) є надійним та відтворюваним стандартом для багатьох протитуберкульозних препаратів (</w:t>
            </w:r>
            <w:hyperlink w:anchor="bookmark196" w:tooltip="Поточний документ">
              <w:r w:rsidR="00366CB9" w:rsidRPr="00E80D3A">
                <w:rPr>
                  <w:b w:val="0"/>
                  <w:color w:val="000000"/>
                  <w:sz w:val="18"/>
                  <w:szCs w:val="24"/>
                </w:rPr>
                <w:t>27</w:t>
              </w:r>
            </w:hyperlink>
            <w:r w:rsidRPr="00E80D3A">
              <w:rPr>
                <w:b w:val="0"/>
                <w:color w:val="000000"/>
                <w:sz w:val="18"/>
                <w:szCs w:val="24"/>
              </w:rPr>
              <w:t xml:space="preserve">). У посібнику з ТМЧ у </w:t>
            </w:r>
            <w:hyperlink r:id="rId72" w:history="1">
              <w:r w:rsidR="00366CB9" w:rsidRPr="00E80D3A">
                <w:rPr>
                  <w:color w:val="000000"/>
                  <w:sz w:val="18"/>
                  <w:szCs w:val="24"/>
                </w:rPr>
                <w:t>Вебдодатку C</w:t>
              </w:r>
            </w:hyperlink>
            <w:r w:rsidRPr="00E80D3A">
              <w:rPr>
                <w:b w:val="0"/>
                <w:color w:val="000000"/>
                <w:sz w:val="18"/>
                <w:szCs w:val="24"/>
              </w:rPr>
              <w:t xml:space="preserve"> зібрано рекомендації ВООЗ щодо фенотипового та генотипового ТМЧ, а також критичні концентрації для Pa та Cs, що були встановлені у 2023 році (</w:t>
            </w:r>
            <w:r w:rsidRPr="00E80D3A">
              <w:rPr>
                <w:color w:val="000000"/>
                <w:sz w:val="18"/>
                <w:szCs w:val="24"/>
              </w:rPr>
              <w:t>Вставка 2.1</w:t>
            </w:r>
            <w:r w:rsidRPr="00E80D3A">
              <w:rPr>
                <w:b w:val="0"/>
                <w:color w:val="000000"/>
                <w:sz w:val="18"/>
                <w:szCs w:val="24"/>
              </w:rPr>
              <w:t>1). Надійні методи фенотипового ТМЧ представлені для RIF, INH, FQ, PZA, BDQ, LZD, AMK, STR CFZ, DLM, Pa та Cs. Фенотипове ТМЧ наразі не рекомендовано для EMB, ETO, протіонаміду, пара-аміносаліцилової кислоти (ПАК), іміпенем-циластатину та меропенему (MPM). У посібнику також міститься інформація про джерела чистих порошків для фенотипового ТМЧ, детальна інформація про методи приготування середовищ, що містять лікарські засоби, тлумачення та звітування про результати, а також контроль якості (КЯ).</w:t>
            </w:r>
          </w:p>
        </w:tc>
      </w:tr>
      <w:tr w:rsidR="00366CB9" w14:paraId="741CD6E6" w14:textId="77777777" w:rsidTr="00E4138A">
        <w:trPr>
          <w:trHeight w:hRule="exact" w:val="11071"/>
        </w:trPr>
        <w:tc>
          <w:tcPr>
            <w:tcW w:w="9166" w:type="dxa"/>
            <w:shd w:val="clear" w:color="auto" w:fill="FFFFFF"/>
          </w:tcPr>
          <w:p w14:paraId="15763D5D" w14:textId="545208E6" w:rsidR="00366CB9" w:rsidRDefault="00454445" w:rsidP="003323FC">
            <w:pPr>
              <w:rPr>
                <w:sz w:val="2"/>
                <w:szCs w:val="2"/>
              </w:rPr>
            </w:pPr>
            <w:r>
              <w:rPr>
                <w:noProof/>
              </w:rPr>
              <mc:AlternateContent>
                <mc:Choice Requires="wps">
                  <w:drawing>
                    <wp:anchor distT="0" distB="0" distL="114300" distR="114300" simplePos="0" relativeHeight="251506688" behindDoc="0" locked="0" layoutInCell="1" allowOverlap="1" wp14:anchorId="29DE757A" wp14:editId="76D869AB">
                      <wp:simplePos x="0" y="0"/>
                      <wp:positionH relativeFrom="column">
                        <wp:posOffset>341630</wp:posOffset>
                      </wp:positionH>
                      <wp:positionV relativeFrom="paragraph">
                        <wp:posOffset>791845</wp:posOffset>
                      </wp:positionV>
                      <wp:extent cx="5341620" cy="5867400"/>
                      <wp:effectExtent l="0" t="0" r="0" b="0"/>
                      <wp:wrapNone/>
                      <wp:docPr id="278738273" name="Прямокутник 3"/>
                      <wp:cNvGraphicFramePr/>
                      <a:graphic xmlns:a="http://schemas.openxmlformats.org/drawingml/2006/main">
                        <a:graphicData uri="http://schemas.microsoft.com/office/word/2010/wordprocessingShape">
                          <wps:wsp>
                            <wps:cNvSpPr/>
                            <wps:spPr>
                              <a:xfrm>
                                <a:off x="0" y="0"/>
                                <a:ext cx="5341620" cy="5867400"/>
                              </a:xfrm>
                              <a:prstGeom prst="rect">
                                <a:avLst/>
                              </a:prstGeom>
                              <a:solidFill>
                                <a:srgbClr val="C6E0CE"/>
                              </a:solidFill>
                            </wps:spPr>
                            <wps:txbx>
                              <w:txbxContent>
                                <w:p w14:paraId="55E586DC" w14:textId="77777777" w:rsidR="009D0C1D" w:rsidRDefault="009D0C1D" w:rsidP="00454445">
                                  <w:pPr>
                                    <w:spacing w:after="28" w:line="314" w:lineRule="auto"/>
                                    <w:jc w:val="both"/>
                                    <w:rPr>
                                      <w:rFonts w:eastAsia="+mn-ea" w:cs="+mn-cs"/>
                                      <w:kern w:val="24"/>
                                      <w:sz w:val="20"/>
                                      <w:szCs w:val="20"/>
                                    </w:rPr>
                                  </w:pPr>
                                  <w:r>
                                    <w:rPr>
                                      <w:sz w:val="20"/>
                                    </w:rPr>
                                    <w:t>Pa та Cs застосовуються для лікування осіб з ЛС-ТБ, але не було встановлено методу фенотипового ТМЧ або критеріїв тлумачення для визначення резистентності. Для усунення цієї прогалини на початку було встановлення КК для цих лікарських засобів, враховуючи епідеміологічні порогові значення та фармакокінетичні (ФК), фармакодинамічні (ФД) та клінічні дані, за можливості.</w:t>
                                  </w:r>
                                </w:p>
                                <w:p w14:paraId="61737A24" w14:textId="77777777" w:rsidR="009D0C1D" w:rsidRDefault="009D0C1D" w:rsidP="00454445">
                                  <w:pPr>
                                    <w:spacing w:after="28" w:line="316" w:lineRule="auto"/>
                                    <w:jc w:val="both"/>
                                    <w:rPr>
                                      <w:rFonts w:eastAsia="+mn-ea" w:cs="+mn-cs"/>
                                      <w:kern w:val="24"/>
                                      <w:sz w:val="20"/>
                                      <w:szCs w:val="20"/>
                                    </w:rPr>
                                  </w:pPr>
                                  <w:r>
                                    <w:rPr>
                                      <w:sz w:val="20"/>
                                    </w:rPr>
                                    <w:t>ВООЗ ініціювала систематичний пошук та аналіз наявних доказів, згодом оцінені ТКГ.</w:t>
                                  </w:r>
                                </w:p>
                                <w:p w14:paraId="26219737" w14:textId="77777777" w:rsidR="009D0C1D" w:rsidRDefault="009D0C1D" w:rsidP="00454445">
                                  <w:pPr>
                                    <w:spacing w:after="28" w:line="316" w:lineRule="auto"/>
                                    <w:jc w:val="both"/>
                                    <w:rPr>
                                      <w:rFonts w:eastAsia="+mn-ea" w:cs="+mn-cs"/>
                                      <w:kern w:val="24"/>
                                      <w:sz w:val="20"/>
                                      <w:szCs w:val="20"/>
                                    </w:rPr>
                                  </w:pPr>
                                  <w:r>
                                    <w:rPr>
                                      <w:sz w:val="20"/>
                                    </w:rPr>
                                    <w:t>Після перевірки доказів та рекомендацій ТКГ, ВООЗ зробила такі програмні заяви:</w:t>
                                  </w:r>
                                </w:p>
                                <w:p w14:paraId="71B2CE2D" w14:textId="54CD3A55" w:rsidR="009D0C1D" w:rsidRDefault="009D0C1D" w:rsidP="00E4138A">
                                  <w:pPr>
                                    <w:spacing w:after="28" w:line="312" w:lineRule="auto"/>
                                    <w:ind w:left="284" w:hanging="284"/>
                                    <w:jc w:val="both"/>
                                    <w:rPr>
                                      <w:rFonts w:eastAsia="+mn-ea" w:cs="+mn-cs"/>
                                      <w:kern w:val="24"/>
                                      <w:sz w:val="20"/>
                                      <w:szCs w:val="20"/>
                                    </w:rPr>
                                  </w:pPr>
                                  <w:r>
                                    <w:rPr>
                                      <w:sz w:val="20"/>
                                    </w:rPr>
                                    <w:t xml:space="preserve">1. </w:t>
                                  </w:r>
                                  <w:r>
                                    <w:tab/>
                                  </w:r>
                                  <w:r>
                                    <w:rPr>
                                      <w:sz w:val="20"/>
                                    </w:rPr>
                                    <w:t>Для ТМЧ претоманіду необхідно застосовувати дві тестові концентрації (0,5 та 2,0 мг/л) за методом MGIT з таким тлумаченням результатів:</w:t>
                                  </w:r>
                                </w:p>
                                <w:p w14:paraId="739C9333" w14:textId="7B782EA5" w:rsidR="009D0C1D" w:rsidRDefault="009D0C1D" w:rsidP="00E4138A">
                                  <w:pPr>
                                    <w:spacing w:after="28" w:line="314" w:lineRule="auto"/>
                                    <w:ind w:left="426" w:hanging="426"/>
                                    <w:rPr>
                                      <w:rFonts w:eastAsia="+mn-ea" w:cs="+mn-cs"/>
                                      <w:color w:val="019648"/>
                                      <w:kern w:val="24"/>
                                      <w:sz w:val="20"/>
                                      <w:szCs w:val="20"/>
                                    </w:rPr>
                                  </w:pPr>
                                  <w:r>
                                    <w:rPr>
                                      <w:rFonts w:ascii="Wingdings" w:hAnsi="Wingdings"/>
                                      <w:color w:val="019648"/>
                                    </w:rPr>
                                    <w:t></w:t>
                                  </w:r>
                                  <w:r>
                                    <w:tab/>
                                  </w:r>
                                  <w:r>
                                    <w:rPr>
                                      <w:sz w:val="20"/>
                                    </w:rPr>
                                    <w:t>відсутність росту при 0,5 мг/л = чутливість;</w:t>
                                  </w:r>
                                </w:p>
                                <w:p w14:paraId="58C7F94C" w14:textId="208AF18D" w:rsidR="009D0C1D" w:rsidRDefault="009D0C1D" w:rsidP="00E4138A">
                                  <w:pPr>
                                    <w:spacing w:after="28" w:line="314" w:lineRule="auto"/>
                                    <w:ind w:left="426" w:hanging="426"/>
                                    <w:jc w:val="both"/>
                                    <w:rPr>
                                      <w:rFonts w:eastAsia="+mn-ea" w:cs="+mn-cs"/>
                                      <w:color w:val="019648"/>
                                      <w:kern w:val="24"/>
                                      <w:sz w:val="20"/>
                                      <w:szCs w:val="20"/>
                                    </w:rPr>
                                  </w:pPr>
                                  <w:r>
                                    <w:rPr>
                                      <w:rFonts w:ascii="Wingdings" w:hAnsi="Wingdings"/>
                                      <w:color w:val="019648"/>
                                    </w:rPr>
                                    <w:t></w:t>
                                  </w:r>
                                  <w:r>
                                    <w:tab/>
                                  </w:r>
                                  <w:r>
                                    <w:rPr>
                                      <w:sz w:val="20"/>
                                    </w:rPr>
                                    <w:t>ріст при 0,5 мг/л та відсутність росту при 2,0 мг/л = чутливість (з додаванням коментаря до лабораторного звіту із зазначенням наявності невизначеного тлумачення цього результату та необхідності подальшого спостереження за пацієнтом); та</w:t>
                                  </w:r>
                                </w:p>
                                <w:p w14:paraId="0AB3B680" w14:textId="67D057B0" w:rsidR="009D0C1D" w:rsidRDefault="009D0C1D" w:rsidP="00E4138A">
                                  <w:pPr>
                                    <w:spacing w:after="70" w:line="314" w:lineRule="auto"/>
                                    <w:ind w:left="426" w:hanging="426"/>
                                    <w:rPr>
                                      <w:rFonts w:eastAsia="+mn-ea" w:cs="+mn-cs"/>
                                      <w:color w:val="019648"/>
                                      <w:kern w:val="24"/>
                                      <w:sz w:val="20"/>
                                      <w:szCs w:val="20"/>
                                    </w:rPr>
                                  </w:pPr>
                                  <w:r>
                                    <w:rPr>
                                      <w:rFonts w:ascii="Wingdings" w:hAnsi="Wingdings"/>
                                      <w:color w:val="019648"/>
                                    </w:rPr>
                                    <w:t></w:t>
                                  </w:r>
                                  <w:r>
                                    <w:tab/>
                                  </w:r>
                                  <w:r>
                                    <w:rPr>
                                      <w:sz w:val="20"/>
                                    </w:rPr>
                                    <w:t>ріст при 2,0 мг/л = резистентність.</w:t>
                                  </w:r>
                                </w:p>
                                <w:p w14:paraId="2B6CF078" w14:textId="1C35E1FA" w:rsidR="009D0C1D" w:rsidRDefault="009D0C1D" w:rsidP="00E4138A">
                                  <w:pPr>
                                    <w:spacing w:after="28" w:line="316" w:lineRule="auto"/>
                                    <w:ind w:left="284" w:hanging="284"/>
                                    <w:jc w:val="both"/>
                                    <w:rPr>
                                      <w:rFonts w:eastAsia="+mn-ea" w:cs="+mn-cs"/>
                                      <w:kern w:val="24"/>
                                      <w:sz w:val="20"/>
                                      <w:szCs w:val="20"/>
                                    </w:rPr>
                                  </w:pPr>
                                  <w:r>
                                    <w:rPr>
                                      <w:sz w:val="20"/>
                                    </w:rPr>
                                    <w:t xml:space="preserve">2. </w:t>
                                  </w:r>
                                  <w:r>
                                    <w:tab/>
                                  </w:r>
                                  <w:r>
                                    <w:rPr>
                                      <w:sz w:val="20"/>
                                    </w:rPr>
                                    <w:t>Для ТМЧ Cs необхідно застосовувати критичну концентрацію 16 мг/л за методом MGIT.</w:t>
                                  </w:r>
                                </w:p>
                                <w:p w14:paraId="0D51E644" w14:textId="77777777" w:rsidR="009D0C1D" w:rsidRDefault="009D0C1D" w:rsidP="00454445">
                                  <w:pPr>
                                    <w:spacing w:after="70" w:line="314" w:lineRule="auto"/>
                                    <w:rPr>
                                      <w:rFonts w:eastAsia="+mn-ea" w:cs="+mn-cs"/>
                                      <w:kern w:val="24"/>
                                      <w:sz w:val="20"/>
                                      <w:szCs w:val="20"/>
                                    </w:rPr>
                                  </w:pPr>
                                  <w:r>
                                    <w:rPr>
                                      <w:sz w:val="20"/>
                                    </w:rPr>
                                    <w:t>Примітки:</w:t>
                                  </w:r>
                                </w:p>
                                <w:p w14:paraId="19FB7ACC" w14:textId="0A5F1CE4" w:rsidR="009D0C1D" w:rsidRDefault="009D0C1D" w:rsidP="00E4138A">
                                  <w:pPr>
                                    <w:spacing w:after="28" w:line="316" w:lineRule="auto"/>
                                    <w:ind w:left="426" w:hanging="374"/>
                                    <w:jc w:val="both"/>
                                    <w:rPr>
                                      <w:rFonts w:eastAsia="+mn-ea" w:cs="+mn-cs"/>
                                      <w:color w:val="019648"/>
                                      <w:kern w:val="24"/>
                                      <w:sz w:val="20"/>
                                      <w:szCs w:val="20"/>
                                    </w:rPr>
                                  </w:pPr>
                                  <w:r>
                                    <w:rPr>
                                      <w:rFonts w:ascii="Wingdings" w:hAnsi="Wingdings"/>
                                      <w:color w:val="019648"/>
                                    </w:rPr>
                                    <w:t></w:t>
                                  </w:r>
                                  <w:r>
                                    <w:tab/>
                                  </w:r>
                                  <w:r>
                                    <w:rPr>
                                      <w:sz w:val="20"/>
                                    </w:rPr>
                                    <w:t xml:space="preserve">Ізоляти </w:t>
                                  </w:r>
                                  <w:r>
                                    <w:rPr>
                                      <w:i/>
                                      <w:iCs/>
                                      <w:sz w:val="20"/>
                                    </w:rPr>
                                    <w:t>Mtb</w:t>
                                  </w:r>
                                  <w:r>
                                    <w:rPr>
                                      <w:sz w:val="20"/>
                                    </w:rPr>
                                    <w:t xml:space="preserve"> лінії 1 часто демонструють мінімальні інгібуючі концентрації (МІК) у діапазоні 0,5-2,0 мг/л.</w:t>
                                  </w:r>
                                </w:p>
                                <w:p w14:paraId="5FA2B182" w14:textId="28BD0C36" w:rsidR="009D0C1D" w:rsidRDefault="009D0C1D" w:rsidP="00E4138A">
                                  <w:pPr>
                                    <w:spacing w:after="28" w:line="316" w:lineRule="auto"/>
                                    <w:ind w:left="426" w:hanging="374"/>
                                    <w:jc w:val="both"/>
                                    <w:rPr>
                                      <w:rFonts w:eastAsia="+mn-ea" w:cs="+mn-cs"/>
                                      <w:color w:val="019648"/>
                                      <w:kern w:val="24"/>
                                      <w:sz w:val="20"/>
                                      <w:szCs w:val="20"/>
                                    </w:rPr>
                                  </w:pPr>
                                  <w:r>
                                    <w:rPr>
                                      <w:rFonts w:ascii="Wingdings" w:hAnsi="Wingdings"/>
                                      <w:color w:val="019648"/>
                                    </w:rPr>
                                    <w:t></w:t>
                                  </w:r>
                                  <w:r>
                                    <w:tab/>
                                  </w:r>
                                  <w:r>
                                    <w:rPr>
                                      <w:sz w:val="20"/>
                                    </w:rPr>
                                    <w:t>Результати у цьому діапазоні важче тлумачити, а чутливість не є гарантованою</w:t>
                                  </w:r>
                                </w:p>
                                <w:p w14:paraId="7F80BA6A" w14:textId="6F6E833E" w:rsidR="009D0C1D" w:rsidRDefault="009D0C1D" w:rsidP="00E4138A">
                                  <w:pPr>
                                    <w:spacing w:after="28" w:line="314" w:lineRule="auto"/>
                                    <w:ind w:left="426" w:hanging="374"/>
                                    <w:jc w:val="both"/>
                                    <w:rPr>
                                      <w:rFonts w:eastAsia="+mn-ea" w:cs="+mn-cs"/>
                                      <w:color w:val="019648"/>
                                      <w:kern w:val="24"/>
                                      <w:sz w:val="20"/>
                                      <w:szCs w:val="20"/>
                                    </w:rPr>
                                  </w:pPr>
                                  <w:r>
                                    <w:rPr>
                                      <w:rFonts w:ascii="Wingdings" w:hAnsi="Wingdings"/>
                                      <w:color w:val="019648"/>
                                    </w:rPr>
                                    <w:t></w:t>
                                  </w:r>
                                  <w:r>
                                    <w:tab/>
                                  </w:r>
                                  <w:r>
                                    <w:rPr>
                                      <w:sz w:val="20"/>
                                    </w:rPr>
                                    <w:t>Комбіновані схеми BPaLM або BPaL можуть зберігати клінічну ефективність, навіть якщо МІК для Pa знаходиться в діапазоні 0,5-2,0 мг/л (низька доступність клінічних даних).</w:t>
                                  </w:r>
                                </w:p>
                                <w:p w14:paraId="087C6DD2" w14:textId="40A84F43" w:rsidR="009D0C1D" w:rsidRDefault="009D0C1D" w:rsidP="00E4138A">
                                  <w:pPr>
                                    <w:spacing w:line="314" w:lineRule="auto"/>
                                    <w:ind w:left="426" w:hanging="374"/>
                                    <w:jc w:val="both"/>
                                    <w:rPr>
                                      <w:rFonts w:eastAsia="+mn-ea" w:cs="+mn-cs"/>
                                      <w:color w:val="019648"/>
                                      <w:kern w:val="24"/>
                                      <w:sz w:val="20"/>
                                      <w:szCs w:val="20"/>
                                    </w:rPr>
                                  </w:pPr>
                                  <w:r>
                                    <w:rPr>
                                      <w:rFonts w:ascii="Wingdings" w:hAnsi="Wingdings"/>
                                      <w:color w:val="019648"/>
                                    </w:rPr>
                                    <w:t></w:t>
                                  </w:r>
                                  <w:r>
                                    <w:tab/>
                                  </w:r>
                                  <w:r>
                                    <w:rPr>
                                      <w:sz w:val="20"/>
                                    </w:rPr>
                                    <w:t>ВООЗ перегляне цю рекомендацію після появи додаткових клінічних доказів ефективності схем на основі Pa для ізолятів з МІК у діапазоні 0,5-2,0 мг/л.</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9DE757A" id="_x0000_s1128" style="position:absolute;margin-left:26.9pt;margin-top:62.35pt;width:420.6pt;height:462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" fillcolor="#c6e0ce" stroked="f">
                      <v:textbox inset="0,0,0,0">
                        <w:txbxContent>
                          <w:p w14:paraId="55E586DC" w14:textId="77777777" w:rsidR="009D0C1D" w:rsidRDefault="009D0C1D" w:rsidP="00454445">
                            <w:pPr>
                              <w:spacing w:after="28" w:line="314" w:lineRule="auto"/>
                              <w:jc w:val="both"/>
                              <w:rPr>
                                <w:rFonts w:eastAsia="+mn-ea" w:cs="+mn-cs"/>
                                <w:kern w:val="24"/>
                                <w:sz w:val="20"/>
                                <w:szCs w:val="20"/>
                              </w:rPr>
                            </w:pPr>
                            <w:r>
                              <w:rPr>
                                <w:sz w:val="20"/>
                              </w:rPr>
                              <w:t>Pa та Cs застосовуються для лікування осіб з ЛС-ТБ, але не було встановлено методу фенотипового ТМЧ або критеріїв тлумачення для визначення резистентності. Для усунення цієї прогалини на початку було встановлення КК для цих лікарських засобів, враховуючи епідеміологічні порогові значення та фармакокінетичні (ФК), фармакодинамічні (ФД) та клінічні дані, за можливості.</w:t>
                            </w:r>
                          </w:p>
                          <w:p w14:paraId="61737A24" w14:textId="77777777" w:rsidR="009D0C1D" w:rsidRDefault="009D0C1D" w:rsidP="00454445">
                            <w:pPr>
                              <w:spacing w:after="28" w:line="316" w:lineRule="auto"/>
                              <w:jc w:val="both"/>
                              <w:rPr>
                                <w:rFonts w:eastAsia="+mn-ea" w:cs="+mn-cs"/>
                                <w:kern w:val="24"/>
                                <w:sz w:val="20"/>
                                <w:szCs w:val="20"/>
                              </w:rPr>
                            </w:pPr>
                            <w:r>
                              <w:rPr>
                                <w:sz w:val="20"/>
                              </w:rPr>
                              <w:t>ВООЗ ініціювала систематичний пошук та аналіз наявних доказів, згодом оцінені ТКГ.</w:t>
                            </w:r>
                          </w:p>
                          <w:p w14:paraId="26219737" w14:textId="77777777" w:rsidR="009D0C1D" w:rsidRDefault="009D0C1D" w:rsidP="00454445">
                            <w:pPr>
                              <w:spacing w:after="28" w:line="316" w:lineRule="auto"/>
                              <w:jc w:val="both"/>
                              <w:rPr>
                                <w:rFonts w:eastAsia="+mn-ea" w:cs="+mn-cs"/>
                                <w:kern w:val="24"/>
                                <w:sz w:val="20"/>
                                <w:szCs w:val="20"/>
                              </w:rPr>
                            </w:pPr>
                            <w:r>
                              <w:rPr>
                                <w:sz w:val="20"/>
                              </w:rPr>
                              <w:t>Після перевірки доказів та рекомендацій ТКГ, ВООЗ зробила такі програмні заяви:</w:t>
                            </w:r>
                          </w:p>
                          <w:p w14:paraId="71B2CE2D" w14:textId="54CD3A55" w:rsidR="009D0C1D" w:rsidRDefault="009D0C1D" w:rsidP="00E4138A">
                            <w:pPr>
                              <w:spacing w:after="28" w:line="312" w:lineRule="auto"/>
                              <w:ind w:left="284" w:hanging="284"/>
                              <w:jc w:val="both"/>
                              <w:rPr>
                                <w:rFonts w:eastAsia="+mn-ea" w:cs="+mn-cs"/>
                                <w:kern w:val="24"/>
                                <w:sz w:val="20"/>
                                <w:szCs w:val="20"/>
                              </w:rPr>
                            </w:pPr>
                            <w:r>
                              <w:rPr>
                                <w:sz w:val="20"/>
                              </w:rPr>
                              <w:t xml:space="preserve">1. </w:t>
                            </w:r>
                            <w:r>
                              <w:tab/>
                            </w:r>
                            <w:r>
                              <w:rPr>
                                <w:sz w:val="20"/>
                              </w:rPr>
                              <w:t>Для ТМЧ претоманіду необхідно застосовувати дві тестові концентрації (0,5 та 2,0 мг/л) за методом MGIT з таким тлумаченням результатів:</w:t>
                            </w:r>
                          </w:p>
                          <w:p w14:paraId="739C9333" w14:textId="7B782EA5" w:rsidR="009D0C1D" w:rsidRDefault="009D0C1D" w:rsidP="00E4138A">
                            <w:pPr>
                              <w:spacing w:after="28" w:line="314" w:lineRule="auto"/>
                              <w:ind w:left="426" w:hanging="426"/>
                              <w:rPr>
                                <w:rFonts w:eastAsia="+mn-ea" w:cs="+mn-cs"/>
                                <w:color w:val="019648"/>
                                <w:kern w:val="24"/>
                                <w:sz w:val="20"/>
                                <w:szCs w:val="20"/>
                              </w:rPr>
                            </w:pPr>
                            <w:r>
                              <w:rPr>
                                <w:rFonts w:ascii="Wingdings" w:hAnsi="Wingdings"/>
                                <w:color w:val="019648"/>
                              </w:rPr>
                              <w:t></w:t>
                            </w:r>
                            <w:r>
                              <w:tab/>
                            </w:r>
                            <w:r>
                              <w:rPr>
                                <w:sz w:val="20"/>
                              </w:rPr>
                              <w:t>відсутність росту при 0,5 мг/л = чутливість;</w:t>
                            </w:r>
                          </w:p>
                          <w:p w14:paraId="58C7F94C" w14:textId="208AF18D" w:rsidR="009D0C1D" w:rsidRDefault="009D0C1D" w:rsidP="00E4138A">
                            <w:pPr>
                              <w:spacing w:after="28" w:line="314" w:lineRule="auto"/>
                              <w:ind w:left="426" w:hanging="426"/>
                              <w:jc w:val="both"/>
                              <w:rPr>
                                <w:rFonts w:eastAsia="+mn-ea" w:cs="+mn-cs"/>
                                <w:color w:val="019648"/>
                                <w:kern w:val="24"/>
                                <w:sz w:val="20"/>
                                <w:szCs w:val="20"/>
                              </w:rPr>
                            </w:pPr>
                            <w:r>
                              <w:rPr>
                                <w:rFonts w:ascii="Wingdings" w:hAnsi="Wingdings"/>
                                <w:color w:val="019648"/>
                              </w:rPr>
                              <w:t></w:t>
                            </w:r>
                            <w:r>
                              <w:tab/>
                            </w:r>
                            <w:r>
                              <w:rPr>
                                <w:sz w:val="20"/>
                              </w:rPr>
                              <w:t>ріст при 0,5 мг/л та відсутність росту при 2,0 мг/л = чутливість (з додаванням коментаря до лабораторного звіту із зазначенням наявності невизначеного тлумачення цього результату та необхідності подальшого спостереження за пацієнтом); та</w:t>
                            </w:r>
                          </w:p>
                          <w:p w14:paraId="0AB3B680" w14:textId="67D057B0" w:rsidR="009D0C1D" w:rsidRDefault="009D0C1D" w:rsidP="00E4138A">
                            <w:pPr>
                              <w:spacing w:after="70" w:line="314" w:lineRule="auto"/>
                              <w:ind w:left="426" w:hanging="426"/>
                              <w:rPr>
                                <w:rFonts w:eastAsia="+mn-ea" w:cs="+mn-cs"/>
                                <w:color w:val="019648"/>
                                <w:kern w:val="24"/>
                                <w:sz w:val="20"/>
                                <w:szCs w:val="20"/>
                              </w:rPr>
                            </w:pPr>
                            <w:r>
                              <w:rPr>
                                <w:rFonts w:ascii="Wingdings" w:hAnsi="Wingdings"/>
                                <w:color w:val="019648"/>
                              </w:rPr>
                              <w:t></w:t>
                            </w:r>
                            <w:r>
                              <w:tab/>
                            </w:r>
                            <w:r>
                              <w:rPr>
                                <w:sz w:val="20"/>
                              </w:rPr>
                              <w:t>ріст при 2,0 мг/л = резистентність.</w:t>
                            </w:r>
                          </w:p>
                          <w:p w14:paraId="2B6CF078" w14:textId="1C35E1FA" w:rsidR="009D0C1D" w:rsidRDefault="009D0C1D" w:rsidP="00E4138A">
                            <w:pPr>
                              <w:spacing w:after="28" w:line="316" w:lineRule="auto"/>
                              <w:ind w:left="284" w:hanging="284"/>
                              <w:jc w:val="both"/>
                              <w:rPr>
                                <w:rFonts w:eastAsia="+mn-ea" w:cs="+mn-cs"/>
                                <w:kern w:val="24"/>
                                <w:sz w:val="20"/>
                                <w:szCs w:val="20"/>
                              </w:rPr>
                            </w:pPr>
                            <w:r>
                              <w:rPr>
                                <w:sz w:val="20"/>
                              </w:rPr>
                              <w:t xml:space="preserve">2. </w:t>
                            </w:r>
                            <w:r>
                              <w:tab/>
                            </w:r>
                            <w:r>
                              <w:rPr>
                                <w:sz w:val="20"/>
                              </w:rPr>
                              <w:t>Для ТМЧ Cs необхідно застосовувати критичну концентрацію 16 мг/л за методом MGIT.</w:t>
                            </w:r>
                          </w:p>
                          <w:p w14:paraId="0D51E644" w14:textId="77777777" w:rsidR="009D0C1D" w:rsidRDefault="009D0C1D" w:rsidP="00454445">
                            <w:pPr>
                              <w:spacing w:after="70" w:line="314" w:lineRule="auto"/>
                              <w:rPr>
                                <w:rFonts w:eastAsia="+mn-ea" w:cs="+mn-cs"/>
                                <w:kern w:val="24"/>
                                <w:sz w:val="20"/>
                                <w:szCs w:val="20"/>
                              </w:rPr>
                            </w:pPr>
                            <w:r>
                              <w:rPr>
                                <w:sz w:val="20"/>
                              </w:rPr>
                              <w:t>Примітки:</w:t>
                            </w:r>
                          </w:p>
                          <w:p w14:paraId="19FB7ACC" w14:textId="0A5F1CE4" w:rsidR="009D0C1D" w:rsidRDefault="009D0C1D" w:rsidP="00E4138A">
                            <w:pPr>
                              <w:spacing w:after="28" w:line="316" w:lineRule="auto"/>
                              <w:ind w:left="426" w:hanging="374"/>
                              <w:jc w:val="both"/>
                              <w:rPr>
                                <w:rFonts w:eastAsia="+mn-ea" w:cs="+mn-cs"/>
                                <w:color w:val="019648"/>
                                <w:kern w:val="24"/>
                                <w:sz w:val="20"/>
                                <w:szCs w:val="20"/>
                              </w:rPr>
                            </w:pPr>
                            <w:r>
                              <w:rPr>
                                <w:rFonts w:ascii="Wingdings" w:hAnsi="Wingdings"/>
                                <w:color w:val="019648"/>
                              </w:rPr>
                              <w:t></w:t>
                            </w:r>
                            <w:r>
                              <w:tab/>
                            </w:r>
                            <w:r>
                              <w:rPr>
                                <w:sz w:val="20"/>
                              </w:rPr>
                              <w:t xml:space="preserve">Ізоляти </w:t>
                            </w:r>
                            <w:r>
                              <w:rPr>
                                <w:i/>
                                <w:iCs/>
                                <w:sz w:val="20"/>
                              </w:rPr>
                              <w:t>Mtb</w:t>
                            </w:r>
                            <w:r>
                              <w:rPr>
                                <w:sz w:val="20"/>
                              </w:rPr>
                              <w:t xml:space="preserve"> лінії 1 часто демонструють мінімальні інгібуючі концентрації (МІК) у діапазоні 0,5-2,0 мг/л.</w:t>
                            </w:r>
                          </w:p>
                          <w:p w14:paraId="5FA2B182" w14:textId="28BD0C36" w:rsidR="009D0C1D" w:rsidRDefault="009D0C1D" w:rsidP="00E4138A">
                            <w:pPr>
                              <w:spacing w:after="28" w:line="316" w:lineRule="auto"/>
                              <w:ind w:left="426" w:hanging="374"/>
                              <w:jc w:val="both"/>
                              <w:rPr>
                                <w:rFonts w:eastAsia="+mn-ea" w:cs="+mn-cs"/>
                                <w:color w:val="019648"/>
                                <w:kern w:val="24"/>
                                <w:sz w:val="20"/>
                                <w:szCs w:val="20"/>
                              </w:rPr>
                            </w:pPr>
                            <w:r>
                              <w:rPr>
                                <w:rFonts w:ascii="Wingdings" w:hAnsi="Wingdings"/>
                                <w:color w:val="019648"/>
                              </w:rPr>
                              <w:t></w:t>
                            </w:r>
                            <w:r>
                              <w:tab/>
                            </w:r>
                            <w:r>
                              <w:rPr>
                                <w:sz w:val="20"/>
                              </w:rPr>
                              <w:t>Результати у цьому діапазоні важче тлумачити, а чутливість не є гарантованою</w:t>
                            </w:r>
                          </w:p>
                          <w:p w14:paraId="7F80BA6A" w14:textId="6F6E833E" w:rsidR="009D0C1D" w:rsidRDefault="009D0C1D" w:rsidP="00E4138A">
                            <w:pPr>
                              <w:spacing w:after="28" w:line="314" w:lineRule="auto"/>
                              <w:ind w:left="426" w:hanging="374"/>
                              <w:jc w:val="both"/>
                              <w:rPr>
                                <w:rFonts w:eastAsia="+mn-ea" w:cs="+mn-cs"/>
                                <w:color w:val="019648"/>
                                <w:kern w:val="24"/>
                                <w:sz w:val="20"/>
                                <w:szCs w:val="20"/>
                              </w:rPr>
                            </w:pPr>
                            <w:r>
                              <w:rPr>
                                <w:rFonts w:ascii="Wingdings" w:hAnsi="Wingdings"/>
                                <w:color w:val="019648"/>
                              </w:rPr>
                              <w:t></w:t>
                            </w:r>
                            <w:r>
                              <w:tab/>
                            </w:r>
                            <w:r>
                              <w:rPr>
                                <w:sz w:val="20"/>
                              </w:rPr>
                              <w:t>Комбіновані схеми BPaLM або BPaL можуть зберігати клінічну ефективність, навіть якщо МІК для Pa знаходиться в діапазоні 0,5-2,0 мг/л (низька доступність клінічних даних).</w:t>
                            </w:r>
                          </w:p>
                          <w:p w14:paraId="087C6DD2" w14:textId="40A84F43" w:rsidR="009D0C1D" w:rsidRDefault="009D0C1D" w:rsidP="00E4138A">
                            <w:pPr>
                              <w:spacing w:line="314" w:lineRule="auto"/>
                              <w:ind w:left="426" w:hanging="374"/>
                              <w:jc w:val="both"/>
                              <w:rPr>
                                <w:rFonts w:eastAsia="+mn-ea" w:cs="+mn-cs"/>
                                <w:color w:val="019648"/>
                                <w:kern w:val="24"/>
                                <w:sz w:val="20"/>
                                <w:szCs w:val="20"/>
                              </w:rPr>
                            </w:pPr>
                            <w:r>
                              <w:rPr>
                                <w:rFonts w:ascii="Wingdings" w:hAnsi="Wingdings"/>
                                <w:color w:val="019648"/>
                              </w:rPr>
                              <w:t></w:t>
                            </w:r>
                            <w:r>
                              <w:tab/>
                            </w:r>
                            <w:r>
                              <w:rPr>
                                <w:sz w:val="20"/>
                              </w:rPr>
                              <w:t>ВООЗ перегляне цю рекомендацію після появи додаткових клінічних доказів ефективності схем на основі Pa для ізолятів з МІК у діапазоні 0,5-2,0 мг/л.</w:t>
                            </w:r>
                          </w:p>
                        </w:txbxContent>
                      </v:textbox>
                    </v:rect>
                  </w:pict>
                </mc:Fallback>
              </mc:AlternateContent>
            </w:r>
            <w:r>
              <w:rPr>
                <w:noProof/>
              </w:rPr>
              <mc:AlternateContent>
                <mc:Choice Requires="wps">
                  <w:drawing>
                    <wp:anchor distT="0" distB="0" distL="114300" distR="114300" simplePos="0" relativeHeight="251505664" behindDoc="0" locked="0" layoutInCell="1" allowOverlap="1" wp14:anchorId="34A54A64" wp14:editId="2980B9B4">
                      <wp:simplePos x="0" y="0"/>
                      <wp:positionH relativeFrom="column">
                        <wp:posOffset>113294</wp:posOffset>
                      </wp:positionH>
                      <wp:positionV relativeFrom="paragraph">
                        <wp:posOffset>273050</wp:posOffset>
                      </wp:positionV>
                      <wp:extent cx="5111115" cy="374650"/>
                      <wp:effectExtent l="0" t="0" r="0" b="6350"/>
                      <wp:wrapNone/>
                      <wp:docPr id="2107095103" name="Прямокутник 2"/>
                      <wp:cNvGraphicFramePr/>
                      <a:graphic xmlns:a="http://schemas.openxmlformats.org/drawingml/2006/main">
                        <a:graphicData uri="http://schemas.microsoft.com/office/word/2010/wordprocessingShape">
                          <wps:wsp>
                            <wps:cNvSpPr/>
                            <wps:spPr>
                              <a:xfrm>
                                <a:off x="0" y="0"/>
                                <a:ext cx="5111115" cy="374650"/>
                              </a:xfrm>
                              <a:prstGeom prst="rect">
                                <a:avLst/>
                              </a:prstGeom>
                              <a:solidFill>
                                <a:srgbClr val="009649"/>
                              </a:solidFill>
                            </wps:spPr>
                            <wps:txbx>
                              <w:txbxContent>
                                <w:p w14:paraId="152EAD0F" w14:textId="77777777" w:rsidR="009D0C1D" w:rsidRPr="0079021A" w:rsidRDefault="009D0C1D" w:rsidP="00454445">
                                  <w:pPr>
                                    <w:spacing w:line="312" w:lineRule="auto"/>
                                    <w:rPr>
                                      <w:rFonts w:eastAsia="+mn-ea" w:cs="+mn-cs"/>
                                      <w:b/>
                                      <w:bCs/>
                                      <w:color w:val="FFFFFF"/>
                                      <w:kern w:val="24"/>
                                      <w:sz w:val="20"/>
                                      <w:szCs w:val="20"/>
                                    </w:rPr>
                                  </w:pPr>
                                  <w:r>
                                    <w:rPr>
                                      <w:b/>
                                      <w:color w:val="FFFFFF"/>
                                      <w:sz w:val="20"/>
                                    </w:rPr>
                                    <w:t>Вставка 2.11. Програмна заява ВООЗ щодо оцінки критичних концентрацій претоманіду та циклосерину, 2023 рік</w:t>
                                  </w:r>
                                </w:p>
                              </w:txbxContent>
                            </wps:txbx>
                            <wps:bodyPr lIns="0" tIns="0" rIns="0" bIns="0">
                              <a:noAutofit/>
                            </wps:bodyPr>
                          </wps:wsp>
                        </a:graphicData>
                      </a:graphic>
                    </wp:anchor>
                  </w:drawing>
                </mc:Choice>
                <mc:Fallback>
                  <w:pict>
                    <v:rect w14:anchorId="34A54A64" id="_x0000_s1129" style="position:absolute;margin-left:8.9pt;margin-top:21.5pt;width:402.45pt;height:29.5pt;z-index:25150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" fillcolor="#009649" stroked="f">
                      <v:textbox inset="0,0,0,0">
                        <w:txbxContent>
                          <w:p w14:paraId="152EAD0F" w14:textId="77777777" w:rsidR="009D0C1D" w:rsidRPr="0079021A" w:rsidRDefault="009D0C1D" w:rsidP="00454445">
                            <w:pPr>
                              <w:spacing w:line="312" w:lineRule="auto"/>
                              <w:rPr>
                                <w:rFonts w:eastAsia="+mn-ea" w:cs="+mn-cs"/>
                                <w:b/>
                                <w:bCs/>
                                <w:color w:val="FFFFFF"/>
                                <w:kern w:val="24"/>
                                <w:sz w:val="20"/>
                                <w:szCs w:val="20"/>
                              </w:rPr>
                            </w:pPr>
                            <w:r>
                              <w:rPr>
                                <w:b/>
                                <w:color w:val="FFFFFF"/>
                                <w:sz w:val="20"/>
                              </w:rPr>
                              <w:t>Вставка 2.11. Програмна заява ВООЗ щодо оцінки критичних концентрацій претоманіду та циклосерину, 2023 рік</w:t>
                            </w:r>
                          </w:p>
                        </w:txbxContent>
                      </v:textbox>
                    </v:rect>
                  </w:pict>
                </mc:Fallback>
              </mc:AlternateContent>
            </w:r>
            <w:r>
              <w:rPr>
                <w:noProof/>
              </w:rPr>
              <w:drawing>
                <wp:inline distT="0" distB="0" distL="0" distR="0" wp14:anchorId="2B7F37D8" wp14:editId="5ECA74AB">
                  <wp:extent cx="5782310" cy="6819900"/>
                  <wp:effectExtent l="0" t="0" r="8890" b="381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73"/>
                          <a:stretch/>
                        </pic:blipFill>
                        <pic:spPr>
                          <a:xfrm>
                            <a:off x="0" y="0"/>
                            <a:ext cx="5782310" cy="6819900"/>
                          </a:xfrm>
                          <a:prstGeom prst="rect">
                            <a:avLst/>
                          </a:prstGeom>
                        </pic:spPr>
                      </pic:pic>
                    </a:graphicData>
                  </a:graphic>
                </wp:inline>
              </w:drawing>
            </w:r>
          </w:p>
        </w:tc>
      </w:tr>
    </w:tbl>
    <w:p w14:paraId="116D25A7" w14:textId="3B9DE9FD" w:rsidR="00366CB9" w:rsidRDefault="00366CB9" w:rsidP="00425523">
      <w:pPr>
        <w:spacing w:line="1" w:lineRule="exact"/>
        <w:sectPr w:rsidR="00366CB9" w:rsidSect="00E4138A">
          <w:type w:val="nextColumn"/>
          <w:pgSz w:w="11913" w:h="16840"/>
          <w:pgMar w:top="1469" w:right="1378" w:bottom="426" w:left="1372" w:header="0" w:footer="6" w:gutter="0"/>
          <w:paperSrc w:first="15" w:other="15"/>
          <w:cols w:space="720"/>
          <w:noEndnote/>
          <w:docGrid w:linePitch="360"/>
        </w:sectPr>
      </w:pPr>
    </w:p>
    <w:p w14:paraId="234A20F5" w14:textId="77777777" w:rsidR="00366CB9" w:rsidRDefault="00366CB9" w:rsidP="00425523">
      <w:pPr>
        <w:spacing w:line="1" w:lineRule="exact"/>
      </w:pPr>
    </w:p>
    <w:p w14:paraId="6DDF0DB3" w14:textId="7B5EF4EC" w:rsidR="00366CB9" w:rsidRDefault="00D4401E" w:rsidP="003323FC">
      <w:pPr>
        <w:sectPr w:rsidR="00366CB9" w:rsidSect="00F03360">
          <w:type w:val="nextColumn"/>
          <w:pgSz w:w="11913" w:h="16840"/>
          <w:pgMar w:top="1469" w:right="1378" w:bottom="851" w:left="1372" w:header="0" w:footer="6" w:gutter="0"/>
          <w:paperSrc w:first="15" w:other="15"/>
          <w:cols w:space="720"/>
          <w:noEndnote/>
          <w:docGrid w:linePitch="360"/>
        </w:sectPr>
      </w:pPr>
      <w:r>
        <w:rPr>
          <w:noProof/>
        </w:rPr>
        <mc:AlternateContent>
          <mc:Choice Requires="wps">
            <w:drawing>
              <wp:anchor distT="0" distB="0" distL="114300" distR="114300" simplePos="0" relativeHeight="251507712" behindDoc="0" locked="0" layoutInCell="1" allowOverlap="1" wp14:anchorId="04E6F8B9" wp14:editId="4903FAF7">
                <wp:simplePos x="0" y="0"/>
                <wp:positionH relativeFrom="column">
                  <wp:posOffset>327804</wp:posOffset>
                </wp:positionH>
                <wp:positionV relativeFrom="paragraph">
                  <wp:posOffset>231643</wp:posOffset>
                </wp:positionV>
                <wp:extent cx="5242560" cy="8619744"/>
                <wp:effectExtent l="0" t="0" r="0" b="0"/>
                <wp:wrapNone/>
                <wp:docPr id="358084617" name="Прямокутник 2"/>
                <wp:cNvGraphicFramePr/>
                <a:graphic xmlns:a="http://schemas.openxmlformats.org/drawingml/2006/main">
                  <a:graphicData uri="http://schemas.microsoft.com/office/word/2010/wordprocessingShape">
                    <wps:wsp>
                      <wps:cNvSpPr/>
                      <wps:spPr>
                        <a:xfrm>
                          <a:off x="0" y="0"/>
                          <a:ext cx="5242560" cy="8619744"/>
                        </a:xfrm>
                        <a:prstGeom prst="rect">
                          <a:avLst/>
                        </a:prstGeom>
                        <a:solidFill>
                          <a:srgbClr val="C6E0CE"/>
                        </a:solidFill>
                      </wps:spPr>
                      <wps:txbx>
                        <w:txbxContent>
                          <w:p w14:paraId="1DD68EA5" w14:textId="77777777" w:rsidR="009D0C1D" w:rsidRPr="0079021A" w:rsidRDefault="009D0C1D" w:rsidP="00D4401E">
                            <w:pPr>
                              <w:spacing w:after="28" w:line="314" w:lineRule="auto"/>
                              <w:rPr>
                                <w:rFonts w:eastAsia="+mn-ea" w:cs="+mn-cs"/>
                                <w:b/>
                                <w:bCs/>
                                <w:kern w:val="24"/>
                                <w:sz w:val="20"/>
                                <w:szCs w:val="20"/>
                              </w:rPr>
                            </w:pPr>
                            <w:r>
                              <w:rPr>
                                <w:b/>
                                <w:sz w:val="20"/>
                              </w:rPr>
                              <w:t>Міркування щодо впровадження</w:t>
                            </w:r>
                          </w:p>
                          <w:p w14:paraId="4B2B14BA" w14:textId="77777777" w:rsidR="009D0C1D" w:rsidRDefault="009D0C1D" w:rsidP="00D4401E">
                            <w:pPr>
                              <w:spacing w:after="28" w:line="285" w:lineRule="auto"/>
                              <w:rPr>
                                <w:rFonts w:eastAsia="+mn-ea" w:cs="+mn-cs"/>
                                <w:kern w:val="24"/>
                                <w:sz w:val="22"/>
                                <w:szCs w:val="22"/>
                              </w:rPr>
                            </w:pPr>
                            <w:r>
                              <w:rPr>
                                <w:sz w:val="22"/>
                              </w:rPr>
                              <w:t>Міркування щодо впровадження для Pa</w:t>
                            </w:r>
                          </w:p>
                          <w:p w14:paraId="4EC6F3AB" w14:textId="1208E479" w:rsidR="009D0C1D" w:rsidRDefault="009D0C1D" w:rsidP="00854441">
                            <w:pPr>
                              <w:spacing w:after="28" w:line="314" w:lineRule="auto"/>
                              <w:ind w:left="403" w:hanging="403"/>
                              <w:rPr>
                                <w:rFonts w:eastAsia="+mn-ea" w:cs="+mn-cs"/>
                                <w:color w:val="019648"/>
                                <w:kern w:val="24"/>
                                <w:sz w:val="20"/>
                                <w:szCs w:val="20"/>
                              </w:rPr>
                            </w:pPr>
                            <w:r>
                              <w:rPr>
                                <w:rFonts w:ascii="Wingdings" w:hAnsi="Wingdings"/>
                                <w:color w:val="019648"/>
                              </w:rPr>
                              <w:t></w:t>
                            </w:r>
                            <w:r>
                              <w:tab/>
                            </w:r>
                            <w:r>
                              <w:rPr>
                                <w:sz w:val="20"/>
                              </w:rPr>
                              <w:t>Дві концентрації бажано тестувати одночасно. Послідовне тестування одного ізоляту засновано на місцевій частоті ізолятів L1 або ізолятів з МІК 0,5 мг/л або вище.</w:t>
                            </w:r>
                          </w:p>
                          <w:p w14:paraId="00D124C3" w14:textId="4AD2D956" w:rsidR="009D0C1D" w:rsidRDefault="009D0C1D" w:rsidP="00854441">
                            <w:pPr>
                              <w:spacing w:after="28" w:line="352" w:lineRule="auto"/>
                              <w:ind w:left="403" w:hanging="403"/>
                              <w:rPr>
                                <w:rFonts w:eastAsia="+mn-ea" w:cs="+mn-cs"/>
                                <w:kern w:val="24"/>
                                <w:sz w:val="20"/>
                                <w:szCs w:val="20"/>
                              </w:rPr>
                            </w:pPr>
                            <w:r>
                              <w:rPr>
                                <w:rFonts w:ascii="Wingdings" w:hAnsi="Wingdings"/>
                                <w:color w:val="019648"/>
                              </w:rPr>
                              <w:t></w:t>
                            </w:r>
                            <w:r>
                              <w:tab/>
                            </w:r>
                            <w:r>
                              <w:rPr>
                                <w:sz w:val="20"/>
                              </w:rPr>
                              <w:t xml:space="preserve">Рекомендації для ізолятів з МІК у діапазоні 0,5-2,0 мг/л: </w:t>
                            </w:r>
                          </w:p>
                          <w:p w14:paraId="1C751A76" w14:textId="1ECE029B" w:rsidR="009D0C1D" w:rsidRDefault="009D0C1D" w:rsidP="00854441">
                            <w:pPr>
                              <w:spacing w:after="28" w:line="352" w:lineRule="auto"/>
                              <w:ind w:left="709" w:hanging="283"/>
                              <w:rPr>
                                <w:rFonts w:eastAsia="+mn-ea" w:cs="+mn-cs"/>
                                <w:kern w:val="24"/>
                                <w:sz w:val="20"/>
                                <w:szCs w:val="20"/>
                              </w:rPr>
                            </w:pPr>
                            <w:r>
                              <w:rPr>
                                <w:color w:val="019648"/>
                                <w:sz w:val="20"/>
                              </w:rPr>
                              <w:sym w:font="Wingdings" w:char="F09F"/>
                            </w:r>
                            <w:r>
                              <w:rPr>
                                <w:color w:val="019648"/>
                                <w:sz w:val="20"/>
                              </w:rPr>
                              <w:t xml:space="preserve"> </w:t>
                            </w:r>
                            <w:r>
                              <w:tab/>
                            </w:r>
                            <w:r>
                              <w:rPr>
                                <w:sz w:val="20"/>
                              </w:rPr>
                              <w:t xml:space="preserve">продовжувати схему BPaL/M; та </w:t>
                            </w:r>
                          </w:p>
                          <w:p w14:paraId="417EC7A1" w14:textId="7CCB24F5" w:rsidR="009D0C1D" w:rsidRDefault="009D0C1D" w:rsidP="00854441">
                            <w:pPr>
                              <w:spacing w:after="28" w:line="352" w:lineRule="auto"/>
                              <w:ind w:left="709" w:hanging="283"/>
                              <w:rPr>
                                <w:rFonts w:eastAsia="+mn-ea" w:cs="+mn-cs"/>
                                <w:color w:val="019648"/>
                                <w:kern w:val="24"/>
                                <w:sz w:val="20"/>
                                <w:szCs w:val="20"/>
                              </w:rPr>
                            </w:pPr>
                            <w:r>
                              <w:rPr>
                                <w:color w:val="019648"/>
                                <w:sz w:val="20"/>
                              </w:rPr>
                              <w:sym w:font="Wingdings" w:char="F09F"/>
                            </w:r>
                            <w:r>
                              <w:rPr>
                                <w:color w:val="019648"/>
                                <w:sz w:val="20"/>
                              </w:rPr>
                              <w:t xml:space="preserve"> </w:t>
                            </w:r>
                            <w:r>
                              <w:tab/>
                            </w:r>
                            <w:r>
                              <w:rPr>
                                <w:sz w:val="20"/>
                              </w:rPr>
                              <w:t>продовжувати подальше спостереження – у разі поганої бактеріологічної або клінічної реакції, розглянути зміну схеми лікування (28).</w:t>
                            </w:r>
                          </w:p>
                          <w:p w14:paraId="37BD4388" w14:textId="77777777" w:rsidR="009D0C1D" w:rsidRDefault="009D0C1D" w:rsidP="00D4401E">
                            <w:pPr>
                              <w:spacing w:after="28" w:line="285" w:lineRule="auto"/>
                              <w:rPr>
                                <w:rFonts w:eastAsia="+mn-ea" w:cs="+mn-cs"/>
                                <w:kern w:val="24"/>
                                <w:sz w:val="22"/>
                                <w:szCs w:val="22"/>
                              </w:rPr>
                            </w:pPr>
                            <w:r>
                              <w:rPr>
                                <w:sz w:val="22"/>
                              </w:rPr>
                              <w:t>Міркування щодо впровадження для Cs</w:t>
                            </w:r>
                          </w:p>
                          <w:p w14:paraId="72D47C4A" w14:textId="6117A6EC" w:rsidR="009D0C1D" w:rsidRDefault="009D0C1D" w:rsidP="00D4401E">
                            <w:pPr>
                              <w:spacing w:after="28" w:line="312" w:lineRule="auto"/>
                              <w:ind w:left="403" w:hanging="403"/>
                              <w:rPr>
                                <w:rFonts w:eastAsia="+mn-ea" w:cs="+mn-cs"/>
                                <w:color w:val="019648"/>
                                <w:kern w:val="24"/>
                                <w:sz w:val="20"/>
                                <w:szCs w:val="20"/>
                              </w:rPr>
                            </w:pPr>
                            <w:r>
                              <w:rPr>
                                <w:rFonts w:ascii="Wingdings" w:hAnsi="Wingdings"/>
                                <w:color w:val="019648"/>
                              </w:rPr>
                              <w:t></w:t>
                            </w:r>
                            <w:r>
                              <w:tab/>
                            </w:r>
                            <w:r>
                              <w:rPr>
                                <w:sz w:val="20"/>
                              </w:rPr>
                              <w:t>Критичну концентрацію для Cs можна застосовувати як сурогатний показник резистентності до теризидону (TRD).</w:t>
                            </w:r>
                          </w:p>
                          <w:p w14:paraId="5CB11273" w14:textId="1BDE6EDC" w:rsidR="009D0C1D" w:rsidRDefault="009D0C1D" w:rsidP="00D4401E">
                            <w:pPr>
                              <w:spacing w:after="84" w:line="314" w:lineRule="auto"/>
                              <w:ind w:left="403" w:hanging="403"/>
                              <w:rPr>
                                <w:rFonts w:eastAsia="+mn-ea" w:cs="+mn-cs"/>
                                <w:color w:val="019648"/>
                                <w:kern w:val="24"/>
                                <w:sz w:val="20"/>
                                <w:szCs w:val="20"/>
                              </w:rPr>
                            </w:pPr>
                            <w:r>
                              <w:rPr>
                                <w:rFonts w:ascii="Wingdings" w:hAnsi="Wingdings"/>
                                <w:color w:val="019648"/>
                              </w:rPr>
                              <w:t></w:t>
                            </w:r>
                            <w:r>
                              <w:tab/>
                            </w:r>
                            <w:r>
                              <w:rPr>
                                <w:sz w:val="20"/>
                              </w:rPr>
                              <w:t>Враховуючи відому відсутність термостійкості Cs, вихідні розчини необхідно зберігати за температури від –80 °C до –60 °C (не за температури –20 °C) до 1 року, але їх не можна повторно заморожувати після використання.</w:t>
                            </w:r>
                          </w:p>
                          <w:p w14:paraId="101DB174" w14:textId="77777777" w:rsidR="009D0C1D" w:rsidRPr="0079021A" w:rsidRDefault="009D0C1D" w:rsidP="00D4401E">
                            <w:pPr>
                              <w:spacing w:after="28" w:line="314" w:lineRule="auto"/>
                              <w:rPr>
                                <w:rFonts w:eastAsia="+mn-ea" w:cs="+mn-cs"/>
                                <w:b/>
                                <w:bCs/>
                                <w:kern w:val="24"/>
                                <w:sz w:val="20"/>
                                <w:szCs w:val="20"/>
                              </w:rPr>
                            </w:pPr>
                            <w:r>
                              <w:rPr>
                                <w:b/>
                                <w:sz w:val="20"/>
                              </w:rPr>
                              <w:t>Подальші дослідження</w:t>
                            </w:r>
                          </w:p>
                          <w:p w14:paraId="5E2D634A" w14:textId="77777777" w:rsidR="009D0C1D" w:rsidRPr="00854441" w:rsidRDefault="009D0C1D" w:rsidP="00D4401E">
                            <w:pPr>
                              <w:spacing w:after="28" w:line="285" w:lineRule="auto"/>
                              <w:rPr>
                                <w:rFonts w:eastAsia="+mn-ea" w:cs="+mn-cs"/>
                                <w:b/>
                                <w:bCs/>
                                <w:kern w:val="24"/>
                                <w:sz w:val="22"/>
                                <w:szCs w:val="22"/>
                              </w:rPr>
                            </w:pPr>
                            <w:r w:rsidRPr="00854441">
                              <w:rPr>
                                <w:b/>
                                <w:bCs/>
                                <w:sz w:val="22"/>
                              </w:rPr>
                              <w:t>Подальші дослідження для Pa та Cs</w:t>
                            </w:r>
                          </w:p>
                          <w:p w14:paraId="0E46F7E9" w14:textId="77777777" w:rsidR="009D0C1D" w:rsidRDefault="009D0C1D" w:rsidP="00D4401E">
                            <w:pPr>
                              <w:spacing w:after="28" w:line="314" w:lineRule="auto"/>
                              <w:rPr>
                                <w:rFonts w:eastAsia="+mn-ea" w:cs="+mn-cs"/>
                                <w:kern w:val="24"/>
                                <w:sz w:val="20"/>
                                <w:szCs w:val="20"/>
                              </w:rPr>
                            </w:pPr>
                            <w:r>
                              <w:rPr>
                                <w:sz w:val="20"/>
                              </w:rPr>
                              <w:t>Загальні теми подальших досліджень для Pa та Cs:</w:t>
                            </w:r>
                          </w:p>
                          <w:p w14:paraId="53A159F2" w14:textId="253CC315" w:rsidR="009D0C1D" w:rsidRDefault="009D0C1D" w:rsidP="00854441">
                            <w:pPr>
                              <w:spacing w:after="28" w:line="314" w:lineRule="auto"/>
                              <w:ind w:left="403" w:hanging="403"/>
                              <w:rPr>
                                <w:rFonts w:eastAsia="+mn-ea" w:cs="+mn-cs"/>
                                <w:color w:val="019648"/>
                                <w:kern w:val="24"/>
                                <w:sz w:val="20"/>
                                <w:szCs w:val="20"/>
                              </w:rPr>
                            </w:pPr>
                            <w:r>
                              <w:rPr>
                                <w:rFonts w:ascii="Wingdings" w:hAnsi="Wingdings"/>
                                <w:color w:val="019648"/>
                              </w:rPr>
                              <w:t></w:t>
                            </w:r>
                            <w:r>
                              <w:tab/>
                            </w:r>
                            <w:r>
                              <w:rPr>
                                <w:sz w:val="20"/>
                              </w:rPr>
                              <w:t>подальші обстеження та характеристика нових та відомих молекулярних механізмів резистентності для Pa та Cs, а також вирішення невизначеності в анотації генів, пов’язаних з резистентністю;</w:t>
                            </w:r>
                          </w:p>
                          <w:p w14:paraId="70046A82" w14:textId="22C9EBFC" w:rsidR="009D0C1D" w:rsidRDefault="009D0C1D" w:rsidP="00854441">
                            <w:pPr>
                              <w:spacing w:after="28" w:line="312" w:lineRule="auto"/>
                              <w:ind w:left="403" w:hanging="403"/>
                              <w:rPr>
                                <w:rFonts w:eastAsia="+mn-ea" w:cs="+mn-cs"/>
                                <w:color w:val="019648"/>
                                <w:kern w:val="24"/>
                                <w:sz w:val="20"/>
                                <w:szCs w:val="20"/>
                              </w:rPr>
                            </w:pPr>
                            <w:r>
                              <w:rPr>
                                <w:rFonts w:ascii="Wingdings" w:hAnsi="Wingdings"/>
                                <w:color w:val="019648"/>
                              </w:rPr>
                              <w:t></w:t>
                            </w:r>
                            <w:r>
                              <w:tab/>
                            </w:r>
                            <w:r>
                              <w:rPr>
                                <w:sz w:val="20"/>
                              </w:rPr>
                              <w:t>подальші обстеження та встановлення граничних значень для ТМЧ для Pa та Cs з використанням середовищ, відмінних від MGIT, включаючи мікророзведення у бульйоні;</w:t>
                            </w:r>
                          </w:p>
                          <w:p w14:paraId="7476F602" w14:textId="77B9BA1F" w:rsidR="009D0C1D" w:rsidRDefault="009D0C1D" w:rsidP="00854441">
                            <w:pPr>
                              <w:spacing w:after="28" w:line="312" w:lineRule="auto"/>
                              <w:ind w:left="403" w:hanging="403"/>
                              <w:rPr>
                                <w:rFonts w:eastAsia="+mn-ea" w:cs="+mn-cs"/>
                                <w:color w:val="019648"/>
                                <w:kern w:val="24"/>
                                <w:sz w:val="20"/>
                                <w:szCs w:val="20"/>
                              </w:rPr>
                            </w:pPr>
                            <w:r>
                              <w:rPr>
                                <w:rFonts w:ascii="Wingdings" w:hAnsi="Wingdings"/>
                                <w:color w:val="019648"/>
                              </w:rPr>
                              <w:t></w:t>
                            </w:r>
                            <w:r>
                              <w:tab/>
                            </w:r>
                            <w:r>
                              <w:rPr>
                                <w:sz w:val="20"/>
                              </w:rPr>
                              <w:t>терапевтичні тести на контроль лікарських засобів для визначення підходів до коригування дози у пацієнтів, у яких спостерігається токсична дія; та</w:t>
                            </w:r>
                          </w:p>
                          <w:p w14:paraId="12C8A370" w14:textId="6A8CD9DC" w:rsidR="009D0C1D" w:rsidRDefault="009D0C1D" w:rsidP="00854441">
                            <w:pPr>
                              <w:spacing w:after="84" w:line="314" w:lineRule="auto"/>
                              <w:ind w:left="403" w:hanging="403"/>
                              <w:rPr>
                                <w:rFonts w:eastAsia="+mn-ea" w:cs="+mn-cs"/>
                                <w:color w:val="019648"/>
                                <w:kern w:val="24"/>
                                <w:sz w:val="20"/>
                                <w:szCs w:val="20"/>
                              </w:rPr>
                            </w:pPr>
                            <w:r>
                              <w:rPr>
                                <w:rFonts w:ascii="Wingdings" w:hAnsi="Wingdings"/>
                                <w:color w:val="019648"/>
                              </w:rPr>
                              <w:t></w:t>
                            </w:r>
                            <w:r>
                              <w:tab/>
                            </w:r>
                            <w:r>
                              <w:rPr>
                                <w:sz w:val="20"/>
                              </w:rPr>
                              <w:t>тенденції МІК за часом шляхом рутинних спостережень.</w:t>
                            </w:r>
                          </w:p>
                          <w:p w14:paraId="3632CB24" w14:textId="77777777" w:rsidR="009D0C1D" w:rsidRPr="00854441" w:rsidRDefault="009D0C1D" w:rsidP="00D4401E">
                            <w:pPr>
                              <w:spacing w:after="28" w:line="285" w:lineRule="auto"/>
                              <w:rPr>
                                <w:rFonts w:eastAsia="+mn-ea" w:cs="+mn-cs"/>
                                <w:b/>
                                <w:bCs/>
                                <w:kern w:val="24"/>
                                <w:sz w:val="22"/>
                                <w:szCs w:val="22"/>
                              </w:rPr>
                            </w:pPr>
                            <w:r w:rsidRPr="00854441">
                              <w:rPr>
                                <w:b/>
                                <w:bCs/>
                                <w:sz w:val="22"/>
                              </w:rPr>
                              <w:t>Подальші дослідження для Pa</w:t>
                            </w:r>
                          </w:p>
                          <w:p w14:paraId="55A7FA8B" w14:textId="77777777" w:rsidR="009D0C1D" w:rsidRDefault="009D0C1D" w:rsidP="00D4401E">
                            <w:pPr>
                              <w:spacing w:after="28" w:line="314" w:lineRule="auto"/>
                              <w:rPr>
                                <w:rFonts w:eastAsia="+mn-ea" w:cs="+mn-cs"/>
                                <w:kern w:val="24"/>
                                <w:sz w:val="20"/>
                                <w:szCs w:val="20"/>
                              </w:rPr>
                            </w:pPr>
                            <w:r>
                              <w:rPr>
                                <w:sz w:val="20"/>
                              </w:rPr>
                              <w:t>Спеціальні теми подальших досліджень для Pa:</w:t>
                            </w:r>
                          </w:p>
                          <w:p w14:paraId="284397DD" w14:textId="63AFBADF" w:rsidR="009D0C1D" w:rsidRDefault="009D0C1D" w:rsidP="00D4401E">
                            <w:pPr>
                              <w:spacing w:after="28" w:line="316" w:lineRule="auto"/>
                              <w:ind w:left="403" w:hanging="403"/>
                              <w:rPr>
                                <w:rFonts w:eastAsia="+mn-ea" w:cs="+mn-cs"/>
                                <w:color w:val="019648"/>
                                <w:kern w:val="24"/>
                                <w:sz w:val="20"/>
                                <w:szCs w:val="20"/>
                              </w:rPr>
                            </w:pPr>
                            <w:r>
                              <w:rPr>
                                <w:rFonts w:ascii="Wingdings" w:hAnsi="Wingdings"/>
                                <w:color w:val="019648"/>
                              </w:rPr>
                              <w:t></w:t>
                            </w:r>
                            <w:r>
                              <w:tab/>
                            </w:r>
                            <w:r>
                              <w:rPr>
                                <w:sz w:val="20"/>
                              </w:rPr>
                              <w:t>репрезентативна вибірка у популяції для розуміння географічного розподілу L1 за статусом RIF;</w:t>
                            </w:r>
                          </w:p>
                          <w:p w14:paraId="4425CC4E" w14:textId="06732FAD" w:rsidR="009D0C1D" w:rsidRDefault="009D0C1D" w:rsidP="00D4401E">
                            <w:pPr>
                              <w:spacing w:after="28" w:line="314" w:lineRule="auto"/>
                              <w:ind w:left="403" w:hanging="403"/>
                              <w:rPr>
                                <w:rFonts w:eastAsia="+mn-ea" w:cs="+mn-cs"/>
                                <w:color w:val="019648"/>
                                <w:kern w:val="24"/>
                                <w:sz w:val="20"/>
                                <w:szCs w:val="20"/>
                              </w:rPr>
                            </w:pPr>
                            <w:r>
                              <w:rPr>
                                <w:rFonts w:ascii="Wingdings" w:hAnsi="Wingdings"/>
                                <w:color w:val="019648"/>
                              </w:rPr>
                              <w:t></w:t>
                            </w:r>
                            <w:r>
                              <w:tab/>
                            </w:r>
                            <w:r>
                              <w:rPr>
                                <w:sz w:val="20"/>
                              </w:rPr>
                              <w:t>операційні дослідження оцінки клінічних результатів у осіб з L1 та ізолятами з МІК 0,5 мг/л або більше у осіб, які отримували BPaL, BPaLM та інші схеми лікування;</w:t>
                            </w:r>
                          </w:p>
                          <w:p w14:paraId="791BB010" w14:textId="709613BE" w:rsidR="009D0C1D" w:rsidRDefault="009D0C1D" w:rsidP="00D4401E">
                            <w:pPr>
                              <w:spacing w:after="28" w:line="314" w:lineRule="auto"/>
                              <w:ind w:left="403" w:hanging="403"/>
                              <w:rPr>
                                <w:rFonts w:eastAsia="+mn-ea" w:cs="+mn-cs"/>
                                <w:color w:val="019648"/>
                                <w:kern w:val="24"/>
                                <w:sz w:val="20"/>
                                <w:szCs w:val="20"/>
                              </w:rPr>
                            </w:pPr>
                            <w:r>
                              <w:rPr>
                                <w:rFonts w:ascii="Wingdings" w:hAnsi="Wingdings"/>
                                <w:color w:val="019648"/>
                              </w:rPr>
                              <w:t></w:t>
                            </w:r>
                            <w:r>
                              <w:tab/>
                            </w:r>
                            <w:r>
                              <w:rPr>
                                <w:sz w:val="20"/>
                              </w:rPr>
                              <w:t>операційні дослідження, дослідження та рутинні спостереження за резистентністю за лініями (сильна рекомендація: узгоджені фенотипові та секвенувальні дані); та</w:t>
                            </w:r>
                          </w:p>
                          <w:p w14:paraId="363E4CF3" w14:textId="778EA712" w:rsidR="009D0C1D" w:rsidRDefault="009D0C1D" w:rsidP="00D4401E">
                            <w:pPr>
                              <w:spacing w:after="84" w:line="312" w:lineRule="auto"/>
                              <w:ind w:left="403" w:hanging="403"/>
                              <w:rPr>
                                <w:rFonts w:eastAsia="+mn-ea" w:cs="+mn-cs"/>
                                <w:color w:val="019648"/>
                                <w:kern w:val="24"/>
                                <w:sz w:val="20"/>
                                <w:szCs w:val="20"/>
                              </w:rPr>
                            </w:pPr>
                            <w:r>
                              <w:rPr>
                                <w:rFonts w:ascii="Wingdings" w:hAnsi="Wingdings"/>
                                <w:color w:val="019648"/>
                              </w:rPr>
                              <w:t></w:t>
                            </w:r>
                            <w:r>
                              <w:tab/>
                            </w:r>
                            <w:r>
                              <w:rPr>
                                <w:sz w:val="20"/>
                              </w:rPr>
                              <w:t>ФК/ФД дослідження L1 та ізолятів з МІК 0,5 мг/л або більше для повідомлення про майбутні критерії ТМЧ.</w:t>
                            </w:r>
                          </w:p>
                          <w:p w14:paraId="0F1AD8ED" w14:textId="77777777" w:rsidR="009D0C1D" w:rsidRDefault="009D0C1D" w:rsidP="00D4401E">
                            <w:pPr>
                              <w:spacing w:line="314" w:lineRule="auto"/>
                              <w:rPr>
                                <w:rFonts w:eastAsia="+mn-ea" w:cs="+mn-cs"/>
                                <w:kern w:val="24"/>
                                <w:sz w:val="20"/>
                                <w:szCs w:val="20"/>
                              </w:rPr>
                            </w:pPr>
                            <w:r>
                              <w:rPr>
                                <w:sz w:val="20"/>
                              </w:rPr>
                              <w:t>Див. повний звіт ТКГ у</w:t>
                            </w:r>
                            <w:hyperlink r:id="rId74" w:history="1">
                              <w:r>
                                <w:rPr>
                                  <w:rStyle w:val="af4"/>
                                  <w:b/>
                                  <w:color w:val="000000"/>
                                  <w:sz w:val="20"/>
                                  <w:u w:val="none"/>
                                </w:rPr>
                                <w:t xml:space="preserve"> Додатку B</w:t>
                              </w:r>
                            </w:hyperlink>
                            <w:r>
                              <w:rPr>
                                <w:sz w:val="20"/>
                              </w:rPr>
                              <w:t>.</w:t>
                            </w:r>
                          </w:p>
                        </w:txbxContent>
                      </wps:txbx>
                      <wps:bodyPr lIns="0" tIns="0" rIns="0" bIns="0">
                        <a:noAutofit/>
                      </wps:bodyPr>
                    </wps:wsp>
                  </a:graphicData>
                </a:graphic>
              </wp:anchor>
            </w:drawing>
          </mc:Choice>
          <mc:Fallback>
            <w:pict>
              <v:rect w14:anchorId="04E6F8B9" id="_x0000_s1130" style="position:absolute;margin-left:25.8pt;margin-top:18.25pt;width:412.8pt;height:678.7pt;z-index:25150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" fillcolor="#c6e0ce" stroked="f">
                <v:textbox inset="0,0,0,0">
                  <w:txbxContent>
                    <w:p w14:paraId="1DD68EA5" w14:textId="77777777" w:rsidR="009D0C1D" w:rsidRPr="0079021A" w:rsidRDefault="009D0C1D" w:rsidP="00D4401E">
                      <w:pPr>
                        <w:spacing w:after="28" w:line="314" w:lineRule="auto"/>
                        <w:rPr>
                          <w:rFonts w:eastAsia="+mn-ea" w:cs="+mn-cs"/>
                          <w:b/>
                          <w:bCs/>
                          <w:kern w:val="24"/>
                          <w:sz w:val="20"/>
                          <w:szCs w:val="20"/>
                        </w:rPr>
                      </w:pPr>
                      <w:r>
                        <w:rPr>
                          <w:b/>
                          <w:sz w:val="20"/>
                        </w:rPr>
                        <w:t>Міркування щодо впровадження</w:t>
                      </w:r>
                    </w:p>
                    <w:p w14:paraId="4B2B14BA" w14:textId="77777777" w:rsidR="009D0C1D" w:rsidRDefault="009D0C1D" w:rsidP="00D4401E">
                      <w:pPr>
                        <w:spacing w:after="28" w:line="285" w:lineRule="auto"/>
                        <w:rPr>
                          <w:rFonts w:eastAsia="+mn-ea" w:cs="+mn-cs"/>
                          <w:kern w:val="24"/>
                          <w:sz w:val="22"/>
                          <w:szCs w:val="22"/>
                        </w:rPr>
                      </w:pPr>
                      <w:r>
                        <w:rPr>
                          <w:sz w:val="22"/>
                        </w:rPr>
                        <w:t>Міркування щодо впровадження для Pa</w:t>
                      </w:r>
                    </w:p>
                    <w:p w14:paraId="4EC6F3AB" w14:textId="1208E479" w:rsidR="009D0C1D" w:rsidRDefault="009D0C1D" w:rsidP="00854441">
                      <w:pPr>
                        <w:spacing w:after="28" w:line="314" w:lineRule="auto"/>
                        <w:ind w:left="403" w:hanging="403"/>
                        <w:rPr>
                          <w:rFonts w:eastAsia="+mn-ea" w:cs="+mn-cs"/>
                          <w:color w:val="019648"/>
                          <w:kern w:val="24"/>
                          <w:sz w:val="20"/>
                          <w:szCs w:val="20"/>
                        </w:rPr>
                      </w:pPr>
                      <w:r>
                        <w:rPr>
                          <w:rFonts w:ascii="Wingdings" w:hAnsi="Wingdings"/>
                          <w:color w:val="019648"/>
                        </w:rPr>
                        <w:t></w:t>
                      </w:r>
                      <w:r>
                        <w:tab/>
                      </w:r>
                      <w:r>
                        <w:rPr>
                          <w:sz w:val="20"/>
                        </w:rPr>
                        <w:t>Дві концентрації бажано тестувати одночасно. Послідовне тестування одного ізоляту засновано на місцевій частоті ізолятів L1 або ізолятів з МІК 0,5 мг/л або вище.</w:t>
                      </w:r>
                    </w:p>
                    <w:p w14:paraId="00D124C3" w14:textId="4AD2D956" w:rsidR="009D0C1D" w:rsidRDefault="009D0C1D" w:rsidP="00854441">
                      <w:pPr>
                        <w:spacing w:after="28" w:line="352" w:lineRule="auto"/>
                        <w:ind w:left="403" w:hanging="403"/>
                        <w:rPr>
                          <w:rFonts w:eastAsia="+mn-ea" w:cs="+mn-cs"/>
                          <w:kern w:val="24"/>
                          <w:sz w:val="20"/>
                          <w:szCs w:val="20"/>
                        </w:rPr>
                      </w:pPr>
                      <w:r>
                        <w:rPr>
                          <w:rFonts w:ascii="Wingdings" w:hAnsi="Wingdings"/>
                          <w:color w:val="019648"/>
                        </w:rPr>
                        <w:t></w:t>
                      </w:r>
                      <w:r>
                        <w:tab/>
                      </w:r>
                      <w:r>
                        <w:rPr>
                          <w:sz w:val="20"/>
                        </w:rPr>
                        <w:t xml:space="preserve">Рекомендації для ізолятів з МІК у діапазоні 0,5-2,0 мг/л: </w:t>
                      </w:r>
                    </w:p>
                    <w:p w14:paraId="1C751A76" w14:textId="1ECE029B" w:rsidR="009D0C1D" w:rsidRDefault="009D0C1D" w:rsidP="00854441">
                      <w:pPr>
                        <w:spacing w:after="28" w:line="352" w:lineRule="auto"/>
                        <w:ind w:left="709" w:hanging="283"/>
                        <w:rPr>
                          <w:rFonts w:eastAsia="+mn-ea" w:cs="+mn-cs"/>
                          <w:kern w:val="24"/>
                          <w:sz w:val="20"/>
                          <w:szCs w:val="20"/>
                        </w:rPr>
                      </w:pPr>
                      <w:r>
                        <w:rPr>
                          <w:color w:val="019648"/>
                          <w:sz w:val="20"/>
                        </w:rPr>
                        <w:sym w:font="Wingdings" w:char="F09F"/>
                      </w:r>
                      <w:r>
                        <w:rPr>
                          <w:color w:val="019648"/>
                          <w:sz w:val="20"/>
                        </w:rPr>
                        <w:t xml:space="preserve"> </w:t>
                      </w:r>
                      <w:r>
                        <w:tab/>
                      </w:r>
                      <w:r>
                        <w:rPr>
                          <w:sz w:val="20"/>
                        </w:rPr>
                        <w:t xml:space="preserve">продовжувати схему BPaL/M; та </w:t>
                      </w:r>
                    </w:p>
                    <w:p w14:paraId="417EC7A1" w14:textId="7CCB24F5" w:rsidR="009D0C1D" w:rsidRDefault="009D0C1D" w:rsidP="00854441">
                      <w:pPr>
                        <w:spacing w:after="28" w:line="352" w:lineRule="auto"/>
                        <w:ind w:left="709" w:hanging="283"/>
                        <w:rPr>
                          <w:rFonts w:eastAsia="+mn-ea" w:cs="+mn-cs"/>
                          <w:color w:val="019648"/>
                          <w:kern w:val="24"/>
                          <w:sz w:val="20"/>
                          <w:szCs w:val="20"/>
                        </w:rPr>
                      </w:pPr>
                      <w:r>
                        <w:rPr>
                          <w:color w:val="019648"/>
                          <w:sz w:val="20"/>
                        </w:rPr>
                        <w:sym w:font="Wingdings" w:char="F09F"/>
                      </w:r>
                      <w:r>
                        <w:rPr>
                          <w:color w:val="019648"/>
                          <w:sz w:val="20"/>
                        </w:rPr>
                        <w:t xml:space="preserve"> </w:t>
                      </w:r>
                      <w:r>
                        <w:tab/>
                      </w:r>
                      <w:r>
                        <w:rPr>
                          <w:sz w:val="20"/>
                        </w:rPr>
                        <w:t>продовжувати подальше спостереження – у разі поганої бактеріологічної або клінічної реакції, розглянути зміну схеми лікування (28).</w:t>
                      </w:r>
                    </w:p>
                    <w:p w14:paraId="37BD4388" w14:textId="77777777" w:rsidR="009D0C1D" w:rsidRDefault="009D0C1D" w:rsidP="00D4401E">
                      <w:pPr>
                        <w:spacing w:after="28" w:line="285" w:lineRule="auto"/>
                        <w:rPr>
                          <w:rFonts w:eastAsia="+mn-ea" w:cs="+mn-cs"/>
                          <w:kern w:val="24"/>
                          <w:sz w:val="22"/>
                          <w:szCs w:val="22"/>
                        </w:rPr>
                      </w:pPr>
                      <w:r>
                        <w:rPr>
                          <w:sz w:val="22"/>
                        </w:rPr>
                        <w:t>Міркування щодо впровадження для Cs</w:t>
                      </w:r>
                    </w:p>
                    <w:p w14:paraId="72D47C4A" w14:textId="6117A6EC" w:rsidR="009D0C1D" w:rsidRDefault="009D0C1D" w:rsidP="00D4401E">
                      <w:pPr>
                        <w:spacing w:after="28" w:line="312" w:lineRule="auto"/>
                        <w:ind w:left="403" w:hanging="403"/>
                        <w:rPr>
                          <w:rFonts w:eastAsia="+mn-ea" w:cs="+mn-cs"/>
                          <w:color w:val="019648"/>
                          <w:kern w:val="24"/>
                          <w:sz w:val="20"/>
                          <w:szCs w:val="20"/>
                        </w:rPr>
                      </w:pPr>
                      <w:r>
                        <w:rPr>
                          <w:rFonts w:ascii="Wingdings" w:hAnsi="Wingdings"/>
                          <w:color w:val="019648"/>
                        </w:rPr>
                        <w:t></w:t>
                      </w:r>
                      <w:r>
                        <w:tab/>
                      </w:r>
                      <w:r>
                        <w:rPr>
                          <w:sz w:val="20"/>
                        </w:rPr>
                        <w:t>Критичну концентрацію для Cs можна застосовувати як сурогатний показник резистентності до теризидону (TRD).</w:t>
                      </w:r>
                    </w:p>
                    <w:p w14:paraId="5CB11273" w14:textId="1BDE6EDC" w:rsidR="009D0C1D" w:rsidRDefault="009D0C1D" w:rsidP="00D4401E">
                      <w:pPr>
                        <w:spacing w:after="84" w:line="314" w:lineRule="auto"/>
                        <w:ind w:left="403" w:hanging="403"/>
                        <w:rPr>
                          <w:rFonts w:eastAsia="+mn-ea" w:cs="+mn-cs"/>
                          <w:color w:val="019648"/>
                          <w:kern w:val="24"/>
                          <w:sz w:val="20"/>
                          <w:szCs w:val="20"/>
                        </w:rPr>
                      </w:pPr>
                      <w:r>
                        <w:rPr>
                          <w:rFonts w:ascii="Wingdings" w:hAnsi="Wingdings"/>
                          <w:color w:val="019648"/>
                        </w:rPr>
                        <w:t></w:t>
                      </w:r>
                      <w:r>
                        <w:tab/>
                      </w:r>
                      <w:r>
                        <w:rPr>
                          <w:sz w:val="20"/>
                        </w:rPr>
                        <w:t>Враховуючи відому відсутність термостійкості Cs, вихідні розчини необхідно зберігати за температури від –80 °C до –60 °C (не за температури –20 °C) до 1 року, але їх не можна повторно заморожувати після використання.</w:t>
                      </w:r>
                    </w:p>
                    <w:p w14:paraId="101DB174" w14:textId="77777777" w:rsidR="009D0C1D" w:rsidRPr="0079021A" w:rsidRDefault="009D0C1D" w:rsidP="00D4401E">
                      <w:pPr>
                        <w:spacing w:after="28" w:line="314" w:lineRule="auto"/>
                        <w:rPr>
                          <w:rFonts w:eastAsia="+mn-ea" w:cs="+mn-cs"/>
                          <w:b/>
                          <w:bCs/>
                          <w:kern w:val="24"/>
                          <w:sz w:val="20"/>
                          <w:szCs w:val="20"/>
                        </w:rPr>
                      </w:pPr>
                      <w:r>
                        <w:rPr>
                          <w:b/>
                          <w:sz w:val="20"/>
                        </w:rPr>
                        <w:t>Подальші дослідження</w:t>
                      </w:r>
                    </w:p>
                    <w:p w14:paraId="5E2D634A" w14:textId="77777777" w:rsidR="009D0C1D" w:rsidRPr="00854441" w:rsidRDefault="009D0C1D" w:rsidP="00D4401E">
                      <w:pPr>
                        <w:spacing w:after="28" w:line="285" w:lineRule="auto"/>
                        <w:rPr>
                          <w:rFonts w:eastAsia="+mn-ea" w:cs="+mn-cs"/>
                          <w:b/>
                          <w:bCs/>
                          <w:kern w:val="24"/>
                          <w:sz w:val="22"/>
                          <w:szCs w:val="22"/>
                        </w:rPr>
                      </w:pPr>
                      <w:r w:rsidRPr="00854441">
                        <w:rPr>
                          <w:b/>
                          <w:bCs/>
                          <w:sz w:val="22"/>
                        </w:rPr>
                        <w:t>Подальші дослідження для Pa та Cs</w:t>
                      </w:r>
                    </w:p>
                    <w:p w14:paraId="0E46F7E9" w14:textId="77777777" w:rsidR="009D0C1D" w:rsidRDefault="009D0C1D" w:rsidP="00D4401E">
                      <w:pPr>
                        <w:spacing w:after="28" w:line="314" w:lineRule="auto"/>
                        <w:rPr>
                          <w:rFonts w:eastAsia="+mn-ea" w:cs="+mn-cs"/>
                          <w:kern w:val="24"/>
                          <w:sz w:val="20"/>
                          <w:szCs w:val="20"/>
                        </w:rPr>
                      </w:pPr>
                      <w:r>
                        <w:rPr>
                          <w:sz w:val="20"/>
                        </w:rPr>
                        <w:t>Загальні теми подальших досліджень для Pa та Cs:</w:t>
                      </w:r>
                    </w:p>
                    <w:p w14:paraId="53A159F2" w14:textId="253CC315" w:rsidR="009D0C1D" w:rsidRDefault="009D0C1D" w:rsidP="00854441">
                      <w:pPr>
                        <w:spacing w:after="28" w:line="314" w:lineRule="auto"/>
                        <w:ind w:left="403" w:hanging="403"/>
                        <w:rPr>
                          <w:rFonts w:eastAsia="+mn-ea" w:cs="+mn-cs"/>
                          <w:color w:val="019648"/>
                          <w:kern w:val="24"/>
                          <w:sz w:val="20"/>
                          <w:szCs w:val="20"/>
                        </w:rPr>
                      </w:pPr>
                      <w:r>
                        <w:rPr>
                          <w:rFonts w:ascii="Wingdings" w:hAnsi="Wingdings"/>
                          <w:color w:val="019648"/>
                        </w:rPr>
                        <w:t></w:t>
                      </w:r>
                      <w:r>
                        <w:tab/>
                      </w:r>
                      <w:r>
                        <w:rPr>
                          <w:sz w:val="20"/>
                        </w:rPr>
                        <w:t>подальші обстеження та характеристика нових та відомих молекулярних механізмів резистентності для Pa та Cs, а також вирішення невизначеності в анотації генів, пов’язаних з резистентністю;</w:t>
                      </w:r>
                    </w:p>
                    <w:p w14:paraId="70046A82" w14:textId="22C9EBFC" w:rsidR="009D0C1D" w:rsidRDefault="009D0C1D" w:rsidP="00854441">
                      <w:pPr>
                        <w:spacing w:after="28" w:line="312" w:lineRule="auto"/>
                        <w:ind w:left="403" w:hanging="403"/>
                        <w:rPr>
                          <w:rFonts w:eastAsia="+mn-ea" w:cs="+mn-cs"/>
                          <w:color w:val="019648"/>
                          <w:kern w:val="24"/>
                          <w:sz w:val="20"/>
                          <w:szCs w:val="20"/>
                        </w:rPr>
                      </w:pPr>
                      <w:r>
                        <w:rPr>
                          <w:rFonts w:ascii="Wingdings" w:hAnsi="Wingdings"/>
                          <w:color w:val="019648"/>
                        </w:rPr>
                        <w:t></w:t>
                      </w:r>
                      <w:r>
                        <w:tab/>
                      </w:r>
                      <w:r>
                        <w:rPr>
                          <w:sz w:val="20"/>
                        </w:rPr>
                        <w:t>подальші обстеження та встановлення граничних значень для ТМЧ для Pa та Cs з використанням середовищ, відмінних від MGIT, включаючи мікророзведення у бульйоні;</w:t>
                      </w:r>
                    </w:p>
                    <w:p w14:paraId="7476F602" w14:textId="77B9BA1F" w:rsidR="009D0C1D" w:rsidRDefault="009D0C1D" w:rsidP="00854441">
                      <w:pPr>
                        <w:spacing w:after="28" w:line="312" w:lineRule="auto"/>
                        <w:ind w:left="403" w:hanging="403"/>
                        <w:rPr>
                          <w:rFonts w:eastAsia="+mn-ea" w:cs="+mn-cs"/>
                          <w:color w:val="019648"/>
                          <w:kern w:val="24"/>
                          <w:sz w:val="20"/>
                          <w:szCs w:val="20"/>
                        </w:rPr>
                      </w:pPr>
                      <w:r>
                        <w:rPr>
                          <w:rFonts w:ascii="Wingdings" w:hAnsi="Wingdings"/>
                          <w:color w:val="019648"/>
                        </w:rPr>
                        <w:t></w:t>
                      </w:r>
                      <w:r>
                        <w:tab/>
                      </w:r>
                      <w:r>
                        <w:rPr>
                          <w:sz w:val="20"/>
                        </w:rPr>
                        <w:t>терапевтичні тести на контроль лікарських засобів для визначення підходів до коригування дози у пацієнтів, у яких спостерігається токсична дія; та</w:t>
                      </w:r>
                    </w:p>
                    <w:p w14:paraId="12C8A370" w14:textId="6A8CD9DC" w:rsidR="009D0C1D" w:rsidRDefault="009D0C1D" w:rsidP="00854441">
                      <w:pPr>
                        <w:spacing w:after="84" w:line="314" w:lineRule="auto"/>
                        <w:ind w:left="403" w:hanging="403"/>
                        <w:rPr>
                          <w:rFonts w:eastAsia="+mn-ea" w:cs="+mn-cs"/>
                          <w:color w:val="019648"/>
                          <w:kern w:val="24"/>
                          <w:sz w:val="20"/>
                          <w:szCs w:val="20"/>
                        </w:rPr>
                      </w:pPr>
                      <w:r>
                        <w:rPr>
                          <w:rFonts w:ascii="Wingdings" w:hAnsi="Wingdings"/>
                          <w:color w:val="019648"/>
                        </w:rPr>
                        <w:t></w:t>
                      </w:r>
                      <w:r>
                        <w:tab/>
                      </w:r>
                      <w:r>
                        <w:rPr>
                          <w:sz w:val="20"/>
                        </w:rPr>
                        <w:t>тенденції МІК за часом шляхом рутинних спостережень.</w:t>
                      </w:r>
                    </w:p>
                    <w:p w14:paraId="3632CB24" w14:textId="77777777" w:rsidR="009D0C1D" w:rsidRPr="00854441" w:rsidRDefault="009D0C1D" w:rsidP="00D4401E">
                      <w:pPr>
                        <w:spacing w:after="28" w:line="285" w:lineRule="auto"/>
                        <w:rPr>
                          <w:rFonts w:eastAsia="+mn-ea" w:cs="+mn-cs"/>
                          <w:b/>
                          <w:bCs/>
                          <w:kern w:val="24"/>
                          <w:sz w:val="22"/>
                          <w:szCs w:val="22"/>
                        </w:rPr>
                      </w:pPr>
                      <w:r w:rsidRPr="00854441">
                        <w:rPr>
                          <w:b/>
                          <w:bCs/>
                          <w:sz w:val="22"/>
                        </w:rPr>
                        <w:t>Подальші дослідження для Pa</w:t>
                      </w:r>
                    </w:p>
                    <w:p w14:paraId="55A7FA8B" w14:textId="77777777" w:rsidR="009D0C1D" w:rsidRDefault="009D0C1D" w:rsidP="00D4401E">
                      <w:pPr>
                        <w:spacing w:after="28" w:line="314" w:lineRule="auto"/>
                        <w:rPr>
                          <w:rFonts w:eastAsia="+mn-ea" w:cs="+mn-cs"/>
                          <w:kern w:val="24"/>
                          <w:sz w:val="20"/>
                          <w:szCs w:val="20"/>
                        </w:rPr>
                      </w:pPr>
                      <w:r>
                        <w:rPr>
                          <w:sz w:val="20"/>
                        </w:rPr>
                        <w:t>Спеціальні теми подальших досліджень для Pa:</w:t>
                      </w:r>
                    </w:p>
                    <w:p w14:paraId="284397DD" w14:textId="63AFBADF" w:rsidR="009D0C1D" w:rsidRDefault="009D0C1D" w:rsidP="00D4401E">
                      <w:pPr>
                        <w:spacing w:after="28" w:line="316" w:lineRule="auto"/>
                        <w:ind w:left="403" w:hanging="403"/>
                        <w:rPr>
                          <w:rFonts w:eastAsia="+mn-ea" w:cs="+mn-cs"/>
                          <w:color w:val="019648"/>
                          <w:kern w:val="24"/>
                          <w:sz w:val="20"/>
                          <w:szCs w:val="20"/>
                        </w:rPr>
                      </w:pPr>
                      <w:r>
                        <w:rPr>
                          <w:rFonts w:ascii="Wingdings" w:hAnsi="Wingdings"/>
                          <w:color w:val="019648"/>
                        </w:rPr>
                        <w:t></w:t>
                      </w:r>
                      <w:r>
                        <w:tab/>
                      </w:r>
                      <w:r>
                        <w:rPr>
                          <w:sz w:val="20"/>
                        </w:rPr>
                        <w:t>репрезентативна вибірка у популяції для розуміння географічного розподілу L1 за статусом RIF;</w:t>
                      </w:r>
                    </w:p>
                    <w:p w14:paraId="4425CC4E" w14:textId="06732FAD" w:rsidR="009D0C1D" w:rsidRDefault="009D0C1D" w:rsidP="00D4401E">
                      <w:pPr>
                        <w:spacing w:after="28" w:line="314" w:lineRule="auto"/>
                        <w:ind w:left="403" w:hanging="403"/>
                        <w:rPr>
                          <w:rFonts w:eastAsia="+mn-ea" w:cs="+mn-cs"/>
                          <w:color w:val="019648"/>
                          <w:kern w:val="24"/>
                          <w:sz w:val="20"/>
                          <w:szCs w:val="20"/>
                        </w:rPr>
                      </w:pPr>
                      <w:r>
                        <w:rPr>
                          <w:rFonts w:ascii="Wingdings" w:hAnsi="Wingdings"/>
                          <w:color w:val="019648"/>
                        </w:rPr>
                        <w:t></w:t>
                      </w:r>
                      <w:r>
                        <w:tab/>
                      </w:r>
                      <w:r>
                        <w:rPr>
                          <w:sz w:val="20"/>
                        </w:rPr>
                        <w:t>операційні дослідження оцінки клінічних результатів у осіб з L1 та ізолятами з МІК 0,5 мг/л або більше у осіб, які отримували BPaL, BPaLM та інші схеми лікування;</w:t>
                      </w:r>
                    </w:p>
                    <w:p w14:paraId="791BB010" w14:textId="709613BE" w:rsidR="009D0C1D" w:rsidRDefault="009D0C1D" w:rsidP="00D4401E">
                      <w:pPr>
                        <w:spacing w:after="28" w:line="314" w:lineRule="auto"/>
                        <w:ind w:left="403" w:hanging="403"/>
                        <w:rPr>
                          <w:rFonts w:eastAsia="+mn-ea" w:cs="+mn-cs"/>
                          <w:color w:val="019648"/>
                          <w:kern w:val="24"/>
                          <w:sz w:val="20"/>
                          <w:szCs w:val="20"/>
                        </w:rPr>
                      </w:pPr>
                      <w:r>
                        <w:rPr>
                          <w:rFonts w:ascii="Wingdings" w:hAnsi="Wingdings"/>
                          <w:color w:val="019648"/>
                        </w:rPr>
                        <w:t></w:t>
                      </w:r>
                      <w:r>
                        <w:tab/>
                      </w:r>
                      <w:r>
                        <w:rPr>
                          <w:sz w:val="20"/>
                        </w:rPr>
                        <w:t>операційні дослідження, дослідження та рутинні спостереження за резистентністю за лініями (сильна рекомендація: узгоджені фенотипові та секвенувальні дані); та</w:t>
                      </w:r>
                    </w:p>
                    <w:p w14:paraId="363E4CF3" w14:textId="778EA712" w:rsidR="009D0C1D" w:rsidRDefault="009D0C1D" w:rsidP="00D4401E">
                      <w:pPr>
                        <w:spacing w:after="84" w:line="312" w:lineRule="auto"/>
                        <w:ind w:left="403" w:hanging="403"/>
                        <w:rPr>
                          <w:rFonts w:eastAsia="+mn-ea" w:cs="+mn-cs"/>
                          <w:color w:val="019648"/>
                          <w:kern w:val="24"/>
                          <w:sz w:val="20"/>
                          <w:szCs w:val="20"/>
                        </w:rPr>
                      </w:pPr>
                      <w:r>
                        <w:rPr>
                          <w:rFonts w:ascii="Wingdings" w:hAnsi="Wingdings"/>
                          <w:color w:val="019648"/>
                        </w:rPr>
                        <w:t></w:t>
                      </w:r>
                      <w:r>
                        <w:tab/>
                      </w:r>
                      <w:r>
                        <w:rPr>
                          <w:sz w:val="20"/>
                        </w:rPr>
                        <w:t>ФК/ФД дослідження L1 та ізолятів з МІК 0,5 мг/л або більше для повідомлення про майбутні критерії ТМЧ.</w:t>
                      </w:r>
                    </w:p>
                    <w:p w14:paraId="0F1AD8ED" w14:textId="77777777" w:rsidR="009D0C1D" w:rsidRDefault="009D0C1D" w:rsidP="00D4401E">
                      <w:pPr>
                        <w:spacing w:line="314" w:lineRule="auto"/>
                        <w:rPr>
                          <w:rFonts w:eastAsia="+mn-ea" w:cs="+mn-cs"/>
                          <w:kern w:val="24"/>
                          <w:sz w:val="20"/>
                          <w:szCs w:val="20"/>
                        </w:rPr>
                      </w:pPr>
                      <w:r>
                        <w:rPr>
                          <w:sz w:val="20"/>
                        </w:rPr>
                        <w:t>Див. повний звіт ТКГ у</w:t>
                      </w:r>
                      <w:hyperlink r:id="rId75" w:history="1">
                        <w:r>
                          <w:rPr>
                            <w:rStyle w:val="af4"/>
                            <w:b/>
                            <w:color w:val="000000"/>
                            <w:sz w:val="20"/>
                            <w:u w:val="none"/>
                          </w:rPr>
                          <w:t xml:space="preserve"> Додатку B</w:t>
                        </w:r>
                      </w:hyperlink>
                      <w:r>
                        <w:rPr>
                          <w:sz w:val="20"/>
                        </w:rPr>
                        <w:t>.</w:t>
                      </w:r>
                    </w:p>
                  </w:txbxContent>
                </v:textbox>
              </v:rect>
            </w:pict>
          </mc:Fallback>
        </mc:AlternateContent>
      </w:r>
      <w:r>
        <w:rPr>
          <w:noProof/>
        </w:rPr>
        <w:drawing>
          <wp:inline distT="0" distB="0" distL="0" distR="0" wp14:anchorId="4950D208" wp14:editId="35FE4583">
            <wp:extent cx="5782310" cy="9013190"/>
            <wp:effectExtent l="0" t="0" r="8890" b="0"/>
            <wp:docPr id="85"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76" cstate="print">
                      <a:extLst>
                        <a:ext uri="{28A0092B-C50C-407E-A947-70E740481C1C}">
                          <a14:useLocalDpi xmlns:a14="http://schemas.microsoft.com/office/drawing/2010/main" val="0"/>
                        </a:ext>
                      </a:extLst>
                    </a:blip>
                    <a:stretch/>
                  </pic:blipFill>
                  <pic:spPr>
                    <a:xfrm>
                      <a:off x="0" y="0"/>
                      <a:ext cx="5782310" cy="9013190"/>
                    </a:xfrm>
                    <a:prstGeom prst="rect">
                      <a:avLst/>
                    </a:prstGeom>
                  </pic:spPr>
                </pic:pic>
              </a:graphicData>
            </a:graphic>
          </wp:inline>
        </w:drawing>
      </w:r>
    </w:p>
    <w:p w14:paraId="211D7CCC" w14:textId="77777777" w:rsidR="00366CB9" w:rsidRDefault="00366CB9" w:rsidP="00425523">
      <w:pPr>
        <w:spacing w:line="1" w:lineRule="exact"/>
      </w:pPr>
    </w:p>
    <w:p w14:paraId="03495FD3" w14:textId="77777777" w:rsidR="00366CB9" w:rsidRPr="00E80D3A" w:rsidRDefault="009D0C1D" w:rsidP="001F35DC">
      <w:pPr>
        <w:pStyle w:val="1"/>
        <w:shd w:val="clear" w:color="auto" w:fill="auto"/>
        <w:spacing w:after="140" w:line="324" w:lineRule="auto"/>
        <w:jc w:val="both"/>
        <w:rPr>
          <w:sz w:val="18"/>
          <w:szCs w:val="18"/>
        </w:rPr>
      </w:pPr>
      <w:r w:rsidRPr="00E80D3A">
        <w:rPr>
          <w:sz w:val="18"/>
          <w:szCs w:val="18"/>
        </w:rPr>
        <w:t>Нове визначення ШЛС-ТБ вимагає результатів ТМЧ для FQ, BDQ та LZD; тому було віддано пріоритет тестуванню на виявлення резистентності до BDQ та LZD, особливо тестуванню на виявлення резистентності до BDQ. Фенотипове ТМЧ для BDQ та LZD можна проводити з використанням середовища MGIT або Міддлбрука 7H11. Ліофілізовані флакони з порошком BDQ для використання з MGIT виготовляються компанією Becton Dickinson та представлені у каталозі Глобального механізму із забезпечення лікарськими засобами (</w:t>
      </w:r>
      <w:hyperlink w:anchor="bookmark196" w:tooltip="Поточний документ">
        <w:r w:rsidR="00366CB9" w:rsidRPr="00E80D3A">
          <w:rPr>
            <w:sz w:val="18"/>
            <w:szCs w:val="18"/>
          </w:rPr>
          <w:t>29</w:t>
        </w:r>
      </w:hyperlink>
      <w:r w:rsidRPr="00E80D3A">
        <w:rPr>
          <w:sz w:val="18"/>
          <w:szCs w:val="18"/>
        </w:rPr>
        <w:t>). Крім того, чиста лікарська речовина BDQ для застосування в рамках фенотипового ТМЧ надається безкоштовно компанією BEI Resources Національного інституту охорони здоров’я США (NIH) (</w:t>
      </w:r>
      <w:hyperlink w:anchor="bookmark196" w:tooltip="Поточний документ">
        <w:r w:rsidR="00366CB9" w:rsidRPr="00E80D3A">
          <w:rPr>
            <w:sz w:val="18"/>
            <w:szCs w:val="18"/>
          </w:rPr>
          <w:t>30</w:t>
        </w:r>
      </w:hyperlink>
      <w:r w:rsidRPr="00E80D3A">
        <w:rPr>
          <w:sz w:val="18"/>
          <w:szCs w:val="18"/>
        </w:rPr>
        <w:t>); однак, необхідно покрити вартість кур’єрської доставки. Також представлена інформаційна примітка, у якій описано процес запиту (</w:t>
      </w:r>
      <w:hyperlink w:anchor="bookmark197" w:tooltip="Поточний документ">
        <w:r w:rsidR="00366CB9" w:rsidRPr="00E80D3A">
          <w:rPr>
            <w:sz w:val="18"/>
            <w:szCs w:val="18"/>
          </w:rPr>
          <w:t>31</w:t>
        </w:r>
      </w:hyperlink>
      <w:r w:rsidRPr="00E80D3A">
        <w:rPr>
          <w:sz w:val="18"/>
          <w:szCs w:val="18"/>
        </w:rPr>
        <w:t xml:space="preserve">). Компанія BEI Resources також надає ТМЧ та Pa. Порошок LZD надає компанія Sigma (PZ0014–5MG) або Cayman Chemical (CAS 65800–03–3). У посібнику з ТМЧ у </w:t>
      </w:r>
      <w:r w:rsidRPr="00E80D3A">
        <w:rPr>
          <w:b/>
          <w:bCs/>
          <w:sz w:val="18"/>
          <w:szCs w:val="18"/>
        </w:rPr>
        <w:t>Вебдодатку C</w:t>
      </w:r>
      <w:r w:rsidRPr="00E80D3A">
        <w:rPr>
          <w:sz w:val="18"/>
          <w:szCs w:val="18"/>
        </w:rPr>
        <w:t xml:space="preserve"> наведено конкретну інформацію про джерела порошків лікарських засобів, що застосовуються для фенотипового ТМЧ.</w:t>
      </w:r>
    </w:p>
    <w:p w14:paraId="30EDE098" w14:textId="77777777" w:rsidR="00366CB9" w:rsidRPr="00E80D3A" w:rsidRDefault="009D0C1D" w:rsidP="001F35DC">
      <w:pPr>
        <w:pStyle w:val="1"/>
        <w:shd w:val="clear" w:color="auto" w:fill="auto"/>
        <w:spacing w:after="140" w:line="324" w:lineRule="auto"/>
        <w:jc w:val="both"/>
        <w:rPr>
          <w:sz w:val="18"/>
          <w:szCs w:val="18"/>
        </w:rPr>
      </w:pPr>
      <w:r w:rsidRPr="00E80D3A">
        <w:rPr>
          <w:sz w:val="18"/>
          <w:szCs w:val="18"/>
        </w:rPr>
        <w:t>Важливо контролювати нові серії розчинів лікарських засобів, щоб швидше виявляти проблеми якості або ефективності. Може бути недостатньо протестувати лише один еталонний штам при КК через можливі зміни в ізолятах. Більш надійним способом контролю змін є включення кількох розведень вище та нижче КК, щоб переконатись, що використаний еталонний штам діє належним чином.</w:t>
      </w:r>
    </w:p>
    <w:p w14:paraId="30CDF0E0" w14:textId="77777777" w:rsidR="00366CB9" w:rsidRPr="00E80D3A" w:rsidRDefault="009D0C1D" w:rsidP="001F35DC">
      <w:pPr>
        <w:pStyle w:val="1"/>
        <w:shd w:val="clear" w:color="auto" w:fill="auto"/>
        <w:spacing w:line="326" w:lineRule="auto"/>
        <w:jc w:val="both"/>
        <w:rPr>
          <w:sz w:val="18"/>
          <w:szCs w:val="18"/>
        </w:rPr>
      </w:pPr>
      <w:r w:rsidRPr="00E80D3A">
        <w:rPr>
          <w:sz w:val="18"/>
          <w:szCs w:val="18"/>
        </w:rPr>
        <w:t xml:space="preserve">Актуальні КК для всіх лікарських засобів наведено у </w:t>
      </w:r>
      <w:hyperlink w:anchor="bookmark56" w:tooltip="Поточний документ">
        <w:r w:rsidR="00366CB9" w:rsidRPr="00E80D3A">
          <w:rPr>
            <w:b/>
            <w:sz w:val="18"/>
            <w:szCs w:val="18"/>
          </w:rPr>
          <w:t>Таблиці 2.9</w:t>
        </w:r>
      </w:hyperlink>
      <w:r w:rsidRPr="00E80D3A">
        <w:rPr>
          <w:sz w:val="18"/>
          <w:szCs w:val="18"/>
        </w:rPr>
        <w:t xml:space="preserve"> та </w:t>
      </w:r>
      <w:hyperlink w:anchor="bookmark57" w:tooltip="Поточний документ">
        <w:r w:rsidR="00366CB9" w:rsidRPr="00E80D3A">
          <w:rPr>
            <w:b/>
            <w:sz w:val="18"/>
            <w:szCs w:val="18"/>
          </w:rPr>
          <w:t>Таблиці 2.1</w:t>
        </w:r>
        <w:r w:rsidR="00366CB9" w:rsidRPr="00E80D3A">
          <w:rPr>
            <w:sz w:val="18"/>
            <w:szCs w:val="18"/>
          </w:rPr>
          <w:t>0</w:t>
        </w:r>
      </w:hyperlink>
      <w:r w:rsidRPr="00E80D3A">
        <w:rPr>
          <w:sz w:val="18"/>
          <w:szCs w:val="18"/>
        </w:rPr>
        <w:t xml:space="preserve">; вони були адаптовані з Таблиць 1 та 2 </w:t>
      </w:r>
      <w:hyperlink r:id="rId77" w:history="1">
        <w:r w:rsidR="00366CB9" w:rsidRPr="00E80D3A">
          <w:rPr>
            <w:b/>
            <w:sz w:val="18"/>
            <w:szCs w:val="18"/>
          </w:rPr>
          <w:t>Вебдодатку C</w:t>
        </w:r>
      </w:hyperlink>
      <w:r w:rsidRPr="00E80D3A">
        <w:rPr>
          <w:sz w:val="18"/>
          <w:szCs w:val="18"/>
        </w:rPr>
        <w:t>.</w:t>
      </w:r>
    </w:p>
    <w:p w14:paraId="679EA10E"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4B959491"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723"/>
        <w:gridCol w:w="1589"/>
        <w:gridCol w:w="1574"/>
        <w:gridCol w:w="1565"/>
        <w:gridCol w:w="1565"/>
        <w:gridCol w:w="1090"/>
      </w:tblGrid>
      <w:tr w:rsidR="00366CB9" w14:paraId="491EAB7D" w14:textId="77777777" w:rsidTr="007751D5">
        <w:trPr>
          <w:trHeight w:hRule="exact" w:val="708"/>
        </w:trPr>
        <w:tc>
          <w:tcPr>
            <w:tcW w:w="9106" w:type="dxa"/>
            <w:gridSpan w:val="6"/>
            <w:tcBorders>
              <w:bottom w:val="single" w:sz="8" w:space="0" w:color="00B050"/>
            </w:tcBorders>
            <w:shd w:val="clear" w:color="auto" w:fill="FFFFFF"/>
          </w:tcPr>
          <w:p w14:paraId="44714987" w14:textId="77777777" w:rsidR="00366CB9" w:rsidRPr="00785005" w:rsidRDefault="009D0C1D" w:rsidP="001F35DC">
            <w:pPr>
              <w:pStyle w:val="a6"/>
              <w:shd w:val="clear" w:color="auto" w:fill="auto"/>
              <w:rPr>
                <w:sz w:val="24"/>
                <w:szCs w:val="24"/>
              </w:rPr>
            </w:pPr>
            <w:bookmarkStart w:id="59" w:name="bookmark56"/>
            <w:r>
              <w:rPr>
                <w:color w:val="636466"/>
                <w:sz w:val="24"/>
              </w:rPr>
              <w:t>Таблиця 2.9. Критичні концентрації для препаратів першої лінії, рекомендованих для лікування лікарсько-чутливого ТБ</w:t>
            </w:r>
            <w:bookmarkEnd w:id="59"/>
          </w:p>
        </w:tc>
      </w:tr>
      <w:tr w:rsidR="00366CB9" w14:paraId="151F91EC" w14:textId="77777777" w:rsidTr="007751D5">
        <w:trPr>
          <w:trHeight w:hRule="exact" w:val="413"/>
        </w:trPr>
        <w:tc>
          <w:tcPr>
            <w:tcW w:w="1723" w:type="dxa"/>
            <w:vMerge w:val="restart"/>
            <w:tcBorders>
              <w:top w:val="single" w:sz="8" w:space="0" w:color="00B050"/>
              <w:left w:val="single" w:sz="8" w:space="0" w:color="00B050"/>
              <w:bottom w:val="single" w:sz="8" w:space="0" w:color="00B050"/>
              <w:right w:val="single" w:sz="8" w:space="0" w:color="00B050"/>
            </w:tcBorders>
            <w:shd w:val="clear" w:color="auto" w:fill="62A86A"/>
          </w:tcPr>
          <w:p w14:paraId="38A5C662" w14:textId="77777777" w:rsidR="00366CB9" w:rsidRPr="00E80D3A" w:rsidRDefault="009D0C1D" w:rsidP="001F35DC">
            <w:pPr>
              <w:pStyle w:val="a6"/>
              <w:shd w:val="clear" w:color="auto" w:fill="auto"/>
              <w:rPr>
                <w:sz w:val="18"/>
                <w:szCs w:val="24"/>
              </w:rPr>
            </w:pPr>
            <w:r w:rsidRPr="00E80D3A">
              <w:rPr>
                <w:color w:val="FFFFFF"/>
                <w:sz w:val="18"/>
                <w:szCs w:val="24"/>
              </w:rPr>
              <w:t>Лікарський засіб</w:t>
            </w:r>
          </w:p>
        </w:tc>
        <w:tc>
          <w:tcPr>
            <w:tcW w:w="1589" w:type="dxa"/>
            <w:vMerge w:val="restart"/>
            <w:tcBorders>
              <w:top w:val="single" w:sz="8" w:space="0" w:color="00B050"/>
              <w:left w:val="single" w:sz="8" w:space="0" w:color="00B050"/>
              <w:bottom w:val="single" w:sz="8" w:space="0" w:color="00B050"/>
              <w:right w:val="single" w:sz="8" w:space="0" w:color="00B050"/>
            </w:tcBorders>
            <w:shd w:val="clear" w:color="auto" w:fill="62A86A"/>
          </w:tcPr>
          <w:p w14:paraId="4AB86DA0" w14:textId="77777777" w:rsidR="00366CB9" w:rsidRPr="00E80D3A" w:rsidRDefault="009D0C1D" w:rsidP="001F35DC">
            <w:pPr>
              <w:pStyle w:val="a6"/>
              <w:shd w:val="clear" w:color="auto" w:fill="auto"/>
              <w:rPr>
                <w:sz w:val="18"/>
                <w:szCs w:val="24"/>
              </w:rPr>
            </w:pPr>
            <w:r w:rsidRPr="00E80D3A">
              <w:rPr>
                <w:color w:val="FFFFFF"/>
                <w:sz w:val="18"/>
                <w:szCs w:val="24"/>
              </w:rPr>
              <w:t>Скорочення</w:t>
            </w:r>
          </w:p>
        </w:tc>
        <w:tc>
          <w:tcPr>
            <w:tcW w:w="5794" w:type="dxa"/>
            <w:gridSpan w:val="4"/>
            <w:tcBorders>
              <w:top w:val="single" w:sz="8" w:space="0" w:color="00B050"/>
              <w:left w:val="single" w:sz="8" w:space="0" w:color="00B050"/>
              <w:bottom w:val="single" w:sz="8" w:space="0" w:color="00B050"/>
              <w:right w:val="single" w:sz="8" w:space="0" w:color="00B050"/>
            </w:tcBorders>
            <w:shd w:val="clear" w:color="auto" w:fill="62A86A"/>
            <w:vAlign w:val="center"/>
          </w:tcPr>
          <w:p w14:paraId="20526CAB" w14:textId="77777777" w:rsidR="00366CB9" w:rsidRPr="00E80D3A" w:rsidRDefault="009D0C1D" w:rsidP="00854441">
            <w:pPr>
              <w:pStyle w:val="a6"/>
              <w:shd w:val="clear" w:color="auto" w:fill="auto"/>
              <w:jc w:val="center"/>
              <w:rPr>
                <w:sz w:val="18"/>
                <w:szCs w:val="24"/>
              </w:rPr>
            </w:pPr>
            <w:r w:rsidRPr="00E80D3A">
              <w:rPr>
                <w:color w:val="FFFFFF"/>
                <w:sz w:val="18"/>
                <w:szCs w:val="24"/>
              </w:rPr>
              <w:t>КК (мкг/мл) для ТМЧ залежно від середовища</w:t>
            </w:r>
            <w:r w:rsidRPr="00E80D3A">
              <w:rPr>
                <w:color w:val="FFFFFF"/>
                <w:sz w:val="18"/>
                <w:szCs w:val="24"/>
                <w:vertAlign w:val="superscript"/>
              </w:rPr>
              <w:t>a</w:t>
            </w:r>
          </w:p>
        </w:tc>
      </w:tr>
      <w:tr w:rsidR="00366CB9" w14:paraId="41563B35" w14:textId="77777777" w:rsidTr="007751D5">
        <w:trPr>
          <w:trHeight w:hRule="exact" w:val="1157"/>
        </w:trPr>
        <w:tc>
          <w:tcPr>
            <w:tcW w:w="1723" w:type="dxa"/>
            <w:vMerge/>
            <w:tcBorders>
              <w:top w:val="single" w:sz="8" w:space="0" w:color="00B050"/>
              <w:left w:val="single" w:sz="8" w:space="0" w:color="00B050"/>
              <w:bottom w:val="single" w:sz="8" w:space="0" w:color="00B050"/>
              <w:right w:val="single" w:sz="8" w:space="0" w:color="00B050"/>
            </w:tcBorders>
            <w:shd w:val="clear" w:color="auto" w:fill="62A86A"/>
          </w:tcPr>
          <w:p w14:paraId="772DCE3E" w14:textId="77777777" w:rsidR="00366CB9" w:rsidRPr="00E80D3A" w:rsidRDefault="00366CB9" w:rsidP="001F35DC">
            <w:pPr>
              <w:rPr>
                <w:sz w:val="18"/>
              </w:rPr>
            </w:pPr>
          </w:p>
        </w:tc>
        <w:tc>
          <w:tcPr>
            <w:tcW w:w="1589" w:type="dxa"/>
            <w:vMerge/>
            <w:tcBorders>
              <w:top w:val="single" w:sz="8" w:space="0" w:color="00B050"/>
              <w:left w:val="single" w:sz="8" w:space="0" w:color="00B050"/>
              <w:bottom w:val="single" w:sz="8" w:space="0" w:color="00B050"/>
              <w:right w:val="single" w:sz="8" w:space="0" w:color="00B050"/>
            </w:tcBorders>
            <w:shd w:val="clear" w:color="auto" w:fill="62A86A"/>
          </w:tcPr>
          <w:p w14:paraId="334E139D" w14:textId="77777777" w:rsidR="00366CB9" w:rsidRPr="00E80D3A" w:rsidRDefault="00366CB9" w:rsidP="001F35DC">
            <w:pPr>
              <w:rPr>
                <w:b/>
                <w:bCs/>
                <w:sz w:val="18"/>
              </w:rPr>
            </w:pPr>
          </w:p>
        </w:tc>
        <w:tc>
          <w:tcPr>
            <w:tcW w:w="157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55347E0" w14:textId="77777777" w:rsidR="00366CB9" w:rsidRPr="00E80D3A" w:rsidRDefault="009D0C1D" w:rsidP="00854441">
            <w:pPr>
              <w:pStyle w:val="a6"/>
              <w:shd w:val="clear" w:color="auto" w:fill="auto"/>
              <w:jc w:val="center"/>
              <w:rPr>
                <w:sz w:val="18"/>
                <w:szCs w:val="24"/>
              </w:rPr>
            </w:pPr>
            <w:r w:rsidRPr="00E80D3A">
              <w:rPr>
                <w:color w:val="FFFFFF"/>
                <w:sz w:val="18"/>
                <w:szCs w:val="24"/>
              </w:rPr>
              <w:t>Середовище</w:t>
            </w:r>
          </w:p>
          <w:p w14:paraId="76F92E0B" w14:textId="77777777" w:rsidR="00366CB9" w:rsidRPr="00E80D3A" w:rsidRDefault="009D0C1D" w:rsidP="00854441">
            <w:pPr>
              <w:pStyle w:val="a6"/>
              <w:shd w:val="clear" w:color="auto" w:fill="auto"/>
              <w:jc w:val="center"/>
              <w:rPr>
                <w:sz w:val="18"/>
                <w:szCs w:val="24"/>
              </w:rPr>
            </w:pPr>
            <w:r w:rsidRPr="00E80D3A">
              <w:rPr>
                <w:color w:val="FFFFFF"/>
                <w:sz w:val="18"/>
                <w:szCs w:val="24"/>
              </w:rPr>
              <w:t>Левенштайна-Єнсена</w:t>
            </w:r>
          </w:p>
        </w:tc>
        <w:tc>
          <w:tcPr>
            <w:tcW w:w="1565"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0685BC0" w14:textId="77777777" w:rsidR="00366CB9" w:rsidRPr="00E80D3A" w:rsidRDefault="009D0C1D" w:rsidP="00854441">
            <w:pPr>
              <w:pStyle w:val="a6"/>
              <w:shd w:val="clear" w:color="auto" w:fill="auto"/>
              <w:jc w:val="center"/>
              <w:rPr>
                <w:sz w:val="18"/>
                <w:szCs w:val="24"/>
              </w:rPr>
            </w:pPr>
            <w:r w:rsidRPr="00E80D3A">
              <w:rPr>
                <w:color w:val="FFFFFF"/>
                <w:sz w:val="18"/>
                <w:szCs w:val="24"/>
              </w:rPr>
              <w:t>Середовище Міддлбрука</w:t>
            </w:r>
          </w:p>
          <w:p w14:paraId="4E94A30D" w14:textId="77777777" w:rsidR="00366CB9" w:rsidRPr="00E80D3A" w:rsidRDefault="009D0C1D" w:rsidP="00854441">
            <w:pPr>
              <w:pStyle w:val="a6"/>
              <w:shd w:val="clear" w:color="auto" w:fill="auto"/>
              <w:jc w:val="center"/>
              <w:rPr>
                <w:sz w:val="18"/>
                <w:szCs w:val="24"/>
              </w:rPr>
            </w:pPr>
            <w:r w:rsidRPr="00E80D3A">
              <w:rPr>
                <w:color w:val="FFFFFF"/>
                <w:sz w:val="18"/>
                <w:szCs w:val="24"/>
              </w:rPr>
              <w:t>7H10</w:t>
            </w:r>
          </w:p>
        </w:tc>
        <w:tc>
          <w:tcPr>
            <w:tcW w:w="1565"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73FFC72" w14:textId="77777777" w:rsidR="00366CB9" w:rsidRPr="00E80D3A" w:rsidRDefault="009D0C1D" w:rsidP="00854441">
            <w:pPr>
              <w:pStyle w:val="a6"/>
              <w:shd w:val="clear" w:color="auto" w:fill="auto"/>
              <w:jc w:val="center"/>
              <w:rPr>
                <w:sz w:val="18"/>
                <w:szCs w:val="24"/>
              </w:rPr>
            </w:pPr>
            <w:r w:rsidRPr="00E80D3A">
              <w:rPr>
                <w:color w:val="FFFFFF"/>
                <w:sz w:val="18"/>
                <w:szCs w:val="24"/>
              </w:rPr>
              <w:t>Середовище Міддлбрука</w:t>
            </w:r>
          </w:p>
          <w:p w14:paraId="2CC46946" w14:textId="77777777" w:rsidR="00366CB9" w:rsidRPr="00E80D3A" w:rsidRDefault="009D0C1D" w:rsidP="00854441">
            <w:pPr>
              <w:pStyle w:val="a6"/>
              <w:shd w:val="clear" w:color="auto" w:fill="auto"/>
              <w:jc w:val="center"/>
              <w:rPr>
                <w:sz w:val="18"/>
                <w:szCs w:val="24"/>
              </w:rPr>
            </w:pPr>
            <w:r w:rsidRPr="00E80D3A">
              <w:rPr>
                <w:color w:val="FFFFFF"/>
                <w:sz w:val="18"/>
                <w:szCs w:val="24"/>
              </w:rPr>
              <w:t>7H11</w:t>
            </w:r>
          </w:p>
        </w:tc>
        <w:tc>
          <w:tcPr>
            <w:tcW w:w="109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6075D54" w14:textId="77777777" w:rsidR="00366CB9" w:rsidRPr="00E80D3A" w:rsidRDefault="009D0C1D" w:rsidP="00854441">
            <w:pPr>
              <w:pStyle w:val="a6"/>
              <w:shd w:val="clear" w:color="auto" w:fill="auto"/>
              <w:spacing w:line="276" w:lineRule="auto"/>
              <w:jc w:val="center"/>
              <w:rPr>
                <w:sz w:val="18"/>
                <w:szCs w:val="24"/>
              </w:rPr>
            </w:pPr>
            <w:r w:rsidRPr="00E80D3A">
              <w:rPr>
                <w:color w:val="FFFFFF"/>
                <w:sz w:val="18"/>
                <w:szCs w:val="24"/>
              </w:rPr>
              <w:t>BACTEC</w:t>
            </w:r>
          </w:p>
          <w:p w14:paraId="63940A26" w14:textId="77777777" w:rsidR="00366CB9" w:rsidRPr="00E80D3A" w:rsidRDefault="009D0C1D" w:rsidP="00854441">
            <w:pPr>
              <w:pStyle w:val="a6"/>
              <w:shd w:val="clear" w:color="auto" w:fill="auto"/>
              <w:spacing w:line="276" w:lineRule="auto"/>
              <w:jc w:val="center"/>
              <w:rPr>
                <w:sz w:val="18"/>
                <w:szCs w:val="24"/>
              </w:rPr>
            </w:pPr>
            <w:r w:rsidRPr="00E80D3A">
              <w:rPr>
                <w:color w:val="FFFFFF"/>
                <w:sz w:val="18"/>
                <w:szCs w:val="24"/>
              </w:rPr>
              <w:t>Рідка культура MGIT</w:t>
            </w:r>
          </w:p>
        </w:tc>
      </w:tr>
      <w:tr w:rsidR="00366CB9" w14:paraId="3EE7082D" w14:textId="77777777" w:rsidTr="007751D5">
        <w:trPr>
          <w:trHeight w:hRule="exact" w:val="413"/>
        </w:trPr>
        <w:tc>
          <w:tcPr>
            <w:tcW w:w="1723" w:type="dxa"/>
            <w:tcBorders>
              <w:top w:val="single" w:sz="8" w:space="0" w:color="00B050"/>
              <w:bottom w:val="single" w:sz="8" w:space="0" w:color="00B050"/>
            </w:tcBorders>
            <w:shd w:val="clear" w:color="auto" w:fill="FFFFFF"/>
            <w:vAlign w:val="center"/>
          </w:tcPr>
          <w:p w14:paraId="242A2D35" w14:textId="77777777" w:rsidR="00366CB9" w:rsidRPr="00E80D3A" w:rsidRDefault="009D0C1D" w:rsidP="00854441">
            <w:pPr>
              <w:pStyle w:val="a6"/>
              <w:shd w:val="clear" w:color="auto" w:fill="auto"/>
              <w:rPr>
                <w:sz w:val="18"/>
                <w:szCs w:val="24"/>
              </w:rPr>
            </w:pPr>
            <w:r w:rsidRPr="00E80D3A">
              <w:rPr>
                <w:b w:val="0"/>
                <w:color w:val="000000"/>
                <w:sz w:val="18"/>
                <w:szCs w:val="24"/>
              </w:rPr>
              <w:t>Рифампіцин</w:t>
            </w:r>
          </w:p>
        </w:tc>
        <w:tc>
          <w:tcPr>
            <w:tcW w:w="1589" w:type="dxa"/>
            <w:tcBorders>
              <w:top w:val="single" w:sz="8" w:space="0" w:color="00B050"/>
              <w:bottom w:val="single" w:sz="8" w:space="0" w:color="00B050"/>
            </w:tcBorders>
            <w:shd w:val="clear" w:color="auto" w:fill="FFFFFF"/>
            <w:vAlign w:val="center"/>
          </w:tcPr>
          <w:p w14:paraId="011512A4" w14:textId="77777777" w:rsidR="00366CB9" w:rsidRPr="00E80D3A" w:rsidRDefault="009D0C1D" w:rsidP="00854441">
            <w:pPr>
              <w:pStyle w:val="a6"/>
              <w:shd w:val="clear" w:color="auto" w:fill="auto"/>
              <w:rPr>
                <w:sz w:val="18"/>
                <w:szCs w:val="24"/>
              </w:rPr>
            </w:pPr>
            <w:r w:rsidRPr="00E80D3A">
              <w:rPr>
                <w:b w:val="0"/>
                <w:color w:val="000000"/>
                <w:sz w:val="18"/>
                <w:szCs w:val="24"/>
              </w:rPr>
              <w:t>RIF</w:t>
            </w:r>
          </w:p>
        </w:tc>
        <w:tc>
          <w:tcPr>
            <w:tcW w:w="1574" w:type="dxa"/>
            <w:tcBorders>
              <w:top w:val="single" w:sz="8" w:space="0" w:color="00B050"/>
              <w:bottom w:val="single" w:sz="8" w:space="0" w:color="00B050"/>
            </w:tcBorders>
            <w:shd w:val="clear" w:color="auto" w:fill="FFFFFF"/>
            <w:vAlign w:val="center"/>
          </w:tcPr>
          <w:p w14:paraId="2078BC87"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40,0</w:t>
            </w:r>
          </w:p>
        </w:tc>
        <w:tc>
          <w:tcPr>
            <w:tcW w:w="1565" w:type="dxa"/>
            <w:tcBorders>
              <w:top w:val="single" w:sz="8" w:space="0" w:color="00B050"/>
              <w:bottom w:val="single" w:sz="8" w:space="0" w:color="00B050"/>
            </w:tcBorders>
            <w:shd w:val="clear" w:color="auto" w:fill="FFFFFF"/>
            <w:vAlign w:val="center"/>
          </w:tcPr>
          <w:p w14:paraId="52E53B32"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0,5</w:t>
            </w:r>
          </w:p>
        </w:tc>
        <w:tc>
          <w:tcPr>
            <w:tcW w:w="1565" w:type="dxa"/>
            <w:tcBorders>
              <w:top w:val="single" w:sz="8" w:space="0" w:color="00B050"/>
              <w:bottom w:val="single" w:sz="8" w:space="0" w:color="00B050"/>
            </w:tcBorders>
            <w:shd w:val="clear" w:color="auto" w:fill="FFFFFF"/>
            <w:vAlign w:val="center"/>
          </w:tcPr>
          <w:p w14:paraId="3F1CBC54"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1,0</w:t>
            </w:r>
          </w:p>
        </w:tc>
        <w:tc>
          <w:tcPr>
            <w:tcW w:w="1090" w:type="dxa"/>
            <w:tcBorders>
              <w:top w:val="single" w:sz="8" w:space="0" w:color="00B050"/>
              <w:bottom w:val="single" w:sz="8" w:space="0" w:color="00B050"/>
            </w:tcBorders>
            <w:shd w:val="clear" w:color="auto" w:fill="FFFFFF"/>
            <w:vAlign w:val="center"/>
          </w:tcPr>
          <w:p w14:paraId="4C71A580" w14:textId="77777777" w:rsidR="00366CB9" w:rsidRPr="00E80D3A" w:rsidRDefault="009D0C1D" w:rsidP="00854441">
            <w:pPr>
              <w:pStyle w:val="a6"/>
              <w:shd w:val="clear" w:color="auto" w:fill="auto"/>
              <w:ind w:right="165" w:firstLine="52"/>
              <w:jc w:val="center"/>
              <w:rPr>
                <w:sz w:val="18"/>
                <w:szCs w:val="24"/>
              </w:rPr>
            </w:pPr>
            <w:r w:rsidRPr="00E80D3A">
              <w:rPr>
                <w:b w:val="0"/>
                <w:color w:val="000000"/>
                <w:sz w:val="18"/>
                <w:szCs w:val="24"/>
              </w:rPr>
              <w:t>0,5</w:t>
            </w:r>
            <w:r w:rsidRPr="00E80D3A">
              <w:rPr>
                <w:b w:val="0"/>
                <w:color w:val="000000"/>
                <w:sz w:val="18"/>
                <w:szCs w:val="24"/>
                <w:vertAlign w:val="superscript"/>
              </w:rPr>
              <w:t>b</w:t>
            </w:r>
          </w:p>
        </w:tc>
      </w:tr>
      <w:tr w:rsidR="00366CB9" w14:paraId="72743950" w14:textId="77777777" w:rsidTr="007751D5">
        <w:trPr>
          <w:trHeight w:hRule="exact" w:val="403"/>
        </w:trPr>
        <w:tc>
          <w:tcPr>
            <w:tcW w:w="1723" w:type="dxa"/>
            <w:tcBorders>
              <w:top w:val="single" w:sz="8" w:space="0" w:color="00B050"/>
              <w:bottom w:val="single" w:sz="8" w:space="0" w:color="00B050"/>
            </w:tcBorders>
            <w:shd w:val="clear" w:color="auto" w:fill="FFFFFF"/>
            <w:vAlign w:val="center"/>
          </w:tcPr>
          <w:p w14:paraId="403176AC" w14:textId="77777777" w:rsidR="00366CB9" w:rsidRPr="00E80D3A" w:rsidRDefault="009D0C1D" w:rsidP="00854441">
            <w:pPr>
              <w:pStyle w:val="a6"/>
              <w:shd w:val="clear" w:color="auto" w:fill="auto"/>
              <w:rPr>
                <w:sz w:val="18"/>
                <w:szCs w:val="24"/>
              </w:rPr>
            </w:pPr>
            <w:r w:rsidRPr="00E80D3A">
              <w:rPr>
                <w:b w:val="0"/>
                <w:color w:val="000000"/>
                <w:sz w:val="18"/>
                <w:szCs w:val="24"/>
              </w:rPr>
              <w:t>Ізоніазид</w:t>
            </w:r>
            <w:r w:rsidRPr="00E80D3A">
              <w:rPr>
                <w:b w:val="0"/>
                <w:color w:val="000000"/>
                <w:sz w:val="18"/>
                <w:szCs w:val="24"/>
                <w:vertAlign w:val="superscript"/>
              </w:rPr>
              <w:t>c</w:t>
            </w:r>
          </w:p>
        </w:tc>
        <w:tc>
          <w:tcPr>
            <w:tcW w:w="1589" w:type="dxa"/>
            <w:tcBorders>
              <w:top w:val="single" w:sz="8" w:space="0" w:color="00B050"/>
              <w:bottom w:val="single" w:sz="8" w:space="0" w:color="00B050"/>
            </w:tcBorders>
            <w:shd w:val="clear" w:color="auto" w:fill="FFFFFF"/>
            <w:vAlign w:val="center"/>
          </w:tcPr>
          <w:p w14:paraId="44A27389" w14:textId="77777777" w:rsidR="00366CB9" w:rsidRPr="00E80D3A" w:rsidRDefault="009D0C1D" w:rsidP="00854441">
            <w:pPr>
              <w:pStyle w:val="a6"/>
              <w:shd w:val="clear" w:color="auto" w:fill="auto"/>
              <w:rPr>
                <w:sz w:val="18"/>
                <w:szCs w:val="24"/>
              </w:rPr>
            </w:pPr>
            <w:r w:rsidRPr="00E80D3A">
              <w:rPr>
                <w:b w:val="0"/>
                <w:color w:val="000000"/>
                <w:sz w:val="18"/>
                <w:szCs w:val="24"/>
              </w:rPr>
              <w:t>INH</w:t>
            </w:r>
          </w:p>
        </w:tc>
        <w:tc>
          <w:tcPr>
            <w:tcW w:w="1574" w:type="dxa"/>
            <w:tcBorders>
              <w:top w:val="single" w:sz="8" w:space="0" w:color="00B050"/>
              <w:bottom w:val="single" w:sz="8" w:space="0" w:color="00B050"/>
            </w:tcBorders>
            <w:shd w:val="clear" w:color="auto" w:fill="FFFFFF"/>
            <w:vAlign w:val="center"/>
          </w:tcPr>
          <w:p w14:paraId="27371A73"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0,2</w:t>
            </w:r>
          </w:p>
        </w:tc>
        <w:tc>
          <w:tcPr>
            <w:tcW w:w="1565" w:type="dxa"/>
            <w:tcBorders>
              <w:top w:val="single" w:sz="8" w:space="0" w:color="00B050"/>
              <w:bottom w:val="single" w:sz="8" w:space="0" w:color="00B050"/>
            </w:tcBorders>
            <w:shd w:val="clear" w:color="auto" w:fill="FFFFFF"/>
            <w:vAlign w:val="center"/>
          </w:tcPr>
          <w:p w14:paraId="07FE72CA"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0,2</w:t>
            </w:r>
          </w:p>
        </w:tc>
        <w:tc>
          <w:tcPr>
            <w:tcW w:w="1565" w:type="dxa"/>
            <w:tcBorders>
              <w:top w:val="single" w:sz="8" w:space="0" w:color="00B050"/>
              <w:bottom w:val="single" w:sz="8" w:space="0" w:color="00B050"/>
            </w:tcBorders>
            <w:shd w:val="clear" w:color="auto" w:fill="FFFFFF"/>
            <w:vAlign w:val="center"/>
          </w:tcPr>
          <w:p w14:paraId="47866E06"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0,2</w:t>
            </w:r>
          </w:p>
        </w:tc>
        <w:tc>
          <w:tcPr>
            <w:tcW w:w="1090" w:type="dxa"/>
            <w:tcBorders>
              <w:top w:val="single" w:sz="8" w:space="0" w:color="00B050"/>
              <w:bottom w:val="single" w:sz="8" w:space="0" w:color="00B050"/>
            </w:tcBorders>
            <w:shd w:val="clear" w:color="auto" w:fill="FFFFFF"/>
            <w:vAlign w:val="center"/>
          </w:tcPr>
          <w:p w14:paraId="0B37B054" w14:textId="77777777" w:rsidR="00366CB9" w:rsidRPr="00E80D3A" w:rsidRDefault="009D0C1D" w:rsidP="00854441">
            <w:pPr>
              <w:pStyle w:val="a6"/>
              <w:shd w:val="clear" w:color="auto" w:fill="auto"/>
              <w:ind w:right="165" w:firstLine="52"/>
              <w:jc w:val="center"/>
              <w:rPr>
                <w:sz w:val="18"/>
                <w:szCs w:val="24"/>
              </w:rPr>
            </w:pPr>
            <w:r w:rsidRPr="00E80D3A">
              <w:rPr>
                <w:b w:val="0"/>
                <w:color w:val="000000"/>
                <w:sz w:val="18"/>
                <w:szCs w:val="24"/>
              </w:rPr>
              <w:t>0,1</w:t>
            </w:r>
          </w:p>
        </w:tc>
      </w:tr>
      <w:tr w:rsidR="00366CB9" w14:paraId="73D8575B" w14:textId="77777777" w:rsidTr="007751D5">
        <w:trPr>
          <w:trHeight w:hRule="exact" w:val="403"/>
        </w:trPr>
        <w:tc>
          <w:tcPr>
            <w:tcW w:w="1723" w:type="dxa"/>
            <w:tcBorders>
              <w:top w:val="single" w:sz="8" w:space="0" w:color="00B050"/>
              <w:bottom w:val="single" w:sz="8" w:space="0" w:color="00B050"/>
            </w:tcBorders>
            <w:shd w:val="clear" w:color="auto" w:fill="FFFFFF"/>
            <w:vAlign w:val="center"/>
          </w:tcPr>
          <w:p w14:paraId="6FC7B81B" w14:textId="77777777" w:rsidR="00366CB9" w:rsidRPr="00E80D3A" w:rsidRDefault="009D0C1D" w:rsidP="00854441">
            <w:pPr>
              <w:pStyle w:val="a6"/>
              <w:shd w:val="clear" w:color="auto" w:fill="auto"/>
              <w:rPr>
                <w:sz w:val="18"/>
                <w:szCs w:val="24"/>
              </w:rPr>
            </w:pPr>
            <w:r w:rsidRPr="00E80D3A">
              <w:rPr>
                <w:b w:val="0"/>
                <w:color w:val="000000"/>
                <w:sz w:val="18"/>
                <w:szCs w:val="24"/>
              </w:rPr>
              <w:t>Етамбутол</w:t>
            </w:r>
            <w:r w:rsidRPr="00E80D3A">
              <w:rPr>
                <w:b w:val="0"/>
                <w:color w:val="000000"/>
                <w:sz w:val="18"/>
                <w:szCs w:val="24"/>
                <w:vertAlign w:val="superscript"/>
              </w:rPr>
              <w:t>d</w:t>
            </w:r>
          </w:p>
        </w:tc>
        <w:tc>
          <w:tcPr>
            <w:tcW w:w="1589" w:type="dxa"/>
            <w:tcBorders>
              <w:top w:val="single" w:sz="8" w:space="0" w:color="00B050"/>
              <w:bottom w:val="single" w:sz="8" w:space="0" w:color="00B050"/>
            </w:tcBorders>
            <w:shd w:val="clear" w:color="auto" w:fill="FFFFFF"/>
            <w:vAlign w:val="center"/>
          </w:tcPr>
          <w:p w14:paraId="5BEEE25C" w14:textId="77777777" w:rsidR="00366CB9" w:rsidRPr="00E80D3A" w:rsidRDefault="009D0C1D" w:rsidP="00854441">
            <w:pPr>
              <w:pStyle w:val="a6"/>
              <w:shd w:val="clear" w:color="auto" w:fill="auto"/>
              <w:rPr>
                <w:sz w:val="18"/>
                <w:szCs w:val="24"/>
              </w:rPr>
            </w:pPr>
            <w:r w:rsidRPr="00E80D3A">
              <w:rPr>
                <w:b w:val="0"/>
                <w:color w:val="000000"/>
                <w:sz w:val="18"/>
                <w:szCs w:val="24"/>
              </w:rPr>
              <w:t>EMB</w:t>
            </w:r>
          </w:p>
        </w:tc>
        <w:tc>
          <w:tcPr>
            <w:tcW w:w="1574" w:type="dxa"/>
            <w:tcBorders>
              <w:top w:val="single" w:sz="8" w:space="0" w:color="00B050"/>
              <w:bottom w:val="single" w:sz="8" w:space="0" w:color="00B050"/>
            </w:tcBorders>
            <w:shd w:val="clear" w:color="auto" w:fill="FFFFFF"/>
            <w:vAlign w:val="center"/>
          </w:tcPr>
          <w:p w14:paraId="766EDBAE"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2,0</w:t>
            </w:r>
          </w:p>
        </w:tc>
        <w:tc>
          <w:tcPr>
            <w:tcW w:w="1565" w:type="dxa"/>
            <w:tcBorders>
              <w:top w:val="single" w:sz="8" w:space="0" w:color="00B050"/>
              <w:bottom w:val="single" w:sz="8" w:space="0" w:color="00B050"/>
            </w:tcBorders>
            <w:shd w:val="clear" w:color="auto" w:fill="FFFFFF"/>
            <w:vAlign w:val="center"/>
          </w:tcPr>
          <w:p w14:paraId="15EE9082"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5,0</w:t>
            </w:r>
          </w:p>
        </w:tc>
        <w:tc>
          <w:tcPr>
            <w:tcW w:w="1565" w:type="dxa"/>
            <w:tcBorders>
              <w:top w:val="single" w:sz="8" w:space="0" w:color="00B050"/>
              <w:bottom w:val="single" w:sz="8" w:space="0" w:color="00B050"/>
            </w:tcBorders>
            <w:shd w:val="clear" w:color="auto" w:fill="FFFFFF"/>
            <w:vAlign w:val="center"/>
          </w:tcPr>
          <w:p w14:paraId="7C2A8D16"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7,5</w:t>
            </w:r>
          </w:p>
        </w:tc>
        <w:tc>
          <w:tcPr>
            <w:tcW w:w="1090" w:type="dxa"/>
            <w:tcBorders>
              <w:top w:val="single" w:sz="8" w:space="0" w:color="00B050"/>
              <w:bottom w:val="single" w:sz="8" w:space="0" w:color="00B050"/>
            </w:tcBorders>
            <w:shd w:val="clear" w:color="auto" w:fill="FFFFFF"/>
            <w:vAlign w:val="center"/>
          </w:tcPr>
          <w:p w14:paraId="0773783C" w14:textId="77777777" w:rsidR="00366CB9" w:rsidRPr="00E80D3A" w:rsidRDefault="009D0C1D" w:rsidP="00854441">
            <w:pPr>
              <w:pStyle w:val="a6"/>
              <w:shd w:val="clear" w:color="auto" w:fill="auto"/>
              <w:ind w:right="165" w:firstLine="52"/>
              <w:jc w:val="center"/>
              <w:rPr>
                <w:sz w:val="18"/>
                <w:szCs w:val="24"/>
              </w:rPr>
            </w:pPr>
            <w:r w:rsidRPr="00E80D3A">
              <w:rPr>
                <w:b w:val="0"/>
                <w:color w:val="000000"/>
                <w:sz w:val="18"/>
                <w:szCs w:val="24"/>
              </w:rPr>
              <w:t>5,0</w:t>
            </w:r>
          </w:p>
        </w:tc>
      </w:tr>
      <w:tr w:rsidR="00366CB9" w14:paraId="2932EDE9" w14:textId="77777777" w:rsidTr="007751D5">
        <w:trPr>
          <w:trHeight w:hRule="exact" w:val="403"/>
        </w:trPr>
        <w:tc>
          <w:tcPr>
            <w:tcW w:w="1723" w:type="dxa"/>
            <w:tcBorders>
              <w:top w:val="single" w:sz="8" w:space="0" w:color="00B050"/>
              <w:bottom w:val="single" w:sz="8" w:space="0" w:color="00B050"/>
            </w:tcBorders>
            <w:shd w:val="clear" w:color="auto" w:fill="FFFFFF"/>
            <w:vAlign w:val="center"/>
          </w:tcPr>
          <w:p w14:paraId="4D9C3BCA" w14:textId="77777777" w:rsidR="00366CB9" w:rsidRPr="00E80D3A" w:rsidRDefault="009D0C1D" w:rsidP="00854441">
            <w:pPr>
              <w:pStyle w:val="a6"/>
              <w:shd w:val="clear" w:color="auto" w:fill="auto"/>
              <w:rPr>
                <w:sz w:val="18"/>
                <w:szCs w:val="24"/>
              </w:rPr>
            </w:pPr>
            <w:r w:rsidRPr="00E80D3A">
              <w:rPr>
                <w:b w:val="0"/>
                <w:color w:val="000000"/>
                <w:sz w:val="18"/>
                <w:szCs w:val="24"/>
              </w:rPr>
              <w:t>Піразинамід</w:t>
            </w:r>
            <w:r w:rsidRPr="00E80D3A">
              <w:rPr>
                <w:b w:val="0"/>
                <w:color w:val="000000"/>
                <w:sz w:val="18"/>
                <w:szCs w:val="24"/>
                <w:vertAlign w:val="superscript"/>
              </w:rPr>
              <w:t>e</w:t>
            </w:r>
          </w:p>
        </w:tc>
        <w:tc>
          <w:tcPr>
            <w:tcW w:w="1589" w:type="dxa"/>
            <w:tcBorders>
              <w:top w:val="single" w:sz="8" w:space="0" w:color="00B050"/>
              <w:bottom w:val="single" w:sz="8" w:space="0" w:color="00B050"/>
            </w:tcBorders>
            <w:shd w:val="clear" w:color="auto" w:fill="FFFFFF"/>
            <w:vAlign w:val="center"/>
          </w:tcPr>
          <w:p w14:paraId="7DAE866D" w14:textId="77777777" w:rsidR="00366CB9" w:rsidRPr="00E80D3A" w:rsidRDefault="009D0C1D" w:rsidP="00854441">
            <w:pPr>
              <w:pStyle w:val="a6"/>
              <w:shd w:val="clear" w:color="auto" w:fill="auto"/>
              <w:rPr>
                <w:sz w:val="18"/>
                <w:szCs w:val="24"/>
              </w:rPr>
            </w:pPr>
            <w:r w:rsidRPr="00E80D3A">
              <w:rPr>
                <w:b w:val="0"/>
                <w:color w:val="000000"/>
                <w:sz w:val="18"/>
                <w:szCs w:val="24"/>
              </w:rPr>
              <w:t>PZA</w:t>
            </w:r>
          </w:p>
        </w:tc>
        <w:tc>
          <w:tcPr>
            <w:tcW w:w="1574" w:type="dxa"/>
            <w:tcBorders>
              <w:top w:val="single" w:sz="8" w:space="0" w:color="00B050"/>
              <w:bottom w:val="single" w:sz="8" w:space="0" w:color="00B050"/>
            </w:tcBorders>
            <w:shd w:val="clear" w:color="auto" w:fill="FFFFFF"/>
            <w:vAlign w:val="center"/>
          </w:tcPr>
          <w:p w14:paraId="2B67FFD5"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w:t>
            </w:r>
          </w:p>
        </w:tc>
        <w:tc>
          <w:tcPr>
            <w:tcW w:w="1565" w:type="dxa"/>
            <w:tcBorders>
              <w:top w:val="single" w:sz="8" w:space="0" w:color="00B050"/>
              <w:bottom w:val="single" w:sz="8" w:space="0" w:color="00B050"/>
            </w:tcBorders>
            <w:shd w:val="clear" w:color="auto" w:fill="FFFFFF"/>
            <w:vAlign w:val="center"/>
          </w:tcPr>
          <w:p w14:paraId="4FCE4826"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w:t>
            </w:r>
          </w:p>
        </w:tc>
        <w:tc>
          <w:tcPr>
            <w:tcW w:w="1565" w:type="dxa"/>
            <w:tcBorders>
              <w:top w:val="single" w:sz="8" w:space="0" w:color="00B050"/>
              <w:bottom w:val="single" w:sz="8" w:space="0" w:color="00B050"/>
            </w:tcBorders>
            <w:shd w:val="clear" w:color="auto" w:fill="FFFFFF"/>
            <w:vAlign w:val="center"/>
          </w:tcPr>
          <w:p w14:paraId="37B2B55E"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w:t>
            </w:r>
          </w:p>
        </w:tc>
        <w:tc>
          <w:tcPr>
            <w:tcW w:w="1090" w:type="dxa"/>
            <w:tcBorders>
              <w:top w:val="single" w:sz="8" w:space="0" w:color="00B050"/>
              <w:bottom w:val="single" w:sz="8" w:space="0" w:color="00B050"/>
            </w:tcBorders>
            <w:shd w:val="clear" w:color="auto" w:fill="FFFFFF"/>
            <w:vAlign w:val="center"/>
          </w:tcPr>
          <w:p w14:paraId="5DE4AFA3" w14:textId="77777777" w:rsidR="00366CB9" w:rsidRPr="00E80D3A" w:rsidRDefault="009D0C1D" w:rsidP="00854441">
            <w:pPr>
              <w:pStyle w:val="a6"/>
              <w:shd w:val="clear" w:color="auto" w:fill="auto"/>
              <w:ind w:right="165" w:firstLine="52"/>
              <w:jc w:val="center"/>
              <w:rPr>
                <w:sz w:val="18"/>
                <w:szCs w:val="24"/>
              </w:rPr>
            </w:pPr>
            <w:r w:rsidRPr="00E80D3A">
              <w:rPr>
                <w:b w:val="0"/>
                <w:color w:val="000000"/>
                <w:sz w:val="18"/>
                <w:szCs w:val="24"/>
              </w:rPr>
              <w:t>100</w:t>
            </w:r>
          </w:p>
        </w:tc>
      </w:tr>
      <w:tr w:rsidR="00366CB9" w14:paraId="64A0632D" w14:textId="77777777" w:rsidTr="007751D5">
        <w:trPr>
          <w:trHeight w:hRule="exact" w:val="394"/>
        </w:trPr>
        <w:tc>
          <w:tcPr>
            <w:tcW w:w="1723" w:type="dxa"/>
            <w:tcBorders>
              <w:top w:val="single" w:sz="8" w:space="0" w:color="00B050"/>
              <w:bottom w:val="single" w:sz="8" w:space="0" w:color="00B050"/>
            </w:tcBorders>
            <w:shd w:val="clear" w:color="auto" w:fill="FFFFFF"/>
            <w:vAlign w:val="center"/>
          </w:tcPr>
          <w:p w14:paraId="21DDDA7D" w14:textId="77777777" w:rsidR="00366CB9" w:rsidRPr="00E80D3A" w:rsidRDefault="009D0C1D" w:rsidP="00854441">
            <w:pPr>
              <w:pStyle w:val="a6"/>
              <w:shd w:val="clear" w:color="auto" w:fill="auto"/>
              <w:rPr>
                <w:sz w:val="18"/>
                <w:szCs w:val="24"/>
              </w:rPr>
            </w:pPr>
            <w:r w:rsidRPr="00E80D3A">
              <w:rPr>
                <w:b w:val="0"/>
                <w:color w:val="000000"/>
                <w:sz w:val="18"/>
                <w:szCs w:val="24"/>
              </w:rPr>
              <w:t>Моксифлоксацин</w:t>
            </w:r>
          </w:p>
        </w:tc>
        <w:tc>
          <w:tcPr>
            <w:tcW w:w="1589" w:type="dxa"/>
            <w:tcBorders>
              <w:top w:val="single" w:sz="8" w:space="0" w:color="00B050"/>
              <w:bottom w:val="single" w:sz="8" w:space="0" w:color="00B050"/>
            </w:tcBorders>
            <w:shd w:val="clear" w:color="auto" w:fill="FFFFFF"/>
            <w:vAlign w:val="center"/>
          </w:tcPr>
          <w:p w14:paraId="5713B4E4" w14:textId="77777777" w:rsidR="00366CB9" w:rsidRPr="00E80D3A" w:rsidRDefault="009D0C1D" w:rsidP="00854441">
            <w:pPr>
              <w:pStyle w:val="a6"/>
              <w:shd w:val="clear" w:color="auto" w:fill="auto"/>
              <w:rPr>
                <w:sz w:val="18"/>
                <w:szCs w:val="24"/>
              </w:rPr>
            </w:pPr>
            <w:r w:rsidRPr="00E80D3A">
              <w:rPr>
                <w:b w:val="0"/>
                <w:color w:val="000000"/>
                <w:sz w:val="18"/>
                <w:szCs w:val="24"/>
              </w:rPr>
              <w:t>MFX (КК)</w:t>
            </w:r>
          </w:p>
        </w:tc>
        <w:tc>
          <w:tcPr>
            <w:tcW w:w="1574" w:type="dxa"/>
            <w:tcBorders>
              <w:top w:val="single" w:sz="8" w:space="0" w:color="00B050"/>
              <w:bottom w:val="single" w:sz="8" w:space="0" w:color="00B050"/>
            </w:tcBorders>
            <w:shd w:val="clear" w:color="auto" w:fill="FFFFFF"/>
            <w:vAlign w:val="center"/>
          </w:tcPr>
          <w:p w14:paraId="2A0F739C"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1,0</w:t>
            </w:r>
          </w:p>
        </w:tc>
        <w:tc>
          <w:tcPr>
            <w:tcW w:w="1565" w:type="dxa"/>
            <w:tcBorders>
              <w:top w:val="single" w:sz="8" w:space="0" w:color="00B050"/>
              <w:bottom w:val="single" w:sz="8" w:space="0" w:color="00B050"/>
            </w:tcBorders>
            <w:shd w:val="clear" w:color="auto" w:fill="FFFFFF"/>
            <w:vAlign w:val="center"/>
          </w:tcPr>
          <w:p w14:paraId="2DD2E6EA"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0,5</w:t>
            </w:r>
          </w:p>
        </w:tc>
        <w:tc>
          <w:tcPr>
            <w:tcW w:w="1565" w:type="dxa"/>
            <w:tcBorders>
              <w:top w:val="single" w:sz="8" w:space="0" w:color="00B050"/>
              <w:bottom w:val="single" w:sz="8" w:space="0" w:color="00B050"/>
            </w:tcBorders>
            <w:shd w:val="clear" w:color="auto" w:fill="FFFFFF"/>
            <w:vAlign w:val="center"/>
          </w:tcPr>
          <w:p w14:paraId="0EF15E2D"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0,5</w:t>
            </w:r>
          </w:p>
        </w:tc>
        <w:tc>
          <w:tcPr>
            <w:tcW w:w="1090" w:type="dxa"/>
            <w:tcBorders>
              <w:top w:val="single" w:sz="8" w:space="0" w:color="00B050"/>
              <w:bottom w:val="single" w:sz="8" w:space="0" w:color="00B050"/>
            </w:tcBorders>
            <w:shd w:val="clear" w:color="auto" w:fill="FFFFFF"/>
            <w:vAlign w:val="center"/>
          </w:tcPr>
          <w:p w14:paraId="5CB69C8B" w14:textId="77777777" w:rsidR="00366CB9" w:rsidRPr="00E80D3A" w:rsidRDefault="009D0C1D" w:rsidP="00854441">
            <w:pPr>
              <w:pStyle w:val="a6"/>
              <w:shd w:val="clear" w:color="auto" w:fill="auto"/>
              <w:ind w:right="165" w:firstLine="52"/>
              <w:jc w:val="center"/>
              <w:rPr>
                <w:sz w:val="18"/>
                <w:szCs w:val="24"/>
              </w:rPr>
            </w:pPr>
            <w:r w:rsidRPr="00E80D3A">
              <w:rPr>
                <w:b w:val="0"/>
                <w:color w:val="000000"/>
                <w:sz w:val="18"/>
                <w:szCs w:val="24"/>
              </w:rPr>
              <w:t>0,25</w:t>
            </w:r>
          </w:p>
        </w:tc>
      </w:tr>
      <w:tr w:rsidR="00366CB9" w14:paraId="583A53A2" w14:textId="77777777" w:rsidTr="007751D5">
        <w:trPr>
          <w:trHeight w:hRule="exact" w:val="4776"/>
        </w:trPr>
        <w:tc>
          <w:tcPr>
            <w:tcW w:w="9106" w:type="dxa"/>
            <w:gridSpan w:val="6"/>
            <w:tcBorders>
              <w:top w:val="single" w:sz="8" w:space="0" w:color="00B050"/>
            </w:tcBorders>
            <w:shd w:val="clear" w:color="auto" w:fill="FFFFFF"/>
            <w:vAlign w:val="center"/>
          </w:tcPr>
          <w:p w14:paraId="780997A7" w14:textId="77777777" w:rsidR="00366CB9" w:rsidRDefault="009D0C1D" w:rsidP="00854441">
            <w:pPr>
              <w:pStyle w:val="a6"/>
              <w:shd w:val="clear" w:color="auto" w:fill="auto"/>
              <w:spacing w:after="40" w:line="266" w:lineRule="auto"/>
              <w:rPr>
                <w:sz w:val="17"/>
                <w:szCs w:val="17"/>
              </w:rPr>
            </w:pPr>
            <w:r>
              <w:rPr>
                <w:b w:val="0"/>
                <w:color w:val="000000"/>
                <w:sz w:val="17"/>
              </w:rPr>
              <w:t xml:space="preserve">КК: критична концентрація; ДНК: дезоксирибонуклеїнова кислота; ТМЧ: тестування медикаментозної чутливості; LPA: аналіз олігонуклеотидними зондами; MGIT: пробірка з індикатором росту мікобактерій; MTBC: комплекс </w:t>
            </w:r>
            <w:r>
              <w:rPr>
                <w:b w:val="0"/>
                <w:i/>
                <w:color w:val="000000"/>
                <w:sz w:val="17"/>
              </w:rPr>
              <w:t>Mycobacterium tuberculosis</w:t>
            </w:r>
            <w:r>
              <w:rPr>
                <w:b w:val="0"/>
                <w:color w:val="000000"/>
                <w:sz w:val="17"/>
              </w:rPr>
              <w:t>; HC-rNAAT: аналіз ампліфікації нуклеїнових кислот на основі зворотної гібридизації високої складності; ТБ: туберкульоз.</w:t>
            </w:r>
          </w:p>
          <w:p w14:paraId="230BC77F" w14:textId="77777777" w:rsidR="00366CB9" w:rsidRDefault="009D0C1D" w:rsidP="00854441">
            <w:pPr>
              <w:pStyle w:val="a6"/>
              <w:shd w:val="clear" w:color="auto" w:fill="auto"/>
              <w:spacing w:after="40" w:line="266" w:lineRule="auto"/>
              <w:rPr>
                <w:sz w:val="17"/>
                <w:szCs w:val="17"/>
              </w:rPr>
            </w:pPr>
            <w:r>
              <w:rPr>
                <w:b w:val="0"/>
                <w:color w:val="000000"/>
                <w:sz w:val="17"/>
              </w:rPr>
              <w:t>Лікарські засоби: EMB: етамбутол; INH: ізоніазид; PZA: піразинамід; RIF: рифампіцин.</w:t>
            </w:r>
          </w:p>
          <w:p w14:paraId="15F12749" w14:textId="663CE85D" w:rsidR="00366CB9" w:rsidRDefault="009D0C1D" w:rsidP="00854441">
            <w:pPr>
              <w:pStyle w:val="a6"/>
              <w:shd w:val="clear" w:color="auto" w:fill="auto"/>
              <w:spacing w:after="40" w:line="266" w:lineRule="auto"/>
              <w:ind w:left="160" w:hanging="160"/>
              <w:rPr>
                <w:sz w:val="17"/>
                <w:szCs w:val="17"/>
              </w:rPr>
            </w:pPr>
            <w:r>
              <w:rPr>
                <w:b w:val="0"/>
                <w:color w:val="000000"/>
                <w:sz w:val="17"/>
                <w:vertAlign w:val="superscript"/>
              </w:rPr>
              <w:t>a</w:t>
            </w:r>
            <w:r w:rsidR="00854441">
              <w:tab/>
            </w:r>
            <w:r>
              <w:rPr>
                <w:b w:val="0"/>
                <w:color w:val="000000"/>
                <w:sz w:val="17"/>
              </w:rPr>
              <w:t>Рекомендується використовувати метод непрямої пропорції. Інші методи з посівом на тверде поживне середовище (такі як коефіцієнт стійкості або абсолютна концентрація) не були адекватно підтверджені для протитуберкульозних препаратів.</w:t>
            </w:r>
          </w:p>
          <w:p w14:paraId="5F7CCE52" w14:textId="1D7F3F6F" w:rsidR="00366CB9" w:rsidRDefault="009D0C1D" w:rsidP="00854441">
            <w:pPr>
              <w:pStyle w:val="a6"/>
              <w:shd w:val="clear" w:color="auto" w:fill="auto"/>
              <w:spacing w:after="40" w:line="266" w:lineRule="auto"/>
              <w:ind w:left="160" w:hanging="160"/>
              <w:rPr>
                <w:sz w:val="17"/>
                <w:szCs w:val="17"/>
              </w:rPr>
            </w:pPr>
            <w:r>
              <w:rPr>
                <w:b w:val="0"/>
                <w:color w:val="000000"/>
                <w:sz w:val="17"/>
                <w:vertAlign w:val="superscript"/>
              </w:rPr>
              <w:t>b</w:t>
            </w:r>
            <w:r w:rsidR="00854441">
              <w:tab/>
            </w:r>
            <w:r>
              <w:rPr>
                <w:b w:val="0"/>
                <w:color w:val="000000"/>
                <w:sz w:val="17"/>
              </w:rPr>
              <w:t xml:space="preserve">Виявлення резистентності до RIF за допомогою системи BACTEC MGIT 960 має обмеження і не може виявити клінічно значущу стійкість у певних ізолятах. Виявлення стійкості, що надає мутації у всьому гені </w:t>
            </w:r>
            <w:r>
              <w:rPr>
                <w:b w:val="0"/>
                <w:i/>
                <w:iCs/>
                <w:color w:val="000000"/>
                <w:sz w:val="17"/>
              </w:rPr>
              <w:t>rpoB</w:t>
            </w:r>
            <w:r>
              <w:rPr>
                <w:b w:val="0"/>
                <w:color w:val="000000"/>
                <w:sz w:val="17"/>
              </w:rPr>
              <w:t xml:space="preserve"> за допомогою секвенування ДНК, може бути найбільш надійним методом виявлення резистентності до RIF.</w:t>
            </w:r>
          </w:p>
          <w:p w14:paraId="5203FF79" w14:textId="1D18FBB1" w:rsidR="00366CB9" w:rsidRDefault="009D0C1D" w:rsidP="00854441">
            <w:pPr>
              <w:pStyle w:val="a6"/>
              <w:shd w:val="clear" w:color="auto" w:fill="auto"/>
              <w:spacing w:after="40" w:line="266" w:lineRule="auto"/>
              <w:ind w:left="160" w:hanging="160"/>
              <w:rPr>
                <w:sz w:val="17"/>
                <w:szCs w:val="17"/>
              </w:rPr>
            </w:pPr>
            <w:r>
              <w:rPr>
                <w:b w:val="0"/>
                <w:color w:val="000000"/>
                <w:sz w:val="17"/>
                <w:vertAlign w:val="superscript"/>
              </w:rPr>
              <w:t>c</w:t>
            </w:r>
            <w:r w:rsidR="00854441">
              <w:tab/>
            </w:r>
            <w:r>
              <w:rPr>
                <w:b w:val="0"/>
                <w:color w:val="000000"/>
                <w:sz w:val="17"/>
              </w:rPr>
              <w:t>Пацієнти з ізолятами MTBC, стійкі до КК, можуть ефективно лікуватися INH з високою дозою. Раніше для визначення штамів, що можна ефективно лікувати з використанням вищої дози, застосовувалась вища концентрація INH (0,4 мкг/мл у MGIT); однак молекулярні моделі резистентності до INH можуть бути надійнішими для прогнозування результатів пацієнтів, ніж фенотипове ТМЧ.</w:t>
            </w:r>
          </w:p>
          <w:p w14:paraId="7E6C9D12" w14:textId="500574A7" w:rsidR="00366CB9" w:rsidRDefault="009D0C1D" w:rsidP="00854441">
            <w:pPr>
              <w:pStyle w:val="a6"/>
              <w:shd w:val="clear" w:color="auto" w:fill="auto"/>
              <w:spacing w:after="40" w:line="266" w:lineRule="auto"/>
              <w:ind w:left="160" w:hanging="160"/>
              <w:rPr>
                <w:sz w:val="17"/>
                <w:szCs w:val="17"/>
              </w:rPr>
            </w:pPr>
            <w:r>
              <w:rPr>
                <w:b w:val="0"/>
                <w:color w:val="000000"/>
                <w:sz w:val="17"/>
                <w:vertAlign w:val="superscript"/>
              </w:rPr>
              <w:t>d</w:t>
            </w:r>
            <w:r w:rsidR="00854441">
              <w:tab/>
            </w:r>
            <w:r>
              <w:rPr>
                <w:b w:val="0"/>
                <w:color w:val="000000"/>
                <w:sz w:val="17"/>
              </w:rPr>
              <w:t>Усі методи фенотипового ТМЧ EMB дають непослідовні результати. Genoscholar PZA-TB LPA є єдиним HC-rNAAT, рекомендованим для PZA.</w:t>
            </w:r>
          </w:p>
          <w:p w14:paraId="27D2ACC2" w14:textId="20238FFB" w:rsidR="00366CB9" w:rsidRDefault="009D0C1D" w:rsidP="00854441">
            <w:pPr>
              <w:pStyle w:val="a6"/>
              <w:shd w:val="clear" w:color="auto" w:fill="auto"/>
              <w:spacing w:after="40" w:line="266" w:lineRule="auto"/>
              <w:ind w:left="160" w:hanging="160"/>
              <w:rPr>
                <w:sz w:val="17"/>
                <w:szCs w:val="17"/>
              </w:rPr>
            </w:pPr>
            <w:r>
              <w:rPr>
                <w:b w:val="0"/>
                <w:color w:val="000000"/>
                <w:sz w:val="17"/>
                <w:vertAlign w:val="superscript"/>
              </w:rPr>
              <w:t>e</w:t>
            </w:r>
            <w:r w:rsidR="00854441">
              <w:tab/>
            </w:r>
            <w:r>
              <w:rPr>
                <w:b w:val="0"/>
                <w:color w:val="000000"/>
                <w:sz w:val="17"/>
              </w:rPr>
              <w:t xml:space="preserve">Виявлення стійкості, що надає мутації в гені </w:t>
            </w:r>
            <w:r>
              <w:rPr>
                <w:b w:val="0"/>
                <w:i/>
                <w:iCs/>
                <w:color w:val="000000"/>
                <w:sz w:val="17"/>
              </w:rPr>
              <w:t>pncA</w:t>
            </w:r>
            <w:r>
              <w:rPr>
                <w:b w:val="0"/>
                <w:color w:val="000000"/>
                <w:sz w:val="17"/>
              </w:rPr>
              <w:t>, за допомогою секвенування ДНК, може бути найнадійнішим методом виявлення резистентності до PZA, хоча є нові свідчення про мутаційну резистентність не-</w:t>
            </w:r>
            <w:r>
              <w:rPr>
                <w:b w:val="0"/>
                <w:i/>
                <w:iCs/>
                <w:color w:val="000000"/>
                <w:sz w:val="17"/>
              </w:rPr>
              <w:t>pncA</w:t>
            </w:r>
            <w:r>
              <w:rPr>
                <w:b w:val="0"/>
                <w:color w:val="000000"/>
                <w:sz w:val="17"/>
              </w:rPr>
              <w:t xml:space="preserve"> до PZA.</w:t>
            </w:r>
            <w:r>
              <w:rPr>
                <w:b w:val="0"/>
                <w:color w:val="000000"/>
                <w:sz w:val="17"/>
                <w:vertAlign w:val="superscript"/>
              </w:rPr>
              <w:t>8</w:t>
            </w:r>
          </w:p>
        </w:tc>
      </w:tr>
    </w:tbl>
    <w:p w14:paraId="50A760CA"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403917A6"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118"/>
        <w:gridCol w:w="2578"/>
        <w:gridCol w:w="1786"/>
        <w:gridCol w:w="2107"/>
        <w:gridCol w:w="2160"/>
        <w:gridCol w:w="2117"/>
        <w:gridCol w:w="2150"/>
      </w:tblGrid>
      <w:tr w:rsidR="00366CB9" w14:paraId="4D33DDFC" w14:textId="77777777" w:rsidTr="007751D5">
        <w:trPr>
          <w:trHeight w:hRule="exact" w:val="707"/>
        </w:trPr>
        <w:tc>
          <w:tcPr>
            <w:tcW w:w="14016" w:type="dxa"/>
            <w:gridSpan w:val="7"/>
            <w:tcBorders>
              <w:bottom w:val="single" w:sz="8" w:space="0" w:color="00B050"/>
            </w:tcBorders>
            <w:shd w:val="clear" w:color="auto" w:fill="FFFFFF"/>
          </w:tcPr>
          <w:p w14:paraId="694D1537" w14:textId="77777777" w:rsidR="00366CB9" w:rsidRPr="00785005" w:rsidRDefault="009D0C1D" w:rsidP="001F35DC">
            <w:pPr>
              <w:pStyle w:val="a6"/>
              <w:shd w:val="clear" w:color="auto" w:fill="auto"/>
              <w:jc w:val="both"/>
              <w:rPr>
                <w:sz w:val="24"/>
                <w:szCs w:val="24"/>
              </w:rPr>
            </w:pPr>
            <w:bookmarkStart w:id="60" w:name="bookmark57"/>
            <w:r>
              <w:rPr>
                <w:color w:val="636466"/>
                <w:sz w:val="24"/>
              </w:rPr>
              <w:t>Таблиця 2.10. Критичні концентрації та клінічні критичні точки для лікарських засобів, рекомендованих для лікування МЛС/Риф-ТБ</w:t>
            </w:r>
            <w:bookmarkEnd w:id="60"/>
          </w:p>
        </w:tc>
      </w:tr>
      <w:tr w:rsidR="00366CB9" w14:paraId="08D5E904" w14:textId="77777777" w:rsidTr="007751D5">
        <w:trPr>
          <w:trHeight w:hRule="exact" w:val="442"/>
        </w:trPr>
        <w:tc>
          <w:tcPr>
            <w:tcW w:w="1118" w:type="dxa"/>
            <w:vMerge w:val="restart"/>
            <w:tcBorders>
              <w:top w:val="single" w:sz="8" w:space="0" w:color="00B050"/>
              <w:left w:val="single" w:sz="8" w:space="0" w:color="00B050"/>
              <w:bottom w:val="single" w:sz="8" w:space="0" w:color="00B050"/>
              <w:right w:val="single" w:sz="8" w:space="0" w:color="00B050"/>
            </w:tcBorders>
            <w:shd w:val="clear" w:color="auto" w:fill="62A86A"/>
          </w:tcPr>
          <w:p w14:paraId="59D7E1D0" w14:textId="77777777" w:rsidR="00366CB9" w:rsidRPr="00E80D3A" w:rsidRDefault="009D0C1D" w:rsidP="001F35DC">
            <w:pPr>
              <w:pStyle w:val="a6"/>
              <w:shd w:val="clear" w:color="auto" w:fill="auto"/>
              <w:spacing w:before="100"/>
              <w:rPr>
                <w:sz w:val="18"/>
                <w:szCs w:val="24"/>
              </w:rPr>
            </w:pPr>
            <w:r w:rsidRPr="00E80D3A">
              <w:rPr>
                <w:color w:val="FFFFFF"/>
                <w:sz w:val="18"/>
                <w:szCs w:val="24"/>
              </w:rPr>
              <w:t>Група</w:t>
            </w:r>
          </w:p>
        </w:tc>
        <w:tc>
          <w:tcPr>
            <w:tcW w:w="2578" w:type="dxa"/>
            <w:vMerge w:val="restart"/>
            <w:tcBorders>
              <w:top w:val="single" w:sz="8" w:space="0" w:color="00B050"/>
              <w:left w:val="single" w:sz="8" w:space="0" w:color="00B050"/>
              <w:bottom w:val="single" w:sz="8" w:space="0" w:color="00B050"/>
              <w:right w:val="single" w:sz="8" w:space="0" w:color="00B050"/>
            </w:tcBorders>
            <w:shd w:val="clear" w:color="auto" w:fill="62A86A"/>
          </w:tcPr>
          <w:p w14:paraId="49FEDD86" w14:textId="77777777" w:rsidR="00366CB9" w:rsidRPr="00E80D3A" w:rsidRDefault="009D0C1D" w:rsidP="001F35DC">
            <w:pPr>
              <w:pStyle w:val="a6"/>
              <w:shd w:val="clear" w:color="auto" w:fill="auto"/>
              <w:spacing w:before="100"/>
              <w:rPr>
                <w:sz w:val="18"/>
                <w:szCs w:val="24"/>
              </w:rPr>
            </w:pPr>
            <w:r w:rsidRPr="00E80D3A">
              <w:rPr>
                <w:color w:val="FFFFFF"/>
                <w:sz w:val="18"/>
                <w:szCs w:val="24"/>
              </w:rPr>
              <w:t>Лікарський засіб</w:t>
            </w:r>
          </w:p>
        </w:tc>
        <w:tc>
          <w:tcPr>
            <w:tcW w:w="1786" w:type="dxa"/>
            <w:vMerge w:val="restart"/>
            <w:tcBorders>
              <w:top w:val="single" w:sz="8" w:space="0" w:color="00B050"/>
              <w:left w:val="single" w:sz="8" w:space="0" w:color="00B050"/>
              <w:bottom w:val="single" w:sz="8" w:space="0" w:color="00B050"/>
              <w:right w:val="single" w:sz="8" w:space="0" w:color="00B050"/>
            </w:tcBorders>
            <w:shd w:val="clear" w:color="auto" w:fill="62A86A"/>
          </w:tcPr>
          <w:p w14:paraId="51854C46" w14:textId="77777777" w:rsidR="00366CB9" w:rsidRPr="00E80D3A" w:rsidRDefault="009D0C1D" w:rsidP="001F35DC">
            <w:pPr>
              <w:pStyle w:val="a6"/>
              <w:shd w:val="clear" w:color="auto" w:fill="auto"/>
              <w:spacing w:before="100"/>
              <w:rPr>
                <w:sz w:val="18"/>
                <w:szCs w:val="24"/>
              </w:rPr>
            </w:pPr>
            <w:r w:rsidRPr="00E80D3A">
              <w:rPr>
                <w:color w:val="FFFFFF"/>
                <w:sz w:val="18"/>
                <w:szCs w:val="24"/>
              </w:rPr>
              <w:t>Скорочення</w:t>
            </w:r>
          </w:p>
        </w:tc>
        <w:tc>
          <w:tcPr>
            <w:tcW w:w="8534" w:type="dxa"/>
            <w:gridSpan w:val="4"/>
            <w:tcBorders>
              <w:top w:val="single" w:sz="8" w:space="0" w:color="00B050"/>
              <w:left w:val="single" w:sz="8" w:space="0" w:color="00B050"/>
              <w:bottom w:val="single" w:sz="8" w:space="0" w:color="00B050"/>
              <w:right w:val="single" w:sz="8" w:space="0" w:color="00B050"/>
            </w:tcBorders>
            <w:shd w:val="clear" w:color="auto" w:fill="62A86A"/>
            <w:vAlign w:val="center"/>
          </w:tcPr>
          <w:p w14:paraId="01CBF72B" w14:textId="77777777" w:rsidR="00366CB9" w:rsidRPr="00E80D3A" w:rsidRDefault="009D0C1D" w:rsidP="00854441">
            <w:pPr>
              <w:pStyle w:val="a6"/>
              <w:shd w:val="clear" w:color="auto" w:fill="auto"/>
              <w:jc w:val="center"/>
              <w:rPr>
                <w:sz w:val="18"/>
                <w:szCs w:val="24"/>
              </w:rPr>
            </w:pPr>
            <w:r w:rsidRPr="00E80D3A">
              <w:rPr>
                <w:color w:val="FFFFFF"/>
                <w:sz w:val="18"/>
                <w:szCs w:val="24"/>
              </w:rPr>
              <w:t>КК (мкг/мл) для ТМЧ залежно від середовища</w:t>
            </w:r>
          </w:p>
        </w:tc>
      </w:tr>
      <w:tr w:rsidR="00366CB9" w14:paraId="2B318FF0" w14:textId="77777777" w:rsidTr="007751D5">
        <w:trPr>
          <w:trHeight w:hRule="exact" w:val="701"/>
        </w:trPr>
        <w:tc>
          <w:tcPr>
            <w:tcW w:w="1118" w:type="dxa"/>
            <w:vMerge/>
            <w:tcBorders>
              <w:top w:val="single" w:sz="8" w:space="0" w:color="00B050"/>
              <w:left w:val="single" w:sz="8" w:space="0" w:color="00B050"/>
              <w:bottom w:val="single" w:sz="8" w:space="0" w:color="00B050"/>
              <w:right w:val="single" w:sz="8" w:space="0" w:color="00B050"/>
            </w:tcBorders>
            <w:shd w:val="clear" w:color="auto" w:fill="62A86A"/>
          </w:tcPr>
          <w:p w14:paraId="1159015F" w14:textId="77777777" w:rsidR="00366CB9" w:rsidRPr="00E80D3A" w:rsidRDefault="00366CB9" w:rsidP="001F35DC">
            <w:pPr>
              <w:rPr>
                <w:b/>
                <w:bCs/>
                <w:sz w:val="18"/>
              </w:rPr>
            </w:pPr>
          </w:p>
        </w:tc>
        <w:tc>
          <w:tcPr>
            <w:tcW w:w="2578" w:type="dxa"/>
            <w:vMerge/>
            <w:tcBorders>
              <w:top w:val="single" w:sz="8" w:space="0" w:color="00B050"/>
              <w:left w:val="single" w:sz="8" w:space="0" w:color="00B050"/>
              <w:bottom w:val="single" w:sz="8" w:space="0" w:color="00B050"/>
              <w:right w:val="single" w:sz="8" w:space="0" w:color="00B050"/>
            </w:tcBorders>
            <w:shd w:val="clear" w:color="auto" w:fill="62A86A"/>
          </w:tcPr>
          <w:p w14:paraId="1E96457D" w14:textId="77777777" w:rsidR="00366CB9" w:rsidRPr="00E80D3A" w:rsidRDefault="00366CB9" w:rsidP="001F35DC">
            <w:pPr>
              <w:rPr>
                <w:b/>
                <w:bCs/>
                <w:sz w:val="18"/>
              </w:rPr>
            </w:pPr>
          </w:p>
        </w:tc>
        <w:tc>
          <w:tcPr>
            <w:tcW w:w="1786" w:type="dxa"/>
            <w:vMerge/>
            <w:tcBorders>
              <w:top w:val="single" w:sz="8" w:space="0" w:color="00B050"/>
              <w:left w:val="single" w:sz="8" w:space="0" w:color="00B050"/>
              <w:bottom w:val="single" w:sz="8" w:space="0" w:color="00B050"/>
              <w:right w:val="single" w:sz="8" w:space="0" w:color="00B050"/>
            </w:tcBorders>
            <w:shd w:val="clear" w:color="auto" w:fill="62A86A"/>
          </w:tcPr>
          <w:p w14:paraId="05F4888B" w14:textId="77777777" w:rsidR="00366CB9" w:rsidRPr="00E80D3A" w:rsidRDefault="00366CB9" w:rsidP="001F35DC">
            <w:pPr>
              <w:rPr>
                <w:b/>
                <w:bCs/>
                <w:sz w:val="18"/>
              </w:rPr>
            </w:pPr>
          </w:p>
        </w:tc>
        <w:tc>
          <w:tcPr>
            <w:tcW w:w="210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126FA34" w14:textId="77777777" w:rsidR="00366CB9" w:rsidRPr="00E80D3A" w:rsidRDefault="009D0C1D" w:rsidP="00854441">
            <w:pPr>
              <w:pStyle w:val="a6"/>
              <w:shd w:val="clear" w:color="auto" w:fill="auto"/>
              <w:jc w:val="center"/>
              <w:rPr>
                <w:sz w:val="18"/>
                <w:szCs w:val="24"/>
              </w:rPr>
            </w:pPr>
            <w:r w:rsidRPr="00E80D3A">
              <w:rPr>
                <w:color w:val="FFFFFF"/>
                <w:sz w:val="18"/>
                <w:szCs w:val="24"/>
              </w:rPr>
              <w:t>Середовище</w:t>
            </w:r>
          </w:p>
          <w:p w14:paraId="1F59537A" w14:textId="77777777" w:rsidR="00366CB9" w:rsidRPr="00E80D3A" w:rsidRDefault="009D0C1D" w:rsidP="00854441">
            <w:pPr>
              <w:pStyle w:val="a6"/>
              <w:shd w:val="clear" w:color="auto" w:fill="auto"/>
              <w:jc w:val="center"/>
              <w:rPr>
                <w:sz w:val="18"/>
                <w:szCs w:val="24"/>
              </w:rPr>
            </w:pPr>
            <w:r w:rsidRPr="00E80D3A">
              <w:rPr>
                <w:color w:val="FFFFFF"/>
                <w:sz w:val="18"/>
                <w:szCs w:val="24"/>
              </w:rPr>
              <w:t>Левенштайна-Єнсена</w:t>
            </w:r>
          </w:p>
        </w:tc>
        <w:tc>
          <w:tcPr>
            <w:tcW w:w="216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40E44274" w14:textId="77777777" w:rsidR="00366CB9" w:rsidRPr="00E80D3A" w:rsidRDefault="009D0C1D" w:rsidP="00854441">
            <w:pPr>
              <w:pStyle w:val="a6"/>
              <w:shd w:val="clear" w:color="auto" w:fill="auto"/>
              <w:jc w:val="center"/>
              <w:rPr>
                <w:sz w:val="18"/>
                <w:szCs w:val="24"/>
              </w:rPr>
            </w:pPr>
            <w:r w:rsidRPr="00E80D3A">
              <w:rPr>
                <w:color w:val="FFFFFF"/>
                <w:sz w:val="18"/>
                <w:szCs w:val="24"/>
              </w:rPr>
              <w:t>Середовище Міддлбрука</w:t>
            </w:r>
          </w:p>
          <w:p w14:paraId="0FD63725" w14:textId="77777777" w:rsidR="00366CB9" w:rsidRPr="00E80D3A" w:rsidRDefault="009D0C1D" w:rsidP="00854441">
            <w:pPr>
              <w:pStyle w:val="a6"/>
              <w:shd w:val="clear" w:color="auto" w:fill="auto"/>
              <w:jc w:val="center"/>
              <w:rPr>
                <w:sz w:val="18"/>
                <w:szCs w:val="24"/>
              </w:rPr>
            </w:pPr>
            <w:r w:rsidRPr="00E80D3A">
              <w:rPr>
                <w:color w:val="FFFFFF"/>
                <w:sz w:val="18"/>
                <w:szCs w:val="24"/>
              </w:rPr>
              <w:t>7H10</w:t>
            </w:r>
          </w:p>
        </w:tc>
        <w:tc>
          <w:tcPr>
            <w:tcW w:w="211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80E3DE4" w14:textId="77777777" w:rsidR="00366CB9" w:rsidRPr="00E80D3A" w:rsidRDefault="009D0C1D" w:rsidP="00854441">
            <w:pPr>
              <w:pStyle w:val="a6"/>
              <w:shd w:val="clear" w:color="auto" w:fill="auto"/>
              <w:jc w:val="center"/>
              <w:rPr>
                <w:sz w:val="18"/>
                <w:szCs w:val="24"/>
              </w:rPr>
            </w:pPr>
            <w:r w:rsidRPr="00E80D3A">
              <w:rPr>
                <w:color w:val="FFFFFF"/>
                <w:sz w:val="18"/>
                <w:szCs w:val="24"/>
              </w:rPr>
              <w:t>Середовище Міддлбрука</w:t>
            </w:r>
          </w:p>
          <w:p w14:paraId="45691730" w14:textId="77777777" w:rsidR="00366CB9" w:rsidRPr="00E80D3A" w:rsidRDefault="009D0C1D" w:rsidP="00854441">
            <w:pPr>
              <w:pStyle w:val="a6"/>
              <w:shd w:val="clear" w:color="auto" w:fill="auto"/>
              <w:jc w:val="center"/>
              <w:rPr>
                <w:sz w:val="18"/>
                <w:szCs w:val="24"/>
              </w:rPr>
            </w:pPr>
            <w:r w:rsidRPr="00E80D3A">
              <w:rPr>
                <w:color w:val="FFFFFF"/>
                <w:sz w:val="18"/>
                <w:szCs w:val="24"/>
              </w:rPr>
              <w:t>7H11</w:t>
            </w:r>
          </w:p>
        </w:tc>
        <w:tc>
          <w:tcPr>
            <w:tcW w:w="215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BAB7197" w14:textId="77777777" w:rsidR="00366CB9" w:rsidRPr="00E80D3A" w:rsidRDefault="009D0C1D" w:rsidP="00854441">
            <w:pPr>
              <w:pStyle w:val="a6"/>
              <w:shd w:val="clear" w:color="auto" w:fill="auto"/>
              <w:spacing w:line="271" w:lineRule="auto"/>
              <w:jc w:val="center"/>
              <w:rPr>
                <w:sz w:val="18"/>
                <w:szCs w:val="24"/>
              </w:rPr>
            </w:pPr>
            <w:r w:rsidRPr="00E80D3A">
              <w:rPr>
                <w:color w:val="FFFFFF"/>
                <w:sz w:val="18"/>
                <w:szCs w:val="24"/>
              </w:rPr>
              <w:t>Рідка культура BACTEC MGIT</w:t>
            </w:r>
          </w:p>
        </w:tc>
      </w:tr>
      <w:tr w:rsidR="00366CB9" w14:paraId="672C8D6C" w14:textId="77777777" w:rsidTr="007751D5">
        <w:trPr>
          <w:trHeight w:hRule="exact" w:val="456"/>
        </w:trPr>
        <w:tc>
          <w:tcPr>
            <w:tcW w:w="1118" w:type="dxa"/>
            <w:tcBorders>
              <w:top w:val="single" w:sz="8" w:space="0" w:color="00B050"/>
              <w:bottom w:val="single" w:sz="8" w:space="0" w:color="00B050"/>
            </w:tcBorders>
            <w:shd w:val="clear" w:color="auto" w:fill="FFFFFF"/>
            <w:vAlign w:val="center"/>
          </w:tcPr>
          <w:p w14:paraId="276BBB30" w14:textId="77777777" w:rsidR="00366CB9" w:rsidRPr="00E80D3A" w:rsidRDefault="009D0C1D" w:rsidP="00854441">
            <w:pPr>
              <w:pStyle w:val="a6"/>
              <w:shd w:val="clear" w:color="auto" w:fill="auto"/>
              <w:rPr>
                <w:sz w:val="18"/>
                <w:szCs w:val="24"/>
              </w:rPr>
            </w:pPr>
            <w:r w:rsidRPr="00E80D3A">
              <w:rPr>
                <w:b w:val="0"/>
                <w:color w:val="000000"/>
                <w:sz w:val="18"/>
                <w:szCs w:val="24"/>
              </w:rPr>
              <w:t>Група А</w:t>
            </w:r>
          </w:p>
        </w:tc>
        <w:tc>
          <w:tcPr>
            <w:tcW w:w="2578" w:type="dxa"/>
            <w:tcBorders>
              <w:top w:val="single" w:sz="8" w:space="0" w:color="00B050"/>
              <w:bottom w:val="single" w:sz="8" w:space="0" w:color="00B050"/>
            </w:tcBorders>
            <w:shd w:val="clear" w:color="auto" w:fill="FFFFFF"/>
            <w:vAlign w:val="center"/>
          </w:tcPr>
          <w:p w14:paraId="6AF8E179" w14:textId="77777777" w:rsidR="00366CB9" w:rsidRPr="00E80D3A" w:rsidRDefault="009D0C1D" w:rsidP="00854441">
            <w:pPr>
              <w:pStyle w:val="a6"/>
              <w:shd w:val="clear" w:color="auto" w:fill="auto"/>
              <w:rPr>
                <w:sz w:val="18"/>
                <w:szCs w:val="24"/>
              </w:rPr>
            </w:pPr>
            <w:r w:rsidRPr="00E80D3A">
              <w:rPr>
                <w:b w:val="0"/>
                <w:color w:val="000000"/>
                <w:sz w:val="18"/>
                <w:szCs w:val="24"/>
              </w:rPr>
              <w:t>Левофлоксацин (КК)</w:t>
            </w:r>
          </w:p>
        </w:tc>
        <w:tc>
          <w:tcPr>
            <w:tcW w:w="1786" w:type="dxa"/>
            <w:tcBorders>
              <w:top w:val="single" w:sz="8" w:space="0" w:color="00B050"/>
              <w:bottom w:val="single" w:sz="8" w:space="0" w:color="00B050"/>
            </w:tcBorders>
            <w:shd w:val="clear" w:color="auto" w:fill="FFFFFF"/>
            <w:vAlign w:val="center"/>
          </w:tcPr>
          <w:p w14:paraId="68EED245" w14:textId="77777777" w:rsidR="00366CB9" w:rsidRPr="00E80D3A" w:rsidRDefault="009D0C1D" w:rsidP="00854441">
            <w:pPr>
              <w:pStyle w:val="a6"/>
              <w:shd w:val="clear" w:color="auto" w:fill="auto"/>
              <w:rPr>
                <w:sz w:val="18"/>
                <w:szCs w:val="24"/>
              </w:rPr>
            </w:pPr>
            <w:r w:rsidRPr="00E80D3A">
              <w:rPr>
                <w:b w:val="0"/>
                <w:color w:val="000000"/>
                <w:sz w:val="18"/>
                <w:szCs w:val="24"/>
              </w:rPr>
              <w:t>LFX</w:t>
            </w:r>
            <w:r w:rsidRPr="00E80D3A">
              <w:rPr>
                <w:b w:val="0"/>
                <w:color w:val="000000"/>
                <w:sz w:val="18"/>
                <w:szCs w:val="24"/>
                <w:vertAlign w:val="superscript"/>
              </w:rPr>
              <w:t>a</w:t>
            </w:r>
          </w:p>
        </w:tc>
        <w:tc>
          <w:tcPr>
            <w:tcW w:w="2107" w:type="dxa"/>
            <w:tcBorders>
              <w:top w:val="single" w:sz="8" w:space="0" w:color="00B050"/>
              <w:bottom w:val="single" w:sz="8" w:space="0" w:color="00B050"/>
            </w:tcBorders>
            <w:shd w:val="clear" w:color="auto" w:fill="FFFFFF"/>
            <w:vAlign w:val="center"/>
          </w:tcPr>
          <w:p w14:paraId="2D058FE3"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2,0</w:t>
            </w:r>
          </w:p>
        </w:tc>
        <w:tc>
          <w:tcPr>
            <w:tcW w:w="2160" w:type="dxa"/>
            <w:tcBorders>
              <w:top w:val="single" w:sz="8" w:space="0" w:color="00B050"/>
              <w:bottom w:val="single" w:sz="8" w:space="0" w:color="00B050"/>
            </w:tcBorders>
            <w:shd w:val="clear" w:color="auto" w:fill="FFFFFF"/>
            <w:vAlign w:val="center"/>
          </w:tcPr>
          <w:p w14:paraId="496DC3BE"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1,0</w:t>
            </w:r>
          </w:p>
        </w:tc>
        <w:tc>
          <w:tcPr>
            <w:tcW w:w="2117" w:type="dxa"/>
            <w:tcBorders>
              <w:top w:val="single" w:sz="8" w:space="0" w:color="00B050"/>
              <w:bottom w:val="single" w:sz="8" w:space="0" w:color="00B050"/>
            </w:tcBorders>
            <w:shd w:val="clear" w:color="auto" w:fill="FFFFFF"/>
            <w:vAlign w:val="center"/>
          </w:tcPr>
          <w:p w14:paraId="12FB266B" w14:textId="77777777" w:rsidR="00366CB9" w:rsidRPr="00E80D3A" w:rsidRDefault="009D0C1D" w:rsidP="00854441">
            <w:pPr>
              <w:pStyle w:val="a6"/>
              <w:shd w:val="clear" w:color="auto" w:fill="auto"/>
              <w:ind w:left="167" w:right="232" w:firstLine="142"/>
              <w:jc w:val="center"/>
              <w:rPr>
                <w:sz w:val="18"/>
                <w:szCs w:val="24"/>
              </w:rPr>
            </w:pPr>
            <w:r w:rsidRPr="00E80D3A">
              <w:rPr>
                <w:b w:val="0"/>
                <w:color w:val="000000"/>
                <w:sz w:val="18"/>
                <w:szCs w:val="24"/>
              </w:rPr>
              <w:t>–</w:t>
            </w:r>
          </w:p>
        </w:tc>
        <w:tc>
          <w:tcPr>
            <w:tcW w:w="2150" w:type="dxa"/>
            <w:tcBorders>
              <w:top w:val="single" w:sz="8" w:space="0" w:color="00B050"/>
              <w:bottom w:val="single" w:sz="8" w:space="0" w:color="00B050"/>
            </w:tcBorders>
            <w:shd w:val="clear" w:color="auto" w:fill="FFFFFF"/>
            <w:vAlign w:val="center"/>
          </w:tcPr>
          <w:p w14:paraId="47FD9AE8"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1,0</w:t>
            </w:r>
          </w:p>
        </w:tc>
      </w:tr>
      <w:tr w:rsidR="00366CB9" w14:paraId="5CAE8F66" w14:textId="77777777" w:rsidTr="007751D5">
        <w:trPr>
          <w:trHeight w:hRule="exact" w:val="451"/>
        </w:trPr>
        <w:tc>
          <w:tcPr>
            <w:tcW w:w="1118" w:type="dxa"/>
            <w:tcBorders>
              <w:top w:val="single" w:sz="8" w:space="0" w:color="00B050"/>
              <w:bottom w:val="single" w:sz="8" w:space="0" w:color="00B050"/>
            </w:tcBorders>
            <w:shd w:val="clear" w:color="auto" w:fill="FFFFFF"/>
            <w:vAlign w:val="center"/>
          </w:tcPr>
          <w:p w14:paraId="333A4B97" w14:textId="77777777" w:rsidR="00366CB9" w:rsidRPr="00E80D3A" w:rsidRDefault="00366CB9" w:rsidP="00854441">
            <w:pPr>
              <w:rPr>
                <w:sz w:val="18"/>
              </w:rPr>
            </w:pPr>
          </w:p>
        </w:tc>
        <w:tc>
          <w:tcPr>
            <w:tcW w:w="2578" w:type="dxa"/>
            <w:tcBorders>
              <w:top w:val="single" w:sz="8" w:space="0" w:color="00B050"/>
              <w:bottom w:val="single" w:sz="8" w:space="0" w:color="00B050"/>
            </w:tcBorders>
            <w:shd w:val="clear" w:color="auto" w:fill="FFFFFF"/>
            <w:vAlign w:val="center"/>
          </w:tcPr>
          <w:p w14:paraId="5E72B426" w14:textId="77777777" w:rsidR="00366CB9" w:rsidRPr="00E80D3A" w:rsidRDefault="009D0C1D" w:rsidP="00854441">
            <w:pPr>
              <w:pStyle w:val="a6"/>
              <w:shd w:val="clear" w:color="auto" w:fill="auto"/>
              <w:rPr>
                <w:sz w:val="18"/>
                <w:szCs w:val="24"/>
              </w:rPr>
            </w:pPr>
            <w:r w:rsidRPr="00E80D3A">
              <w:rPr>
                <w:b w:val="0"/>
                <w:color w:val="000000"/>
                <w:sz w:val="18"/>
                <w:szCs w:val="24"/>
              </w:rPr>
              <w:t>Моксифлоксацин (КК)</w:t>
            </w:r>
          </w:p>
        </w:tc>
        <w:tc>
          <w:tcPr>
            <w:tcW w:w="1786" w:type="dxa"/>
            <w:tcBorders>
              <w:top w:val="single" w:sz="8" w:space="0" w:color="00B050"/>
              <w:bottom w:val="single" w:sz="8" w:space="0" w:color="00B050"/>
            </w:tcBorders>
            <w:shd w:val="clear" w:color="auto" w:fill="FFFFFF"/>
            <w:vAlign w:val="center"/>
          </w:tcPr>
          <w:p w14:paraId="7175FCE7" w14:textId="77777777" w:rsidR="00366CB9" w:rsidRPr="00E80D3A" w:rsidRDefault="009D0C1D" w:rsidP="00854441">
            <w:pPr>
              <w:pStyle w:val="a6"/>
              <w:shd w:val="clear" w:color="auto" w:fill="auto"/>
              <w:rPr>
                <w:sz w:val="18"/>
                <w:szCs w:val="24"/>
              </w:rPr>
            </w:pPr>
            <w:r w:rsidRPr="00E80D3A">
              <w:rPr>
                <w:b w:val="0"/>
                <w:color w:val="000000"/>
                <w:sz w:val="18"/>
                <w:szCs w:val="24"/>
              </w:rPr>
              <w:t>MFX</w:t>
            </w:r>
            <w:r w:rsidRPr="00E80D3A">
              <w:rPr>
                <w:b w:val="0"/>
                <w:color w:val="000000"/>
                <w:sz w:val="18"/>
                <w:szCs w:val="24"/>
                <w:vertAlign w:val="superscript"/>
              </w:rPr>
              <w:t>a</w:t>
            </w:r>
          </w:p>
        </w:tc>
        <w:tc>
          <w:tcPr>
            <w:tcW w:w="2107" w:type="dxa"/>
            <w:tcBorders>
              <w:top w:val="single" w:sz="8" w:space="0" w:color="00B050"/>
              <w:bottom w:val="single" w:sz="8" w:space="0" w:color="00B050"/>
            </w:tcBorders>
            <w:shd w:val="clear" w:color="auto" w:fill="FFFFFF"/>
            <w:vAlign w:val="center"/>
          </w:tcPr>
          <w:p w14:paraId="567427B9"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1,0</w:t>
            </w:r>
          </w:p>
        </w:tc>
        <w:tc>
          <w:tcPr>
            <w:tcW w:w="2160" w:type="dxa"/>
            <w:tcBorders>
              <w:top w:val="single" w:sz="8" w:space="0" w:color="00B050"/>
              <w:bottom w:val="single" w:sz="8" w:space="0" w:color="00B050"/>
            </w:tcBorders>
            <w:shd w:val="clear" w:color="auto" w:fill="FFFFFF"/>
            <w:vAlign w:val="center"/>
          </w:tcPr>
          <w:p w14:paraId="4124BD26"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0,5</w:t>
            </w:r>
          </w:p>
        </w:tc>
        <w:tc>
          <w:tcPr>
            <w:tcW w:w="2117" w:type="dxa"/>
            <w:tcBorders>
              <w:top w:val="single" w:sz="8" w:space="0" w:color="00B050"/>
              <w:bottom w:val="single" w:sz="8" w:space="0" w:color="00B050"/>
            </w:tcBorders>
            <w:shd w:val="clear" w:color="auto" w:fill="FFFFFF"/>
            <w:vAlign w:val="center"/>
          </w:tcPr>
          <w:p w14:paraId="39792595" w14:textId="77777777" w:rsidR="00366CB9" w:rsidRPr="00E80D3A" w:rsidRDefault="009D0C1D" w:rsidP="00854441">
            <w:pPr>
              <w:pStyle w:val="a6"/>
              <w:shd w:val="clear" w:color="auto" w:fill="auto"/>
              <w:ind w:left="167" w:right="232" w:firstLine="142"/>
              <w:jc w:val="center"/>
              <w:rPr>
                <w:sz w:val="18"/>
                <w:szCs w:val="24"/>
              </w:rPr>
            </w:pPr>
            <w:r w:rsidRPr="00E80D3A">
              <w:rPr>
                <w:b w:val="0"/>
                <w:color w:val="000000"/>
                <w:sz w:val="18"/>
                <w:szCs w:val="24"/>
              </w:rPr>
              <w:t>0,5</w:t>
            </w:r>
          </w:p>
        </w:tc>
        <w:tc>
          <w:tcPr>
            <w:tcW w:w="2150" w:type="dxa"/>
            <w:tcBorders>
              <w:top w:val="single" w:sz="8" w:space="0" w:color="00B050"/>
              <w:bottom w:val="single" w:sz="8" w:space="0" w:color="00B050"/>
            </w:tcBorders>
            <w:shd w:val="clear" w:color="auto" w:fill="FFFFFF"/>
            <w:vAlign w:val="center"/>
          </w:tcPr>
          <w:p w14:paraId="77A3A99B"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0,25</w:t>
            </w:r>
          </w:p>
        </w:tc>
      </w:tr>
      <w:tr w:rsidR="00366CB9" w14:paraId="709A76CB" w14:textId="77777777" w:rsidTr="007751D5">
        <w:trPr>
          <w:trHeight w:hRule="exact" w:val="446"/>
        </w:trPr>
        <w:tc>
          <w:tcPr>
            <w:tcW w:w="1118" w:type="dxa"/>
            <w:tcBorders>
              <w:top w:val="single" w:sz="8" w:space="0" w:color="00B050"/>
              <w:bottom w:val="single" w:sz="8" w:space="0" w:color="00B050"/>
            </w:tcBorders>
            <w:shd w:val="clear" w:color="auto" w:fill="FFFFFF"/>
            <w:vAlign w:val="center"/>
          </w:tcPr>
          <w:p w14:paraId="2FC03211" w14:textId="77777777" w:rsidR="00366CB9" w:rsidRPr="00E80D3A" w:rsidRDefault="00366CB9" w:rsidP="00854441">
            <w:pPr>
              <w:rPr>
                <w:sz w:val="18"/>
              </w:rPr>
            </w:pPr>
          </w:p>
        </w:tc>
        <w:tc>
          <w:tcPr>
            <w:tcW w:w="2578" w:type="dxa"/>
            <w:tcBorders>
              <w:top w:val="single" w:sz="8" w:space="0" w:color="00B050"/>
              <w:bottom w:val="single" w:sz="8" w:space="0" w:color="00B050"/>
            </w:tcBorders>
            <w:shd w:val="clear" w:color="auto" w:fill="FFFFFF"/>
            <w:vAlign w:val="center"/>
          </w:tcPr>
          <w:p w14:paraId="7B4D933C" w14:textId="77777777" w:rsidR="00366CB9" w:rsidRPr="00E80D3A" w:rsidRDefault="009D0C1D" w:rsidP="00854441">
            <w:pPr>
              <w:pStyle w:val="a6"/>
              <w:shd w:val="clear" w:color="auto" w:fill="auto"/>
              <w:rPr>
                <w:sz w:val="18"/>
                <w:szCs w:val="24"/>
              </w:rPr>
            </w:pPr>
            <w:r w:rsidRPr="00E80D3A">
              <w:rPr>
                <w:b w:val="0"/>
                <w:color w:val="000000"/>
                <w:sz w:val="18"/>
                <w:szCs w:val="24"/>
              </w:rPr>
              <w:t>Моксифлоксацин (ККТ)</w:t>
            </w:r>
            <w:r w:rsidRPr="00E80D3A">
              <w:rPr>
                <w:b w:val="0"/>
                <w:color w:val="000000"/>
                <w:sz w:val="18"/>
                <w:szCs w:val="24"/>
                <w:vertAlign w:val="superscript"/>
              </w:rPr>
              <w:t>b</w:t>
            </w:r>
          </w:p>
        </w:tc>
        <w:tc>
          <w:tcPr>
            <w:tcW w:w="1786" w:type="dxa"/>
            <w:tcBorders>
              <w:top w:val="single" w:sz="8" w:space="0" w:color="00B050"/>
              <w:bottom w:val="single" w:sz="8" w:space="0" w:color="00B050"/>
            </w:tcBorders>
            <w:shd w:val="clear" w:color="auto" w:fill="FFFFFF"/>
            <w:vAlign w:val="center"/>
          </w:tcPr>
          <w:p w14:paraId="6A165590" w14:textId="77777777" w:rsidR="00366CB9" w:rsidRPr="00E80D3A" w:rsidRDefault="009D0C1D" w:rsidP="00854441">
            <w:pPr>
              <w:pStyle w:val="a6"/>
              <w:shd w:val="clear" w:color="auto" w:fill="auto"/>
              <w:rPr>
                <w:sz w:val="18"/>
                <w:szCs w:val="24"/>
              </w:rPr>
            </w:pPr>
            <w:r w:rsidRPr="00E80D3A">
              <w:rPr>
                <w:b w:val="0"/>
                <w:color w:val="000000"/>
                <w:sz w:val="18"/>
                <w:szCs w:val="24"/>
              </w:rPr>
              <w:t>–</w:t>
            </w:r>
          </w:p>
        </w:tc>
        <w:tc>
          <w:tcPr>
            <w:tcW w:w="2107" w:type="dxa"/>
            <w:tcBorders>
              <w:top w:val="single" w:sz="8" w:space="0" w:color="00B050"/>
              <w:bottom w:val="single" w:sz="8" w:space="0" w:color="00B050"/>
            </w:tcBorders>
            <w:shd w:val="clear" w:color="auto" w:fill="FFFFFF"/>
            <w:vAlign w:val="center"/>
          </w:tcPr>
          <w:p w14:paraId="75DD5D63"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w:t>
            </w:r>
          </w:p>
        </w:tc>
        <w:tc>
          <w:tcPr>
            <w:tcW w:w="2160" w:type="dxa"/>
            <w:tcBorders>
              <w:top w:val="single" w:sz="8" w:space="0" w:color="00B050"/>
              <w:bottom w:val="single" w:sz="8" w:space="0" w:color="00B050"/>
            </w:tcBorders>
            <w:shd w:val="clear" w:color="auto" w:fill="FFFFFF"/>
            <w:vAlign w:val="center"/>
          </w:tcPr>
          <w:p w14:paraId="48548445"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2,0</w:t>
            </w:r>
          </w:p>
        </w:tc>
        <w:tc>
          <w:tcPr>
            <w:tcW w:w="2117" w:type="dxa"/>
            <w:tcBorders>
              <w:top w:val="single" w:sz="8" w:space="0" w:color="00B050"/>
              <w:bottom w:val="single" w:sz="8" w:space="0" w:color="00B050"/>
            </w:tcBorders>
            <w:shd w:val="clear" w:color="auto" w:fill="FFFFFF"/>
            <w:vAlign w:val="center"/>
          </w:tcPr>
          <w:p w14:paraId="6D6314B8" w14:textId="77777777" w:rsidR="00366CB9" w:rsidRPr="00E80D3A" w:rsidRDefault="009D0C1D" w:rsidP="00854441">
            <w:pPr>
              <w:pStyle w:val="a6"/>
              <w:shd w:val="clear" w:color="auto" w:fill="auto"/>
              <w:ind w:left="167" w:right="232" w:firstLine="142"/>
              <w:jc w:val="center"/>
              <w:rPr>
                <w:sz w:val="18"/>
                <w:szCs w:val="24"/>
              </w:rPr>
            </w:pPr>
            <w:r w:rsidRPr="00E80D3A">
              <w:rPr>
                <w:b w:val="0"/>
                <w:color w:val="000000"/>
                <w:sz w:val="18"/>
                <w:szCs w:val="24"/>
              </w:rPr>
              <w:t>–</w:t>
            </w:r>
          </w:p>
        </w:tc>
        <w:tc>
          <w:tcPr>
            <w:tcW w:w="2150" w:type="dxa"/>
            <w:tcBorders>
              <w:top w:val="single" w:sz="8" w:space="0" w:color="00B050"/>
              <w:bottom w:val="single" w:sz="8" w:space="0" w:color="00B050"/>
            </w:tcBorders>
            <w:shd w:val="clear" w:color="auto" w:fill="FFFFFF"/>
            <w:vAlign w:val="center"/>
          </w:tcPr>
          <w:p w14:paraId="0D1EC5E4"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1,0</w:t>
            </w:r>
          </w:p>
        </w:tc>
      </w:tr>
      <w:tr w:rsidR="00366CB9" w14:paraId="740C1B79" w14:textId="77777777" w:rsidTr="007751D5">
        <w:trPr>
          <w:trHeight w:hRule="exact" w:val="446"/>
        </w:trPr>
        <w:tc>
          <w:tcPr>
            <w:tcW w:w="1118" w:type="dxa"/>
            <w:tcBorders>
              <w:top w:val="single" w:sz="8" w:space="0" w:color="00B050"/>
              <w:bottom w:val="single" w:sz="8" w:space="0" w:color="00B050"/>
            </w:tcBorders>
            <w:shd w:val="clear" w:color="auto" w:fill="FFFFFF"/>
            <w:vAlign w:val="center"/>
          </w:tcPr>
          <w:p w14:paraId="70CC4813" w14:textId="77777777" w:rsidR="00366CB9" w:rsidRPr="00E80D3A" w:rsidRDefault="00366CB9" w:rsidP="00854441">
            <w:pPr>
              <w:rPr>
                <w:sz w:val="18"/>
              </w:rPr>
            </w:pPr>
          </w:p>
        </w:tc>
        <w:tc>
          <w:tcPr>
            <w:tcW w:w="2578" w:type="dxa"/>
            <w:tcBorders>
              <w:top w:val="single" w:sz="8" w:space="0" w:color="00B050"/>
              <w:bottom w:val="single" w:sz="8" w:space="0" w:color="00B050"/>
            </w:tcBorders>
            <w:shd w:val="clear" w:color="auto" w:fill="FFFFFF"/>
            <w:vAlign w:val="center"/>
          </w:tcPr>
          <w:p w14:paraId="67F5E455" w14:textId="77777777" w:rsidR="00366CB9" w:rsidRPr="00E80D3A" w:rsidRDefault="009D0C1D" w:rsidP="00854441">
            <w:pPr>
              <w:pStyle w:val="a6"/>
              <w:shd w:val="clear" w:color="auto" w:fill="auto"/>
              <w:rPr>
                <w:sz w:val="18"/>
                <w:szCs w:val="24"/>
              </w:rPr>
            </w:pPr>
            <w:r w:rsidRPr="00E80D3A">
              <w:rPr>
                <w:b w:val="0"/>
                <w:color w:val="000000"/>
                <w:sz w:val="18"/>
                <w:szCs w:val="24"/>
              </w:rPr>
              <w:t>Бедаквілін</w:t>
            </w:r>
          </w:p>
        </w:tc>
        <w:tc>
          <w:tcPr>
            <w:tcW w:w="1786" w:type="dxa"/>
            <w:tcBorders>
              <w:top w:val="single" w:sz="8" w:space="0" w:color="00B050"/>
              <w:bottom w:val="single" w:sz="8" w:space="0" w:color="00B050"/>
            </w:tcBorders>
            <w:shd w:val="clear" w:color="auto" w:fill="FFFFFF"/>
            <w:vAlign w:val="center"/>
          </w:tcPr>
          <w:p w14:paraId="5F456C37" w14:textId="77777777" w:rsidR="00366CB9" w:rsidRPr="00E80D3A" w:rsidRDefault="009D0C1D" w:rsidP="00854441">
            <w:pPr>
              <w:pStyle w:val="a6"/>
              <w:shd w:val="clear" w:color="auto" w:fill="auto"/>
              <w:rPr>
                <w:sz w:val="18"/>
                <w:szCs w:val="24"/>
              </w:rPr>
            </w:pPr>
            <w:r w:rsidRPr="00E80D3A">
              <w:rPr>
                <w:b w:val="0"/>
                <w:color w:val="000000"/>
                <w:sz w:val="18"/>
                <w:szCs w:val="24"/>
              </w:rPr>
              <w:t>BDQ</w:t>
            </w:r>
          </w:p>
        </w:tc>
        <w:tc>
          <w:tcPr>
            <w:tcW w:w="2107" w:type="dxa"/>
            <w:tcBorders>
              <w:top w:val="single" w:sz="8" w:space="0" w:color="00B050"/>
              <w:bottom w:val="single" w:sz="8" w:space="0" w:color="00B050"/>
            </w:tcBorders>
            <w:shd w:val="clear" w:color="auto" w:fill="FFFFFF"/>
            <w:vAlign w:val="center"/>
          </w:tcPr>
          <w:p w14:paraId="055563EF"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w:t>
            </w:r>
          </w:p>
        </w:tc>
        <w:tc>
          <w:tcPr>
            <w:tcW w:w="2160" w:type="dxa"/>
            <w:tcBorders>
              <w:top w:val="single" w:sz="8" w:space="0" w:color="00B050"/>
              <w:bottom w:val="single" w:sz="8" w:space="0" w:color="00B050"/>
            </w:tcBorders>
            <w:shd w:val="clear" w:color="auto" w:fill="FFFFFF"/>
            <w:vAlign w:val="center"/>
          </w:tcPr>
          <w:p w14:paraId="37E77528"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w:t>
            </w:r>
          </w:p>
        </w:tc>
        <w:tc>
          <w:tcPr>
            <w:tcW w:w="2117" w:type="dxa"/>
            <w:tcBorders>
              <w:top w:val="single" w:sz="8" w:space="0" w:color="00B050"/>
              <w:bottom w:val="single" w:sz="8" w:space="0" w:color="00B050"/>
            </w:tcBorders>
            <w:shd w:val="clear" w:color="auto" w:fill="FFFFFF"/>
            <w:vAlign w:val="center"/>
          </w:tcPr>
          <w:p w14:paraId="45865540" w14:textId="77777777" w:rsidR="00366CB9" w:rsidRPr="00E80D3A" w:rsidRDefault="009D0C1D" w:rsidP="00854441">
            <w:pPr>
              <w:pStyle w:val="a6"/>
              <w:shd w:val="clear" w:color="auto" w:fill="auto"/>
              <w:ind w:left="167" w:right="232" w:firstLine="142"/>
              <w:jc w:val="center"/>
              <w:rPr>
                <w:sz w:val="18"/>
                <w:szCs w:val="24"/>
              </w:rPr>
            </w:pPr>
            <w:r w:rsidRPr="00E80D3A">
              <w:rPr>
                <w:b w:val="0"/>
                <w:color w:val="000000"/>
                <w:sz w:val="18"/>
                <w:szCs w:val="24"/>
              </w:rPr>
              <w:t>0,25</w:t>
            </w:r>
          </w:p>
        </w:tc>
        <w:tc>
          <w:tcPr>
            <w:tcW w:w="2150" w:type="dxa"/>
            <w:tcBorders>
              <w:top w:val="single" w:sz="8" w:space="0" w:color="00B050"/>
              <w:bottom w:val="single" w:sz="8" w:space="0" w:color="00B050"/>
            </w:tcBorders>
            <w:shd w:val="clear" w:color="auto" w:fill="FFFFFF"/>
            <w:vAlign w:val="center"/>
          </w:tcPr>
          <w:p w14:paraId="4D814A4C"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1,0</w:t>
            </w:r>
          </w:p>
        </w:tc>
      </w:tr>
      <w:tr w:rsidR="00366CB9" w14:paraId="7007C09E" w14:textId="77777777" w:rsidTr="007751D5">
        <w:trPr>
          <w:trHeight w:hRule="exact" w:val="451"/>
        </w:trPr>
        <w:tc>
          <w:tcPr>
            <w:tcW w:w="1118" w:type="dxa"/>
            <w:tcBorders>
              <w:top w:val="single" w:sz="8" w:space="0" w:color="00B050"/>
              <w:bottom w:val="single" w:sz="8" w:space="0" w:color="00B050"/>
            </w:tcBorders>
            <w:shd w:val="clear" w:color="auto" w:fill="FFFFFF"/>
            <w:vAlign w:val="center"/>
          </w:tcPr>
          <w:p w14:paraId="0F86F74F" w14:textId="77777777" w:rsidR="00366CB9" w:rsidRPr="00E80D3A" w:rsidRDefault="00366CB9" w:rsidP="00854441">
            <w:pPr>
              <w:rPr>
                <w:sz w:val="18"/>
              </w:rPr>
            </w:pPr>
          </w:p>
        </w:tc>
        <w:tc>
          <w:tcPr>
            <w:tcW w:w="2578" w:type="dxa"/>
            <w:tcBorders>
              <w:top w:val="single" w:sz="8" w:space="0" w:color="00B050"/>
              <w:bottom w:val="single" w:sz="8" w:space="0" w:color="00B050"/>
            </w:tcBorders>
            <w:shd w:val="clear" w:color="auto" w:fill="FFFFFF"/>
            <w:vAlign w:val="center"/>
          </w:tcPr>
          <w:p w14:paraId="47CA3909" w14:textId="77777777" w:rsidR="00366CB9" w:rsidRPr="00E80D3A" w:rsidRDefault="009D0C1D" w:rsidP="00854441">
            <w:pPr>
              <w:pStyle w:val="a6"/>
              <w:shd w:val="clear" w:color="auto" w:fill="auto"/>
              <w:rPr>
                <w:sz w:val="18"/>
                <w:szCs w:val="24"/>
              </w:rPr>
            </w:pPr>
            <w:r w:rsidRPr="00E80D3A">
              <w:rPr>
                <w:b w:val="0"/>
                <w:color w:val="000000"/>
                <w:sz w:val="18"/>
                <w:szCs w:val="24"/>
              </w:rPr>
              <w:t>Лінезолід</w:t>
            </w:r>
          </w:p>
        </w:tc>
        <w:tc>
          <w:tcPr>
            <w:tcW w:w="1786" w:type="dxa"/>
            <w:tcBorders>
              <w:top w:val="single" w:sz="8" w:space="0" w:color="00B050"/>
              <w:bottom w:val="single" w:sz="8" w:space="0" w:color="00B050"/>
            </w:tcBorders>
            <w:shd w:val="clear" w:color="auto" w:fill="FFFFFF"/>
            <w:vAlign w:val="center"/>
          </w:tcPr>
          <w:p w14:paraId="33FAF5F9" w14:textId="77777777" w:rsidR="00366CB9" w:rsidRPr="00E80D3A" w:rsidRDefault="009D0C1D" w:rsidP="00854441">
            <w:pPr>
              <w:pStyle w:val="a6"/>
              <w:shd w:val="clear" w:color="auto" w:fill="auto"/>
              <w:rPr>
                <w:sz w:val="18"/>
                <w:szCs w:val="24"/>
              </w:rPr>
            </w:pPr>
            <w:r w:rsidRPr="00E80D3A">
              <w:rPr>
                <w:b w:val="0"/>
                <w:color w:val="000000"/>
                <w:sz w:val="18"/>
                <w:szCs w:val="24"/>
              </w:rPr>
              <w:t>LZD</w:t>
            </w:r>
          </w:p>
        </w:tc>
        <w:tc>
          <w:tcPr>
            <w:tcW w:w="2107" w:type="dxa"/>
            <w:tcBorders>
              <w:top w:val="single" w:sz="8" w:space="0" w:color="00B050"/>
              <w:bottom w:val="single" w:sz="8" w:space="0" w:color="00B050"/>
            </w:tcBorders>
            <w:shd w:val="clear" w:color="auto" w:fill="FFFFFF"/>
            <w:vAlign w:val="center"/>
          </w:tcPr>
          <w:p w14:paraId="3DBB13EB"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w:t>
            </w:r>
          </w:p>
        </w:tc>
        <w:tc>
          <w:tcPr>
            <w:tcW w:w="2160" w:type="dxa"/>
            <w:tcBorders>
              <w:top w:val="single" w:sz="8" w:space="0" w:color="00B050"/>
              <w:bottom w:val="single" w:sz="8" w:space="0" w:color="00B050"/>
            </w:tcBorders>
            <w:shd w:val="clear" w:color="auto" w:fill="FFFFFF"/>
            <w:vAlign w:val="center"/>
          </w:tcPr>
          <w:p w14:paraId="4CF7FCA1"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1,0</w:t>
            </w:r>
          </w:p>
        </w:tc>
        <w:tc>
          <w:tcPr>
            <w:tcW w:w="2117" w:type="dxa"/>
            <w:tcBorders>
              <w:top w:val="single" w:sz="8" w:space="0" w:color="00B050"/>
              <w:bottom w:val="single" w:sz="8" w:space="0" w:color="00B050"/>
            </w:tcBorders>
            <w:shd w:val="clear" w:color="auto" w:fill="FFFFFF"/>
            <w:vAlign w:val="center"/>
          </w:tcPr>
          <w:p w14:paraId="60A399A8" w14:textId="77777777" w:rsidR="00366CB9" w:rsidRPr="00E80D3A" w:rsidRDefault="009D0C1D" w:rsidP="00854441">
            <w:pPr>
              <w:pStyle w:val="a6"/>
              <w:shd w:val="clear" w:color="auto" w:fill="auto"/>
              <w:ind w:left="167" w:right="232" w:firstLine="142"/>
              <w:jc w:val="center"/>
              <w:rPr>
                <w:sz w:val="18"/>
                <w:szCs w:val="24"/>
              </w:rPr>
            </w:pPr>
            <w:r w:rsidRPr="00E80D3A">
              <w:rPr>
                <w:b w:val="0"/>
                <w:color w:val="000000"/>
                <w:sz w:val="18"/>
                <w:szCs w:val="24"/>
              </w:rPr>
              <w:t>1,0</w:t>
            </w:r>
          </w:p>
        </w:tc>
        <w:tc>
          <w:tcPr>
            <w:tcW w:w="2150" w:type="dxa"/>
            <w:tcBorders>
              <w:top w:val="single" w:sz="8" w:space="0" w:color="00B050"/>
              <w:bottom w:val="single" w:sz="8" w:space="0" w:color="00B050"/>
            </w:tcBorders>
            <w:shd w:val="clear" w:color="auto" w:fill="FFFFFF"/>
            <w:vAlign w:val="center"/>
          </w:tcPr>
          <w:p w14:paraId="7F4AB4D1"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1,0</w:t>
            </w:r>
          </w:p>
        </w:tc>
      </w:tr>
      <w:tr w:rsidR="00366CB9" w14:paraId="1CFFE315" w14:textId="77777777" w:rsidTr="007751D5">
        <w:trPr>
          <w:trHeight w:hRule="exact" w:val="446"/>
        </w:trPr>
        <w:tc>
          <w:tcPr>
            <w:tcW w:w="1118" w:type="dxa"/>
            <w:tcBorders>
              <w:top w:val="single" w:sz="8" w:space="0" w:color="00B050"/>
              <w:bottom w:val="single" w:sz="8" w:space="0" w:color="00B050"/>
            </w:tcBorders>
            <w:shd w:val="clear" w:color="auto" w:fill="FFFFFF"/>
            <w:vAlign w:val="center"/>
          </w:tcPr>
          <w:p w14:paraId="74754FA0" w14:textId="77777777" w:rsidR="00366CB9" w:rsidRPr="00E80D3A" w:rsidRDefault="009D0C1D" w:rsidP="00854441">
            <w:pPr>
              <w:pStyle w:val="a6"/>
              <w:shd w:val="clear" w:color="auto" w:fill="auto"/>
              <w:rPr>
                <w:sz w:val="18"/>
                <w:szCs w:val="24"/>
              </w:rPr>
            </w:pPr>
            <w:r w:rsidRPr="00E80D3A">
              <w:rPr>
                <w:b w:val="0"/>
                <w:color w:val="000000"/>
                <w:sz w:val="18"/>
                <w:szCs w:val="24"/>
              </w:rPr>
              <w:t>Група B</w:t>
            </w:r>
          </w:p>
        </w:tc>
        <w:tc>
          <w:tcPr>
            <w:tcW w:w="2578" w:type="dxa"/>
            <w:tcBorders>
              <w:top w:val="single" w:sz="8" w:space="0" w:color="00B050"/>
              <w:bottom w:val="single" w:sz="8" w:space="0" w:color="00B050"/>
            </w:tcBorders>
            <w:shd w:val="clear" w:color="auto" w:fill="FFFFFF"/>
            <w:vAlign w:val="center"/>
          </w:tcPr>
          <w:p w14:paraId="537CB26C" w14:textId="77777777" w:rsidR="00366CB9" w:rsidRPr="00E80D3A" w:rsidRDefault="009D0C1D" w:rsidP="00854441">
            <w:pPr>
              <w:pStyle w:val="a6"/>
              <w:shd w:val="clear" w:color="auto" w:fill="auto"/>
              <w:rPr>
                <w:sz w:val="18"/>
                <w:szCs w:val="24"/>
              </w:rPr>
            </w:pPr>
            <w:r w:rsidRPr="00E80D3A">
              <w:rPr>
                <w:b w:val="0"/>
                <w:color w:val="000000"/>
                <w:sz w:val="18"/>
                <w:szCs w:val="24"/>
              </w:rPr>
              <w:t>Клофазимін</w:t>
            </w:r>
          </w:p>
        </w:tc>
        <w:tc>
          <w:tcPr>
            <w:tcW w:w="1786" w:type="dxa"/>
            <w:tcBorders>
              <w:top w:val="single" w:sz="8" w:space="0" w:color="00B050"/>
              <w:bottom w:val="single" w:sz="8" w:space="0" w:color="00B050"/>
            </w:tcBorders>
            <w:shd w:val="clear" w:color="auto" w:fill="FFFFFF"/>
            <w:vAlign w:val="center"/>
          </w:tcPr>
          <w:p w14:paraId="71D5B877" w14:textId="77777777" w:rsidR="00366CB9" w:rsidRPr="00E80D3A" w:rsidRDefault="009D0C1D" w:rsidP="00854441">
            <w:pPr>
              <w:pStyle w:val="a6"/>
              <w:shd w:val="clear" w:color="auto" w:fill="auto"/>
              <w:rPr>
                <w:sz w:val="18"/>
                <w:szCs w:val="24"/>
              </w:rPr>
            </w:pPr>
            <w:r w:rsidRPr="00E80D3A">
              <w:rPr>
                <w:b w:val="0"/>
                <w:color w:val="000000"/>
                <w:sz w:val="18"/>
                <w:szCs w:val="24"/>
              </w:rPr>
              <w:t>CFZ</w:t>
            </w:r>
          </w:p>
        </w:tc>
        <w:tc>
          <w:tcPr>
            <w:tcW w:w="2107" w:type="dxa"/>
            <w:tcBorders>
              <w:top w:val="single" w:sz="8" w:space="0" w:color="00B050"/>
              <w:bottom w:val="single" w:sz="8" w:space="0" w:color="00B050"/>
            </w:tcBorders>
            <w:shd w:val="clear" w:color="auto" w:fill="FFFFFF"/>
            <w:vAlign w:val="center"/>
          </w:tcPr>
          <w:p w14:paraId="2F12A844"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w:t>
            </w:r>
          </w:p>
        </w:tc>
        <w:tc>
          <w:tcPr>
            <w:tcW w:w="2160" w:type="dxa"/>
            <w:tcBorders>
              <w:top w:val="single" w:sz="8" w:space="0" w:color="00B050"/>
              <w:bottom w:val="single" w:sz="8" w:space="0" w:color="00B050"/>
            </w:tcBorders>
            <w:shd w:val="clear" w:color="auto" w:fill="FFFFFF"/>
            <w:vAlign w:val="center"/>
          </w:tcPr>
          <w:p w14:paraId="79CDF611"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w:t>
            </w:r>
          </w:p>
        </w:tc>
        <w:tc>
          <w:tcPr>
            <w:tcW w:w="2117" w:type="dxa"/>
            <w:tcBorders>
              <w:top w:val="single" w:sz="8" w:space="0" w:color="00B050"/>
              <w:bottom w:val="single" w:sz="8" w:space="0" w:color="00B050"/>
            </w:tcBorders>
            <w:shd w:val="clear" w:color="auto" w:fill="FFFFFF"/>
            <w:vAlign w:val="center"/>
          </w:tcPr>
          <w:p w14:paraId="6D65E14F" w14:textId="77777777" w:rsidR="00366CB9" w:rsidRPr="00E80D3A" w:rsidRDefault="009D0C1D" w:rsidP="00854441">
            <w:pPr>
              <w:pStyle w:val="a6"/>
              <w:shd w:val="clear" w:color="auto" w:fill="auto"/>
              <w:ind w:left="167" w:right="232" w:firstLine="142"/>
              <w:jc w:val="center"/>
              <w:rPr>
                <w:sz w:val="18"/>
                <w:szCs w:val="24"/>
              </w:rPr>
            </w:pPr>
            <w:r w:rsidRPr="00E80D3A">
              <w:rPr>
                <w:b w:val="0"/>
                <w:color w:val="000000"/>
                <w:sz w:val="18"/>
                <w:szCs w:val="24"/>
              </w:rPr>
              <w:t>–</w:t>
            </w:r>
          </w:p>
        </w:tc>
        <w:tc>
          <w:tcPr>
            <w:tcW w:w="2150" w:type="dxa"/>
            <w:tcBorders>
              <w:top w:val="single" w:sz="8" w:space="0" w:color="00B050"/>
              <w:bottom w:val="single" w:sz="8" w:space="0" w:color="00B050"/>
            </w:tcBorders>
            <w:shd w:val="clear" w:color="auto" w:fill="FFFFFF"/>
            <w:vAlign w:val="center"/>
          </w:tcPr>
          <w:p w14:paraId="78818CB5"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1,0</w:t>
            </w:r>
          </w:p>
        </w:tc>
      </w:tr>
      <w:tr w:rsidR="00366CB9" w14:paraId="1D61998E" w14:textId="77777777" w:rsidTr="007751D5">
        <w:trPr>
          <w:trHeight w:hRule="exact" w:val="446"/>
        </w:trPr>
        <w:tc>
          <w:tcPr>
            <w:tcW w:w="1118" w:type="dxa"/>
            <w:tcBorders>
              <w:top w:val="single" w:sz="8" w:space="0" w:color="00B050"/>
              <w:bottom w:val="single" w:sz="8" w:space="0" w:color="00B050"/>
            </w:tcBorders>
            <w:shd w:val="clear" w:color="auto" w:fill="FFFFFF"/>
            <w:vAlign w:val="center"/>
          </w:tcPr>
          <w:p w14:paraId="1FB762B0" w14:textId="77777777" w:rsidR="00366CB9" w:rsidRPr="00E80D3A" w:rsidRDefault="00366CB9" w:rsidP="00854441">
            <w:pPr>
              <w:rPr>
                <w:sz w:val="18"/>
              </w:rPr>
            </w:pPr>
          </w:p>
        </w:tc>
        <w:tc>
          <w:tcPr>
            <w:tcW w:w="2578" w:type="dxa"/>
            <w:tcBorders>
              <w:top w:val="single" w:sz="8" w:space="0" w:color="00B050"/>
              <w:bottom w:val="single" w:sz="8" w:space="0" w:color="00B050"/>
            </w:tcBorders>
            <w:shd w:val="clear" w:color="auto" w:fill="FFFFFF"/>
            <w:vAlign w:val="center"/>
          </w:tcPr>
          <w:p w14:paraId="5951CD68" w14:textId="77777777" w:rsidR="00366CB9" w:rsidRPr="00E80D3A" w:rsidRDefault="009D0C1D" w:rsidP="00854441">
            <w:pPr>
              <w:pStyle w:val="a6"/>
              <w:shd w:val="clear" w:color="auto" w:fill="auto"/>
              <w:rPr>
                <w:sz w:val="18"/>
                <w:szCs w:val="24"/>
              </w:rPr>
            </w:pPr>
            <w:r w:rsidRPr="00E80D3A">
              <w:rPr>
                <w:b w:val="0"/>
                <w:color w:val="000000"/>
                <w:sz w:val="18"/>
                <w:szCs w:val="24"/>
              </w:rPr>
              <w:t>Циклосерин/теризидон</w:t>
            </w:r>
          </w:p>
        </w:tc>
        <w:tc>
          <w:tcPr>
            <w:tcW w:w="1786" w:type="dxa"/>
            <w:tcBorders>
              <w:top w:val="single" w:sz="8" w:space="0" w:color="00B050"/>
              <w:bottom w:val="single" w:sz="8" w:space="0" w:color="00B050"/>
            </w:tcBorders>
            <w:shd w:val="clear" w:color="auto" w:fill="FFFFFF"/>
            <w:vAlign w:val="center"/>
          </w:tcPr>
          <w:p w14:paraId="3241F5F5" w14:textId="77777777" w:rsidR="00366CB9" w:rsidRPr="00E80D3A" w:rsidRDefault="009D0C1D" w:rsidP="00854441">
            <w:pPr>
              <w:pStyle w:val="a6"/>
              <w:shd w:val="clear" w:color="auto" w:fill="auto"/>
              <w:rPr>
                <w:sz w:val="18"/>
                <w:szCs w:val="24"/>
              </w:rPr>
            </w:pPr>
            <w:r w:rsidRPr="00E80D3A">
              <w:rPr>
                <w:b w:val="0"/>
                <w:color w:val="000000"/>
                <w:sz w:val="18"/>
                <w:szCs w:val="24"/>
              </w:rPr>
              <w:t>CS/TRD</w:t>
            </w:r>
          </w:p>
        </w:tc>
        <w:tc>
          <w:tcPr>
            <w:tcW w:w="2107" w:type="dxa"/>
            <w:tcBorders>
              <w:top w:val="single" w:sz="8" w:space="0" w:color="00B050"/>
              <w:bottom w:val="single" w:sz="8" w:space="0" w:color="00B050"/>
            </w:tcBorders>
            <w:shd w:val="clear" w:color="auto" w:fill="FFFFFF"/>
            <w:vAlign w:val="center"/>
          </w:tcPr>
          <w:p w14:paraId="2785966A"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w:t>
            </w:r>
          </w:p>
        </w:tc>
        <w:tc>
          <w:tcPr>
            <w:tcW w:w="2160" w:type="dxa"/>
            <w:tcBorders>
              <w:top w:val="single" w:sz="8" w:space="0" w:color="00B050"/>
              <w:bottom w:val="single" w:sz="8" w:space="0" w:color="00B050"/>
            </w:tcBorders>
            <w:shd w:val="clear" w:color="auto" w:fill="FFFFFF"/>
            <w:vAlign w:val="center"/>
          </w:tcPr>
          <w:p w14:paraId="4AE83540"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w:t>
            </w:r>
          </w:p>
        </w:tc>
        <w:tc>
          <w:tcPr>
            <w:tcW w:w="2117" w:type="dxa"/>
            <w:tcBorders>
              <w:top w:val="single" w:sz="8" w:space="0" w:color="00B050"/>
              <w:bottom w:val="single" w:sz="8" w:space="0" w:color="00B050"/>
            </w:tcBorders>
            <w:shd w:val="clear" w:color="auto" w:fill="FFFFFF"/>
            <w:vAlign w:val="center"/>
          </w:tcPr>
          <w:p w14:paraId="494FC2CC" w14:textId="77777777" w:rsidR="00366CB9" w:rsidRPr="00E80D3A" w:rsidRDefault="009D0C1D" w:rsidP="00854441">
            <w:pPr>
              <w:pStyle w:val="a6"/>
              <w:shd w:val="clear" w:color="auto" w:fill="auto"/>
              <w:ind w:left="167" w:right="232" w:firstLine="142"/>
              <w:jc w:val="center"/>
              <w:rPr>
                <w:sz w:val="18"/>
                <w:szCs w:val="24"/>
              </w:rPr>
            </w:pPr>
            <w:r w:rsidRPr="00E80D3A">
              <w:rPr>
                <w:b w:val="0"/>
                <w:color w:val="000000"/>
                <w:sz w:val="18"/>
                <w:szCs w:val="24"/>
              </w:rPr>
              <w:t>–</w:t>
            </w:r>
          </w:p>
        </w:tc>
        <w:tc>
          <w:tcPr>
            <w:tcW w:w="2150" w:type="dxa"/>
            <w:tcBorders>
              <w:top w:val="single" w:sz="8" w:space="0" w:color="00B050"/>
              <w:bottom w:val="single" w:sz="8" w:space="0" w:color="00B050"/>
            </w:tcBorders>
            <w:shd w:val="clear" w:color="auto" w:fill="FFFFFF"/>
            <w:vAlign w:val="center"/>
          </w:tcPr>
          <w:p w14:paraId="13F0F131"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16,0</w:t>
            </w:r>
          </w:p>
        </w:tc>
      </w:tr>
      <w:tr w:rsidR="00366CB9" w14:paraId="68C1B3A3" w14:textId="77777777" w:rsidTr="007751D5">
        <w:trPr>
          <w:trHeight w:hRule="exact" w:val="451"/>
        </w:trPr>
        <w:tc>
          <w:tcPr>
            <w:tcW w:w="1118" w:type="dxa"/>
            <w:tcBorders>
              <w:top w:val="single" w:sz="8" w:space="0" w:color="00B050"/>
              <w:bottom w:val="single" w:sz="8" w:space="0" w:color="00B050"/>
            </w:tcBorders>
            <w:shd w:val="clear" w:color="auto" w:fill="FFFFFF"/>
            <w:vAlign w:val="center"/>
          </w:tcPr>
          <w:p w14:paraId="444C8B44" w14:textId="77777777" w:rsidR="00366CB9" w:rsidRPr="00E80D3A" w:rsidRDefault="009D0C1D" w:rsidP="00854441">
            <w:pPr>
              <w:pStyle w:val="a6"/>
              <w:shd w:val="clear" w:color="auto" w:fill="auto"/>
              <w:rPr>
                <w:sz w:val="18"/>
                <w:szCs w:val="24"/>
              </w:rPr>
            </w:pPr>
            <w:r w:rsidRPr="00E80D3A">
              <w:rPr>
                <w:b w:val="0"/>
                <w:color w:val="000000"/>
                <w:sz w:val="18"/>
                <w:szCs w:val="24"/>
              </w:rPr>
              <w:t>Група C</w:t>
            </w:r>
          </w:p>
        </w:tc>
        <w:tc>
          <w:tcPr>
            <w:tcW w:w="2578" w:type="dxa"/>
            <w:tcBorders>
              <w:top w:val="single" w:sz="8" w:space="0" w:color="00B050"/>
              <w:bottom w:val="single" w:sz="8" w:space="0" w:color="00B050"/>
            </w:tcBorders>
            <w:shd w:val="clear" w:color="auto" w:fill="FFFFFF"/>
            <w:vAlign w:val="center"/>
          </w:tcPr>
          <w:p w14:paraId="47878FC3" w14:textId="77777777" w:rsidR="00366CB9" w:rsidRPr="00E80D3A" w:rsidRDefault="009D0C1D" w:rsidP="00854441">
            <w:pPr>
              <w:pStyle w:val="a6"/>
              <w:shd w:val="clear" w:color="auto" w:fill="auto"/>
              <w:rPr>
                <w:sz w:val="18"/>
                <w:szCs w:val="24"/>
              </w:rPr>
            </w:pPr>
            <w:r w:rsidRPr="00E80D3A">
              <w:rPr>
                <w:b w:val="0"/>
                <w:color w:val="000000"/>
                <w:sz w:val="18"/>
                <w:szCs w:val="24"/>
              </w:rPr>
              <w:t>Етамбутол</w:t>
            </w:r>
            <w:r w:rsidRPr="00E80D3A">
              <w:rPr>
                <w:b w:val="0"/>
                <w:color w:val="000000"/>
                <w:sz w:val="18"/>
                <w:szCs w:val="24"/>
                <w:vertAlign w:val="superscript"/>
              </w:rPr>
              <w:t>d</w:t>
            </w:r>
          </w:p>
        </w:tc>
        <w:tc>
          <w:tcPr>
            <w:tcW w:w="1786" w:type="dxa"/>
            <w:tcBorders>
              <w:top w:val="single" w:sz="8" w:space="0" w:color="00B050"/>
              <w:bottom w:val="single" w:sz="8" w:space="0" w:color="00B050"/>
            </w:tcBorders>
            <w:shd w:val="clear" w:color="auto" w:fill="FFFFFF"/>
            <w:vAlign w:val="center"/>
          </w:tcPr>
          <w:p w14:paraId="36A3006F" w14:textId="77777777" w:rsidR="00366CB9" w:rsidRPr="00E80D3A" w:rsidRDefault="009D0C1D" w:rsidP="00854441">
            <w:pPr>
              <w:pStyle w:val="a6"/>
              <w:shd w:val="clear" w:color="auto" w:fill="auto"/>
              <w:rPr>
                <w:sz w:val="18"/>
                <w:szCs w:val="24"/>
              </w:rPr>
            </w:pPr>
            <w:r w:rsidRPr="00E80D3A">
              <w:rPr>
                <w:b w:val="0"/>
                <w:color w:val="000000"/>
                <w:sz w:val="18"/>
                <w:szCs w:val="24"/>
              </w:rPr>
              <w:t>EMB</w:t>
            </w:r>
          </w:p>
        </w:tc>
        <w:tc>
          <w:tcPr>
            <w:tcW w:w="2107" w:type="dxa"/>
            <w:tcBorders>
              <w:top w:val="single" w:sz="8" w:space="0" w:color="00B050"/>
              <w:bottom w:val="single" w:sz="8" w:space="0" w:color="00B050"/>
            </w:tcBorders>
            <w:shd w:val="clear" w:color="auto" w:fill="FFFFFF"/>
            <w:vAlign w:val="center"/>
          </w:tcPr>
          <w:p w14:paraId="26547EF0"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2,0</w:t>
            </w:r>
          </w:p>
        </w:tc>
        <w:tc>
          <w:tcPr>
            <w:tcW w:w="2160" w:type="dxa"/>
            <w:tcBorders>
              <w:top w:val="single" w:sz="8" w:space="0" w:color="00B050"/>
              <w:bottom w:val="single" w:sz="8" w:space="0" w:color="00B050"/>
            </w:tcBorders>
            <w:shd w:val="clear" w:color="auto" w:fill="FFFFFF"/>
            <w:vAlign w:val="center"/>
          </w:tcPr>
          <w:p w14:paraId="12968426"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5,0</w:t>
            </w:r>
          </w:p>
        </w:tc>
        <w:tc>
          <w:tcPr>
            <w:tcW w:w="2117" w:type="dxa"/>
            <w:tcBorders>
              <w:top w:val="single" w:sz="8" w:space="0" w:color="00B050"/>
              <w:bottom w:val="single" w:sz="8" w:space="0" w:color="00B050"/>
            </w:tcBorders>
            <w:shd w:val="clear" w:color="auto" w:fill="FFFFFF"/>
            <w:vAlign w:val="center"/>
          </w:tcPr>
          <w:p w14:paraId="335859CE" w14:textId="77777777" w:rsidR="00366CB9" w:rsidRPr="00E80D3A" w:rsidRDefault="009D0C1D" w:rsidP="00854441">
            <w:pPr>
              <w:pStyle w:val="a6"/>
              <w:shd w:val="clear" w:color="auto" w:fill="auto"/>
              <w:ind w:left="167" w:right="232" w:firstLine="142"/>
              <w:jc w:val="center"/>
              <w:rPr>
                <w:sz w:val="18"/>
                <w:szCs w:val="24"/>
              </w:rPr>
            </w:pPr>
            <w:r w:rsidRPr="00E80D3A">
              <w:rPr>
                <w:b w:val="0"/>
                <w:color w:val="000000"/>
                <w:sz w:val="18"/>
                <w:szCs w:val="24"/>
              </w:rPr>
              <w:t>7,5</w:t>
            </w:r>
          </w:p>
        </w:tc>
        <w:tc>
          <w:tcPr>
            <w:tcW w:w="2150" w:type="dxa"/>
            <w:tcBorders>
              <w:top w:val="single" w:sz="8" w:space="0" w:color="00B050"/>
              <w:bottom w:val="single" w:sz="8" w:space="0" w:color="00B050"/>
            </w:tcBorders>
            <w:shd w:val="clear" w:color="auto" w:fill="FFFFFF"/>
            <w:vAlign w:val="center"/>
          </w:tcPr>
          <w:p w14:paraId="5F7A0FEC"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5,0</w:t>
            </w:r>
          </w:p>
        </w:tc>
      </w:tr>
      <w:tr w:rsidR="00366CB9" w14:paraId="55C6B069" w14:textId="77777777" w:rsidTr="007751D5">
        <w:trPr>
          <w:trHeight w:hRule="exact" w:val="446"/>
        </w:trPr>
        <w:tc>
          <w:tcPr>
            <w:tcW w:w="1118" w:type="dxa"/>
            <w:tcBorders>
              <w:top w:val="single" w:sz="8" w:space="0" w:color="00B050"/>
              <w:bottom w:val="single" w:sz="8" w:space="0" w:color="00B050"/>
            </w:tcBorders>
            <w:shd w:val="clear" w:color="auto" w:fill="FFFFFF"/>
            <w:vAlign w:val="center"/>
          </w:tcPr>
          <w:p w14:paraId="6A156B6C" w14:textId="77777777" w:rsidR="00366CB9" w:rsidRPr="00E80D3A" w:rsidRDefault="00366CB9" w:rsidP="00854441">
            <w:pPr>
              <w:rPr>
                <w:sz w:val="18"/>
              </w:rPr>
            </w:pPr>
          </w:p>
        </w:tc>
        <w:tc>
          <w:tcPr>
            <w:tcW w:w="2578" w:type="dxa"/>
            <w:tcBorders>
              <w:top w:val="single" w:sz="8" w:space="0" w:color="00B050"/>
              <w:bottom w:val="single" w:sz="8" w:space="0" w:color="00B050"/>
            </w:tcBorders>
            <w:shd w:val="clear" w:color="auto" w:fill="FFFFFF"/>
            <w:vAlign w:val="center"/>
          </w:tcPr>
          <w:p w14:paraId="52C70E10" w14:textId="77777777" w:rsidR="00366CB9" w:rsidRPr="00E80D3A" w:rsidRDefault="009D0C1D" w:rsidP="00854441">
            <w:pPr>
              <w:pStyle w:val="a6"/>
              <w:shd w:val="clear" w:color="auto" w:fill="auto"/>
              <w:rPr>
                <w:sz w:val="18"/>
                <w:szCs w:val="24"/>
              </w:rPr>
            </w:pPr>
            <w:r w:rsidRPr="00E80D3A">
              <w:rPr>
                <w:b w:val="0"/>
                <w:color w:val="000000"/>
                <w:sz w:val="18"/>
                <w:szCs w:val="24"/>
              </w:rPr>
              <w:t>Деламанід</w:t>
            </w:r>
            <w:r w:rsidRPr="00E80D3A">
              <w:rPr>
                <w:b w:val="0"/>
                <w:color w:val="000000"/>
                <w:sz w:val="18"/>
                <w:szCs w:val="24"/>
                <w:vertAlign w:val="superscript"/>
              </w:rPr>
              <w:t>e</w:t>
            </w:r>
          </w:p>
        </w:tc>
        <w:tc>
          <w:tcPr>
            <w:tcW w:w="1786" w:type="dxa"/>
            <w:tcBorders>
              <w:top w:val="single" w:sz="8" w:space="0" w:color="00B050"/>
              <w:bottom w:val="single" w:sz="8" w:space="0" w:color="00B050"/>
            </w:tcBorders>
            <w:shd w:val="clear" w:color="auto" w:fill="FFFFFF"/>
            <w:vAlign w:val="center"/>
          </w:tcPr>
          <w:p w14:paraId="39735102" w14:textId="77777777" w:rsidR="00366CB9" w:rsidRPr="00E80D3A" w:rsidRDefault="009D0C1D" w:rsidP="00854441">
            <w:pPr>
              <w:pStyle w:val="a6"/>
              <w:shd w:val="clear" w:color="auto" w:fill="auto"/>
              <w:rPr>
                <w:sz w:val="18"/>
                <w:szCs w:val="24"/>
              </w:rPr>
            </w:pPr>
            <w:r w:rsidRPr="00E80D3A">
              <w:rPr>
                <w:b w:val="0"/>
                <w:color w:val="000000"/>
                <w:sz w:val="18"/>
                <w:szCs w:val="24"/>
              </w:rPr>
              <w:t>DLM</w:t>
            </w:r>
          </w:p>
        </w:tc>
        <w:tc>
          <w:tcPr>
            <w:tcW w:w="2107" w:type="dxa"/>
            <w:tcBorders>
              <w:top w:val="single" w:sz="8" w:space="0" w:color="00B050"/>
              <w:bottom w:val="single" w:sz="8" w:space="0" w:color="00B050"/>
            </w:tcBorders>
            <w:shd w:val="clear" w:color="auto" w:fill="FFFFFF"/>
            <w:vAlign w:val="center"/>
          </w:tcPr>
          <w:p w14:paraId="17F7815C"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w:t>
            </w:r>
          </w:p>
        </w:tc>
        <w:tc>
          <w:tcPr>
            <w:tcW w:w="2160" w:type="dxa"/>
            <w:tcBorders>
              <w:top w:val="single" w:sz="8" w:space="0" w:color="00B050"/>
              <w:bottom w:val="single" w:sz="8" w:space="0" w:color="00B050"/>
            </w:tcBorders>
            <w:shd w:val="clear" w:color="auto" w:fill="FFFFFF"/>
            <w:vAlign w:val="center"/>
          </w:tcPr>
          <w:p w14:paraId="0D2A72C7"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w:t>
            </w:r>
          </w:p>
        </w:tc>
        <w:tc>
          <w:tcPr>
            <w:tcW w:w="2117" w:type="dxa"/>
            <w:tcBorders>
              <w:top w:val="single" w:sz="8" w:space="0" w:color="00B050"/>
              <w:bottom w:val="single" w:sz="8" w:space="0" w:color="00B050"/>
            </w:tcBorders>
            <w:shd w:val="clear" w:color="auto" w:fill="FFFFFF"/>
            <w:vAlign w:val="center"/>
          </w:tcPr>
          <w:p w14:paraId="3081F34B" w14:textId="77777777" w:rsidR="00366CB9" w:rsidRPr="00E80D3A" w:rsidRDefault="009D0C1D" w:rsidP="00854441">
            <w:pPr>
              <w:pStyle w:val="a6"/>
              <w:shd w:val="clear" w:color="auto" w:fill="auto"/>
              <w:ind w:left="167" w:right="232" w:firstLine="142"/>
              <w:jc w:val="center"/>
              <w:rPr>
                <w:sz w:val="18"/>
                <w:szCs w:val="24"/>
              </w:rPr>
            </w:pPr>
            <w:r w:rsidRPr="00E80D3A">
              <w:rPr>
                <w:b w:val="0"/>
                <w:color w:val="000000"/>
                <w:sz w:val="18"/>
                <w:szCs w:val="24"/>
              </w:rPr>
              <w:t>0,016</w:t>
            </w:r>
          </w:p>
        </w:tc>
        <w:tc>
          <w:tcPr>
            <w:tcW w:w="2150" w:type="dxa"/>
            <w:tcBorders>
              <w:top w:val="single" w:sz="8" w:space="0" w:color="00B050"/>
              <w:bottom w:val="single" w:sz="8" w:space="0" w:color="00B050"/>
            </w:tcBorders>
            <w:shd w:val="clear" w:color="auto" w:fill="FFFFFF"/>
            <w:vAlign w:val="center"/>
          </w:tcPr>
          <w:p w14:paraId="045F442A"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0,06</w:t>
            </w:r>
          </w:p>
        </w:tc>
      </w:tr>
      <w:tr w:rsidR="00366CB9" w14:paraId="7AEBF8EC" w14:textId="77777777" w:rsidTr="007751D5">
        <w:trPr>
          <w:trHeight w:hRule="exact" w:val="446"/>
        </w:trPr>
        <w:tc>
          <w:tcPr>
            <w:tcW w:w="1118" w:type="dxa"/>
            <w:tcBorders>
              <w:top w:val="single" w:sz="8" w:space="0" w:color="00B050"/>
              <w:bottom w:val="single" w:sz="8" w:space="0" w:color="00B050"/>
            </w:tcBorders>
            <w:shd w:val="clear" w:color="auto" w:fill="FFFFFF"/>
            <w:vAlign w:val="center"/>
          </w:tcPr>
          <w:p w14:paraId="426A8BFA" w14:textId="77777777" w:rsidR="00366CB9" w:rsidRPr="00E80D3A" w:rsidRDefault="00366CB9" w:rsidP="00854441">
            <w:pPr>
              <w:rPr>
                <w:sz w:val="18"/>
              </w:rPr>
            </w:pPr>
          </w:p>
        </w:tc>
        <w:tc>
          <w:tcPr>
            <w:tcW w:w="2578" w:type="dxa"/>
            <w:tcBorders>
              <w:top w:val="single" w:sz="8" w:space="0" w:color="00B050"/>
              <w:bottom w:val="single" w:sz="8" w:space="0" w:color="00B050"/>
            </w:tcBorders>
            <w:shd w:val="clear" w:color="auto" w:fill="FFFFFF"/>
            <w:vAlign w:val="center"/>
          </w:tcPr>
          <w:p w14:paraId="0C88DBE0" w14:textId="77777777" w:rsidR="00366CB9" w:rsidRPr="00E80D3A" w:rsidRDefault="009D0C1D" w:rsidP="00854441">
            <w:pPr>
              <w:pStyle w:val="a6"/>
              <w:shd w:val="clear" w:color="auto" w:fill="auto"/>
              <w:rPr>
                <w:sz w:val="18"/>
                <w:szCs w:val="24"/>
              </w:rPr>
            </w:pPr>
            <w:r w:rsidRPr="00E80D3A">
              <w:rPr>
                <w:b w:val="0"/>
                <w:color w:val="000000"/>
                <w:sz w:val="18"/>
                <w:szCs w:val="24"/>
              </w:rPr>
              <w:t>Піразинамід</w:t>
            </w:r>
            <w:r w:rsidRPr="00E80D3A">
              <w:rPr>
                <w:b w:val="0"/>
                <w:color w:val="000000"/>
                <w:sz w:val="18"/>
                <w:szCs w:val="24"/>
                <w:vertAlign w:val="superscript"/>
              </w:rPr>
              <w:t>f</w:t>
            </w:r>
          </w:p>
        </w:tc>
        <w:tc>
          <w:tcPr>
            <w:tcW w:w="1786" w:type="dxa"/>
            <w:tcBorders>
              <w:top w:val="single" w:sz="8" w:space="0" w:color="00B050"/>
              <w:bottom w:val="single" w:sz="8" w:space="0" w:color="00B050"/>
            </w:tcBorders>
            <w:shd w:val="clear" w:color="auto" w:fill="FFFFFF"/>
            <w:vAlign w:val="center"/>
          </w:tcPr>
          <w:p w14:paraId="7967E2FC" w14:textId="77777777" w:rsidR="00366CB9" w:rsidRPr="00E80D3A" w:rsidRDefault="009D0C1D" w:rsidP="00854441">
            <w:pPr>
              <w:pStyle w:val="a6"/>
              <w:shd w:val="clear" w:color="auto" w:fill="auto"/>
              <w:rPr>
                <w:sz w:val="18"/>
                <w:szCs w:val="24"/>
              </w:rPr>
            </w:pPr>
            <w:r w:rsidRPr="00E80D3A">
              <w:rPr>
                <w:b w:val="0"/>
                <w:color w:val="000000"/>
                <w:sz w:val="18"/>
                <w:szCs w:val="24"/>
              </w:rPr>
              <w:t>PZA</w:t>
            </w:r>
          </w:p>
        </w:tc>
        <w:tc>
          <w:tcPr>
            <w:tcW w:w="2107" w:type="dxa"/>
            <w:tcBorders>
              <w:top w:val="single" w:sz="8" w:space="0" w:color="00B050"/>
              <w:bottom w:val="single" w:sz="8" w:space="0" w:color="00B050"/>
            </w:tcBorders>
            <w:shd w:val="clear" w:color="auto" w:fill="FFFFFF"/>
            <w:vAlign w:val="center"/>
          </w:tcPr>
          <w:p w14:paraId="217BC9BF"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w:t>
            </w:r>
          </w:p>
        </w:tc>
        <w:tc>
          <w:tcPr>
            <w:tcW w:w="2160" w:type="dxa"/>
            <w:tcBorders>
              <w:top w:val="single" w:sz="8" w:space="0" w:color="00B050"/>
              <w:bottom w:val="single" w:sz="8" w:space="0" w:color="00B050"/>
            </w:tcBorders>
            <w:shd w:val="clear" w:color="auto" w:fill="FFFFFF"/>
            <w:vAlign w:val="center"/>
          </w:tcPr>
          <w:p w14:paraId="24F762F4"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w:t>
            </w:r>
          </w:p>
        </w:tc>
        <w:tc>
          <w:tcPr>
            <w:tcW w:w="2117" w:type="dxa"/>
            <w:tcBorders>
              <w:top w:val="single" w:sz="8" w:space="0" w:color="00B050"/>
              <w:bottom w:val="single" w:sz="8" w:space="0" w:color="00B050"/>
            </w:tcBorders>
            <w:shd w:val="clear" w:color="auto" w:fill="FFFFFF"/>
            <w:vAlign w:val="center"/>
          </w:tcPr>
          <w:p w14:paraId="419BF7D1" w14:textId="77777777" w:rsidR="00366CB9" w:rsidRPr="00E80D3A" w:rsidRDefault="009D0C1D" w:rsidP="00854441">
            <w:pPr>
              <w:pStyle w:val="a6"/>
              <w:shd w:val="clear" w:color="auto" w:fill="auto"/>
              <w:ind w:left="167" w:right="232" w:firstLine="142"/>
              <w:jc w:val="center"/>
              <w:rPr>
                <w:sz w:val="18"/>
                <w:szCs w:val="24"/>
              </w:rPr>
            </w:pPr>
            <w:r w:rsidRPr="00E80D3A">
              <w:rPr>
                <w:b w:val="0"/>
                <w:color w:val="000000"/>
                <w:sz w:val="18"/>
                <w:szCs w:val="24"/>
              </w:rPr>
              <w:t>–</w:t>
            </w:r>
          </w:p>
        </w:tc>
        <w:tc>
          <w:tcPr>
            <w:tcW w:w="2150" w:type="dxa"/>
            <w:tcBorders>
              <w:top w:val="single" w:sz="8" w:space="0" w:color="00B050"/>
              <w:bottom w:val="single" w:sz="8" w:space="0" w:color="00B050"/>
            </w:tcBorders>
            <w:shd w:val="clear" w:color="auto" w:fill="FFFFFF"/>
            <w:vAlign w:val="center"/>
          </w:tcPr>
          <w:p w14:paraId="177EEA37"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100,0</w:t>
            </w:r>
          </w:p>
        </w:tc>
      </w:tr>
      <w:tr w:rsidR="00366CB9" w14:paraId="1B5A8F25" w14:textId="77777777" w:rsidTr="007751D5">
        <w:trPr>
          <w:trHeight w:hRule="exact" w:val="451"/>
        </w:trPr>
        <w:tc>
          <w:tcPr>
            <w:tcW w:w="1118" w:type="dxa"/>
            <w:tcBorders>
              <w:top w:val="single" w:sz="8" w:space="0" w:color="00B050"/>
              <w:bottom w:val="single" w:sz="8" w:space="0" w:color="00B050"/>
            </w:tcBorders>
            <w:shd w:val="clear" w:color="auto" w:fill="FFFFFF"/>
            <w:vAlign w:val="center"/>
          </w:tcPr>
          <w:p w14:paraId="49B977BC" w14:textId="77777777" w:rsidR="00366CB9" w:rsidRPr="00E80D3A" w:rsidRDefault="00366CB9" w:rsidP="00854441">
            <w:pPr>
              <w:rPr>
                <w:sz w:val="18"/>
              </w:rPr>
            </w:pPr>
          </w:p>
        </w:tc>
        <w:tc>
          <w:tcPr>
            <w:tcW w:w="2578" w:type="dxa"/>
            <w:tcBorders>
              <w:top w:val="single" w:sz="8" w:space="0" w:color="00B050"/>
              <w:bottom w:val="single" w:sz="8" w:space="0" w:color="00B050"/>
            </w:tcBorders>
            <w:shd w:val="clear" w:color="auto" w:fill="FFFFFF"/>
            <w:vAlign w:val="center"/>
          </w:tcPr>
          <w:p w14:paraId="6B3346D4" w14:textId="77777777" w:rsidR="00366CB9" w:rsidRPr="00E80D3A" w:rsidRDefault="009D0C1D" w:rsidP="00854441">
            <w:pPr>
              <w:pStyle w:val="a6"/>
              <w:shd w:val="clear" w:color="auto" w:fill="auto"/>
              <w:rPr>
                <w:sz w:val="18"/>
                <w:szCs w:val="24"/>
              </w:rPr>
            </w:pPr>
            <w:r w:rsidRPr="00E80D3A">
              <w:rPr>
                <w:b w:val="0"/>
                <w:color w:val="000000"/>
                <w:sz w:val="18"/>
                <w:szCs w:val="24"/>
              </w:rPr>
              <w:t>Іміпенем-циластатин</w:t>
            </w:r>
          </w:p>
        </w:tc>
        <w:tc>
          <w:tcPr>
            <w:tcW w:w="1786" w:type="dxa"/>
            <w:tcBorders>
              <w:top w:val="single" w:sz="8" w:space="0" w:color="00B050"/>
              <w:bottom w:val="single" w:sz="8" w:space="0" w:color="00B050"/>
            </w:tcBorders>
            <w:shd w:val="clear" w:color="auto" w:fill="FFFFFF"/>
            <w:vAlign w:val="center"/>
          </w:tcPr>
          <w:p w14:paraId="2931238F" w14:textId="77777777" w:rsidR="00366CB9" w:rsidRPr="00E80D3A" w:rsidRDefault="009D0C1D" w:rsidP="00854441">
            <w:pPr>
              <w:pStyle w:val="a6"/>
              <w:shd w:val="clear" w:color="auto" w:fill="auto"/>
              <w:rPr>
                <w:sz w:val="18"/>
                <w:szCs w:val="24"/>
              </w:rPr>
            </w:pPr>
            <w:r w:rsidRPr="00E80D3A">
              <w:rPr>
                <w:b w:val="0"/>
                <w:color w:val="000000"/>
                <w:sz w:val="18"/>
                <w:szCs w:val="24"/>
              </w:rPr>
              <w:t>IMP/CLN</w:t>
            </w:r>
          </w:p>
        </w:tc>
        <w:tc>
          <w:tcPr>
            <w:tcW w:w="2107" w:type="dxa"/>
            <w:tcBorders>
              <w:top w:val="single" w:sz="8" w:space="0" w:color="00B050"/>
              <w:bottom w:val="single" w:sz="8" w:space="0" w:color="00B050"/>
            </w:tcBorders>
            <w:shd w:val="clear" w:color="auto" w:fill="FFFFFF"/>
            <w:vAlign w:val="center"/>
          </w:tcPr>
          <w:p w14:paraId="5D2DF831"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w:t>
            </w:r>
          </w:p>
        </w:tc>
        <w:tc>
          <w:tcPr>
            <w:tcW w:w="2160" w:type="dxa"/>
            <w:tcBorders>
              <w:top w:val="single" w:sz="8" w:space="0" w:color="00B050"/>
              <w:bottom w:val="single" w:sz="8" w:space="0" w:color="00B050"/>
            </w:tcBorders>
            <w:shd w:val="clear" w:color="auto" w:fill="FFFFFF"/>
            <w:vAlign w:val="center"/>
          </w:tcPr>
          <w:p w14:paraId="4797686F"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w:t>
            </w:r>
          </w:p>
        </w:tc>
        <w:tc>
          <w:tcPr>
            <w:tcW w:w="2117" w:type="dxa"/>
            <w:tcBorders>
              <w:top w:val="single" w:sz="8" w:space="0" w:color="00B050"/>
              <w:bottom w:val="single" w:sz="8" w:space="0" w:color="00B050"/>
            </w:tcBorders>
            <w:shd w:val="clear" w:color="auto" w:fill="FFFFFF"/>
            <w:vAlign w:val="center"/>
          </w:tcPr>
          <w:p w14:paraId="168E551A" w14:textId="77777777" w:rsidR="00366CB9" w:rsidRPr="00E80D3A" w:rsidRDefault="009D0C1D" w:rsidP="00854441">
            <w:pPr>
              <w:pStyle w:val="a6"/>
              <w:shd w:val="clear" w:color="auto" w:fill="auto"/>
              <w:ind w:left="167" w:right="232" w:firstLine="142"/>
              <w:jc w:val="center"/>
              <w:rPr>
                <w:sz w:val="18"/>
                <w:szCs w:val="24"/>
              </w:rPr>
            </w:pPr>
            <w:r w:rsidRPr="00E80D3A">
              <w:rPr>
                <w:b w:val="0"/>
                <w:color w:val="000000"/>
                <w:sz w:val="18"/>
                <w:szCs w:val="24"/>
              </w:rPr>
              <w:t>–</w:t>
            </w:r>
          </w:p>
        </w:tc>
        <w:tc>
          <w:tcPr>
            <w:tcW w:w="2150" w:type="dxa"/>
            <w:tcBorders>
              <w:top w:val="single" w:sz="8" w:space="0" w:color="00B050"/>
              <w:bottom w:val="single" w:sz="8" w:space="0" w:color="00B050"/>
            </w:tcBorders>
            <w:shd w:val="clear" w:color="auto" w:fill="FFFFFF"/>
            <w:vAlign w:val="center"/>
          </w:tcPr>
          <w:p w14:paraId="6D6373B3"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w:t>
            </w:r>
          </w:p>
        </w:tc>
      </w:tr>
      <w:tr w:rsidR="00366CB9" w14:paraId="1DD1E431" w14:textId="77777777" w:rsidTr="007751D5">
        <w:trPr>
          <w:trHeight w:hRule="exact" w:val="446"/>
        </w:trPr>
        <w:tc>
          <w:tcPr>
            <w:tcW w:w="1118" w:type="dxa"/>
            <w:tcBorders>
              <w:top w:val="single" w:sz="8" w:space="0" w:color="00B050"/>
              <w:bottom w:val="single" w:sz="8" w:space="0" w:color="00B050"/>
            </w:tcBorders>
            <w:shd w:val="clear" w:color="auto" w:fill="FFFFFF"/>
            <w:vAlign w:val="center"/>
          </w:tcPr>
          <w:p w14:paraId="7C322E51" w14:textId="77777777" w:rsidR="00366CB9" w:rsidRPr="00E80D3A" w:rsidRDefault="00366CB9" w:rsidP="00854441">
            <w:pPr>
              <w:rPr>
                <w:sz w:val="18"/>
              </w:rPr>
            </w:pPr>
          </w:p>
        </w:tc>
        <w:tc>
          <w:tcPr>
            <w:tcW w:w="2578" w:type="dxa"/>
            <w:tcBorders>
              <w:top w:val="single" w:sz="8" w:space="0" w:color="00B050"/>
              <w:bottom w:val="single" w:sz="8" w:space="0" w:color="00B050"/>
            </w:tcBorders>
            <w:shd w:val="clear" w:color="auto" w:fill="FFFFFF"/>
            <w:vAlign w:val="center"/>
          </w:tcPr>
          <w:p w14:paraId="2C27DC41" w14:textId="77777777" w:rsidR="00366CB9" w:rsidRPr="00E80D3A" w:rsidRDefault="009D0C1D" w:rsidP="00854441">
            <w:pPr>
              <w:pStyle w:val="a6"/>
              <w:shd w:val="clear" w:color="auto" w:fill="auto"/>
              <w:rPr>
                <w:sz w:val="18"/>
                <w:szCs w:val="24"/>
              </w:rPr>
            </w:pPr>
            <w:r w:rsidRPr="00E80D3A">
              <w:rPr>
                <w:b w:val="0"/>
                <w:color w:val="000000"/>
                <w:sz w:val="18"/>
                <w:szCs w:val="24"/>
              </w:rPr>
              <w:t>Меропенем</w:t>
            </w:r>
          </w:p>
        </w:tc>
        <w:tc>
          <w:tcPr>
            <w:tcW w:w="1786" w:type="dxa"/>
            <w:tcBorders>
              <w:top w:val="single" w:sz="8" w:space="0" w:color="00B050"/>
              <w:bottom w:val="single" w:sz="8" w:space="0" w:color="00B050"/>
            </w:tcBorders>
            <w:shd w:val="clear" w:color="auto" w:fill="FFFFFF"/>
            <w:vAlign w:val="center"/>
          </w:tcPr>
          <w:p w14:paraId="103962C9" w14:textId="77777777" w:rsidR="00366CB9" w:rsidRPr="00E80D3A" w:rsidRDefault="009D0C1D" w:rsidP="00854441">
            <w:pPr>
              <w:pStyle w:val="a6"/>
              <w:shd w:val="clear" w:color="auto" w:fill="auto"/>
              <w:rPr>
                <w:sz w:val="18"/>
                <w:szCs w:val="24"/>
              </w:rPr>
            </w:pPr>
            <w:r w:rsidRPr="00E80D3A">
              <w:rPr>
                <w:b w:val="0"/>
                <w:color w:val="000000"/>
                <w:sz w:val="18"/>
                <w:szCs w:val="24"/>
              </w:rPr>
              <w:t>MPM</w:t>
            </w:r>
          </w:p>
        </w:tc>
        <w:tc>
          <w:tcPr>
            <w:tcW w:w="2107" w:type="dxa"/>
            <w:tcBorders>
              <w:top w:val="single" w:sz="8" w:space="0" w:color="00B050"/>
              <w:bottom w:val="single" w:sz="8" w:space="0" w:color="00B050"/>
            </w:tcBorders>
            <w:shd w:val="clear" w:color="auto" w:fill="FFFFFF"/>
            <w:vAlign w:val="center"/>
          </w:tcPr>
          <w:p w14:paraId="048F8334"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w:t>
            </w:r>
          </w:p>
        </w:tc>
        <w:tc>
          <w:tcPr>
            <w:tcW w:w="2160" w:type="dxa"/>
            <w:tcBorders>
              <w:top w:val="single" w:sz="8" w:space="0" w:color="00B050"/>
              <w:bottom w:val="single" w:sz="8" w:space="0" w:color="00B050"/>
            </w:tcBorders>
            <w:shd w:val="clear" w:color="auto" w:fill="FFFFFF"/>
            <w:vAlign w:val="center"/>
          </w:tcPr>
          <w:p w14:paraId="10A90EA0"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w:t>
            </w:r>
          </w:p>
        </w:tc>
        <w:tc>
          <w:tcPr>
            <w:tcW w:w="2117" w:type="dxa"/>
            <w:tcBorders>
              <w:top w:val="single" w:sz="8" w:space="0" w:color="00B050"/>
              <w:bottom w:val="single" w:sz="8" w:space="0" w:color="00B050"/>
            </w:tcBorders>
            <w:shd w:val="clear" w:color="auto" w:fill="FFFFFF"/>
            <w:vAlign w:val="center"/>
          </w:tcPr>
          <w:p w14:paraId="40A2D476" w14:textId="77777777" w:rsidR="00366CB9" w:rsidRPr="00E80D3A" w:rsidRDefault="009D0C1D" w:rsidP="00854441">
            <w:pPr>
              <w:pStyle w:val="a6"/>
              <w:shd w:val="clear" w:color="auto" w:fill="auto"/>
              <w:ind w:left="167" w:right="232" w:firstLine="142"/>
              <w:jc w:val="center"/>
              <w:rPr>
                <w:sz w:val="18"/>
                <w:szCs w:val="24"/>
              </w:rPr>
            </w:pPr>
            <w:r w:rsidRPr="00E80D3A">
              <w:rPr>
                <w:b w:val="0"/>
                <w:color w:val="000000"/>
                <w:sz w:val="18"/>
                <w:szCs w:val="24"/>
              </w:rPr>
              <w:t>–</w:t>
            </w:r>
          </w:p>
        </w:tc>
        <w:tc>
          <w:tcPr>
            <w:tcW w:w="2150" w:type="dxa"/>
            <w:tcBorders>
              <w:top w:val="single" w:sz="8" w:space="0" w:color="00B050"/>
              <w:bottom w:val="single" w:sz="8" w:space="0" w:color="00B050"/>
            </w:tcBorders>
            <w:shd w:val="clear" w:color="auto" w:fill="FFFFFF"/>
            <w:vAlign w:val="center"/>
          </w:tcPr>
          <w:p w14:paraId="41BD7F85"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w:t>
            </w:r>
          </w:p>
        </w:tc>
      </w:tr>
      <w:tr w:rsidR="00366CB9" w14:paraId="0CA1ED76" w14:textId="77777777" w:rsidTr="007751D5">
        <w:trPr>
          <w:trHeight w:hRule="exact" w:val="446"/>
        </w:trPr>
        <w:tc>
          <w:tcPr>
            <w:tcW w:w="1118" w:type="dxa"/>
            <w:tcBorders>
              <w:top w:val="single" w:sz="8" w:space="0" w:color="00B050"/>
              <w:bottom w:val="single" w:sz="8" w:space="0" w:color="00B050"/>
            </w:tcBorders>
            <w:shd w:val="clear" w:color="auto" w:fill="FFFFFF"/>
            <w:vAlign w:val="center"/>
          </w:tcPr>
          <w:p w14:paraId="182BDB3C" w14:textId="77777777" w:rsidR="00366CB9" w:rsidRPr="00E80D3A" w:rsidRDefault="00366CB9" w:rsidP="00854441">
            <w:pPr>
              <w:rPr>
                <w:sz w:val="18"/>
              </w:rPr>
            </w:pPr>
          </w:p>
        </w:tc>
        <w:tc>
          <w:tcPr>
            <w:tcW w:w="2578" w:type="dxa"/>
            <w:tcBorders>
              <w:top w:val="single" w:sz="8" w:space="0" w:color="00B050"/>
              <w:bottom w:val="single" w:sz="8" w:space="0" w:color="00B050"/>
            </w:tcBorders>
            <w:shd w:val="clear" w:color="auto" w:fill="FFFFFF"/>
            <w:vAlign w:val="center"/>
          </w:tcPr>
          <w:p w14:paraId="65863F72" w14:textId="77777777" w:rsidR="00366CB9" w:rsidRPr="00E80D3A" w:rsidRDefault="009D0C1D" w:rsidP="00854441">
            <w:pPr>
              <w:pStyle w:val="a6"/>
              <w:shd w:val="clear" w:color="auto" w:fill="auto"/>
              <w:rPr>
                <w:sz w:val="18"/>
                <w:szCs w:val="24"/>
              </w:rPr>
            </w:pPr>
            <w:r w:rsidRPr="00E80D3A">
              <w:rPr>
                <w:b w:val="0"/>
                <w:color w:val="000000"/>
                <w:sz w:val="18"/>
                <w:szCs w:val="24"/>
              </w:rPr>
              <w:t>Амікацин</w:t>
            </w:r>
          </w:p>
        </w:tc>
        <w:tc>
          <w:tcPr>
            <w:tcW w:w="1786" w:type="dxa"/>
            <w:tcBorders>
              <w:top w:val="single" w:sz="8" w:space="0" w:color="00B050"/>
              <w:bottom w:val="single" w:sz="8" w:space="0" w:color="00B050"/>
            </w:tcBorders>
            <w:shd w:val="clear" w:color="auto" w:fill="FFFFFF"/>
            <w:vAlign w:val="center"/>
          </w:tcPr>
          <w:p w14:paraId="6A3CF086" w14:textId="77777777" w:rsidR="00366CB9" w:rsidRPr="00E80D3A" w:rsidRDefault="009D0C1D" w:rsidP="00854441">
            <w:pPr>
              <w:pStyle w:val="a6"/>
              <w:shd w:val="clear" w:color="auto" w:fill="auto"/>
              <w:rPr>
                <w:sz w:val="18"/>
                <w:szCs w:val="24"/>
              </w:rPr>
            </w:pPr>
            <w:r w:rsidRPr="00E80D3A">
              <w:rPr>
                <w:b w:val="0"/>
                <w:color w:val="000000"/>
                <w:sz w:val="18"/>
                <w:szCs w:val="24"/>
              </w:rPr>
              <w:t>AMK</w:t>
            </w:r>
          </w:p>
        </w:tc>
        <w:tc>
          <w:tcPr>
            <w:tcW w:w="2107" w:type="dxa"/>
            <w:tcBorders>
              <w:top w:val="single" w:sz="8" w:space="0" w:color="00B050"/>
              <w:bottom w:val="single" w:sz="8" w:space="0" w:color="00B050"/>
            </w:tcBorders>
            <w:shd w:val="clear" w:color="auto" w:fill="FFFFFF"/>
            <w:vAlign w:val="center"/>
          </w:tcPr>
          <w:p w14:paraId="3EE4250A"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30,0</w:t>
            </w:r>
          </w:p>
        </w:tc>
        <w:tc>
          <w:tcPr>
            <w:tcW w:w="2160" w:type="dxa"/>
            <w:tcBorders>
              <w:top w:val="single" w:sz="8" w:space="0" w:color="00B050"/>
              <w:bottom w:val="single" w:sz="8" w:space="0" w:color="00B050"/>
            </w:tcBorders>
            <w:shd w:val="clear" w:color="auto" w:fill="FFFFFF"/>
            <w:vAlign w:val="center"/>
          </w:tcPr>
          <w:p w14:paraId="516DBABC"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2,0</w:t>
            </w:r>
          </w:p>
        </w:tc>
        <w:tc>
          <w:tcPr>
            <w:tcW w:w="2117" w:type="dxa"/>
            <w:tcBorders>
              <w:top w:val="single" w:sz="8" w:space="0" w:color="00B050"/>
              <w:bottom w:val="single" w:sz="8" w:space="0" w:color="00B050"/>
            </w:tcBorders>
            <w:shd w:val="clear" w:color="auto" w:fill="FFFFFF"/>
            <w:vAlign w:val="center"/>
          </w:tcPr>
          <w:p w14:paraId="79A1B0C9" w14:textId="77777777" w:rsidR="00366CB9" w:rsidRPr="00E80D3A" w:rsidRDefault="009D0C1D" w:rsidP="00854441">
            <w:pPr>
              <w:pStyle w:val="a6"/>
              <w:shd w:val="clear" w:color="auto" w:fill="auto"/>
              <w:ind w:left="167" w:right="232" w:firstLine="142"/>
              <w:jc w:val="center"/>
              <w:rPr>
                <w:sz w:val="18"/>
                <w:szCs w:val="24"/>
              </w:rPr>
            </w:pPr>
            <w:r w:rsidRPr="00E80D3A">
              <w:rPr>
                <w:b w:val="0"/>
                <w:color w:val="000000"/>
                <w:sz w:val="18"/>
                <w:szCs w:val="24"/>
              </w:rPr>
              <w:t>–</w:t>
            </w:r>
          </w:p>
        </w:tc>
        <w:tc>
          <w:tcPr>
            <w:tcW w:w="2150" w:type="dxa"/>
            <w:tcBorders>
              <w:top w:val="single" w:sz="8" w:space="0" w:color="00B050"/>
              <w:bottom w:val="single" w:sz="8" w:space="0" w:color="00B050"/>
            </w:tcBorders>
            <w:shd w:val="clear" w:color="auto" w:fill="FFFFFF"/>
            <w:vAlign w:val="center"/>
          </w:tcPr>
          <w:p w14:paraId="4B07FDD7"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1,0</w:t>
            </w:r>
          </w:p>
        </w:tc>
      </w:tr>
      <w:tr w:rsidR="00366CB9" w14:paraId="6808ED1A" w14:textId="77777777" w:rsidTr="007751D5">
        <w:trPr>
          <w:trHeight w:hRule="exact" w:val="451"/>
        </w:trPr>
        <w:tc>
          <w:tcPr>
            <w:tcW w:w="1118" w:type="dxa"/>
            <w:tcBorders>
              <w:top w:val="single" w:sz="8" w:space="0" w:color="00B050"/>
              <w:bottom w:val="single" w:sz="8" w:space="0" w:color="00B050"/>
            </w:tcBorders>
            <w:shd w:val="clear" w:color="auto" w:fill="FFFFFF"/>
            <w:vAlign w:val="center"/>
          </w:tcPr>
          <w:p w14:paraId="3B1F7EDD" w14:textId="77777777" w:rsidR="00366CB9" w:rsidRPr="00E80D3A" w:rsidRDefault="00366CB9" w:rsidP="00854441">
            <w:pPr>
              <w:rPr>
                <w:sz w:val="18"/>
              </w:rPr>
            </w:pPr>
          </w:p>
        </w:tc>
        <w:tc>
          <w:tcPr>
            <w:tcW w:w="2578" w:type="dxa"/>
            <w:tcBorders>
              <w:top w:val="single" w:sz="8" w:space="0" w:color="00B050"/>
              <w:bottom w:val="single" w:sz="8" w:space="0" w:color="00B050"/>
            </w:tcBorders>
            <w:shd w:val="clear" w:color="auto" w:fill="FFFFFF"/>
            <w:vAlign w:val="center"/>
          </w:tcPr>
          <w:p w14:paraId="4252CA90" w14:textId="77777777" w:rsidR="00366CB9" w:rsidRPr="00E80D3A" w:rsidRDefault="009D0C1D" w:rsidP="00854441">
            <w:pPr>
              <w:pStyle w:val="a6"/>
              <w:shd w:val="clear" w:color="auto" w:fill="auto"/>
              <w:rPr>
                <w:sz w:val="18"/>
                <w:szCs w:val="24"/>
              </w:rPr>
            </w:pPr>
            <w:r w:rsidRPr="00E80D3A">
              <w:rPr>
                <w:b w:val="0"/>
                <w:color w:val="000000"/>
                <w:sz w:val="18"/>
                <w:szCs w:val="24"/>
              </w:rPr>
              <w:t>(стрептоміцин)</w:t>
            </w:r>
            <w:r w:rsidRPr="00E80D3A">
              <w:rPr>
                <w:b w:val="0"/>
                <w:color w:val="000000"/>
                <w:sz w:val="18"/>
                <w:szCs w:val="24"/>
                <w:vertAlign w:val="superscript"/>
              </w:rPr>
              <w:t>g</w:t>
            </w:r>
          </w:p>
        </w:tc>
        <w:tc>
          <w:tcPr>
            <w:tcW w:w="1786" w:type="dxa"/>
            <w:tcBorders>
              <w:top w:val="single" w:sz="8" w:space="0" w:color="00B050"/>
              <w:bottom w:val="single" w:sz="8" w:space="0" w:color="00B050"/>
            </w:tcBorders>
            <w:shd w:val="clear" w:color="auto" w:fill="FFFFFF"/>
            <w:vAlign w:val="center"/>
          </w:tcPr>
          <w:p w14:paraId="7D31CDD3" w14:textId="77777777" w:rsidR="00366CB9" w:rsidRPr="00E80D3A" w:rsidRDefault="009D0C1D" w:rsidP="00854441">
            <w:pPr>
              <w:pStyle w:val="a6"/>
              <w:shd w:val="clear" w:color="auto" w:fill="auto"/>
              <w:rPr>
                <w:sz w:val="18"/>
                <w:szCs w:val="24"/>
              </w:rPr>
            </w:pPr>
            <w:r w:rsidRPr="00E80D3A">
              <w:rPr>
                <w:b w:val="0"/>
                <w:color w:val="000000"/>
                <w:sz w:val="18"/>
                <w:szCs w:val="24"/>
              </w:rPr>
              <w:t>(STR)</w:t>
            </w:r>
          </w:p>
        </w:tc>
        <w:tc>
          <w:tcPr>
            <w:tcW w:w="2107" w:type="dxa"/>
            <w:tcBorders>
              <w:top w:val="single" w:sz="8" w:space="0" w:color="00B050"/>
              <w:bottom w:val="single" w:sz="8" w:space="0" w:color="00B050"/>
            </w:tcBorders>
            <w:shd w:val="clear" w:color="auto" w:fill="FFFFFF"/>
            <w:vAlign w:val="center"/>
          </w:tcPr>
          <w:p w14:paraId="7AB21DD8"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4,0</w:t>
            </w:r>
          </w:p>
        </w:tc>
        <w:tc>
          <w:tcPr>
            <w:tcW w:w="2160" w:type="dxa"/>
            <w:tcBorders>
              <w:top w:val="single" w:sz="8" w:space="0" w:color="00B050"/>
              <w:bottom w:val="single" w:sz="8" w:space="0" w:color="00B050"/>
            </w:tcBorders>
            <w:shd w:val="clear" w:color="auto" w:fill="FFFFFF"/>
            <w:vAlign w:val="center"/>
          </w:tcPr>
          <w:p w14:paraId="1E2FF3F6"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2,0</w:t>
            </w:r>
          </w:p>
        </w:tc>
        <w:tc>
          <w:tcPr>
            <w:tcW w:w="2117" w:type="dxa"/>
            <w:tcBorders>
              <w:top w:val="single" w:sz="8" w:space="0" w:color="00B050"/>
              <w:bottom w:val="single" w:sz="8" w:space="0" w:color="00B050"/>
            </w:tcBorders>
            <w:shd w:val="clear" w:color="auto" w:fill="FFFFFF"/>
            <w:vAlign w:val="center"/>
          </w:tcPr>
          <w:p w14:paraId="30AEEE06" w14:textId="77777777" w:rsidR="00366CB9" w:rsidRPr="00E80D3A" w:rsidRDefault="009D0C1D" w:rsidP="00854441">
            <w:pPr>
              <w:pStyle w:val="a6"/>
              <w:shd w:val="clear" w:color="auto" w:fill="auto"/>
              <w:ind w:left="167" w:right="232" w:firstLine="142"/>
              <w:jc w:val="center"/>
              <w:rPr>
                <w:sz w:val="18"/>
                <w:szCs w:val="24"/>
              </w:rPr>
            </w:pPr>
            <w:r w:rsidRPr="00E80D3A">
              <w:rPr>
                <w:b w:val="0"/>
                <w:color w:val="000000"/>
                <w:sz w:val="18"/>
                <w:szCs w:val="24"/>
              </w:rPr>
              <w:t>2,0</w:t>
            </w:r>
          </w:p>
        </w:tc>
        <w:tc>
          <w:tcPr>
            <w:tcW w:w="2150" w:type="dxa"/>
            <w:tcBorders>
              <w:top w:val="single" w:sz="8" w:space="0" w:color="00B050"/>
              <w:bottom w:val="single" w:sz="8" w:space="0" w:color="00B050"/>
            </w:tcBorders>
            <w:shd w:val="clear" w:color="auto" w:fill="FFFFFF"/>
            <w:vAlign w:val="center"/>
          </w:tcPr>
          <w:p w14:paraId="41EE24DC"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1,0</w:t>
            </w:r>
          </w:p>
        </w:tc>
      </w:tr>
      <w:tr w:rsidR="00366CB9" w14:paraId="2EDAC466" w14:textId="77777777" w:rsidTr="007751D5">
        <w:trPr>
          <w:trHeight w:hRule="exact" w:val="446"/>
        </w:trPr>
        <w:tc>
          <w:tcPr>
            <w:tcW w:w="1118" w:type="dxa"/>
            <w:tcBorders>
              <w:top w:val="single" w:sz="8" w:space="0" w:color="00B050"/>
              <w:bottom w:val="single" w:sz="8" w:space="0" w:color="00B050"/>
            </w:tcBorders>
            <w:shd w:val="clear" w:color="auto" w:fill="FFFFFF"/>
            <w:vAlign w:val="center"/>
          </w:tcPr>
          <w:p w14:paraId="397CEED7" w14:textId="77777777" w:rsidR="00366CB9" w:rsidRPr="00E80D3A" w:rsidRDefault="00366CB9" w:rsidP="00854441">
            <w:pPr>
              <w:rPr>
                <w:sz w:val="18"/>
              </w:rPr>
            </w:pPr>
          </w:p>
        </w:tc>
        <w:tc>
          <w:tcPr>
            <w:tcW w:w="2578" w:type="dxa"/>
            <w:tcBorders>
              <w:top w:val="single" w:sz="8" w:space="0" w:color="00B050"/>
              <w:bottom w:val="single" w:sz="8" w:space="0" w:color="00B050"/>
            </w:tcBorders>
            <w:shd w:val="clear" w:color="auto" w:fill="FFFFFF"/>
            <w:vAlign w:val="center"/>
          </w:tcPr>
          <w:p w14:paraId="08E37345" w14:textId="77777777" w:rsidR="00366CB9" w:rsidRPr="00E80D3A" w:rsidRDefault="009D0C1D" w:rsidP="00854441">
            <w:pPr>
              <w:pStyle w:val="a6"/>
              <w:shd w:val="clear" w:color="auto" w:fill="auto"/>
              <w:rPr>
                <w:sz w:val="18"/>
                <w:szCs w:val="24"/>
              </w:rPr>
            </w:pPr>
            <w:r w:rsidRPr="00E80D3A">
              <w:rPr>
                <w:b w:val="0"/>
                <w:color w:val="000000"/>
                <w:sz w:val="18"/>
                <w:szCs w:val="24"/>
              </w:rPr>
              <w:t>Етіонамід</w:t>
            </w:r>
          </w:p>
        </w:tc>
        <w:tc>
          <w:tcPr>
            <w:tcW w:w="1786" w:type="dxa"/>
            <w:tcBorders>
              <w:top w:val="single" w:sz="8" w:space="0" w:color="00B050"/>
              <w:bottom w:val="single" w:sz="8" w:space="0" w:color="00B050"/>
            </w:tcBorders>
            <w:shd w:val="clear" w:color="auto" w:fill="FFFFFF"/>
            <w:vAlign w:val="center"/>
          </w:tcPr>
          <w:p w14:paraId="18C9C448" w14:textId="77777777" w:rsidR="00366CB9" w:rsidRPr="00E80D3A" w:rsidRDefault="009D0C1D" w:rsidP="00854441">
            <w:pPr>
              <w:pStyle w:val="a6"/>
              <w:shd w:val="clear" w:color="auto" w:fill="auto"/>
              <w:rPr>
                <w:sz w:val="18"/>
                <w:szCs w:val="24"/>
              </w:rPr>
            </w:pPr>
            <w:r w:rsidRPr="00E80D3A">
              <w:rPr>
                <w:b w:val="0"/>
                <w:color w:val="000000"/>
                <w:sz w:val="18"/>
                <w:szCs w:val="24"/>
              </w:rPr>
              <w:t>ETO</w:t>
            </w:r>
          </w:p>
        </w:tc>
        <w:tc>
          <w:tcPr>
            <w:tcW w:w="2107" w:type="dxa"/>
            <w:tcBorders>
              <w:top w:val="single" w:sz="8" w:space="0" w:color="00B050"/>
              <w:bottom w:val="single" w:sz="8" w:space="0" w:color="00B050"/>
            </w:tcBorders>
            <w:shd w:val="clear" w:color="auto" w:fill="FFFFFF"/>
            <w:vAlign w:val="center"/>
          </w:tcPr>
          <w:p w14:paraId="0F7BCA10"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40,0</w:t>
            </w:r>
          </w:p>
        </w:tc>
        <w:tc>
          <w:tcPr>
            <w:tcW w:w="2160" w:type="dxa"/>
            <w:tcBorders>
              <w:top w:val="single" w:sz="8" w:space="0" w:color="00B050"/>
              <w:bottom w:val="single" w:sz="8" w:space="0" w:color="00B050"/>
            </w:tcBorders>
            <w:shd w:val="clear" w:color="auto" w:fill="FFFFFF"/>
            <w:vAlign w:val="center"/>
          </w:tcPr>
          <w:p w14:paraId="1B037B5E"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5,0</w:t>
            </w:r>
          </w:p>
        </w:tc>
        <w:tc>
          <w:tcPr>
            <w:tcW w:w="2117" w:type="dxa"/>
            <w:tcBorders>
              <w:top w:val="single" w:sz="8" w:space="0" w:color="00B050"/>
              <w:bottom w:val="single" w:sz="8" w:space="0" w:color="00B050"/>
            </w:tcBorders>
            <w:shd w:val="clear" w:color="auto" w:fill="FFFFFF"/>
            <w:vAlign w:val="center"/>
          </w:tcPr>
          <w:p w14:paraId="6FA0776C" w14:textId="77777777" w:rsidR="00366CB9" w:rsidRPr="00E80D3A" w:rsidRDefault="00366CB9" w:rsidP="00854441">
            <w:pPr>
              <w:ind w:left="167" w:right="232" w:firstLine="142"/>
              <w:jc w:val="center"/>
              <w:rPr>
                <w:sz w:val="18"/>
              </w:rPr>
            </w:pPr>
          </w:p>
        </w:tc>
        <w:tc>
          <w:tcPr>
            <w:tcW w:w="2150" w:type="dxa"/>
            <w:tcBorders>
              <w:top w:val="single" w:sz="8" w:space="0" w:color="00B050"/>
              <w:bottom w:val="single" w:sz="8" w:space="0" w:color="00B050"/>
            </w:tcBorders>
            <w:shd w:val="clear" w:color="auto" w:fill="FFFFFF"/>
            <w:vAlign w:val="center"/>
          </w:tcPr>
          <w:p w14:paraId="7A1265DD"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5,0</w:t>
            </w:r>
          </w:p>
        </w:tc>
      </w:tr>
      <w:tr w:rsidR="00366CB9" w14:paraId="6DCEF6C5" w14:textId="77777777" w:rsidTr="007751D5">
        <w:trPr>
          <w:trHeight w:hRule="exact" w:val="461"/>
        </w:trPr>
        <w:tc>
          <w:tcPr>
            <w:tcW w:w="1118" w:type="dxa"/>
            <w:tcBorders>
              <w:top w:val="single" w:sz="8" w:space="0" w:color="00B050"/>
              <w:bottom w:val="single" w:sz="8" w:space="0" w:color="00B050"/>
            </w:tcBorders>
            <w:shd w:val="clear" w:color="auto" w:fill="FFFFFF"/>
            <w:vAlign w:val="center"/>
          </w:tcPr>
          <w:p w14:paraId="19AD534D" w14:textId="77777777" w:rsidR="00366CB9" w:rsidRPr="00E80D3A" w:rsidRDefault="00366CB9" w:rsidP="00854441">
            <w:pPr>
              <w:rPr>
                <w:sz w:val="18"/>
              </w:rPr>
            </w:pPr>
          </w:p>
        </w:tc>
        <w:tc>
          <w:tcPr>
            <w:tcW w:w="2578" w:type="dxa"/>
            <w:tcBorders>
              <w:top w:val="single" w:sz="8" w:space="0" w:color="00B050"/>
              <w:bottom w:val="single" w:sz="8" w:space="0" w:color="00B050"/>
            </w:tcBorders>
            <w:shd w:val="clear" w:color="auto" w:fill="FFFFFF"/>
            <w:vAlign w:val="center"/>
          </w:tcPr>
          <w:p w14:paraId="29616713" w14:textId="77777777" w:rsidR="00366CB9" w:rsidRPr="00E80D3A" w:rsidRDefault="009D0C1D" w:rsidP="00854441">
            <w:pPr>
              <w:pStyle w:val="a6"/>
              <w:shd w:val="clear" w:color="auto" w:fill="auto"/>
              <w:rPr>
                <w:sz w:val="18"/>
                <w:szCs w:val="24"/>
              </w:rPr>
            </w:pPr>
            <w:r w:rsidRPr="00E80D3A">
              <w:rPr>
                <w:b w:val="0"/>
                <w:color w:val="000000"/>
                <w:sz w:val="18"/>
                <w:szCs w:val="24"/>
              </w:rPr>
              <w:t>Протіонамід</w:t>
            </w:r>
          </w:p>
        </w:tc>
        <w:tc>
          <w:tcPr>
            <w:tcW w:w="1786" w:type="dxa"/>
            <w:tcBorders>
              <w:top w:val="single" w:sz="8" w:space="0" w:color="00B050"/>
              <w:bottom w:val="single" w:sz="8" w:space="0" w:color="00B050"/>
            </w:tcBorders>
            <w:shd w:val="clear" w:color="auto" w:fill="FFFFFF"/>
            <w:vAlign w:val="center"/>
          </w:tcPr>
          <w:p w14:paraId="18BBFCED" w14:textId="77777777" w:rsidR="00366CB9" w:rsidRPr="00E80D3A" w:rsidRDefault="009D0C1D" w:rsidP="00854441">
            <w:pPr>
              <w:pStyle w:val="a6"/>
              <w:shd w:val="clear" w:color="auto" w:fill="auto"/>
              <w:rPr>
                <w:sz w:val="18"/>
                <w:szCs w:val="24"/>
              </w:rPr>
            </w:pPr>
            <w:r w:rsidRPr="00E80D3A">
              <w:rPr>
                <w:b w:val="0"/>
                <w:color w:val="000000"/>
                <w:sz w:val="18"/>
                <w:szCs w:val="24"/>
              </w:rPr>
              <w:t>PTO</w:t>
            </w:r>
          </w:p>
        </w:tc>
        <w:tc>
          <w:tcPr>
            <w:tcW w:w="2107" w:type="dxa"/>
            <w:tcBorders>
              <w:top w:val="single" w:sz="8" w:space="0" w:color="00B050"/>
              <w:bottom w:val="single" w:sz="8" w:space="0" w:color="00B050"/>
            </w:tcBorders>
            <w:shd w:val="clear" w:color="auto" w:fill="FFFFFF"/>
            <w:vAlign w:val="center"/>
          </w:tcPr>
          <w:p w14:paraId="7EE2CC56" w14:textId="77777777" w:rsidR="00366CB9" w:rsidRPr="00E80D3A" w:rsidRDefault="009D0C1D" w:rsidP="00854441">
            <w:pPr>
              <w:pStyle w:val="a6"/>
              <w:shd w:val="clear" w:color="auto" w:fill="auto"/>
              <w:ind w:right="213" w:firstLine="33"/>
              <w:jc w:val="center"/>
              <w:rPr>
                <w:sz w:val="18"/>
                <w:szCs w:val="24"/>
              </w:rPr>
            </w:pPr>
            <w:r w:rsidRPr="00E80D3A">
              <w:rPr>
                <w:b w:val="0"/>
                <w:color w:val="000000"/>
                <w:sz w:val="18"/>
                <w:szCs w:val="24"/>
              </w:rPr>
              <w:t>40,0</w:t>
            </w:r>
          </w:p>
        </w:tc>
        <w:tc>
          <w:tcPr>
            <w:tcW w:w="2160" w:type="dxa"/>
            <w:tcBorders>
              <w:top w:val="single" w:sz="8" w:space="0" w:color="00B050"/>
              <w:bottom w:val="single" w:sz="8" w:space="0" w:color="00B050"/>
            </w:tcBorders>
            <w:shd w:val="clear" w:color="auto" w:fill="FFFFFF"/>
            <w:vAlign w:val="center"/>
          </w:tcPr>
          <w:p w14:paraId="5DC600F1"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w:t>
            </w:r>
          </w:p>
        </w:tc>
        <w:tc>
          <w:tcPr>
            <w:tcW w:w="2117" w:type="dxa"/>
            <w:tcBorders>
              <w:top w:val="single" w:sz="8" w:space="0" w:color="00B050"/>
              <w:bottom w:val="single" w:sz="8" w:space="0" w:color="00B050"/>
            </w:tcBorders>
            <w:shd w:val="clear" w:color="auto" w:fill="FFFFFF"/>
            <w:vAlign w:val="center"/>
          </w:tcPr>
          <w:p w14:paraId="101F0794" w14:textId="77777777" w:rsidR="00366CB9" w:rsidRPr="00E80D3A" w:rsidRDefault="009D0C1D" w:rsidP="00854441">
            <w:pPr>
              <w:pStyle w:val="a6"/>
              <w:shd w:val="clear" w:color="auto" w:fill="auto"/>
              <w:ind w:left="167" w:right="232" w:firstLine="142"/>
              <w:jc w:val="center"/>
              <w:rPr>
                <w:sz w:val="18"/>
                <w:szCs w:val="24"/>
              </w:rPr>
            </w:pPr>
            <w:r w:rsidRPr="00E80D3A">
              <w:rPr>
                <w:b w:val="0"/>
                <w:color w:val="000000"/>
                <w:sz w:val="18"/>
                <w:szCs w:val="24"/>
              </w:rPr>
              <w:t>–</w:t>
            </w:r>
          </w:p>
        </w:tc>
        <w:tc>
          <w:tcPr>
            <w:tcW w:w="2150" w:type="dxa"/>
            <w:tcBorders>
              <w:top w:val="single" w:sz="8" w:space="0" w:color="00B050"/>
              <w:bottom w:val="single" w:sz="8" w:space="0" w:color="00B050"/>
            </w:tcBorders>
            <w:shd w:val="clear" w:color="auto" w:fill="FFFFFF"/>
            <w:vAlign w:val="center"/>
          </w:tcPr>
          <w:p w14:paraId="11726D12" w14:textId="77777777" w:rsidR="00366CB9" w:rsidRPr="00E80D3A" w:rsidRDefault="009D0C1D" w:rsidP="00854441">
            <w:pPr>
              <w:pStyle w:val="a6"/>
              <w:shd w:val="clear" w:color="auto" w:fill="auto"/>
              <w:ind w:right="396" w:firstLine="736"/>
              <w:jc w:val="center"/>
              <w:rPr>
                <w:sz w:val="18"/>
                <w:szCs w:val="24"/>
              </w:rPr>
            </w:pPr>
            <w:r w:rsidRPr="00E80D3A">
              <w:rPr>
                <w:b w:val="0"/>
                <w:color w:val="000000"/>
                <w:sz w:val="18"/>
                <w:szCs w:val="24"/>
              </w:rPr>
              <w:t>2,5</w:t>
            </w:r>
          </w:p>
        </w:tc>
      </w:tr>
    </w:tbl>
    <w:tbl>
      <w:tblPr>
        <w:tblOverlap w:val="never"/>
        <w:tblW w:w="0" w:type="auto"/>
        <w:tblLayout w:type="fixed"/>
        <w:tblCellMar>
          <w:left w:w="10" w:type="dxa"/>
          <w:right w:w="10" w:type="dxa"/>
        </w:tblCellMar>
        <w:tblLook w:val="0000" w:firstRow="0" w:lastRow="0" w:firstColumn="0" w:lastColumn="0" w:noHBand="0" w:noVBand="0"/>
      </w:tblPr>
      <w:tblGrid>
        <w:gridCol w:w="173"/>
      </w:tblGrid>
      <w:tr w:rsidR="00366CB9" w14:paraId="555B3B0A" w14:textId="77777777">
        <w:trPr>
          <w:trHeight w:hRule="exact" w:val="586"/>
        </w:trPr>
        <w:tc>
          <w:tcPr>
            <w:tcW w:w="173" w:type="dxa"/>
            <w:shd w:val="clear" w:color="auto" w:fill="FFFFFF"/>
            <w:textDirection w:val="tbRl"/>
          </w:tcPr>
          <w:p w14:paraId="37DDDC5A" w14:textId="77777777" w:rsidR="00366CB9" w:rsidRDefault="009D0C1D" w:rsidP="00425523">
            <w:pPr>
              <w:pStyle w:val="a6"/>
              <w:framePr w:w="173" w:h="5362" w:wrap="none" w:vAnchor="page" w:hAnchor="page" w:x="690" w:y="816"/>
              <w:shd w:val="clear" w:color="auto" w:fill="auto"/>
              <w:rPr>
                <w:sz w:val="15"/>
                <w:szCs w:val="15"/>
              </w:rPr>
            </w:pPr>
            <w:r>
              <w:rPr>
                <w:b w:val="0"/>
                <w:color w:val="019648"/>
                <w:sz w:val="15"/>
              </w:rPr>
              <w:t>46</w:t>
            </w:r>
          </w:p>
        </w:tc>
      </w:tr>
      <w:tr w:rsidR="00366CB9" w14:paraId="7850925F" w14:textId="77777777" w:rsidTr="00854441">
        <w:trPr>
          <w:trHeight w:hRule="exact" w:val="5220"/>
        </w:trPr>
        <w:tc>
          <w:tcPr>
            <w:tcW w:w="173" w:type="dxa"/>
            <w:shd w:val="clear" w:color="auto" w:fill="FFFFFF"/>
            <w:textDirection w:val="tbRl"/>
          </w:tcPr>
          <w:p w14:paraId="27F4E060" w14:textId="77777777" w:rsidR="00366CB9" w:rsidRDefault="009D0C1D" w:rsidP="00425523">
            <w:pPr>
              <w:pStyle w:val="a6"/>
              <w:framePr w:w="173" w:h="5362" w:wrap="none" w:vAnchor="page" w:hAnchor="page" w:x="690" w:y="816"/>
              <w:shd w:val="clear" w:color="auto" w:fill="auto"/>
              <w:rPr>
                <w:sz w:val="15"/>
                <w:szCs w:val="15"/>
              </w:rPr>
            </w:pPr>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p>
        </w:tc>
      </w:tr>
    </w:tbl>
    <w:p w14:paraId="460C3C00" w14:textId="77777777" w:rsidR="00366CB9" w:rsidRDefault="00366CB9" w:rsidP="00425523">
      <w:pPr>
        <w:spacing w:line="1" w:lineRule="exact"/>
        <w:sectPr w:rsidR="00366CB9" w:rsidSect="001F35DC">
          <w:footerReference w:type="even" r:id="rId78"/>
          <w:pgSz w:w="16840" w:h="11913" w:orient="landscape"/>
          <w:pgMar w:top="1400" w:right="1319" w:bottom="851" w:left="1505" w:header="0" w:footer="6" w:gutter="0"/>
          <w:paperSrc w:first="15" w:other="15"/>
          <w:cols w:space="720"/>
          <w:noEndnote/>
          <w:docGrid w:linePitch="360"/>
        </w:sectPr>
      </w:pPr>
    </w:p>
    <w:p w14:paraId="5E669EA5"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118"/>
        <w:gridCol w:w="2578"/>
        <w:gridCol w:w="1786"/>
        <w:gridCol w:w="2107"/>
        <w:gridCol w:w="2160"/>
        <w:gridCol w:w="2117"/>
        <w:gridCol w:w="2155"/>
      </w:tblGrid>
      <w:tr w:rsidR="00366CB9" w:rsidRPr="00785005" w14:paraId="4CF64A07" w14:textId="77777777" w:rsidTr="007751D5">
        <w:trPr>
          <w:trHeight w:hRule="exact" w:val="461"/>
        </w:trPr>
        <w:tc>
          <w:tcPr>
            <w:tcW w:w="1118" w:type="dxa"/>
            <w:vMerge w:val="restart"/>
            <w:tcBorders>
              <w:top w:val="single" w:sz="8" w:space="0" w:color="00B050"/>
              <w:left w:val="single" w:sz="8" w:space="0" w:color="00B050"/>
              <w:bottom w:val="single" w:sz="8" w:space="0" w:color="00B050"/>
              <w:right w:val="single" w:sz="8" w:space="0" w:color="00B050"/>
            </w:tcBorders>
            <w:shd w:val="clear" w:color="auto" w:fill="62A86A"/>
          </w:tcPr>
          <w:p w14:paraId="21E10732" w14:textId="77777777" w:rsidR="00366CB9" w:rsidRPr="00E80D3A" w:rsidRDefault="009D0C1D" w:rsidP="001F35DC">
            <w:pPr>
              <w:pStyle w:val="a6"/>
              <w:shd w:val="clear" w:color="auto" w:fill="auto"/>
              <w:spacing w:before="100"/>
              <w:rPr>
                <w:sz w:val="18"/>
                <w:szCs w:val="24"/>
              </w:rPr>
            </w:pPr>
            <w:r w:rsidRPr="00E80D3A">
              <w:rPr>
                <w:color w:val="FFFFFF"/>
                <w:sz w:val="18"/>
                <w:szCs w:val="24"/>
              </w:rPr>
              <w:t>Група</w:t>
            </w:r>
          </w:p>
        </w:tc>
        <w:tc>
          <w:tcPr>
            <w:tcW w:w="2578" w:type="dxa"/>
            <w:vMerge w:val="restart"/>
            <w:tcBorders>
              <w:top w:val="single" w:sz="8" w:space="0" w:color="00B050"/>
              <w:left w:val="single" w:sz="8" w:space="0" w:color="00B050"/>
              <w:bottom w:val="single" w:sz="8" w:space="0" w:color="00B050"/>
              <w:right w:val="single" w:sz="8" w:space="0" w:color="00B050"/>
            </w:tcBorders>
            <w:shd w:val="clear" w:color="auto" w:fill="62A86A"/>
          </w:tcPr>
          <w:p w14:paraId="50DDC82E" w14:textId="77777777" w:rsidR="00366CB9" w:rsidRPr="00E80D3A" w:rsidRDefault="009D0C1D" w:rsidP="001F35DC">
            <w:pPr>
              <w:pStyle w:val="a6"/>
              <w:shd w:val="clear" w:color="auto" w:fill="auto"/>
              <w:spacing w:before="100"/>
              <w:rPr>
                <w:sz w:val="18"/>
                <w:szCs w:val="24"/>
              </w:rPr>
            </w:pPr>
            <w:r w:rsidRPr="00E80D3A">
              <w:rPr>
                <w:color w:val="FFFFFF"/>
                <w:sz w:val="18"/>
                <w:szCs w:val="24"/>
              </w:rPr>
              <w:t>Лікарський засіб</w:t>
            </w:r>
          </w:p>
        </w:tc>
        <w:tc>
          <w:tcPr>
            <w:tcW w:w="1786" w:type="dxa"/>
            <w:vMerge w:val="restart"/>
            <w:tcBorders>
              <w:top w:val="single" w:sz="8" w:space="0" w:color="00B050"/>
              <w:left w:val="single" w:sz="8" w:space="0" w:color="00B050"/>
              <w:bottom w:val="single" w:sz="8" w:space="0" w:color="00B050"/>
              <w:right w:val="single" w:sz="8" w:space="0" w:color="00B050"/>
            </w:tcBorders>
            <w:shd w:val="clear" w:color="auto" w:fill="62A86A"/>
          </w:tcPr>
          <w:p w14:paraId="67555D55" w14:textId="77777777" w:rsidR="00366CB9" w:rsidRPr="00E80D3A" w:rsidRDefault="009D0C1D" w:rsidP="001F35DC">
            <w:pPr>
              <w:pStyle w:val="a6"/>
              <w:shd w:val="clear" w:color="auto" w:fill="auto"/>
              <w:spacing w:before="100"/>
              <w:rPr>
                <w:sz w:val="18"/>
                <w:szCs w:val="24"/>
              </w:rPr>
            </w:pPr>
            <w:r w:rsidRPr="00E80D3A">
              <w:rPr>
                <w:color w:val="FFFFFF"/>
                <w:sz w:val="18"/>
                <w:szCs w:val="24"/>
              </w:rPr>
              <w:t>Скорочення</w:t>
            </w:r>
          </w:p>
        </w:tc>
        <w:tc>
          <w:tcPr>
            <w:tcW w:w="8539" w:type="dxa"/>
            <w:gridSpan w:val="4"/>
            <w:tcBorders>
              <w:top w:val="single" w:sz="8" w:space="0" w:color="00B050"/>
              <w:left w:val="single" w:sz="8" w:space="0" w:color="00B050"/>
              <w:bottom w:val="single" w:sz="8" w:space="0" w:color="00B050"/>
              <w:right w:val="single" w:sz="8" w:space="0" w:color="00B050"/>
            </w:tcBorders>
            <w:shd w:val="clear" w:color="auto" w:fill="62A86A"/>
            <w:vAlign w:val="center"/>
          </w:tcPr>
          <w:p w14:paraId="50EA70CD" w14:textId="77777777" w:rsidR="00366CB9" w:rsidRPr="00E80D3A" w:rsidRDefault="009D0C1D" w:rsidP="00854441">
            <w:pPr>
              <w:pStyle w:val="a6"/>
              <w:shd w:val="clear" w:color="auto" w:fill="auto"/>
              <w:jc w:val="center"/>
              <w:rPr>
                <w:sz w:val="18"/>
                <w:szCs w:val="24"/>
              </w:rPr>
            </w:pPr>
            <w:r w:rsidRPr="00E80D3A">
              <w:rPr>
                <w:color w:val="FFFFFF"/>
                <w:sz w:val="18"/>
                <w:szCs w:val="24"/>
              </w:rPr>
              <w:t>КК (мкг/мл) для ТМЧ залежно від середовища</w:t>
            </w:r>
          </w:p>
        </w:tc>
      </w:tr>
      <w:tr w:rsidR="00366CB9" w:rsidRPr="00785005" w14:paraId="31513CB0" w14:textId="77777777" w:rsidTr="007751D5">
        <w:trPr>
          <w:trHeight w:hRule="exact" w:val="696"/>
        </w:trPr>
        <w:tc>
          <w:tcPr>
            <w:tcW w:w="1118" w:type="dxa"/>
            <w:vMerge/>
            <w:tcBorders>
              <w:top w:val="single" w:sz="8" w:space="0" w:color="00B050"/>
              <w:left w:val="single" w:sz="8" w:space="0" w:color="00B050"/>
              <w:bottom w:val="single" w:sz="8" w:space="0" w:color="00B050"/>
              <w:right w:val="single" w:sz="8" w:space="0" w:color="00B050"/>
            </w:tcBorders>
            <w:shd w:val="clear" w:color="auto" w:fill="62A86A"/>
          </w:tcPr>
          <w:p w14:paraId="1F82DB6B" w14:textId="77777777" w:rsidR="00366CB9" w:rsidRPr="00E80D3A" w:rsidRDefault="00366CB9" w:rsidP="001F35DC">
            <w:pPr>
              <w:rPr>
                <w:b/>
                <w:bCs/>
                <w:sz w:val="18"/>
              </w:rPr>
            </w:pPr>
          </w:p>
        </w:tc>
        <w:tc>
          <w:tcPr>
            <w:tcW w:w="2578" w:type="dxa"/>
            <w:vMerge/>
            <w:tcBorders>
              <w:top w:val="single" w:sz="8" w:space="0" w:color="00B050"/>
              <w:left w:val="single" w:sz="8" w:space="0" w:color="00B050"/>
              <w:bottom w:val="single" w:sz="8" w:space="0" w:color="00B050"/>
              <w:right w:val="single" w:sz="8" w:space="0" w:color="00B050"/>
            </w:tcBorders>
            <w:shd w:val="clear" w:color="auto" w:fill="62A86A"/>
          </w:tcPr>
          <w:p w14:paraId="7A28486C" w14:textId="77777777" w:rsidR="00366CB9" w:rsidRPr="00E80D3A" w:rsidRDefault="00366CB9" w:rsidP="001F35DC">
            <w:pPr>
              <w:rPr>
                <w:b/>
                <w:bCs/>
                <w:sz w:val="18"/>
              </w:rPr>
            </w:pPr>
          </w:p>
        </w:tc>
        <w:tc>
          <w:tcPr>
            <w:tcW w:w="1786" w:type="dxa"/>
            <w:vMerge/>
            <w:tcBorders>
              <w:top w:val="single" w:sz="8" w:space="0" w:color="00B050"/>
              <w:left w:val="single" w:sz="8" w:space="0" w:color="00B050"/>
              <w:bottom w:val="single" w:sz="8" w:space="0" w:color="00B050"/>
              <w:right w:val="single" w:sz="8" w:space="0" w:color="00B050"/>
            </w:tcBorders>
            <w:shd w:val="clear" w:color="auto" w:fill="62A86A"/>
          </w:tcPr>
          <w:p w14:paraId="766F4C0B" w14:textId="77777777" w:rsidR="00366CB9" w:rsidRPr="00E80D3A" w:rsidRDefault="00366CB9" w:rsidP="001F35DC">
            <w:pPr>
              <w:rPr>
                <w:b/>
                <w:bCs/>
                <w:sz w:val="18"/>
              </w:rPr>
            </w:pPr>
          </w:p>
        </w:tc>
        <w:tc>
          <w:tcPr>
            <w:tcW w:w="210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6C54918" w14:textId="77777777" w:rsidR="00366CB9" w:rsidRPr="00E80D3A" w:rsidRDefault="009D0C1D" w:rsidP="00854441">
            <w:pPr>
              <w:pStyle w:val="a6"/>
              <w:shd w:val="clear" w:color="auto" w:fill="auto"/>
              <w:jc w:val="center"/>
              <w:rPr>
                <w:sz w:val="18"/>
                <w:szCs w:val="24"/>
              </w:rPr>
            </w:pPr>
            <w:r w:rsidRPr="00E80D3A">
              <w:rPr>
                <w:color w:val="FFFFFF"/>
                <w:sz w:val="18"/>
                <w:szCs w:val="24"/>
              </w:rPr>
              <w:t>Середовище</w:t>
            </w:r>
          </w:p>
          <w:p w14:paraId="7991E45F" w14:textId="77777777" w:rsidR="00366CB9" w:rsidRPr="00E80D3A" w:rsidRDefault="009D0C1D" w:rsidP="00854441">
            <w:pPr>
              <w:pStyle w:val="a6"/>
              <w:shd w:val="clear" w:color="auto" w:fill="auto"/>
              <w:jc w:val="center"/>
              <w:rPr>
                <w:sz w:val="18"/>
                <w:szCs w:val="24"/>
              </w:rPr>
            </w:pPr>
            <w:r w:rsidRPr="00E80D3A">
              <w:rPr>
                <w:color w:val="FFFFFF"/>
                <w:sz w:val="18"/>
                <w:szCs w:val="24"/>
              </w:rPr>
              <w:t>Левенштайна-Єнсена</w:t>
            </w:r>
          </w:p>
        </w:tc>
        <w:tc>
          <w:tcPr>
            <w:tcW w:w="216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CF31BBA" w14:textId="77777777" w:rsidR="00366CB9" w:rsidRPr="00E80D3A" w:rsidRDefault="009D0C1D" w:rsidP="00854441">
            <w:pPr>
              <w:pStyle w:val="a6"/>
              <w:shd w:val="clear" w:color="auto" w:fill="auto"/>
              <w:jc w:val="center"/>
              <w:rPr>
                <w:sz w:val="18"/>
                <w:szCs w:val="24"/>
              </w:rPr>
            </w:pPr>
            <w:r w:rsidRPr="00E80D3A">
              <w:rPr>
                <w:color w:val="FFFFFF"/>
                <w:sz w:val="18"/>
                <w:szCs w:val="24"/>
              </w:rPr>
              <w:t>Середовище Міддлбрука</w:t>
            </w:r>
          </w:p>
          <w:p w14:paraId="457B9B4B" w14:textId="77777777" w:rsidR="00366CB9" w:rsidRPr="00E80D3A" w:rsidRDefault="009D0C1D" w:rsidP="00854441">
            <w:pPr>
              <w:pStyle w:val="a6"/>
              <w:shd w:val="clear" w:color="auto" w:fill="auto"/>
              <w:jc w:val="center"/>
              <w:rPr>
                <w:sz w:val="18"/>
                <w:szCs w:val="24"/>
              </w:rPr>
            </w:pPr>
            <w:r w:rsidRPr="00E80D3A">
              <w:rPr>
                <w:color w:val="FFFFFF"/>
                <w:sz w:val="18"/>
                <w:szCs w:val="24"/>
              </w:rPr>
              <w:t>7H10</w:t>
            </w:r>
          </w:p>
        </w:tc>
        <w:tc>
          <w:tcPr>
            <w:tcW w:w="211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201554D" w14:textId="77777777" w:rsidR="00366CB9" w:rsidRPr="00E80D3A" w:rsidRDefault="009D0C1D" w:rsidP="00854441">
            <w:pPr>
              <w:pStyle w:val="a6"/>
              <w:shd w:val="clear" w:color="auto" w:fill="auto"/>
              <w:jc w:val="center"/>
              <w:rPr>
                <w:sz w:val="18"/>
                <w:szCs w:val="24"/>
              </w:rPr>
            </w:pPr>
            <w:r w:rsidRPr="00E80D3A">
              <w:rPr>
                <w:color w:val="FFFFFF"/>
                <w:sz w:val="18"/>
                <w:szCs w:val="24"/>
              </w:rPr>
              <w:t>Середовище Міддлбрука</w:t>
            </w:r>
          </w:p>
          <w:p w14:paraId="783248A1" w14:textId="77777777" w:rsidR="00366CB9" w:rsidRPr="00E80D3A" w:rsidRDefault="009D0C1D" w:rsidP="00854441">
            <w:pPr>
              <w:pStyle w:val="a6"/>
              <w:shd w:val="clear" w:color="auto" w:fill="auto"/>
              <w:jc w:val="center"/>
              <w:rPr>
                <w:sz w:val="18"/>
                <w:szCs w:val="24"/>
              </w:rPr>
            </w:pPr>
            <w:r w:rsidRPr="00E80D3A">
              <w:rPr>
                <w:color w:val="FFFFFF"/>
                <w:sz w:val="18"/>
                <w:szCs w:val="24"/>
              </w:rPr>
              <w:t>7H11</w:t>
            </w:r>
          </w:p>
        </w:tc>
        <w:tc>
          <w:tcPr>
            <w:tcW w:w="2155"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C194AA4" w14:textId="77777777" w:rsidR="00366CB9" w:rsidRPr="00E80D3A" w:rsidRDefault="009D0C1D" w:rsidP="00854441">
            <w:pPr>
              <w:pStyle w:val="a6"/>
              <w:shd w:val="clear" w:color="auto" w:fill="auto"/>
              <w:spacing w:line="271" w:lineRule="auto"/>
              <w:jc w:val="center"/>
              <w:rPr>
                <w:sz w:val="18"/>
                <w:szCs w:val="24"/>
              </w:rPr>
            </w:pPr>
            <w:r w:rsidRPr="00E80D3A">
              <w:rPr>
                <w:color w:val="FFFFFF"/>
                <w:sz w:val="18"/>
                <w:szCs w:val="24"/>
              </w:rPr>
              <w:t>Рідка культура BACTEC MGIT</w:t>
            </w:r>
          </w:p>
        </w:tc>
      </w:tr>
      <w:tr w:rsidR="00366CB9" w14:paraId="53AA9542" w14:textId="77777777" w:rsidTr="007751D5">
        <w:trPr>
          <w:trHeight w:hRule="exact" w:val="461"/>
        </w:trPr>
        <w:tc>
          <w:tcPr>
            <w:tcW w:w="1118" w:type="dxa"/>
            <w:tcBorders>
              <w:top w:val="single" w:sz="8" w:space="0" w:color="00B050"/>
              <w:bottom w:val="single" w:sz="8" w:space="0" w:color="00B050"/>
            </w:tcBorders>
            <w:shd w:val="clear" w:color="auto" w:fill="FFFFFF"/>
            <w:vAlign w:val="center"/>
          </w:tcPr>
          <w:p w14:paraId="1491EDE1" w14:textId="77777777" w:rsidR="00366CB9" w:rsidRPr="00E80D3A" w:rsidRDefault="00366CB9" w:rsidP="00854441">
            <w:pPr>
              <w:rPr>
                <w:sz w:val="18"/>
              </w:rPr>
            </w:pPr>
          </w:p>
        </w:tc>
        <w:tc>
          <w:tcPr>
            <w:tcW w:w="2578" w:type="dxa"/>
            <w:tcBorders>
              <w:top w:val="single" w:sz="8" w:space="0" w:color="00B050"/>
              <w:bottom w:val="single" w:sz="8" w:space="0" w:color="00B050"/>
            </w:tcBorders>
            <w:shd w:val="clear" w:color="auto" w:fill="FFFFFF"/>
            <w:vAlign w:val="center"/>
          </w:tcPr>
          <w:p w14:paraId="3D5F7E38" w14:textId="77777777" w:rsidR="00366CB9" w:rsidRPr="00E80D3A" w:rsidRDefault="009D0C1D" w:rsidP="00854441">
            <w:pPr>
              <w:pStyle w:val="a6"/>
              <w:shd w:val="clear" w:color="auto" w:fill="auto"/>
              <w:rPr>
                <w:sz w:val="18"/>
                <w:szCs w:val="24"/>
              </w:rPr>
            </w:pPr>
            <w:r w:rsidRPr="00E80D3A">
              <w:rPr>
                <w:b w:val="0"/>
                <w:i/>
                <w:iCs/>
                <w:color w:val="000000"/>
                <w:sz w:val="18"/>
                <w:szCs w:val="24"/>
              </w:rPr>
              <w:t>Пара</w:t>
            </w:r>
            <w:r w:rsidRPr="00E80D3A">
              <w:rPr>
                <w:b w:val="0"/>
                <w:color w:val="000000"/>
                <w:sz w:val="18"/>
                <w:szCs w:val="24"/>
              </w:rPr>
              <w:t>-аміносаліцилова кислота</w:t>
            </w:r>
          </w:p>
        </w:tc>
        <w:tc>
          <w:tcPr>
            <w:tcW w:w="1786" w:type="dxa"/>
            <w:tcBorders>
              <w:top w:val="single" w:sz="8" w:space="0" w:color="00B050"/>
              <w:bottom w:val="single" w:sz="8" w:space="0" w:color="00B050"/>
            </w:tcBorders>
            <w:shd w:val="clear" w:color="auto" w:fill="FFFFFF"/>
            <w:vAlign w:val="center"/>
          </w:tcPr>
          <w:p w14:paraId="137A0E00" w14:textId="77777777" w:rsidR="00366CB9" w:rsidRPr="00E80D3A" w:rsidRDefault="009D0C1D" w:rsidP="00854441">
            <w:pPr>
              <w:pStyle w:val="a6"/>
              <w:shd w:val="clear" w:color="auto" w:fill="auto"/>
              <w:rPr>
                <w:sz w:val="18"/>
                <w:szCs w:val="24"/>
              </w:rPr>
            </w:pPr>
            <w:r w:rsidRPr="00E80D3A">
              <w:rPr>
                <w:b w:val="0"/>
                <w:color w:val="000000"/>
                <w:sz w:val="18"/>
                <w:szCs w:val="24"/>
              </w:rPr>
              <w:t>ПАСК</w:t>
            </w:r>
          </w:p>
        </w:tc>
        <w:tc>
          <w:tcPr>
            <w:tcW w:w="2107" w:type="dxa"/>
            <w:tcBorders>
              <w:top w:val="single" w:sz="8" w:space="0" w:color="00B050"/>
              <w:bottom w:val="single" w:sz="8" w:space="0" w:color="00B050"/>
            </w:tcBorders>
            <w:shd w:val="clear" w:color="auto" w:fill="FFFFFF"/>
            <w:vAlign w:val="center"/>
          </w:tcPr>
          <w:p w14:paraId="4C77DFCE"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w:t>
            </w:r>
          </w:p>
        </w:tc>
        <w:tc>
          <w:tcPr>
            <w:tcW w:w="2160" w:type="dxa"/>
            <w:tcBorders>
              <w:top w:val="single" w:sz="8" w:space="0" w:color="00B050"/>
              <w:bottom w:val="single" w:sz="8" w:space="0" w:color="00B050"/>
            </w:tcBorders>
            <w:shd w:val="clear" w:color="auto" w:fill="FFFFFF"/>
            <w:vAlign w:val="center"/>
          </w:tcPr>
          <w:p w14:paraId="2DD1B874"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w:t>
            </w:r>
          </w:p>
        </w:tc>
        <w:tc>
          <w:tcPr>
            <w:tcW w:w="2117" w:type="dxa"/>
            <w:tcBorders>
              <w:top w:val="single" w:sz="8" w:space="0" w:color="00B050"/>
              <w:bottom w:val="single" w:sz="8" w:space="0" w:color="00B050"/>
            </w:tcBorders>
            <w:shd w:val="clear" w:color="auto" w:fill="FFFFFF"/>
            <w:vAlign w:val="center"/>
          </w:tcPr>
          <w:p w14:paraId="619E1314"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w:t>
            </w:r>
          </w:p>
        </w:tc>
        <w:tc>
          <w:tcPr>
            <w:tcW w:w="2155" w:type="dxa"/>
            <w:tcBorders>
              <w:top w:val="single" w:sz="8" w:space="0" w:color="00B050"/>
              <w:bottom w:val="single" w:sz="8" w:space="0" w:color="00B050"/>
            </w:tcBorders>
            <w:shd w:val="clear" w:color="auto" w:fill="FFFFFF"/>
            <w:vAlign w:val="center"/>
          </w:tcPr>
          <w:p w14:paraId="084ED769"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w:t>
            </w:r>
          </w:p>
        </w:tc>
      </w:tr>
      <w:tr w:rsidR="00366CB9" w14:paraId="01B2D7D3" w14:textId="77777777" w:rsidTr="007751D5">
        <w:trPr>
          <w:trHeight w:hRule="exact" w:val="778"/>
        </w:trPr>
        <w:tc>
          <w:tcPr>
            <w:tcW w:w="1118" w:type="dxa"/>
            <w:tcBorders>
              <w:top w:val="single" w:sz="8" w:space="0" w:color="00B050"/>
              <w:bottom w:val="single" w:sz="8" w:space="0" w:color="00B050"/>
            </w:tcBorders>
            <w:shd w:val="clear" w:color="auto" w:fill="FFFFFF"/>
            <w:vAlign w:val="center"/>
          </w:tcPr>
          <w:p w14:paraId="522CF512"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Інше</w:t>
            </w:r>
          </w:p>
        </w:tc>
        <w:tc>
          <w:tcPr>
            <w:tcW w:w="2578" w:type="dxa"/>
            <w:tcBorders>
              <w:top w:val="single" w:sz="8" w:space="0" w:color="00B050"/>
              <w:bottom w:val="single" w:sz="8" w:space="0" w:color="00B050"/>
            </w:tcBorders>
            <w:shd w:val="clear" w:color="auto" w:fill="FFFFFF"/>
            <w:vAlign w:val="center"/>
          </w:tcPr>
          <w:p w14:paraId="21C28331"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Претоманід</w:t>
            </w:r>
          </w:p>
        </w:tc>
        <w:tc>
          <w:tcPr>
            <w:tcW w:w="1786" w:type="dxa"/>
            <w:tcBorders>
              <w:top w:val="single" w:sz="8" w:space="0" w:color="00B050"/>
              <w:bottom w:val="single" w:sz="8" w:space="0" w:color="00B050"/>
            </w:tcBorders>
            <w:shd w:val="clear" w:color="auto" w:fill="FFFFFF"/>
            <w:vAlign w:val="center"/>
          </w:tcPr>
          <w:p w14:paraId="3E2FA580"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Pa</w:t>
            </w:r>
          </w:p>
        </w:tc>
        <w:tc>
          <w:tcPr>
            <w:tcW w:w="2107" w:type="dxa"/>
            <w:tcBorders>
              <w:top w:val="single" w:sz="8" w:space="0" w:color="00B050"/>
              <w:bottom w:val="single" w:sz="8" w:space="0" w:color="00B050"/>
            </w:tcBorders>
            <w:shd w:val="clear" w:color="auto" w:fill="FFFFFF"/>
            <w:vAlign w:val="center"/>
          </w:tcPr>
          <w:p w14:paraId="44ECE9E7" w14:textId="77777777" w:rsidR="00366CB9" w:rsidRPr="00E80D3A" w:rsidRDefault="009D0C1D" w:rsidP="00854441">
            <w:pPr>
              <w:pStyle w:val="a6"/>
              <w:shd w:val="clear" w:color="auto" w:fill="auto"/>
              <w:spacing w:before="100"/>
              <w:jc w:val="center"/>
              <w:rPr>
                <w:sz w:val="18"/>
                <w:szCs w:val="24"/>
              </w:rPr>
            </w:pPr>
            <w:r w:rsidRPr="00E80D3A">
              <w:rPr>
                <w:b w:val="0"/>
                <w:color w:val="000000"/>
                <w:sz w:val="18"/>
                <w:szCs w:val="24"/>
              </w:rPr>
              <w:t>–</w:t>
            </w:r>
          </w:p>
        </w:tc>
        <w:tc>
          <w:tcPr>
            <w:tcW w:w="2160" w:type="dxa"/>
            <w:tcBorders>
              <w:top w:val="single" w:sz="8" w:space="0" w:color="00B050"/>
              <w:bottom w:val="single" w:sz="8" w:space="0" w:color="00B050"/>
            </w:tcBorders>
            <w:shd w:val="clear" w:color="auto" w:fill="FFFFFF"/>
            <w:vAlign w:val="center"/>
          </w:tcPr>
          <w:p w14:paraId="4FD62AEB" w14:textId="77777777" w:rsidR="00366CB9" w:rsidRPr="00E80D3A" w:rsidRDefault="009D0C1D" w:rsidP="00854441">
            <w:pPr>
              <w:pStyle w:val="a6"/>
              <w:shd w:val="clear" w:color="auto" w:fill="auto"/>
              <w:spacing w:before="100"/>
              <w:jc w:val="center"/>
              <w:rPr>
                <w:sz w:val="18"/>
                <w:szCs w:val="24"/>
              </w:rPr>
            </w:pPr>
            <w:r w:rsidRPr="00E80D3A">
              <w:rPr>
                <w:b w:val="0"/>
                <w:color w:val="000000"/>
                <w:sz w:val="18"/>
                <w:szCs w:val="24"/>
              </w:rPr>
              <w:t>–</w:t>
            </w:r>
          </w:p>
        </w:tc>
        <w:tc>
          <w:tcPr>
            <w:tcW w:w="2117" w:type="dxa"/>
            <w:tcBorders>
              <w:top w:val="single" w:sz="8" w:space="0" w:color="00B050"/>
              <w:bottom w:val="single" w:sz="8" w:space="0" w:color="00B050"/>
            </w:tcBorders>
            <w:shd w:val="clear" w:color="auto" w:fill="FFFFFF"/>
            <w:vAlign w:val="center"/>
          </w:tcPr>
          <w:p w14:paraId="663957B4" w14:textId="77777777" w:rsidR="00366CB9" w:rsidRPr="00E80D3A" w:rsidRDefault="009D0C1D" w:rsidP="00854441">
            <w:pPr>
              <w:pStyle w:val="a6"/>
              <w:shd w:val="clear" w:color="auto" w:fill="auto"/>
              <w:spacing w:before="100"/>
              <w:jc w:val="center"/>
              <w:rPr>
                <w:sz w:val="18"/>
                <w:szCs w:val="24"/>
              </w:rPr>
            </w:pPr>
            <w:r w:rsidRPr="00E80D3A">
              <w:rPr>
                <w:b w:val="0"/>
                <w:color w:val="000000"/>
                <w:sz w:val="18"/>
                <w:szCs w:val="24"/>
              </w:rPr>
              <w:t>–</w:t>
            </w:r>
          </w:p>
        </w:tc>
        <w:tc>
          <w:tcPr>
            <w:tcW w:w="2155" w:type="dxa"/>
            <w:tcBorders>
              <w:top w:val="single" w:sz="8" w:space="0" w:color="00B050"/>
              <w:bottom w:val="single" w:sz="8" w:space="0" w:color="00B050"/>
            </w:tcBorders>
            <w:shd w:val="clear" w:color="auto" w:fill="FFFFFF"/>
            <w:vAlign w:val="center"/>
          </w:tcPr>
          <w:p w14:paraId="40E68888" w14:textId="77777777" w:rsidR="00366CB9" w:rsidRPr="00E80D3A" w:rsidRDefault="009D0C1D" w:rsidP="00854441">
            <w:pPr>
              <w:pStyle w:val="a6"/>
              <w:shd w:val="clear" w:color="auto" w:fill="auto"/>
              <w:spacing w:after="60"/>
              <w:jc w:val="center"/>
              <w:rPr>
                <w:sz w:val="18"/>
                <w:szCs w:val="24"/>
              </w:rPr>
            </w:pPr>
            <w:r w:rsidRPr="00E80D3A">
              <w:rPr>
                <w:b w:val="0"/>
                <w:color w:val="000000"/>
                <w:sz w:val="18"/>
                <w:szCs w:val="24"/>
              </w:rPr>
              <w:t>0,5</w:t>
            </w:r>
            <w:r w:rsidRPr="00E80D3A">
              <w:rPr>
                <w:b w:val="0"/>
                <w:color w:val="000000"/>
                <w:sz w:val="18"/>
                <w:szCs w:val="24"/>
                <w:vertAlign w:val="superscript"/>
              </w:rPr>
              <w:t>h</w:t>
            </w:r>
          </w:p>
          <w:p w14:paraId="671091B6" w14:textId="77777777" w:rsidR="00366CB9" w:rsidRPr="00E80D3A" w:rsidRDefault="009D0C1D" w:rsidP="00854441">
            <w:pPr>
              <w:pStyle w:val="a6"/>
              <w:shd w:val="clear" w:color="auto" w:fill="auto"/>
              <w:jc w:val="center"/>
              <w:rPr>
                <w:sz w:val="18"/>
                <w:szCs w:val="24"/>
              </w:rPr>
            </w:pPr>
            <w:r w:rsidRPr="00E80D3A">
              <w:rPr>
                <w:b w:val="0"/>
                <w:color w:val="000000"/>
                <w:sz w:val="18"/>
                <w:szCs w:val="24"/>
              </w:rPr>
              <w:t>2,0</w:t>
            </w:r>
            <w:r w:rsidRPr="00E80D3A">
              <w:rPr>
                <w:b w:val="0"/>
                <w:color w:val="000000"/>
                <w:sz w:val="18"/>
                <w:szCs w:val="24"/>
                <w:vertAlign w:val="superscript"/>
              </w:rPr>
              <w:t>h</w:t>
            </w:r>
          </w:p>
        </w:tc>
      </w:tr>
      <w:tr w:rsidR="00366CB9" w14:paraId="3FCAB327" w14:textId="77777777" w:rsidTr="007751D5">
        <w:trPr>
          <w:trHeight w:hRule="exact" w:val="3398"/>
        </w:trPr>
        <w:tc>
          <w:tcPr>
            <w:tcW w:w="14021" w:type="dxa"/>
            <w:gridSpan w:val="7"/>
            <w:tcBorders>
              <w:top w:val="single" w:sz="8" w:space="0" w:color="00B050"/>
            </w:tcBorders>
            <w:shd w:val="clear" w:color="auto" w:fill="FFFFFF"/>
            <w:vAlign w:val="bottom"/>
          </w:tcPr>
          <w:p w14:paraId="450E71EC" w14:textId="77777777" w:rsidR="00366CB9" w:rsidRDefault="009D0C1D" w:rsidP="001F35DC">
            <w:pPr>
              <w:pStyle w:val="a6"/>
              <w:shd w:val="clear" w:color="auto" w:fill="auto"/>
              <w:spacing w:after="40" w:line="266" w:lineRule="auto"/>
              <w:jc w:val="both"/>
              <w:rPr>
                <w:sz w:val="17"/>
                <w:szCs w:val="17"/>
              </w:rPr>
            </w:pPr>
            <w:r>
              <w:rPr>
                <w:b w:val="0"/>
                <w:color w:val="000000"/>
                <w:sz w:val="17"/>
              </w:rPr>
              <w:t>ККТ: клінічна критична точка; КК: критична концентрація; ТМЧ: тестування медикаментозної чутливості; СЛЄ: середовище Левенштайна-Єнсена; МЛС/Риф-ТБ: туберкульоз із множинною лікарською стійкістю або рифампіцин-резистентний туберкульоз; MGIT: пробірка з індикатором росту мікобактерій.</w:t>
            </w:r>
          </w:p>
          <w:p w14:paraId="56355462" w14:textId="77777777" w:rsidR="00366CB9" w:rsidRDefault="009D0C1D" w:rsidP="001F35DC">
            <w:pPr>
              <w:pStyle w:val="a6"/>
              <w:shd w:val="clear" w:color="auto" w:fill="auto"/>
              <w:spacing w:line="336" w:lineRule="auto"/>
              <w:jc w:val="both"/>
              <w:rPr>
                <w:sz w:val="17"/>
                <w:szCs w:val="17"/>
              </w:rPr>
            </w:pPr>
            <w:r>
              <w:rPr>
                <w:b w:val="0"/>
                <w:color w:val="000000"/>
                <w:sz w:val="17"/>
              </w:rPr>
              <w:t>Лікарські засоби: AMK: амікацин; CS: циклосерин; DLM: деламанід; LFX: левофлоксацин; MFX: моксифлоксацин; PZA: піразинамід; STR: стрептоміцин; TRD: теризидон.</w:t>
            </w:r>
          </w:p>
          <w:p w14:paraId="56F328CA" w14:textId="77777777" w:rsidR="00366CB9" w:rsidRDefault="009D0C1D" w:rsidP="001F35DC">
            <w:pPr>
              <w:pStyle w:val="a6"/>
              <w:shd w:val="clear" w:color="auto" w:fill="auto"/>
              <w:spacing w:line="336" w:lineRule="auto"/>
              <w:jc w:val="both"/>
              <w:rPr>
                <w:sz w:val="17"/>
                <w:szCs w:val="17"/>
              </w:rPr>
            </w:pPr>
            <w:r>
              <w:rPr>
                <w:b w:val="0"/>
                <w:color w:val="000000"/>
                <w:sz w:val="17"/>
                <w:vertAlign w:val="superscript"/>
              </w:rPr>
              <w:t>a</w:t>
            </w:r>
            <w:r>
              <w:rPr>
                <w:b w:val="0"/>
                <w:color w:val="000000"/>
                <w:sz w:val="17"/>
              </w:rPr>
              <w:t>КК LFX та MFX для СЛЄ встановлені, незважаючи на дуже обмежені дані.</w:t>
            </w:r>
          </w:p>
          <w:p w14:paraId="4970AA85" w14:textId="77777777" w:rsidR="00366CB9" w:rsidRDefault="009D0C1D" w:rsidP="001F35DC">
            <w:pPr>
              <w:pStyle w:val="a6"/>
              <w:shd w:val="clear" w:color="auto" w:fill="auto"/>
              <w:spacing w:line="336" w:lineRule="auto"/>
              <w:jc w:val="both"/>
              <w:rPr>
                <w:sz w:val="17"/>
                <w:szCs w:val="17"/>
              </w:rPr>
            </w:pPr>
            <w:r>
              <w:rPr>
                <w:b w:val="0"/>
                <w:color w:val="000000"/>
                <w:sz w:val="17"/>
                <w:vertAlign w:val="superscript"/>
              </w:rPr>
              <w:t>b</w:t>
            </w:r>
            <w:r>
              <w:rPr>
                <w:b w:val="0"/>
                <w:color w:val="000000"/>
                <w:sz w:val="17"/>
              </w:rPr>
              <w:t>Концентрація ККТ для 7Н10 та MGIT застосовується до MFX з високою дозою (тобто 800 мг щодня).</w:t>
            </w:r>
          </w:p>
          <w:p w14:paraId="024A81B1" w14:textId="77777777" w:rsidR="00366CB9" w:rsidRDefault="009D0C1D" w:rsidP="001F35DC">
            <w:pPr>
              <w:pStyle w:val="a6"/>
              <w:shd w:val="clear" w:color="auto" w:fill="auto"/>
              <w:spacing w:line="336" w:lineRule="auto"/>
              <w:jc w:val="both"/>
              <w:rPr>
                <w:sz w:val="17"/>
                <w:szCs w:val="17"/>
              </w:rPr>
            </w:pPr>
            <w:r>
              <w:rPr>
                <w:b w:val="0"/>
                <w:color w:val="000000"/>
                <w:sz w:val="17"/>
                <w:vertAlign w:val="superscript"/>
              </w:rPr>
              <w:t>c</w:t>
            </w:r>
            <w:r>
              <w:rPr>
                <w:b w:val="0"/>
                <w:color w:val="000000"/>
                <w:sz w:val="17"/>
              </w:rPr>
              <w:t>КК для CS можна застосовувати як сурогатний показник резистентності до TRD.</w:t>
            </w:r>
          </w:p>
          <w:p w14:paraId="7F5E20D0" w14:textId="77777777" w:rsidR="00366CB9" w:rsidRDefault="009D0C1D" w:rsidP="001F35DC">
            <w:pPr>
              <w:pStyle w:val="a6"/>
              <w:shd w:val="clear" w:color="auto" w:fill="auto"/>
              <w:spacing w:line="336" w:lineRule="auto"/>
              <w:jc w:val="both"/>
              <w:rPr>
                <w:sz w:val="17"/>
                <w:szCs w:val="17"/>
              </w:rPr>
            </w:pPr>
            <w:r>
              <w:rPr>
                <w:b w:val="0"/>
                <w:color w:val="000000"/>
                <w:sz w:val="17"/>
                <w:vertAlign w:val="superscript"/>
              </w:rPr>
              <w:t>d</w:t>
            </w:r>
            <w:r>
              <w:rPr>
                <w:b w:val="0"/>
                <w:color w:val="000000"/>
                <w:sz w:val="17"/>
              </w:rPr>
              <w:t>ТМЧ не є надійним та відтворюваним, і воно не рекомендується.</w:t>
            </w:r>
          </w:p>
          <w:p w14:paraId="591DD0A3" w14:textId="77777777" w:rsidR="00366CB9" w:rsidRDefault="009D0C1D" w:rsidP="001F35DC">
            <w:pPr>
              <w:pStyle w:val="a6"/>
              <w:shd w:val="clear" w:color="auto" w:fill="auto"/>
              <w:spacing w:line="336" w:lineRule="auto"/>
              <w:jc w:val="both"/>
              <w:rPr>
                <w:sz w:val="17"/>
                <w:szCs w:val="17"/>
              </w:rPr>
            </w:pPr>
            <w:r>
              <w:rPr>
                <w:b w:val="0"/>
                <w:color w:val="000000"/>
                <w:sz w:val="17"/>
                <w:vertAlign w:val="superscript"/>
              </w:rPr>
              <w:t>e</w:t>
            </w:r>
            <w:r>
              <w:rPr>
                <w:b w:val="0"/>
                <w:color w:val="000000"/>
                <w:sz w:val="17"/>
              </w:rPr>
              <w:t>DLM необхідно зберігати подалі від джерел світла та тепла відповідно до паспорту безпеки матеріалів виробника.</w:t>
            </w:r>
          </w:p>
          <w:p w14:paraId="67D9DE8B" w14:textId="77777777" w:rsidR="00366CB9" w:rsidRDefault="009D0C1D" w:rsidP="001F35DC">
            <w:pPr>
              <w:pStyle w:val="a6"/>
              <w:shd w:val="clear" w:color="auto" w:fill="auto"/>
              <w:spacing w:line="336" w:lineRule="auto"/>
              <w:jc w:val="both"/>
              <w:rPr>
                <w:sz w:val="17"/>
                <w:szCs w:val="17"/>
              </w:rPr>
            </w:pPr>
            <w:r>
              <w:rPr>
                <w:b w:val="0"/>
                <w:color w:val="000000"/>
                <w:sz w:val="17"/>
                <w:vertAlign w:val="superscript"/>
              </w:rPr>
              <w:t>f</w:t>
            </w:r>
            <w:r>
              <w:rPr>
                <w:b w:val="0"/>
                <w:color w:val="000000"/>
                <w:sz w:val="17"/>
              </w:rPr>
              <w:t>PZA вважається ефективним лікарським засобом лише тоді, коли результати ТМЧ підтверджують чутливість в лабораторії забезпечення якості.</w:t>
            </w:r>
          </w:p>
          <w:p w14:paraId="2C3B78D4" w14:textId="77777777" w:rsidR="00366CB9" w:rsidRDefault="009D0C1D" w:rsidP="001F35DC">
            <w:pPr>
              <w:pStyle w:val="a6"/>
              <w:shd w:val="clear" w:color="auto" w:fill="auto"/>
              <w:spacing w:line="336" w:lineRule="auto"/>
              <w:jc w:val="both"/>
              <w:rPr>
                <w:sz w:val="17"/>
                <w:szCs w:val="17"/>
              </w:rPr>
            </w:pPr>
            <w:r>
              <w:rPr>
                <w:b w:val="0"/>
                <w:color w:val="000000"/>
                <w:sz w:val="17"/>
                <w:vertAlign w:val="superscript"/>
              </w:rPr>
              <w:t>g</w:t>
            </w:r>
            <w:r>
              <w:rPr>
                <w:b w:val="0"/>
                <w:color w:val="000000"/>
                <w:sz w:val="17"/>
              </w:rPr>
              <w:t>AMK та STR розглядаються лише у разі крайніх схем або індивідуалізованого лікування, та лише якщо результати ТМЧ підтверджують чутливість.</w:t>
            </w:r>
          </w:p>
          <w:p w14:paraId="009719F0" w14:textId="77777777" w:rsidR="00366CB9" w:rsidRDefault="009D0C1D" w:rsidP="001F35DC">
            <w:pPr>
              <w:pStyle w:val="a6"/>
              <w:shd w:val="clear" w:color="auto" w:fill="auto"/>
              <w:spacing w:line="336" w:lineRule="auto"/>
              <w:jc w:val="both"/>
              <w:rPr>
                <w:sz w:val="17"/>
                <w:szCs w:val="17"/>
              </w:rPr>
            </w:pPr>
            <w:r>
              <w:rPr>
                <w:b w:val="0"/>
                <w:color w:val="000000"/>
                <w:sz w:val="17"/>
                <w:vertAlign w:val="superscript"/>
              </w:rPr>
              <w:t>h</w:t>
            </w:r>
            <w:r>
              <w:rPr>
                <w:b w:val="0"/>
                <w:color w:val="000000"/>
                <w:sz w:val="17"/>
              </w:rPr>
              <w:t xml:space="preserve">Відсутність росту при 0,5 = чутливість; ріст при 0,5 та відсутність росту при 2,0 = чутливість, але з коментарем щодо невизначеності; ріст при 2,0 = резистентність. </w:t>
            </w:r>
            <w:r>
              <w:rPr>
                <w:b w:val="0"/>
                <w:i/>
                <w:color w:val="000000"/>
                <w:sz w:val="17"/>
              </w:rPr>
              <w:t>Джерело:</w:t>
            </w:r>
            <w:r>
              <w:rPr>
                <w:b w:val="0"/>
                <w:color w:val="000000"/>
                <w:sz w:val="17"/>
              </w:rPr>
              <w:t xml:space="preserve"> адаптовано з Таблиці 3 у </w:t>
            </w:r>
            <w:hyperlink r:id="rId79" w:history="1">
              <w:r w:rsidR="00366CB9">
                <w:rPr>
                  <w:color w:val="000000"/>
                  <w:sz w:val="18"/>
                </w:rPr>
                <w:t>Вебдодатку C</w:t>
              </w:r>
            </w:hyperlink>
            <w:r>
              <w:rPr>
                <w:b w:val="0"/>
                <w:color w:val="000000"/>
                <w:sz w:val="17"/>
              </w:rPr>
              <w:t>.</w:t>
            </w:r>
          </w:p>
        </w:tc>
      </w:tr>
    </w:tbl>
    <w:tbl>
      <w:tblPr>
        <w:tblOverlap w:val="never"/>
        <w:tblW w:w="0" w:type="auto"/>
        <w:tblLayout w:type="fixed"/>
        <w:tblCellMar>
          <w:left w:w="10" w:type="dxa"/>
          <w:right w:w="10" w:type="dxa"/>
        </w:tblCellMar>
        <w:tblLook w:val="0000" w:firstRow="0" w:lastRow="0" w:firstColumn="0" w:lastColumn="0" w:noHBand="0" w:noVBand="0"/>
      </w:tblPr>
      <w:tblGrid>
        <w:gridCol w:w="154"/>
      </w:tblGrid>
      <w:tr w:rsidR="00366CB9" w14:paraId="7D6C8312" w14:textId="77777777">
        <w:trPr>
          <w:trHeight w:hRule="exact" w:val="3250"/>
        </w:trPr>
        <w:tc>
          <w:tcPr>
            <w:tcW w:w="154" w:type="dxa"/>
            <w:shd w:val="clear" w:color="auto" w:fill="FFFFFF"/>
            <w:textDirection w:val="tbRl"/>
          </w:tcPr>
          <w:p w14:paraId="5E47A407" w14:textId="77777777" w:rsidR="00366CB9" w:rsidRDefault="009D0C1D" w:rsidP="00425523">
            <w:pPr>
              <w:pStyle w:val="a6"/>
              <w:framePr w:w="154" w:h="3475" w:wrap="none" w:vAnchor="page" w:hAnchor="page" w:x="719" w:y="7630"/>
              <w:shd w:val="clear" w:color="auto" w:fill="auto"/>
              <w:rPr>
                <w:sz w:val="15"/>
                <w:szCs w:val="15"/>
              </w:rPr>
            </w:pPr>
            <w:r>
              <w:rPr>
                <w:b w:val="0"/>
                <w:color w:val="019648"/>
                <w:sz w:val="15"/>
              </w:rPr>
              <w:t>2. Тести на ТБ з рекомендаціями ВООЗ</w:t>
            </w:r>
          </w:p>
        </w:tc>
      </w:tr>
      <w:tr w:rsidR="00366CB9" w14:paraId="1760F94A" w14:textId="77777777">
        <w:trPr>
          <w:trHeight w:hRule="exact" w:val="226"/>
        </w:trPr>
        <w:tc>
          <w:tcPr>
            <w:tcW w:w="154" w:type="dxa"/>
            <w:shd w:val="clear" w:color="auto" w:fill="FFFFFF"/>
            <w:textDirection w:val="tbRl"/>
          </w:tcPr>
          <w:p w14:paraId="46ED4446" w14:textId="77777777" w:rsidR="00366CB9" w:rsidRDefault="009D0C1D" w:rsidP="00425523">
            <w:pPr>
              <w:pStyle w:val="a6"/>
              <w:framePr w:w="154" w:h="3475" w:wrap="none" w:vAnchor="page" w:hAnchor="page" w:x="719" w:y="7630"/>
              <w:shd w:val="clear" w:color="auto" w:fill="auto"/>
              <w:rPr>
                <w:sz w:val="15"/>
                <w:szCs w:val="15"/>
              </w:rPr>
            </w:pPr>
            <w:r>
              <w:rPr>
                <w:b w:val="0"/>
                <w:color w:val="019648"/>
                <w:sz w:val="15"/>
              </w:rPr>
              <w:t>47</w:t>
            </w:r>
          </w:p>
        </w:tc>
      </w:tr>
    </w:tbl>
    <w:p w14:paraId="7E4846C6" w14:textId="77777777" w:rsidR="00366CB9" w:rsidRDefault="00366CB9" w:rsidP="00425523">
      <w:pPr>
        <w:spacing w:line="1" w:lineRule="exact"/>
        <w:sectPr w:rsidR="00366CB9" w:rsidSect="001F35DC">
          <w:footerReference w:type="default" r:id="rId80"/>
          <w:type w:val="nextColumn"/>
          <w:pgSz w:w="16840" w:h="11913" w:orient="landscape"/>
          <w:pgMar w:top="1409" w:right="1314" w:bottom="851" w:left="1505" w:header="0" w:footer="6" w:gutter="0"/>
          <w:paperSrc w:first="15" w:other="15"/>
          <w:cols w:space="720"/>
          <w:noEndnote/>
          <w:docGrid w:linePitch="360"/>
        </w:sectPr>
      </w:pPr>
    </w:p>
    <w:p w14:paraId="35D0114B" w14:textId="77777777" w:rsidR="00366CB9" w:rsidRDefault="00366CB9" w:rsidP="00425523">
      <w:pPr>
        <w:spacing w:line="1" w:lineRule="exact"/>
      </w:pPr>
    </w:p>
    <w:p w14:paraId="0A342B5D" w14:textId="77777777" w:rsidR="00366CB9" w:rsidRDefault="009D0C1D" w:rsidP="001F35DC">
      <w:pPr>
        <w:pStyle w:val="80"/>
        <w:numPr>
          <w:ilvl w:val="0"/>
          <w:numId w:val="6"/>
        </w:numPr>
        <w:shd w:val="clear" w:color="auto" w:fill="auto"/>
        <w:tabs>
          <w:tab w:val="left" w:pos="788"/>
        </w:tabs>
      </w:pPr>
      <w:r>
        <w:t>Повногеномне секвенування</w:t>
      </w:r>
    </w:p>
    <w:p w14:paraId="0E703C58" w14:textId="77777777" w:rsidR="00366CB9" w:rsidRPr="00E80D3A" w:rsidRDefault="009D0C1D" w:rsidP="001F35DC">
      <w:pPr>
        <w:pStyle w:val="1"/>
        <w:shd w:val="clear" w:color="auto" w:fill="auto"/>
        <w:spacing w:after="140" w:line="324" w:lineRule="auto"/>
        <w:jc w:val="both"/>
        <w:rPr>
          <w:sz w:val="18"/>
          <w:szCs w:val="18"/>
        </w:rPr>
      </w:pPr>
      <w:r w:rsidRPr="00E80D3A">
        <w:rPr>
          <w:sz w:val="18"/>
          <w:szCs w:val="18"/>
        </w:rPr>
        <w:t>Фенотипове ТМЧ залишається стандартом для більшості протитуберкульозних препаратів; однак цей метод є повільним та вимагає спеціалізованих виробничих потужностей та висококваліфікованого персоналу. Генотипове ТМЧ (або молекулярне ТМЧ) може подолати деякі недоліки фенотипового ТМЧ та доповнює фенотипове ТМЧ як стандарт при тестуванні на виявлення резистентності до RIF, EMB та PZA. Наразі доступні mWRD для ТМЧ можуть застосовуватись для виявлення специфічних мутацій що демонструють фенотипову резистентність. Молекулярні експрес-тести на виявлення резистентності до RIF, INH та FQ можуть бути впроваджені у децентралізованих умовах; такі тести можуть швидко давати результати для повідомлення про вибір початкової схеми лікування в очікуванні на подальше ТМЧ для інших протитуберкульозних препаратів.</w:t>
      </w:r>
    </w:p>
    <w:p w14:paraId="02C7C03C" w14:textId="77777777" w:rsidR="00366CB9" w:rsidRPr="00E80D3A" w:rsidRDefault="009D0C1D" w:rsidP="001F35DC">
      <w:pPr>
        <w:pStyle w:val="1"/>
        <w:shd w:val="clear" w:color="auto" w:fill="auto"/>
        <w:spacing w:after="140" w:line="324" w:lineRule="auto"/>
        <w:jc w:val="both"/>
        <w:rPr>
          <w:sz w:val="18"/>
          <w:szCs w:val="18"/>
        </w:rPr>
      </w:pPr>
      <w:r w:rsidRPr="00E80D3A">
        <w:rPr>
          <w:sz w:val="18"/>
          <w:szCs w:val="18"/>
        </w:rPr>
        <w:t>Секвенування ДНК за допомогою технологій СНП є методом виявлення мутацій, пов’язаних з медикаментозною резистентністю до багатьох протитуберкульозних препаратів (</w:t>
      </w:r>
      <w:hyperlink w:anchor="bookmark197" w:tooltip="Поточний документ">
        <w:r w:rsidR="00366CB9" w:rsidRPr="00E80D3A">
          <w:rPr>
            <w:sz w:val="18"/>
            <w:szCs w:val="18"/>
          </w:rPr>
          <w:t>32</w:t>
        </w:r>
      </w:hyperlink>
      <w:r w:rsidRPr="00E80D3A">
        <w:rPr>
          <w:sz w:val="18"/>
          <w:szCs w:val="18"/>
        </w:rPr>
        <w:t>). ТМЧ на основі СНП може зменшити потребу у фенотиповому ТМЧ при прийнятті рішень щодо лікування пацієнтів; це може бути особливо важливим для лікарських засобів, для яких фенотипове ТМЧ є ненадійним, або за неможливості проведення фенотипового ТМЧ.</w:t>
      </w:r>
    </w:p>
    <w:p w14:paraId="44265D1E" w14:textId="77777777" w:rsidR="00366CB9" w:rsidRPr="00E80D3A" w:rsidRDefault="009D0C1D" w:rsidP="001F35DC">
      <w:pPr>
        <w:pStyle w:val="1"/>
        <w:shd w:val="clear" w:color="auto" w:fill="auto"/>
        <w:spacing w:after="140" w:line="324" w:lineRule="auto"/>
        <w:jc w:val="both"/>
        <w:rPr>
          <w:sz w:val="18"/>
          <w:szCs w:val="18"/>
        </w:rPr>
      </w:pPr>
      <w:r w:rsidRPr="00E80D3A">
        <w:rPr>
          <w:sz w:val="18"/>
          <w:szCs w:val="18"/>
        </w:rPr>
        <w:t>СНП включає методи, які засновані на секвенуванні кількох фрагментів ДНК паралельно з подальшим біоінформаційним аналізом для складання послідовностей. Технології можна використовувати для визначення нуклеотидної послідовності цілого геному (тобто ПГС) або частини геному (тобто, цільового СНП) за один цикл секвенування. ПГС та цільове СНП рекомендуються для використання в рамках епідеміологічного нагляду за ЛС-ТБ та для ТМЧ.</w:t>
      </w:r>
    </w:p>
    <w:p w14:paraId="0ECF1EE5" w14:textId="77777777" w:rsidR="00366CB9" w:rsidRPr="00E80D3A" w:rsidRDefault="009D0C1D" w:rsidP="001F35DC">
      <w:pPr>
        <w:pStyle w:val="1"/>
        <w:shd w:val="clear" w:color="auto" w:fill="auto"/>
        <w:spacing w:after="140" w:line="324" w:lineRule="auto"/>
        <w:jc w:val="both"/>
        <w:rPr>
          <w:sz w:val="18"/>
          <w:szCs w:val="18"/>
        </w:rPr>
      </w:pPr>
      <w:r w:rsidRPr="00E80D3A">
        <w:rPr>
          <w:sz w:val="18"/>
          <w:szCs w:val="18"/>
        </w:rPr>
        <w:t>ПГС є потужним інструментом для виявлення мутацій та є еталонним тестом для підтвердження мутацій; однак він залежить від наявності ізоляту культури та затримок у вирощуванні мікроорганізму (</w:t>
      </w:r>
      <w:hyperlink w:anchor="bookmark197" w:tooltip="Поточний документ">
        <w:r w:rsidR="00366CB9" w:rsidRPr="00E80D3A">
          <w:rPr>
            <w:sz w:val="18"/>
            <w:szCs w:val="18"/>
          </w:rPr>
          <w:t>33</w:t>
        </w:r>
      </w:hyperlink>
      <w:r w:rsidRPr="00E80D3A">
        <w:rPr>
          <w:sz w:val="18"/>
          <w:szCs w:val="18"/>
        </w:rPr>
        <w:t>). Каталог мутацій ВООЗ (</w:t>
      </w:r>
      <w:hyperlink w:anchor="bookmark196" w:tooltip="Поточний документ">
        <w:r w:rsidR="00366CB9" w:rsidRPr="00E80D3A">
          <w:rPr>
            <w:sz w:val="18"/>
            <w:szCs w:val="18"/>
          </w:rPr>
          <w:t>23</w:t>
        </w:r>
      </w:hyperlink>
      <w:r w:rsidRPr="00E80D3A">
        <w:rPr>
          <w:sz w:val="18"/>
          <w:szCs w:val="18"/>
        </w:rPr>
        <w:t>) забезпечує стандартизовану методологію для асортименту аналітичних засобів для аналізу результатів СНП та тлумачення мутацій. Інструменти можна використовувати як для ПГС, так і для цільового СНП.</w:t>
      </w:r>
    </w:p>
    <w:p w14:paraId="3AE0FD40" w14:textId="77777777" w:rsidR="00366CB9" w:rsidRPr="00E80D3A" w:rsidRDefault="009D0C1D" w:rsidP="001F35DC">
      <w:pPr>
        <w:pStyle w:val="1"/>
        <w:shd w:val="clear" w:color="auto" w:fill="auto"/>
        <w:spacing w:after="140" w:line="322" w:lineRule="auto"/>
        <w:jc w:val="both"/>
        <w:rPr>
          <w:sz w:val="18"/>
          <w:szCs w:val="18"/>
        </w:rPr>
      </w:pPr>
      <w:r w:rsidRPr="00E80D3A">
        <w:rPr>
          <w:sz w:val="18"/>
          <w:szCs w:val="18"/>
        </w:rPr>
        <w:t>Фенотипове ТМЧ застосовується для класифікації резистентності, особливо для нових лікарських засобів, де резистентність не є повністю встановленою. Якщо все більше даних фенотипового ТМЧ зіставлятимуться з даними ПГС у каталозі, ефективність каталогу та користь ПГС для нових лікарських засобів покращуватимуться. Авторам рекомендується завантажувати дані на портал щодо секвенування ТБ (</w:t>
      </w:r>
      <w:hyperlink w:anchor="bookmark197" w:tooltip="Поточний документ">
        <w:r w:rsidR="00366CB9" w:rsidRPr="00E80D3A">
          <w:rPr>
            <w:sz w:val="18"/>
            <w:szCs w:val="18"/>
          </w:rPr>
          <w:t>34</w:t>
        </w:r>
      </w:hyperlink>
      <w:r w:rsidRPr="00E80D3A">
        <w:rPr>
          <w:sz w:val="18"/>
          <w:szCs w:val="18"/>
        </w:rPr>
        <w:t>).</w:t>
      </w:r>
    </w:p>
    <w:p w14:paraId="646053B8" w14:textId="77777777" w:rsidR="00366CB9" w:rsidRPr="00E80D3A" w:rsidRDefault="009D0C1D" w:rsidP="001F35DC">
      <w:pPr>
        <w:pStyle w:val="1"/>
        <w:shd w:val="clear" w:color="auto" w:fill="auto"/>
        <w:spacing w:after="140" w:line="326" w:lineRule="auto"/>
        <w:jc w:val="both"/>
        <w:rPr>
          <w:sz w:val="18"/>
          <w:szCs w:val="18"/>
        </w:rPr>
      </w:pPr>
      <w:r w:rsidRPr="00E80D3A">
        <w:rPr>
          <w:sz w:val="18"/>
          <w:szCs w:val="18"/>
        </w:rPr>
        <w:t>Застосування ПГС та фенотипового ТМЧ наразі є стандартом для RIF та PZA через обмеження фенотипового ТМЧ лише для цих лікарських засобів.</w:t>
      </w:r>
    </w:p>
    <w:p w14:paraId="5E78A105" w14:textId="77777777" w:rsidR="00366CB9" w:rsidRPr="00E80D3A" w:rsidRDefault="00366CB9" w:rsidP="001F35DC">
      <w:pPr>
        <w:pStyle w:val="1"/>
        <w:shd w:val="clear" w:color="auto" w:fill="auto"/>
        <w:spacing w:after="140" w:line="324" w:lineRule="auto"/>
        <w:jc w:val="both"/>
        <w:rPr>
          <w:sz w:val="18"/>
          <w:szCs w:val="18"/>
        </w:rPr>
      </w:pPr>
      <w:r w:rsidRPr="00E80D3A">
        <w:rPr>
          <w:sz w:val="18"/>
          <w:szCs w:val="18"/>
        </w:rPr>
        <w:t xml:space="preserve">У </w:t>
      </w:r>
      <w:hyperlink w:anchor="bookmark50" w:tooltip="Поточний документ">
        <w:r w:rsidRPr="00E80D3A">
          <w:rPr>
            <w:b/>
            <w:sz w:val="18"/>
            <w:szCs w:val="18"/>
          </w:rPr>
          <w:t>розділі 2.4</w:t>
        </w:r>
        <w:r w:rsidRPr="00E80D3A">
          <w:rPr>
            <w:sz w:val="18"/>
            <w:szCs w:val="18"/>
          </w:rPr>
          <w:t>.4</w:t>
        </w:r>
      </w:hyperlink>
      <w:r w:rsidRPr="00E80D3A">
        <w:rPr>
          <w:sz w:val="18"/>
          <w:szCs w:val="18"/>
        </w:rPr>
        <w:t xml:space="preserve"> описано тести цільового СНП для виявлення резистентності до протитуберкульозних препаратів, нещодавно рекомендовані ВООЗ для використання безпосередньо на клінічних зразках. Ці тести можуть виявляти мутації, пов’язані з резистентністю до RIF, INH, PZA, EMB, FQ, BDQ, LZD, CFZ, AMK та STR.</w:t>
      </w:r>
    </w:p>
    <w:p w14:paraId="54C61B3A" w14:textId="77777777" w:rsidR="00366CB9" w:rsidRDefault="00366CB9" w:rsidP="001F35DC">
      <w:pPr>
        <w:pStyle w:val="1"/>
        <w:shd w:val="clear" w:color="auto" w:fill="auto"/>
        <w:spacing w:line="322" w:lineRule="auto"/>
        <w:jc w:val="both"/>
      </w:pPr>
      <w:r w:rsidRPr="00E80D3A">
        <w:rPr>
          <w:sz w:val="18"/>
          <w:szCs w:val="18"/>
        </w:rPr>
        <w:t xml:space="preserve">У </w:t>
      </w:r>
      <w:hyperlink w:anchor="bookmark58" w:tooltip="Поточний документ">
        <w:r w:rsidRPr="00E80D3A">
          <w:rPr>
            <w:b/>
            <w:sz w:val="18"/>
            <w:szCs w:val="18"/>
          </w:rPr>
          <w:t>Таблиці 2.1</w:t>
        </w:r>
        <w:r w:rsidRPr="00E80D3A">
          <w:rPr>
            <w:sz w:val="18"/>
            <w:szCs w:val="18"/>
          </w:rPr>
          <w:t>1</w:t>
        </w:r>
      </w:hyperlink>
      <w:r w:rsidRPr="00E80D3A">
        <w:rPr>
          <w:sz w:val="18"/>
          <w:szCs w:val="18"/>
        </w:rPr>
        <w:t xml:space="preserve"> представлено огляд діагностичних підходів, рекомендованих ВООЗ, еталонних методів та клінічного тлумачення для протитуберкульозних препаратів</w:t>
      </w:r>
      <w:r>
        <w:t>.</w:t>
      </w:r>
    </w:p>
    <w:p w14:paraId="4F0F54D0" w14:textId="77777777" w:rsidR="00366CB9" w:rsidRDefault="00366CB9" w:rsidP="00425523">
      <w:pPr>
        <w:spacing w:line="1" w:lineRule="exact"/>
        <w:sectPr w:rsidR="00366CB9" w:rsidSect="001F35DC">
          <w:footerReference w:type="even" r:id="rId81"/>
          <w:pgSz w:w="11913" w:h="16840"/>
          <w:pgMar w:top="1469" w:right="1378" w:bottom="851" w:left="1372" w:header="0" w:footer="6" w:gutter="0"/>
          <w:paperSrc w:first="15" w:other="15"/>
          <w:cols w:space="720"/>
          <w:noEndnote/>
          <w:docGrid w:linePitch="360"/>
        </w:sectPr>
      </w:pPr>
    </w:p>
    <w:p w14:paraId="1A359A1D"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557"/>
        <w:gridCol w:w="1646"/>
        <w:gridCol w:w="2338"/>
        <w:gridCol w:w="2174"/>
        <w:gridCol w:w="2218"/>
        <w:gridCol w:w="5078"/>
      </w:tblGrid>
      <w:tr w:rsidR="00366CB9" w:rsidRPr="00785005" w14:paraId="067DB75E" w14:textId="77777777" w:rsidTr="007751D5">
        <w:trPr>
          <w:trHeight w:hRule="exact" w:val="826"/>
        </w:trPr>
        <w:tc>
          <w:tcPr>
            <w:tcW w:w="14011" w:type="dxa"/>
            <w:gridSpan w:val="6"/>
            <w:tcBorders>
              <w:bottom w:val="single" w:sz="8" w:space="0" w:color="00B050"/>
            </w:tcBorders>
            <w:shd w:val="clear" w:color="auto" w:fill="FFFFFF"/>
          </w:tcPr>
          <w:p w14:paraId="15660941" w14:textId="77777777" w:rsidR="00366CB9" w:rsidRPr="00785005" w:rsidRDefault="009D0C1D" w:rsidP="001F35DC">
            <w:pPr>
              <w:pStyle w:val="a6"/>
              <w:shd w:val="clear" w:color="auto" w:fill="auto"/>
              <w:rPr>
                <w:sz w:val="24"/>
                <w:szCs w:val="24"/>
              </w:rPr>
            </w:pPr>
            <w:bookmarkStart w:id="61" w:name="bookmark58"/>
            <w:r>
              <w:rPr>
                <w:color w:val="636466"/>
                <w:sz w:val="24"/>
              </w:rPr>
              <w:t>Таблиця 2.11. Діагностичні підходи, рекомендовані ВООЗ, еталонні методи та клінічне тлумачення для протитуберкульозних препаратів</w:t>
            </w:r>
            <w:bookmarkEnd w:id="61"/>
          </w:p>
        </w:tc>
      </w:tr>
      <w:tr w:rsidR="00366CB9" w:rsidRPr="00785005" w14:paraId="0C60431F" w14:textId="77777777" w:rsidTr="007751D5">
        <w:trPr>
          <w:trHeight w:hRule="exact" w:val="442"/>
        </w:trPr>
        <w:tc>
          <w:tcPr>
            <w:tcW w:w="2203" w:type="dxa"/>
            <w:gridSpan w:val="2"/>
            <w:tcBorders>
              <w:top w:val="single" w:sz="8" w:space="0" w:color="00B050"/>
              <w:left w:val="single" w:sz="8" w:space="0" w:color="00B050"/>
              <w:bottom w:val="single" w:sz="8" w:space="0" w:color="00B050"/>
              <w:right w:val="single" w:sz="8" w:space="0" w:color="00B050"/>
            </w:tcBorders>
            <w:shd w:val="clear" w:color="auto" w:fill="62A86A"/>
            <w:vAlign w:val="center"/>
          </w:tcPr>
          <w:p w14:paraId="1FF03FD5" w14:textId="77777777" w:rsidR="00366CB9" w:rsidRPr="00E80D3A" w:rsidRDefault="009D0C1D" w:rsidP="00854441">
            <w:pPr>
              <w:pStyle w:val="a6"/>
              <w:shd w:val="clear" w:color="auto" w:fill="auto"/>
              <w:rPr>
                <w:sz w:val="18"/>
                <w:szCs w:val="24"/>
              </w:rPr>
            </w:pPr>
            <w:r w:rsidRPr="00E80D3A">
              <w:rPr>
                <w:color w:val="FFFFFF"/>
                <w:sz w:val="18"/>
                <w:szCs w:val="24"/>
              </w:rPr>
              <w:t>Лікарський засіб</w:t>
            </w:r>
          </w:p>
        </w:tc>
        <w:tc>
          <w:tcPr>
            <w:tcW w:w="2338"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ECD8812" w14:textId="77777777" w:rsidR="00366CB9" w:rsidRPr="00E80D3A" w:rsidRDefault="009D0C1D" w:rsidP="00854441">
            <w:pPr>
              <w:pStyle w:val="a6"/>
              <w:shd w:val="clear" w:color="auto" w:fill="auto"/>
              <w:rPr>
                <w:sz w:val="18"/>
                <w:szCs w:val="24"/>
              </w:rPr>
            </w:pPr>
            <w:r w:rsidRPr="00E80D3A">
              <w:rPr>
                <w:color w:val="FFFFFF"/>
                <w:sz w:val="18"/>
                <w:szCs w:val="24"/>
              </w:rPr>
              <w:t>Генотипове ТМЧ</w:t>
            </w:r>
          </w:p>
        </w:tc>
        <w:tc>
          <w:tcPr>
            <w:tcW w:w="217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DEA1580" w14:textId="77777777" w:rsidR="00366CB9" w:rsidRPr="00E80D3A" w:rsidRDefault="009D0C1D" w:rsidP="00854441">
            <w:pPr>
              <w:pStyle w:val="a6"/>
              <w:shd w:val="clear" w:color="auto" w:fill="auto"/>
              <w:rPr>
                <w:sz w:val="18"/>
                <w:szCs w:val="24"/>
              </w:rPr>
            </w:pPr>
            <w:r w:rsidRPr="00E80D3A">
              <w:rPr>
                <w:color w:val="FFFFFF"/>
                <w:sz w:val="18"/>
                <w:szCs w:val="24"/>
              </w:rPr>
              <w:t>Фенотипове ТМЧ</w:t>
            </w:r>
          </w:p>
        </w:tc>
        <w:tc>
          <w:tcPr>
            <w:tcW w:w="2218"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84785BF" w14:textId="77777777" w:rsidR="00366CB9" w:rsidRPr="00E80D3A" w:rsidRDefault="009D0C1D" w:rsidP="00854441">
            <w:pPr>
              <w:pStyle w:val="a6"/>
              <w:shd w:val="clear" w:color="auto" w:fill="auto"/>
              <w:rPr>
                <w:sz w:val="18"/>
                <w:szCs w:val="24"/>
              </w:rPr>
            </w:pPr>
            <w:r w:rsidRPr="00E80D3A">
              <w:rPr>
                <w:color w:val="FFFFFF"/>
                <w:sz w:val="18"/>
                <w:szCs w:val="24"/>
              </w:rPr>
              <w:t>Еталонний метод</w:t>
            </w:r>
          </w:p>
        </w:tc>
        <w:tc>
          <w:tcPr>
            <w:tcW w:w="5078"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AE2DDB6" w14:textId="77777777" w:rsidR="00366CB9" w:rsidRPr="00E80D3A" w:rsidRDefault="009D0C1D" w:rsidP="00854441">
            <w:pPr>
              <w:pStyle w:val="a6"/>
              <w:shd w:val="clear" w:color="auto" w:fill="auto"/>
              <w:ind w:firstLine="140"/>
              <w:rPr>
                <w:sz w:val="18"/>
                <w:szCs w:val="24"/>
              </w:rPr>
            </w:pPr>
            <w:r w:rsidRPr="00E80D3A">
              <w:rPr>
                <w:color w:val="FFFFFF"/>
                <w:sz w:val="18"/>
                <w:szCs w:val="24"/>
              </w:rPr>
              <w:t>Коментар</w:t>
            </w:r>
          </w:p>
        </w:tc>
      </w:tr>
      <w:tr w:rsidR="00366CB9" w14:paraId="40A4ACA8" w14:textId="77777777" w:rsidTr="007751D5">
        <w:trPr>
          <w:trHeight w:hRule="exact" w:val="2270"/>
        </w:trPr>
        <w:tc>
          <w:tcPr>
            <w:tcW w:w="557" w:type="dxa"/>
            <w:vMerge w:val="restart"/>
            <w:tcBorders>
              <w:top w:val="single" w:sz="8" w:space="0" w:color="00B050"/>
            </w:tcBorders>
            <w:shd w:val="clear" w:color="auto" w:fill="9FC39D"/>
            <w:textDirection w:val="btLr"/>
          </w:tcPr>
          <w:p w14:paraId="63FBB1FC" w14:textId="77777777" w:rsidR="00366CB9" w:rsidRPr="008F64D5" w:rsidRDefault="009D0C1D" w:rsidP="001F35DC">
            <w:pPr>
              <w:pStyle w:val="a6"/>
              <w:shd w:val="clear" w:color="auto" w:fill="auto"/>
              <w:spacing w:before="120"/>
              <w:jc w:val="center"/>
              <w:rPr>
                <w:bCs w:val="0"/>
                <w:sz w:val="22"/>
                <w:szCs w:val="22"/>
              </w:rPr>
            </w:pPr>
            <w:r w:rsidRPr="00E80D3A">
              <w:rPr>
                <w:bCs w:val="0"/>
                <w:color w:val="000000"/>
                <w:sz w:val="20"/>
                <w:szCs w:val="24"/>
              </w:rPr>
              <w:t>Протитуберкульозні препарати першої лінії</w:t>
            </w:r>
          </w:p>
        </w:tc>
        <w:tc>
          <w:tcPr>
            <w:tcW w:w="1646" w:type="dxa"/>
            <w:tcBorders>
              <w:top w:val="single" w:sz="8" w:space="0" w:color="00B050"/>
              <w:left w:val="nil"/>
              <w:bottom w:val="single" w:sz="8" w:space="0" w:color="00B050"/>
            </w:tcBorders>
            <w:shd w:val="clear" w:color="auto" w:fill="FFFFFF"/>
          </w:tcPr>
          <w:p w14:paraId="49E7F374" w14:textId="77777777" w:rsidR="00366CB9" w:rsidRPr="00E80D3A" w:rsidRDefault="009D0C1D" w:rsidP="001F35DC">
            <w:pPr>
              <w:pStyle w:val="a6"/>
              <w:shd w:val="clear" w:color="auto" w:fill="auto"/>
              <w:spacing w:before="100"/>
              <w:ind w:firstLine="140"/>
              <w:rPr>
                <w:sz w:val="18"/>
                <w:szCs w:val="24"/>
              </w:rPr>
            </w:pPr>
            <w:r w:rsidRPr="00E80D3A">
              <w:rPr>
                <w:b w:val="0"/>
                <w:color w:val="000000"/>
                <w:sz w:val="18"/>
                <w:szCs w:val="24"/>
              </w:rPr>
              <w:t>Рифампіцин</w:t>
            </w:r>
          </w:p>
        </w:tc>
        <w:tc>
          <w:tcPr>
            <w:tcW w:w="2338" w:type="dxa"/>
            <w:tcBorders>
              <w:top w:val="single" w:sz="8" w:space="0" w:color="00B050"/>
              <w:bottom w:val="single" w:sz="8" w:space="0" w:color="00B050"/>
            </w:tcBorders>
            <w:shd w:val="clear" w:color="auto" w:fill="FFFFFF"/>
          </w:tcPr>
          <w:p w14:paraId="627379FD" w14:textId="77777777" w:rsidR="00366CB9" w:rsidRPr="00E80D3A" w:rsidRDefault="009D0C1D" w:rsidP="001F35DC">
            <w:pPr>
              <w:pStyle w:val="a6"/>
              <w:shd w:val="clear" w:color="auto" w:fill="auto"/>
              <w:spacing w:before="100" w:after="80"/>
              <w:rPr>
                <w:sz w:val="18"/>
                <w:szCs w:val="24"/>
              </w:rPr>
            </w:pPr>
            <w:r w:rsidRPr="00E80D3A">
              <w:rPr>
                <w:b w:val="0"/>
                <w:color w:val="000000"/>
                <w:sz w:val="18"/>
                <w:szCs w:val="24"/>
              </w:rPr>
              <w:t>WRD</w:t>
            </w:r>
          </w:p>
          <w:p w14:paraId="031BB861" w14:textId="77777777" w:rsidR="00366CB9" w:rsidRPr="00E80D3A" w:rsidRDefault="009D0C1D" w:rsidP="001F35DC">
            <w:pPr>
              <w:pStyle w:val="a6"/>
              <w:shd w:val="clear" w:color="auto" w:fill="auto"/>
              <w:spacing w:after="80"/>
              <w:rPr>
                <w:sz w:val="18"/>
                <w:szCs w:val="24"/>
              </w:rPr>
            </w:pPr>
            <w:r w:rsidRPr="00E80D3A">
              <w:rPr>
                <w:b w:val="0"/>
                <w:color w:val="000000"/>
                <w:sz w:val="18"/>
                <w:szCs w:val="24"/>
              </w:rPr>
              <w:t>LPA</w:t>
            </w:r>
          </w:p>
          <w:p w14:paraId="597D1011" w14:textId="77777777" w:rsidR="00366CB9" w:rsidRPr="00E80D3A" w:rsidRDefault="009D0C1D" w:rsidP="001F35DC">
            <w:pPr>
              <w:pStyle w:val="a6"/>
              <w:shd w:val="clear" w:color="auto" w:fill="auto"/>
              <w:spacing w:after="80"/>
              <w:rPr>
                <w:sz w:val="18"/>
                <w:szCs w:val="24"/>
              </w:rPr>
            </w:pPr>
            <w:r w:rsidRPr="00E80D3A">
              <w:rPr>
                <w:b w:val="0"/>
                <w:color w:val="000000"/>
                <w:sz w:val="18"/>
                <w:szCs w:val="24"/>
              </w:rPr>
              <w:t>Цільове СНП</w:t>
            </w:r>
          </w:p>
        </w:tc>
        <w:tc>
          <w:tcPr>
            <w:tcW w:w="2174" w:type="dxa"/>
            <w:tcBorders>
              <w:top w:val="single" w:sz="8" w:space="0" w:color="00B050"/>
              <w:bottom w:val="single" w:sz="8" w:space="0" w:color="00B050"/>
            </w:tcBorders>
            <w:shd w:val="clear" w:color="auto" w:fill="FFFFFF"/>
          </w:tcPr>
          <w:p w14:paraId="2DDE4A2D" w14:textId="77777777" w:rsidR="00366CB9" w:rsidRPr="00E80D3A" w:rsidRDefault="009D0C1D" w:rsidP="001F35DC">
            <w:pPr>
              <w:pStyle w:val="a6"/>
              <w:shd w:val="clear" w:color="auto" w:fill="auto"/>
              <w:spacing w:before="100" w:line="271" w:lineRule="auto"/>
              <w:rPr>
                <w:sz w:val="18"/>
                <w:szCs w:val="24"/>
              </w:rPr>
            </w:pPr>
            <w:r w:rsidRPr="00E80D3A">
              <w:rPr>
                <w:b w:val="0"/>
                <w:color w:val="000000"/>
                <w:sz w:val="18"/>
                <w:szCs w:val="24"/>
              </w:rPr>
              <w:t>MGIT може бути ненадійним аналізом для ізолятів з мутаціями граничної резистентності</w:t>
            </w:r>
          </w:p>
        </w:tc>
        <w:tc>
          <w:tcPr>
            <w:tcW w:w="2218" w:type="dxa"/>
            <w:tcBorders>
              <w:top w:val="single" w:sz="8" w:space="0" w:color="00B050"/>
              <w:bottom w:val="single" w:sz="8" w:space="0" w:color="00B050"/>
            </w:tcBorders>
            <w:shd w:val="clear" w:color="auto" w:fill="FFFFFF"/>
          </w:tcPr>
          <w:p w14:paraId="43D05D57" w14:textId="77777777" w:rsidR="00366CB9" w:rsidRPr="00E80D3A" w:rsidRDefault="009D0C1D" w:rsidP="001F35DC">
            <w:pPr>
              <w:pStyle w:val="a6"/>
              <w:shd w:val="clear" w:color="auto" w:fill="auto"/>
              <w:spacing w:before="100" w:line="276" w:lineRule="auto"/>
              <w:rPr>
                <w:sz w:val="18"/>
                <w:szCs w:val="24"/>
              </w:rPr>
            </w:pPr>
            <w:r w:rsidRPr="00E80D3A">
              <w:rPr>
                <w:b w:val="0"/>
                <w:color w:val="000000"/>
                <w:sz w:val="18"/>
                <w:szCs w:val="24"/>
              </w:rPr>
              <w:t xml:space="preserve">MGIT та секвенування ДНК всього гена </w:t>
            </w:r>
            <w:r w:rsidRPr="00E80D3A">
              <w:rPr>
                <w:b w:val="0"/>
                <w:i/>
                <w:iCs/>
                <w:color w:val="000000"/>
                <w:sz w:val="18"/>
                <w:szCs w:val="24"/>
              </w:rPr>
              <w:t>rpoB</w:t>
            </w:r>
          </w:p>
        </w:tc>
        <w:tc>
          <w:tcPr>
            <w:tcW w:w="5078" w:type="dxa"/>
            <w:tcBorders>
              <w:top w:val="single" w:sz="8" w:space="0" w:color="00B050"/>
              <w:bottom w:val="single" w:sz="8" w:space="0" w:color="00B050"/>
            </w:tcBorders>
            <w:shd w:val="clear" w:color="auto" w:fill="FFFFFF"/>
          </w:tcPr>
          <w:p w14:paraId="2B99A6E7" w14:textId="77777777" w:rsidR="00366CB9" w:rsidRPr="00E80D3A" w:rsidRDefault="009D0C1D" w:rsidP="00E80D3A">
            <w:pPr>
              <w:pStyle w:val="a6"/>
              <w:shd w:val="clear" w:color="auto" w:fill="auto"/>
              <w:spacing w:before="60" w:line="271" w:lineRule="auto"/>
              <w:ind w:left="140"/>
              <w:rPr>
                <w:sz w:val="18"/>
                <w:szCs w:val="24"/>
              </w:rPr>
            </w:pPr>
            <w:r w:rsidRPr="00E80D3A">
              <w:rPr>
                <w:b w:val="0"/>
                <w:color w:val="000000"/>
                <w:sz w:val="18"/>
                <w:szCs w:val="24"/>
              </w:rPr>
              <w:t>Будь-які мутації (за виключенням мовчазних мутацій), що спостерігаються у гіперваріабельній ділянці 81bp RRDR</w:t>
            </w:r>
            <w:r w:rsidRPr="00E80D3A">
              <w:rPr>
                <w:b w:val="0"/>
                <w:color w:val="000000"/>
                <w:sz w:val="18"/>
                <w:szCs w:val="24"/>
                <w:vertAlign w:val="superscript"/>
              </w:rPr>
              <w:t>a</w:t>
            </w:r>
            <w:r w:rsidRPr="00E80D3A">
              <w:rPr>
                <w:b w:val="0"/>
                <w:color w:val="000000"/>
                <w:sz w:val="18"/>
                <w:szCs w:val="24"/>
              </w:rPr>
              <w:t xml:space="preserve"> гена </w:t>
            </w:r>
            <w:r w:rsidRPr="00E80D3A">
              <w:rPr>
                <w:b w:val="0"/>
                <w:i/>
                <w:iCs/>
                <w:color w:val="000000"/>
                <w:sz w:val="18"/>
                <w:szCs w:val="24"/>
              </w:rPr>
              <w:t>rpoB</w:t>
            </w:r>
            <w:r w:rsidRPr="00E80D3A">
              <w:rPr>
                <w:b w:val="0"/>
                <w:color w:val="000000"/>
                <w:sz w:val="18"/>
                <w:szCs w:val="24"/>
              </w:rPr>
              <w:t xml:space="preserve">, пов’язані з резистентністю до RIF. У деяких випадках мутації у гені </w:t>
            </w:r>
            <w:r w:rsidRPr="00E80D3A">
              <w:rPr>
                <w:b w:val="0"/>
                <w:i/>
                <w:iCs/>
                <w:color w:val="000000"/>
                <w:sz w:val="18"/>
                <w:szCs w:val="24"/>
              </w:rPr>
              <w:t>rpoB</w:t>
            </w:r>
            <w:r w:rsidRPr="00E80D3A">
              <w:rPr>
                <w:b w:val="0"/>
                <w:color w:val="000000"/>
                <w:sz w:val="18"/>
                <w:szCs w:val="24"/>
              </w:rPr>
              <w:t xml:space="preserve"> за межами RRDR пов’язані з резистентністю до RIF, що вимагатиме лікування ЛС-ТБ. Секвенування необхідно розглядати у разі високої підозри на резистентність.</w:t>
            </w:r>
          </w:p>
        </w:tc>
      </w:tr>
      <w:tr w:rsidR="00366CB9" w14:paraId="79681D28" w14:textId="77777777" w:rsidTr="007751D5">
        <w:trPr>
          <w:trHeight w:hRule="exact" w:val="3419"/>
        </w:trPr>
        <w:tc>
          <w:tcPr>
            <w:tcW w:w="557" w:type="dxa"/>
            <w:vMerge/>
            <w:tcBorders>
              <w:top w:val="single" w:sz="8" w:space="0" w:color="00B050"/>
            </w:tcBorders>
            <w:shd w:val="clear" w:color="auto" w:fill="9FC39D"/>
            <w:textDirection w:val="btLr"/>
          </w:tcPr>
          <w:p w14:paraId="0880807A" w14:textId="77777777" w:rsidR="00366CB9" w:rsidRDefault="00366CB9" w:rsidP="001F35DC"/>
        </w:tc>
        <w:tc>
          <w:tcPr>
            <w:tcW w:w="1646" w:type="dxa"/>
            <w:tcBorders>
              <w:top w:val="single" w:sz="8" w:space="0" w:color="00B050"/>
              <w:left w:val="nil"/>
              <w:bottom w:val="single" w:sz="8" w:space="0" w:color="00B050"/>
            </w:tcBorders>
            <w:shd w:val="clear" w:color="auto" w:fill="FFFFFF"/>
            <w:textDirection w:val="btLr"/>
          </w:tcPr>
          <w:p w14:paraId="44CD7AD2" w14:textId="77777777" w:rsidR="00366CB9" w:rsidRPr="00E80D3A" w:rsidRDefault="00366CB9" w:rsidP="001F35DC">
            <w:pPr>
              <w:rPr>
                <w:sz w:val="18"/>
              </w:rPr>
            </w:pPr>
          </w:p>
        </w:tc>
        <w:tc>
          <w:tcPr>
            <w:tcW w:w="2338" w:type="dxa"/>
            <w:tcBorders>
              <w:top w:val="single" w:sz="8" w:space="0" w:color="00B050"/>
              <w:bottom w:val="single" w:sz="8" w:space="0" w:color="00B050"/>
            </w:tcBorders>
            <w:shd w:val="clear" w:color="auto" w:fill="FFFFFF"/>
          </w:tcPr>
          <w:p w14:paraId="19EDB477" w14:textId="77777777" w:rsidR="00366CB9" w:rsidRPr="00E80D3A" w:rsidRDefault="009D0C1D" w:rsidP="001F35DC">
            <w:pPr>
              <w:pStyle w:val="a6"/>
              <w:shd w:val="clear" w:color="auto" w:fill="auto"/>
              <w:spacing w:before="100" w:line="307" w:lineRule="auto"/>
              <w:rPr>
                <w:sz w:val="18"/>
                <w:szCs w:val="24"/>
              </w:rPr>
            </w:pPr>
            <w:r w:rsidRPr="00E80D3A">
              <w:rPr>
                <w:b w:val="0"/>
                <w:color w:val="000000"/>
                <w:sz w:val="18"/>
                <w:szCs w:val="24"/>
              </w:rPr>
              <w:t>Автоматизовані NAAT середньої складності Автоматизовані NAAT низької складності LPA</w:t>
            </w:r>
          </w:p>
          <w:p w14:paraId="4F30FB77" w14:textId="77777777" w:rsidR="00366CB9" w:rsidRPr="00E80D3A" w:rsidRDefault="009D0C1D" w:rsidP="001F35DC">
            <w:pPr>
              <w:pStyle w:val="a6"/>
              <w:shd w:val="clear" w:color="auto" w:fill="auto"/>
              <w:spacing w:line="307" w:lineRule="auto"/>
              <w:rPr>
                <w:sz w:val="18"/>
                <w:szCs w:val="24"/>
              </w:rPr>
            </w:pPr>
            <w:r w:rsidRPr="00E80D3A">
              <w:rPr>
                <w:b w:val="0"/>
                <w:color w:val="000000"/>
                <w:sz w:val="18"/>
                <w:szCs w:val="24"/>
              </w:rPr>
              <w:t>Цільове СНП</w:t>
            </w:r>
          </w:p>
        </w:tc>
        <w:tc>
          <w:tcPr>
            <w:tcW w:w="2174" w:type="dxa"/>
            <w:tcBorders>
              <w:top w:val="single" w:sz="8" w:space="0" w:color="00B050"/>
              <w:bottom w:val="single" w:sz="8" w:space="0" w:color="00B050"/>
            </w:tcBorders>
            <w:shd w:val="clear" w:color="auto" w:fill="FFFFFF"/>
          </w:tcPr>
          <w:p w14:paraId="252BF3F3" w14:textId="77777777" w:rsidR="00366CB9" w:rsidRPr="00E80D3A" w:rsidRDefault="009D0C1D" w:rsidP="001F35DC">
            <w:pPr>
              <w:pStyle w:val="a6"/>
              <w:shd w:val="clear" w:color="auto" w:fill="auto"/>
              <w:spacing w:before="100" w:line="271" w:lineRule="auto"/>
              <w:rPr>
                <w:sz w:val="18"/>
                <w:szCs w:val="24"/>
              </w:rPr>
            </w:pPr>
            <w:r w:rsidRPr="00E80D3A">
              <w:rPr>
                <w:b w:val="0"/>
                <w:color w:val="000000"/>
                <w:sz w:val="18"/>
                <w:szCs w:val="24"/>
              </w:rPr>
              <w:t>Надійний та відтворюваний під час тестування КК у всіх середовищах</w:t>
            </w:r>
          </w:p>
        </w:tc>
        <w:tc>
          <w:tcPr>
            <w:tcW w:w="2218" w:type="dxa"/>
            <w:tcBorders>
              <w:top w:val="single" w:sz="8" w:space="0" w:color="00B050"/>
              <w:bottom w:val="single" w:sz="8" w:space="0" w:color="00B050"/>
            </w:tcBorders>
            <w:shd w:val="clear" w:color="auto" w:fill="FFFFFF"/>
          </w:tcPr>
          <w:p w14:paraId="223A8473" w14:textId="77777777" w:rsidR="00366CB9" w:rsidRPr="00E80D3A" w:rsidRDefault="009D0C1D" w:rsidP="001F35DC">
            <w:pPr>
              <w:pStyle w:val="a6"/>
              <w:shd w:val="clear" w:color="auto" w:fill="auto"/>
              <w:spacing w:before="100"/>
              <w:rPr>
                <w:sz w:val="18"/>
                <w:szCs w:val="24"/>
              </w:rPr>
            </w:pPr>
            <w:r w:rsidRPr="00E80D3A">
              <w:rPr>
                <w:b w:val="0"/>
                <w:color w:val="000000"/>
                <w:sz w:val="18"/>
                <w:szCs w:val="24"/>
              </w:rPr>
              <w:t>MGIT</w:t>
            </w:r>
          </w:p>
        </w:tc>
        <w:tc>
          <w:tcPr>
            <w:tcW w:w="5078" w:type="dxa"/>
            <w:tcBorders>
              <w:top w:val="single" w:sz="8" w:space="0" w:color="00B050"/>
              <w:bottom w:val="single" w:sz="8" w:space="0" w:color="00B050"/>
            </w:tcBorders>
            <w:shd w:val="clear" w:color="auto" w:fill="FFFFFF"/>
          </w:tcPr>
          <w:p w14:paraId="39F7FB15" w14:textId="77777777" w:rsidR="00366CB9" w:rsidRPr="00E80D3A" w:rsidRDefault="009D0C1D" w:rsidP="00E80D3A">
            <w:pPr>
              <w:pStyle w:val="a6"/>
              <w:shd w:val="clear" w:color="auto" w:fill="auto"/>
              <w:spacing w:before="60" w:line="271" w:lineRule="auto"/>
              <w:ind w:left="140"/>
              <w:rPr>
                <w:sz w:val="18"/>
                <w:szCs w:val="24"/>
              </w:rPr>
            </w:pPr>
            <w:r w:rsidRPr="00E80D3A">
              <w:rPr>
                <w:b w:val="0"/>
                <w:color w:val="000000"/>
                <w:sz w:val="18"/>
                <w:szCs w:val="24"/>
              </w:rPr>
              <w:t xml:space="preserve">У разі виявлення специфічних мутацій промотора </w:t>
            </w:r>
            <w:r w:rsidRPr="00E80D3A">
              <w:rPr>
                <w:b w:val="0"/>
                <w:i/>
                <w:iCs/>
                <w:color w:val="000000"/>
                <w:sz w:val="18"/>
                <w:szCs w:val="24"/>
              </w:rPr>
              <w:t>inhA</w:t>
            </w:r>
            <w:r w:rsidRPr="00E80D3A">
              <w:rPr>
                <w:b w:val="0"/>
                <w:color w:val="000000"/>
                <w:sz w:val="18"/>
                <w:szCs w:val="24"/>
              </w:rPr>
              <w:t xml:space="preserve"> за відсутності будь-яких мутацій </w:t>
            </w:r>
            <w:r w:rsidRPr="00E80D3A">
              <w:rPr>
                <w:b w:val="0"/>
                <w:i/>
                <w:iCs/>
                <w:color w:val="000000"/>
                <w:sz w:val="18"/>
                <w:szCs w:val="24"/>
              </w:rPr>
              <w:t>katG</w:t>
            </w:r>
            <w:r w:rsidRPr="00E80D3A">
              <w:rPr>
                <w:b w:val="0"/>
                <w:color w:val="000000"/>
                <w:sz w:val="18"/>
                <w:szCs w:val="24"/>
              </w:rPr>
              <w:t xml:space="preserve"> ефективним є підвищення дози INH. Для вибору пацієнтів в рамках схеми (H)RZE-LFX перевагу віддають NAAT та LPA низької та середньої складності для виявлення RIF та INH. Резистентність до RIF слід виключити до розглядання схеми Hr-TB, а резистентність до FQ слід виключити якнайшвидше Цільове СНП (для швидшого отримання результатів) або фенотипове ТМЧ необхідно розглядати у разі високої підозри на резистентність та чутливості початкового експрес-тесту.</w:t>
            </w:r>
          </w:p>
        </w:tc>
      </w:tr>
    </w:tbl>
    <w:tbl>
      <w:tblPr>
        <w:tblOverlap w:val="never"/>
        <w:tblW w:w="0" w:type="auto"/>
        <w:tblLayout w:type="fixed"/>
        <w:tblCellMar>
          <w:left w:w="10" w:type="dxa"/>
          <w:right w:w="10" w:type="dxa"/>
        </w:tblCellMar>
        <w:tblLook w:val="0000" w:firstRow="0" w:lastRow="0" w:firstColumn="0" w:lastColumn="0" w:noHBand="0" w:noVBand="0"/>
      </w:tblPr>
      <w:tblGrid>
        <w:gridCol w:w="154"/>
      </w:tblGrid>
      <w:tr w:rsidR="00366CB9" w14:paraId="14EE146D" w14:textId="77777777">
        <w:trPr>
          <w:trHeight w:hRule="exact" w:val="2856"/>
        </w:trPr>
        <w:tc>
          <w:tcPr>
            <w:tcW w:w="154" w:type="dxa"/>
            <w:shd w:val="clear" w:color="auto" w:fill="FFFFFF"/>
            <w:textDirection w:val="tbRl"/>
          </w:tcPr>
          <w:p w14:paraId="2A338124" w14:textId="77777777" w:rsidR="00366CB9" w:rsidRDefault="009D0C1D" w:rsidP="00425523">
            <w:pPr>
              <w:pStyle w:val="a6"/>
              <w:framePr w:w="154" w:h="3451" w:wrap="none" w:vAnchor="page" w:hAnchor="page" w:x="709" w:y="7645"/>
              <w:shd w:val="clear" w:color="auto" w:fill="auto"/>
              <w:rPr>
                <w:sz w:val="15"/>
                <w:szCs w:val="15"/>
              </w:rPr>
            </w:pPr>
            <w:r>
              <w:rPr>
                <w:b w:val="0"/>
                <w:color w:val="019648"/>
                <w:sz w:val="15"/>
              </w:rPr>
              <w:t>2. Тести на ТБ з рекомендаціями ВООЗ</w:t>
            </w:r>
          </w:p>
        </w:tc>
      </w:tr>
      <w:tr w:rsidR="00366CB9" w14:paraId="67389A51" w14:textId="77777777">
        <w:trPr>
          <w:trHeight w:hRule="exact" w:val="595"/>
        </w:trPr>
        <w:tc>
          <w:tcPr>
            <w:tcW w:w="154" w:type="dxa"/>
            <w:shd w:val="clear" w:color="auto" w:fill="FFFFFF"/>
            <w:textDirection w:val="tbRl"/>
          </w:tcPr>
          <w:p w14:paraId="0C9264FB" w14:textId="77777777" w:rsidR="00366CB9" w:rsidRDefault="009D0C1D" w:rsidP="00425523">
            <w:pPr>
              <w:pStyle w:val="a6"/>
              <w:framePr w:w="154" w:h="3451" w:wrap="none" w:vAnchor="page" w:hAnchor="page" w:x="709" w:y="7645"/>
              <w:shd w:val="clear" w:color="auto" w:fill="auto"/>
              <w:ind w:firstLine="380"/>
              <w:jc w:val="both"/>
              <w:rPr>
                <w:sz w:val="15"/>
                <w:szCs w:val="15"/>
              </w:rPr>
            </w:pPr>
            <w:r>
              <w:rPr>
                <w:b w:val="0"/>
                <w:color w:val="019648"/>
                <w:sz w:val="15"/>
              </w:rPr>
              <w:t>49</w:t>
            </w:r>
          </w:p>
        </w:tc>
      </w:tr>
    </w:tbl>
    <w:p w14:paraId="01850AEB" w14:textId="77777777" w:rsidR="00366CB9" w:rsidRDefault="00366CB9" w:rsidP="00425523">
      <w:pPr>
        <w:spacing w:line="1" w:lineRule="exact"/>
        <w:sectPr w:rsidR="00366CB9" w:rsidSect="001F35DC">
          <w:footerReference w:type="default" r:id="rId82"/>
          <w:pgSz w:w="16840" w:h="11913" w:orient="landscape"/>
          <w:pgMar w:top="1412" w:right="1304" w:bottom="851" w:left="1508" w:header="0" w:footer="6" w:gutter="0"/>
          <w:paperSrc w:first="15" w:other="15"/>
          <w:cols w:space="720"/>
          <w:noEndnote/>
          <w:docGrid w:linePitch="360"/>
        </w:sectPr>
      </w:pPr>
    </w:p>
    <w:p w14:paraId="680085A7"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576"/>
        <w:gridCol w:w="1627"/>
        <w:gridCol w:w="2342"/>
        <w:gridCol w:w="2170"/>
        <w:gridCol w:w="2222"/>
        <w:gridCol w:w="5117"/>
      </w:tblGrid>
      <w:tr w:rsidR="00366CB9" w:rsidRPr="00E80D3A" w14:paraId="33FF6279" w14:textId="77777777" w:rsidTr="007751D5">
        <w:trPr>
          <w:trHeight w:hRule="exact" w:val="461"/>
        </w:trPr>
        <w:tc>
          <w:tcPr>
            <w:tcW w:w="2203" w:type="dxa"/>
            <w:gridSpan w:val="2"/>
            <w:tcBorders>
              <w:top w:val="single" w:sz="8" w:space="0" w:color="00B050"/>
              <w:left w:val="single" w:sz="8" w:space="0" w:color="00B050"/>
              <w:bottom w:val="single" w:sz="8" w:space="0" w:color="00B050"/>
              <w:right w:val="single" w:sz="8" w:space="0" w:color="00B050"/>
            </w:tcBorders>
            <w:shd w:val="clear" w:color="auto" w:fill="62A86A"/>
            <w:vAlign w:val="center"/>
          </w:tcPr>
          <w:p w14:paraId="77143EEB" w14:textId="77777777" w:rsidR="00366CB9" w:rsidRPr="00E80D3A" w:rsidRDefault="009D0C1D" w:rsidP="00854441">
            <w:pPr>
              <w:pStyle w:val="a6"/>
              <w:shd w:val="clear" w:color="auto" w:fill="auto"/>
              <w:rPr>
                <w:sz w:val="18"/>
                <w:szCs w:val="24"/>
              </w:rPr>
            </w:pPr>
            <w:r w:rsidRPr="00E80D3A">
              <w:rPr>
                <w:color w:val="FFFFFF"/>
                <w:sz w:val="18"/>
                <w:szCs w:val="24"/>
              </w:rPr>
              <w:t>Лікарський засіб</w:t>
            </w:r>
          </w:p>
        </w:tc>
        <w:tc>
          <w:tcPr>
            <w:tcW w:w="234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EBEAE36" w14:textId="77777777" w:rsidR="00366CB9" w:rsidRPr="00E80D3A" w:rsidRDefault="009D0C1D" w:rsidP="00854441">
            <w:pPr>
              <w:pStyle w:val="a6"/>
              <w:shd w:val="clear" w:color="auto" w:fill="auto"/>
              <w:rPr>
                <w:sz w:val="18"/>
                <w:szCs w:val="24"/>
              </w:rPr>
            </w:pPr>
            <w:r w:rsidRPr="00E80D3A">
              <w:rPr>
                <w:color w:val="FFFFFF"/>
                <w:sz w:val="18"/>
                <w:szCs w:val="24"/>
              </w:rPr>
              <w:t>Генотипове ТМЧ</w:t>
            </w:r>
          </w:p>
        </w:tc>
        <w:tc>
          <w:tcPr>
            <w:tcW w:w="217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42E3CBC" w14:textId="77777777" w:rsidR="00366CB9" w:rsidRPr="00E80D3A" w:rsidRDefault="009D0C1D" w:rsidP="00854441">
            <w:pPr>
              <w:pStyle w:val="a6"/>
              <w:shd w:val="clear" w:color="auto" w:fill="auto"/>
              <w:rPr>
                <w:sz w:val="18"/>
                <w:szCs w:val="24"/>
              </w:rPr>
            </w:pPr>
            <w:r w:rsidRPr="00E80D3A">
              <w:rPr>
                <w:color w:val="FFFFFF"/>
                <w:sz w:val="18"/>
                <w:szCs w:val="24"/>
              </w:rPr>
              <w:t>Фенотипове ТМЧ</w:t>
            </w:r>
          </w:p>
        </w:tc>
        <w:tc>
          <w:tcPr>
            <w:tcW w:w="222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CDCE073" w14:textId="77777777" w:rsidR="00366CB9" w:rsidRPr="00E80D3A" w:rsidRDefault="009D0C1D" w:rsidP="00854441">
            <w:pPr>
              <w:pStyle w:val="a6"/>
              <w:shd w:val="clear" w:color="auto" w:fill="auto"/>
              <w:rPr>
                <w:sz w:val="18"/>
                <w:szCs w:val="24"/>
              </w:rPr>
            </w:pPr>
            <w:r w:rsidRPr="00E80D3A">
              <w:rPr>
                <w:color w:val="FFFFFF"/>
                <w:sz w:val="18"/>
                <w:szCs w:val="24"/>
              </w:rPr>
              <w:t>Еталонний метод</w:t>
            </w:r>
          </w:p>
        </w:tc>
        <w:tc>
          <w:tcPr>
            <w:tcW w:w="511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09B61B0" w14:textId="77777777" w:rsidR="00366CB9" w:rsidRPr="00E80D3A" w:rsidRDefault="009D0C1D" w:rsidP="00854441">
            <w:pPr>
              <w:pStyle w:val="a6"/>
              <w:shd w:val="clear" w:color="auto" w:fill="auto"/>
              <w:ind w:firstLine="140"/>
              <w:rPr>
                <w:sz w:val="18"/>
                <w:szCs w:val="24"/>
              </w:rPr>
            </w:pPr>
            <w:r w:rsidRPr="00E80D3A">
              <w:rPr>
                <w:color w:val="FFFFFF"/>
                <w:sz w:val="18"/>
                <w:szCs w:val="24"/>
              </w:rPr>
              <w:t>Коментар</w:t>
            </w:r>
          </w:p>
        </w:tc>
      </w:tr>
      <w:tr w:rsidR="00366CB9" w:rsidRPr="00E80D3A" w14:paraId="47C41C5D" w14:textId="77777777" w:rsidTr="007751D5">
        <w:trPr>
          <w:trHeight w:hRule="exact" w:val="2352"/>
        </w:trPr>
        <w:tc>
          <w:tcPr>
            <w:tcW w:w="576" w:type="dxa"/>
            <w:vMerge w:val="restart"/>
            <w:tcBorders>
              <w:top w:val="single" w:sz="8" w:space="0" w:color="00B050"/>
            </w:tcBorders>
            <w:shd w:val="clear" w:color="auto" w:fill="9FC39D"/>
            <w:textDirection w:val="btLr"/>
          </w:tcPr>
          <w:p w14:paraId="67718503" w14:textId="77777777" w:rsidR="00366CB9" w:rsidRPr="00E80D3A" w:rsidRDefault="009D0C1D" w:rsidP="001F35DC">
            <w:pPr>
              <w:pStyle w:val="a6"/>
              <w:shd w:val="clear" w:color="auto" w:fill="auto"/>
              <w:spacing w:before="120"/>
              <w:jc w:val="center"/>
              <w:rPr>
                <w:bCs w:val="0"/>
                <w:sz w:val="18"/>
                <w:szCs w:val="24"/>
              </w:rPr>
            </w:pPr>
            <w:r w:rsidRPr="00E80D3A">
              <w:rPr>
                <w:bCs w:val="0"/>
                <w:color w:val="000000"/>
                <w:sz w:val="18"/>
                <w:szCs w:val="24"/>
              </w:rPr>
              <w:t>Протитуберкульозі препарати другої лінії групи А</w:t>
            </w:r>
          </w:p>
        </w:tc>
        <w:tc>
          <w:tcPr>
            <w:tcW w:w="1627" w:type="dxa"/>
            <w:tcBorders>
              <w:top w:val="single" w:sz="8" w:space="0" w:color="00B050"/>
              <w:left w:val="nil"/>
              <w:bottom w:val="single" w:sz="8" w:space="0" w:color="00B050"/>
            </w:tcBorders>
            <w:shd w:val="clear" w:color="auto" w:fill="FFFFFF"/>
          </w:tcPr>
          <w:p w14:paraId="0908A1C1"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Левофлоксацин</w:t>
            </w:r>
          </w:p>
        </w:tc>
        <w:tc>
          <w:tcPr>
            <w:tcW w:w="2342" w:type="dxa"/>
            <w:tcBorders>
              <w:top w:val="single" w:sz="8" w:space="0" w:color="00B050"/>
              <w:bottom w:val="single" w:sz="8" w:space="0" w:color="00B050"/>
            </w:tcBorders>
            <w:shd w:val="clear" w:color="auto" w:fill="FFFFFF"/>
          </w:tcPr>
          <w:p w14:paraId="2B321E8A" w14:textId="77777777" w:rsidR="00366CB9" w:rsidRPr="00E80D3A" w:rsidRDefault="009D0C1D" w:rsidP="00854441">
            <w:pPr>
              <w:pStyle w:val="a6"/>
              <w:shd w:val="clear" w:color="auto" w:fill="auto"/>
              <w:spacing w:before="100" w:line="317" w:lineRule="auto"/>
              <w:rPr>
                <w:sz w:val="18"/>
                <w:szCs w:val="24"/>
              </w:rPr>
            </w:pPr>
            <w:r w:rsidRPr="00E80D3A">
              <w:rPr>
                <w:b w:val="0"/>
                <w:color w:val="000000"/>
                <w:sz w:val="18"/>
                <w:szCs w:val="24"/>
              </w:rPr>
              <w:t>Автоматизовані NAAT низької складності LPA</w:t>
            </w:r>
          </w:p>
          <w:p w14:paraId="3CCA5B2A" w14:textId="77777777" w:rsidR="00366CB9" w:rsidRPr="00E80D3A" w:rsidRDefault="009D0C1D" w:rsidP="00854441">
            <w:pPr>
              <w:pStyle w:val="a6"/>
              <w:shd w:val="clear" w:color="auto" w:fill="auto"/>
              <w:spacing w:line="317" w:lineRule="auto"/>
              <w:rPr>
                <w:sz w:val="18"/>
                <w:szCs w:val="24"/>
              </w:rPr>
            </w:pPr>
            <w:r w:rsidRPr="00E80D3A">
              <w:rPr>
                <w:b w:val="0"/>
                <w:color w:val="000000"/>
                <w:sz w:val="18"/>
                <w:szCs w:val="24"/>
              </w:rPr>
              <w:t>Цільове СНП</w:t>
            </w:r>
          </w:p>
        </w:tc>
        <w:tc>
          <w:tcPr>
            <w:tcW w:w="2170" w:type="dxa"/>
            <w:tcBorders>
              <w:top w:val="single" w:sz="8" w:space="0" w:color="00B050"/>
              <w:bottom w:val="single" w:sz="8" w:space="0" w:color="00B050"/>
            </w:tcBorders>
            <w:shd w:val="clear" w:color="auto" w:fill="FFFFFF"/>
          </w:tcPr>
          <w:p w14:paraId="3A183B97" w14:textId="77777777" w:rsidR="00366CB9" w:rsidRPr="00E80D3A" w:rsidRDefault="009D0C1D" w:rsidP="00854441">
            <w:pPr>
              <w:pStyle w:val="a6"/>
              <w:shd w:val="clear" w:color="auto" w:fill="auto"/>
              <w:spacing w:before="100" w:line="266" w:lineRule="auto"/>
              <w:rPr>
                <w:sz w:val="18"/>
                <w:szCs w:val="24"/>
              </w:rPr>
            </w:pPr>
            <w:r w:rsidRPr="00E80D3A">
              <w:rPr>
                <w:b w:val="0"/>
                <w:color w:val="000000"/>
                <w:sz w:val="18"/>
                <w:szCs w:val="24"/>
              </w:rPr>
              <w:t>Надійне та відтворюване під час тестування КК у СЛЄ, середовищах 7H10 та MGIT</w:t>
            </w:r>
            <w:r w:rsidRPr="00E80D3A">
              <w:rPr>
                <w:b w:val="0"/>
                <w:color w:val="000000"/>
                <w:sz w:val="18"/>
                <w:szCs w:val="24"/>
                <w:vertAlign w:val="superscript"/>
              </w:rPr>
              <w:t>a</w:t>
            </w:r>
          </w:p>
        </w:tc>
        <w:tc>
          <w:tcPr>
            <w:tcW w:w="2222" w:type="dxa"/>
            <w:tcBorders>
              <w:top w:val="single" w:sz="8" w:space="0" w:color="00B050"/>
              <w:bottom w:val="single" w:sz="8" w:space="0" w:color="00B050"/>
            </w:tcBorders>
            <w:shd w:val="clear" w:color="auto" w:fill="FFFFFF"/>
          </w:tcPr>
          <w:p w14:paraId="4EB2E7D2"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MGIT</w:t>
            </w:r>
          </w:p>
        </w:tc>
        <w:tc>
          <w:tcPr>
            <w:tcW w:w="5117" w:type="dxa"/>
            <w:tcBorders>
              <w:top w:val="single" w:sz="8" w:space="0" w:color="00B050"/>
              <w:bottom w:val="single" w:sz="8" w:space="0" w:color="00B050"/>
            </w:tcBorders>
            <w:shd w:val="clear" w:color="auto" w:fill="FFFFFF"/>
          </w:tcPr>
          <w:p w14:paraId="40744692" w14:textId="77777777" w:rsidR="00366CB9" w:rsidRPr="00E80D3A" w:rsidRDefault="009D0C1D" w:rsidP="00854441">
            <w:pPr>
              <w:pStyle w:val="a6"/>
              <w:shd w:val="clear" w:color="auto" w:fill="auto"/>
              <w:spacing w:line="286" w:lineRule="auto"/>
              <w:ind w:left="140"/>
              <w:rPr>
                <w:sz w:val="18"/>
                <w:szCs w:val="24"/>
              </w:rPr>
            </w:pPr>
            <w:r w:rsidRPr="00E80D3A">
              <w:rPr>
                <w:b w:val="0"/>
                <w:color w:val="000000"/>
                <w:sz w:val="18"/>
                <w:szCs w:val="24"/>
              </w:rPr>
              <w:t>Штами з відомими або припущеними мутаціями резистентності слід вважати стійкими. Більшість штамів без мутацій необхідно класифікувати як чутливі; однак штам без мутацій, виявлених за допомогою NAAT або LPA, все ще може бути стійким. Цільове СНП (для швидшого отримання результатів) або фенотипове ТМЧ необхідно розглядати у разі високої підозри на резистентність.</w:t>
            </w:r>
          </w:p>
        </w:tc>
      </w:tr>
      <w:tr w:rsidR="00366CB9" w:rsidRPr="00E80D3A" w14:paraId="189AC20E" w14:textId="77777777" w:rsidTr="007751D5">
        <w:trPr>
          <w:trHeight w:hRule="exact" w:val="1574"/>
        </w:trPr>
        <w:tc>
          <w:tcPr>
            <w:tcW w:w="576" w:type="dxa"/>
            <w:vMerge/>
            <w:tcBorders>
              <w:top w:val="single" w:sz="8" w:space="0" w:color="00B050"/>
            </w:tcBorders>
            <w:shd w:val="clear" w:color="auto" w:fill="9FC39D"/>
            <w:textDirection w:val="btLr"/>
          </w:tcPr>
          <w:p w14:paraId="49810702" w14:textId="77777777" w:rsidR="00366CB9" w:rsidRPr="00E80D3A" w:rsidRDefault="00366CB9" w:rsidP="001F35DC">
            <w:pPr>
              <w:rPr>
                <w:sz w:val="18"/>
              </w:rPr>
            </w:pPr>
          </w:p>
        </w:tc>
        <w:tc>
          <w:tcPr>
            <w:tcW w:w="1627" w:type="dxa"/>
            <w:tcBorders>
              <w:top w:val="single" w:sz="8" w:space="0" w:color="00B050"/>
              <w:left w:val="nil"/>
              <w:bottom w:val="single" w:sz="8" w:space="0" w:color="00B050"/>
            </w:tcBorders>
            <w:shd w:val="clear" w:color="auto" w:fill="FFFFFF"/>
          </w:tcPr>
          <w:p w14:paraId="75F6AECA"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Моксифлоксацин</w:t>
            </w:r>
          </w:p>
          <w:p w14:paraId="139C7E23" w14:textId="77777777" w:rsidR="00366CB9" w:rsidRPr="00E80D3A" w:rsidRDefault="009D0C1D" w:rsidP="00854441">
            <w:pPr>
              <w:pStyle w:val="a6"/>
              <w:shd w:val="clear" w:color="auto" w:fill="auto"/>
              <w:rPr>
                <w:sz w:val="18"/>
                <w:szCs w:val="24"/>
              </w:rPr>
            </w:pPr>
            <w:r w:rsidRPr="00E80D3A">
              <w:rPr>
                <w:b w:val="0"/>
                <w:color w:val="000000"/>
                <w:sz w:val="18"/>
                <w:szCs w:val="24"/>
              </w:rPr>
              <w:t>(КК)</w:t>
            </w:r>
          </w:p>
        </w:tc>
        <w:tc>
          <w:tcPr>
            <w:tcW w:w="2342" w:type="dxa"/>
            <w:tcBorders>
              <w:top w:val="single" w:sz="8" w:space="0" w:color="00B050"/>
              <w:bottom w:val="single" w:sz="8" w:space="0" w:color="00B050"/>
            </w:tcBorders>
            <w:shd w:val="clear" w:color="auto" w:fill="FFFFFF"/>
          </w:tcPr>
          <w:p w14:paraId="759FB6D7" w14:textId="77777777" w:rsidR="00366CB9" w:rsidRPr="00E80D3A" w:rsidRDefault="009D0C1D" w:rsidP="00854441">
            <w:pPr>
              <w:pStyle w:val="a6"/>
              <w:shd w:val="clear" w:color="auto" w:fill="auto"/>
              <w:spacing w:line="317" w:lineRule="auto"/>
              <w:rPr>
                <w:sz w:val="18"/>
                <w:szCs w:val="24"/>
              </w:rPr>
            </w:pPr>
            <w:r w:rsidRPr="00E80D3A">
              <w:rPr>
                <w:b w:val="0"/>
                <w:color w:val="000000"/>
                <w:sz w:val="18"/>
                <w:szCs w:val="24"/>
              </w:rPr>
              <w:t>Автоматизовані NAAT низької складності LPA</w:t>
            </w:r>
          </w:p>
          <w:p w14:paraId="0B3643CE" w14:textId="77777777" w:rsidR="00366CB9" w:rsidRPr="00E80D3A" w:rsidRDefault="009D0C1D" w:rsidP="00854441">
            <w:pPr>
              <w:pStyle w:val="a6"/>
              <w:shd w:val="clear" w:color="auto" w:fill="auto"/>
              <w:spacing w:line="317" w:lineRule="auto"/>
              <w:rPr>
                <w:sz w:val="18"/>
                <w:szCs w:val="24"/>
              </w:rPr>
            </w:pPr>
            <w:r w:rsidRPr="00E80D3A">
              <w:rPr>
                <w:b w:val="0"/>
                <w:color w:val="000000"/>
                <w:sz w:val="18"/>
                <w:szCs w:val="24"/>
              </w:rPr>
              <w:t>Цільове СНП</w:t>
            </w:r>
          </w:p>
        </w:tc>
        <w:tc>
          <w:tcPr>
            <w:tcW w:w="2170" w:type="dxa"/>
            <w:tcBorders>
              <w:top w:val="single" w:sz="8" w:space="0" w:color="00B050"/>
              <w:bottom w:val="single" w:sz="8" w:space="0" w:color="00B050"/>
            </w:tcBorders>
            <w:shd w:val="clear" w:color="auto" w:fill="FFFFFF"/>
          </w:tcPr>
          <w:p w14:paraId="3BD3E651" w14:textId="77777777" w:rsidR="00366CB9" w:rsidRPr="00E80D3A" w:rsidRDefault="009D0C1D" w:rsidP="00854441">
            <w:pPr>
              <w:pStyle w:val="a6"/>
              <w:shd w:val="clear" w:color="auto" w:fill="auto"/>
              <w:spacing w:line="269" w:lineRule="auto"/>
              <w:rPr>
                <w:sz w:val="18"/>
                <w:szCs w:val="24"/>
              </w:rPr>
            </w:pPr>
            <w:r w:rsidRPr="00E80D3A">
              <w:rPr>
                <w:b w:val="0"/>
                <w:color w:val="000000"/>
                <w:sz w:val="18"/>
                <w:szCs w:val="24"/>
              </w:rPr>
              <w:t>Надійне та відтворюване під час тестування КК у СЛЄ, середовищах 7H10, 7H11 та MGIT</w:t>
            </w:r>
            <w:r w:rsidRPr="00E80D3A">
              <w:rPr>
                <w:b w:val="0"/>
                <w:color w:val="000000"/>
                <w:sz w:val="18"/>
                <w:szCs w:val="24"/>
                <w:vertAlign w:val="superscript"/>
              </w:rPr>
              <w:t>a</w:t>
            </w:r>
          </w:p>
        </w:tc>
        <w:tc>
          <w:tcPr>
            <w:tcW w:w="2222" w:type="dxa"/>
            <w:tcBorders>
              <w:top w:val="single" w:sz="8" w:space="0" w:color="00B050"/>
              <w:bottom w:val="single" w:sz="8" w:space="0" w:color="00B050"/>
            </w:tcBorders>
            <w:shd w:val="clear" w:color="auto" w:fill="FFFFFF"/>
          </w:tcPr>
          <w:p w14:paraId="4B3778E8"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MGIT</w:t>
            </w:r>
          </w:p>
        </w:tc>
        <w:tc>
          <w:tcPr>
            <w:tcW w:w="5117" w:type="dxa"/>
            <w:tcBorders>
              <w:top w:val="single" w:sz="8" w:space="0" w:color="00B050"/>
              <w:bottom w:val="single" w:sz="8" w:space="0" w:color="00B050"/>
            </w:tcBorders>
            <w:shd w:val="clear" w:color="auto" w:fill="FFFFFF"/>
          </w:tcPr>
          <w:p w14:paraId="2A264110" w14:textId="77777777" w:rsidR="00366CB9" w:rsidRPr="00E80D3A" w:rsidRDefault="009D0C1D" w:rsidP="00854441">
            <w:pPr>
              <w:pStyle w:val="a6"/>
              <w:shd w:val="clear" w:color="auto" w:fill="auto"/>
              <w:spacing w:line="293" w:lineRule="auto"/>
              <w:ind w:left="140"/>
              <w:rPr>
                <w:sz w:val="18"/>
                <w:szCs w:val="24"/>
              </w:rPr>
            </w:pPr>
            <w:r w:rsidRPr="00E80D3A">
              <w:rPr>
                <w:b w:val="0"/>
                <w:color w:val="000000"/>
                <w:sz w:val="18"/>
                <w:szCs w:val="24"/>
              </w:rPr>
              <w:t>Штам ТБ без мутацій, виявлених за допомогою LPA або Xpert MTB/XDR, все ще може бути стійким. Для підтвердження концентрацій КК та ККТ необхідно застосовувати цільове СНП (для швидшого отримання результатів) або фенотипове ТМЧ.</w:t>
            </w:r>
          </w:p>
        </w:tc>
      </w:tr>
      <w:tr w:rsidR="00366CB9" w:rsidRPr="00E80D3A" w14:paraId="6166C7B9" w14:textId="77777777" w:rsidTr="007751D5">
        <w:trPr>
          <w:trHeight w:hRule="exact" w:val="1731"/>
        </w:trPr>
        <w:tc>
          <w:tcPr>
            <w:tcW w:w="576" w:type="dxa"/>
            <w:vMerge/>
            <w:tcBorders>
              <w:top w:val="single" w:sz="4" w:space="0" w:color="auto"/>
            </w:tcBorders>
            <w:shd w:val="clear" w:color="auto" w:fill="9FC39D"/>
            <w:textDirection w:val="btLr"/>
          </w:tcPr>
          <w:p w14:paraId="04135241" w14:textId="77777777" w:rsidR="00366CB9" w:rsidRPr="00E80D3A" w:rsidRDefault="00366CB9" w:rsidP="001F35DC">
            <w:pPr>
              <w:rPr>
                <w:sz w:val="18"/>
              </w:rPr>
            </w:pPr>
          </w:p>
        </w:tc>
        <w:tc>
          <w:tcPr>
            <w:tcW w:w="1627" w:type="dxa"/>
            <w:tcBorders>
              <w:top w:val="single" w:sz="8" w:space="0" w:color="00B050"/>
              <w:left w:val="nil"/>
              <w:bottom w:val="single" w:sz="8" w:space="0" w:color="00B050"/>
            </w:tcBorders>
            <w:shd w:val="clear" w:color="auto" w:fill="FFFFFF"/>
          </w:tcPr>
          <w:p w14:paraId="74473FCE"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Моксифлоксацин</w:t>
            </w:r>
          </w:p>
          <w:p w14:paraId="6C67CAE1" w14:textId="77777777" w:rsidR="00366CB9" w:rsidRPr="00E80D3A" w:rsidRDefault="009D0C1D" w:rsidP="00854441">
            <w:pPr>
              <w:pStyle w:val="a6"/>
              <w:shd w:val="clear" w:color="auto" w:fill="auto"/>
              <w:rPr>
                <w:sz w:val="18"/>
                <w:szCs w:val="24"/>
              </w:rPr>
            </w:pPr>
            <w:r w:rsidRPr="00E80D3A">
              <w:rPr>
                <w:b w:val="0"/>
                <w:color w:val="000000"/>
                <w:sz w:val="18"/>
                <w:szCs w:val="24"/>
              </w:rPr>
              <w:t>(ККТ)</w:t>
            </w:r>
          </w:p>
        </w:tc>
        <w:tc>
          <w:tcPr>
            <w:tcW w:w="2342" w:type="dxa"/>
            <w:tcBorders>
              <w:top w:val="single" w:sz="8" w:space="0" w:color="00B050"/>
              <w:bottom w:val="single" w:sz="8" w:space="0" w:color="00B050"/>
            </w:tcBorders>
            <w:shd w:val="clear" w:color="auto" w:fill="FFFFFF"/>
          </w:tcPr>
          <w:p w14:paraId="64DEFC1E" w14:textId="77777777" w:rsidR="00366CB9" w:rsidRPr="00E80D3A" w:rsidRDefault="009D0C1D" w:rsidP="00854441">
            <w:pPr>
              <w:pStyle w:val="a6"/>
              <w:shd w:val="clear" w:color="auto" w:fill="auto"/>
              <w:spacing w:line="317" w:lineRule="auto"/>
              <w:rPr>
                <w:sz w:val="18"/>
                <w:szCs w:val="24"/>
              </w:rPr>
            </w:pPr>
            <w:r w:rsidRPr="00E80D3A">
              <w:rPr>
                <w:b w:val="0"/>
                <w:color w:val="000000"/>
                <w:sz w:val="18"/>
                <w:szCs w:val="24"/>
              </w:rPr>
              <w:t>Автоматизовані NAAT низької складності LPA</w:t>
            </w:r>
          </w:p>
          <w:p w14:paraId="597AF7C5" w14:textId="77777777" w:rsidR="00366CB9" w:rsidRPr="00E80D3A" w:rsidRDefault="009D0C1D" w:rsidP="00854441">
            <w:pPr>
              <w:pStyle w:val="a6"/>
              <w:shd w:val="clear" w:color="auto" w:fill="auto"/>
              <w:spacing w:line="317" w:lineRule="auto"/>
              <w:rPr>
                <w:sz w:val="18"/>
                <w:szCs w:val="24"/>
              </w:rPr>
            </w:pPr>
            <w:r w:rsidRPr="00E80D3A">
              <w:rPr>
                <w:b w:val="0"/>
                <w:color w:val="000000"/>
                <w:sz w:val="18"/>
                <w:szCs w:val="24"/>
              </w:rPr>
              <w:t>Цільове СНП</w:t>
            </w:r>
          </w:p>
        </w:tc>
        <w:tc>
          <w:tcPr>
            <w:tcW w:w="2170" w:type="dxa"/>
            <w:tcBorders>
              <w:top w:val="single" w:sz="8" w:space="0" w:color="00B050"/>
              <w:bottom w:val="single" w:sz="8" w:space="0" w:color="00B050"/>
            </w:tcBorders>
            <w:shd w:val="clear" w:color="auto" w:fill="FFFFFF"/>
          </w:tcPr>
          <w:p w14:paraId="5D80177B" w14:textId="77777777" w:rsidR="00366CB9" w:rsidRPr="00E80D3A" w:rsidRDefault="009D0C1D" w:rsidP="00854441">
            <w:pPr>
              <w:pStyle w:val="a6"/>
              <w:shd w:val="clear" w:color="auto" w:fill="auto"/>
              <w:spacing w:line="271" w:lineRule="auto"/>
              <w:rPr>
                <w:sz w:val="18"/>
                <w:szCs w:val="24"/>
              </w:rPr>
            </w:pPr>
            <w:r w:rsidRPr="00E80D3A">
              <w:rPr>
                <w:b w:val="0"/>
                <w:color w:val="000000"/>
                <w:sz w:val="18"/>
                <w:szCs w:val="24"/>
              </w:rPr>
              <w:t>ККТ для 7Н10 та MGIT застосовується до моксифлоксацину з високою дозою (тобто 800 мг щодня)</w:t>
            </w:r>
          </w:p>
        </w:tc>
        <w:tc>
          <w:tcPr>
            <w:tcW w:w="2222" w:type="dxa"/>
            <w:tcBorders>
              <w:top w:val="single" w:sz="8" w:space="0" w:color="00B050"/>
              <w:bottom w:val="single" w:sz="8" w:space="0" w:color="00B050"/>
            </w:tcBorders>
            <w:shd w:val="clear" w:color="auto" w:fill="FFFFFF"/>
          </w:tcPr>
          <w:p w14:paraId="1611BE80"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MGIT</w:t>
            </w:r>
          </w:p>
        </w:tc>
        <w:tc>
          <w:tcPr>
            <w:tcW w:w="5117" w:type="dxa"/>
            <w:tcBorders>
              <w:top w:val="single" w:sz="8" w:space="0" w:color="00B050"/>
              <w:bottom w:val="single" w:sz="8" w:space="0" w:color="00B050"/>
            </w:tcBorders>
            <w:shd w:val="clear" w:color="auto" w:fill="FFFFFF"/>
          </w:tcPr>
          <w:p w14:paraId="41C5EECB" w14:textId="77777777" w:rsidR="00366CB9" w:rsidRPr="00E80D3A" w:rsidRDefault="009D0C1D" w:rsidP="00854441">
            <w:pPr>
              <w:pStyle w:val="a6"/>
              <w:shd w:val="clear" w:color="auto" w:fill="auto"/>
              <w:spacing w:line="271" w:lineRule="auto"/>
              <w:ind w:left="140"/>
              <w:rPr>
                <w:sz w:val="18"/>
                <w:szCs w:val="24"/>
              </w:rPr>
            </w:pPr>
            <w:r w:rsidRPr="00E80D3A">
              <w:rPr>
                <w:b w:val="0"/>
                <w:color w:val="000000"/>
                <w:sz w:val="18"/>
                <w:szCs w:val="24"/>
              </w:rPr>
              <w:t>MFX, навіть при високій дозі, навряд чи буде ефективним при стійкості до ККТ концентрації або якщо будуть виявлені певні мутації високого довірчого інтервалу, пов’язані з високими МІК.</w:t>
            </w:r>
          </w:p>
        </w:tc>
      </w:tr>
    </w:tbl>
    <w:tbl>
      <w:tblPr>
        <w:tblOverlap w:val="never"/>
        <w:tblW w:w="0" w:type="auto"/>
        <w:tblLayout w:type="fixed"/>
        <w:tblCellMar>
          <w:left w:w="10" w:type="dxa"/>
          <w:right w:w="10" w:type="dxa"/>
        </w:tblCellMar>
        <w:tblLook w:val="0000" w:firstRow="0" w:lastRow="0" w:firstColumn="0" w:lastColumn="0" w:noHBand="0" w:noVBand="0"/>
      </w:tblPr>
      <w:tblGrid>
        <w:gridCol w:w="163"/>
      </w:tblGrid>
      <w:tr w:rsidR="00366CB9" w14:paraId="537495EF" w14:textId="77777777">
        <w:trPr>
          <w:trHeight w:hRule="exact" w:val="590"/>
        </w:trPr>
        <w:tc>
          <w:tcPr>
            <w:tcW w:w="163" w:type="dxa"/>
            <w:shd w:val="clear" w:color="auto" w:fill="FFFFFF"/>
            <w:textDirection w:val="tbRl"/>
          </w:tcPr>
          <w:p w14:paraId="3F08E637" w14:textId="77777777" w:rsidR="00366CB9" w:rsidRDefault="009D0C1D" w:rsidP="00425523">
            <w:pPr>
              <w:pStyle w:val="a6"/>
              <w:framePr w:w="163" w:h="5381" w:wrap="none" w:vAnchor="page" w:hAnchor="page" w:x="709" w:y="812"/>
              <w:shd w:val="clear" w:color="auto" w:fill="auto"/>
              <w:rPr>
                <w:sz w:val="15"/>
                <w:szCs w:val="15"/>
              </w:rPr>
            </w:pPr>
            <w:r>
              <w:rPr>
                <w:b w:val="0"/>
                <w:color w:val="019648"/>
                <w:sz w:val="15"/>
              </w:rPr>
              <w:t>50</w:t>
            </w:r>
          </w:p>
        </w:tc>
      </w:tr>
      <w:tr w:rsidR="00366CB9" w14:paraId="7A3517EF" w14:textId="77777777" w:rsidTr="00854441">
        <w:trPr>
          <w:trHeight w:hRule="exact" w:val="5510"/>
        </w:trPr>
        <w:tc>
          <w:tcPr>
            <w:tcW w:w="163" w:type="dxa"/>
            <w:shd w:val="clear" w:color="auto" w:fill="FFFFFF"/>
            <w:textDirection w:val="tbRl"/>
          </w:tcPr>
          <w:p w14:paraId="3AA8D661" w14:textId="77777777" w:rsidR="00366CB9" w:rsidRDefault="009D0C1D" w:rsidP="00425523">
            <w:pPr>
              <w:pStyle w:val="a6"/>
              <w:framePr w:w="163" w:h="5381" w:wrap="none" w:vAnchor="page" w:hAnchor="page" w:x="709" w:y="812"/>
              <w:shd w:val="clear" w:color="auto" w:fill="auto"/>
              <w:rPr>
                <w:sz w:val="15"/>
                <w:szCs w:val="15"/>
              </w:rPr>
            </w:pPr>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p>
        </w:tc>
      </w:tr>
    </w:tbl>
    <w:p w14:paraId="61E41DB7" w14:textId="77777777" w:rsidR="00366CB9" w:rsidRDefault="00366CB9" w:rsidP="00425523">
      <w:pPr>
        <w:spacing w:line="1" w:lineRule="exact"/>
        <w:sectPr w:rsidR="00366CB9" w:rsidSect="001F35DC">
          <w:footerReference w:type="even" r:id="rId83"/>
          <w:type w:val="nextColumn"/>
          <w:pgSz w:w="16840" w:h="11913" w:orient="landscape"/>
          <w:pgMar w:top="1412" w:right="1304" w:bottom="851" w:left="1508" w:header="0" w:footer="6" w:gutter="0"/>
          <w:paperSrc w:first="15" w:other="15"/>
          <w:cols w:space="720"/>
          <w:noEndnote/>
          <w:docGrid w:linePitch="360"/>
        </w:sectPr>
      </w:pPr>
    </w:p>
    <w:p w14:paraId="0754D2EB" w14:textId="77777777" w:rsidR="00366CB9" w:rsidRDefault="00366CB9" w:rsidP="00425523">
      <w:pPr>
        <w:spacing w:line="1" w:lineRule="exact"/>
      </w:pPr>
    </w:p>
    <w:tbl>
      <w:tblPr>
        <w:tblOverlap w:val="never"/>
        <w:tblW w:w="14054" w:type="dxa"/>
        <w:tblLayout w:type="fixed"/>
        <w:tblCellMar>
          <w:left w:w="10" w:type="dxa"/>
          <w:right w:w="10" w:type="dxa"/>
        </w:tblCellMar>
        <w:tblLook w:val="0000" w:firstRow="0" w:lastRow="0" w:firstColumn="0" w:lastColumn="0" w:noHBand="0" w:noVBand="0"/>
      </w:tblPr>
      <w:tblGrid>
        <w:gridCol w:w="709"/>
        <w:gridCol w:w="1465"/>
        <w:gridCol w:w="2357"/>
        <w:gridCol w:w="2174"/>
        <w:gridCol w:w="2227"/>
        <w:gridCol w:w="5122"/>
      </w:tblGrid>
      <w:tr w:rsidR="00366CB9" w:rsidRPr="00E80D3A" w14:paraId="6D0BEEAA" w14:textId="77777777" w:rsidTr="007751D5">
        <w:trPr>
          <w:trHeight w:hRule="exact" w:val="461"/>
        </w:trPr>
        <w:tc>
          <w:tcPr>
            <w:tcW w:w="2174" w:type="dxa"/>
            <w:gridSpan w:val="2"/>
            <w:tcBorders>
              <w:top w:val="single" w:sz="8" w:space="0" w:color="00B050"/>
              <w:left w:val="single" w:sz="8" w:space="0" w:color="00B050"/>
              <w:bottom w:val="single" w:sz="8" w:space="0" w:color="00B050"/>
              <w:right w:val="single" w:sz="8" w:space="0" w:color="00B050"/>
            </w:tcBorders>
            <w:shd w:val="clear" w:color="auto" w:fill="62A86A"/>
            <w:vAlign w:val="center"/>
          </w:tcPr>
          <w:p w14:paraId="5C2C4840" w14:textId="77777777" w:rsidR="00366CB9" w:rsidRPr="00E80D3A" w:rsidRDefault="009D0C1D" w:rsidP="00854441">
            <w:pPr>
              <w:pStyle w:val="a6"/>
              <w:shd w:val="clear" w:color="auto" w:fill="auto"/>
              <w:rPr>
                <w:sz w:val="18"/>
                <w:szCs w:val="24"/>
              </w:rPr>
            </w:pPr>
            <w:r w:rsidRPr="00E80D3A">
              <w:rPr>
                <w:color w:val="FFFFFF"/>
                <w:sz w:val="18"/>
                <w:szCs w:val="24"/>
              </w:rPr>
              <w:t>Лікарський засіб</w:t>
            </w:r>
          </w:p>
        </w:tc>
        <w:tc>
          <w:tcPr>
            <w:tcW w:w="235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9DCB903" w14:textId="77777777" w:rsidR="00366CB9" w:rsidRPr="00E80D3A" w:rsidRDefault="009D0C1D" w:rsidP="00854441">
            <w:pPr>
              <w:pStyle w:val="a6"/>
              <w:shd w:val="clear" w:color="auto" w:fill="auto"/>
              <w:rPr>
                <w:sz w:val="18"/>
                <w:szCs w:val="24"/>
              </w:rPr>
            </w:pPr>
            <w:r w:rsidRPr="00E80D3A">
              <w:rPr>
                <w:color w:val="FFFFFF"/>
                <w:sz w:val="18"/>
                <w:szCs w:val="24"/>
              </w:rPr>
              <w:t>Генотипове ТМЧ</w:t>
            </w:r>
          </w:p>
        </w:tc>
        <w:tc>
          <w:tcPr>
            <w:tcW w:w="217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3B261F0" w14:textId="77777777" w:rsidR="00366CB9" w:rsidRPr="00E80D3A" w:rsidRDefault="009D0C1D" w:rsidP="00854441">
            <w:pPr>
              <w:pStyle w:val="a6"/>
              <w:shd w:val="clear" w:color="auto" w:fill="auto"/>
              <w:rPr>
                <w:sz w:val="18"/>
                <w:szCs w:val="24"/>
              </w:rPr>
            </w:pPr>
            <w:r w:rsidRPr="00E80D3A">
              <w:rPr>
                <w:color w:val="FFFFFF"/>
                <w:sz w:val="18"/>
                <w:szCs w:val="24"/>
              </w:rPr>
              <w:t>Фенотипове ТМЧ</w:t>
            </w:r>
          </w:p>
        </w:tc>
        <w:tc>
          <w:tcPr>
            <w:tcW w:w="222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D63F05B" w14:textId="77777777" w:rsidR="00366CB9" w:rsidRPr="00E80D3A" w:rsidRDefault="009D0C1D" w:rsidP="00854441">
            <w:pPr>
              <w:pStyle w:val="a6"/>
              <w:shd w:val="clear" w:color="auto" w:fill="auto"/>
              <w:ind w:firstLine="140"/>
              <w:rPr>
                <w:sz w:val="18"/>
                <w:szCs w:val="24"/>
              </w:rPr>
            </w:pPr>
            <w:r w:rsidRPr="00E80D3A">
              <w:rPr>
                <w:color w:val="FFFFFF"/>
                <w:sz w:val="18"/>
                <w:szCs w:val="24"/>
              </w:rPr>
              <w:t>Еталонний метод</w:t>
            </w:r>
          </w:p>
        </w:tc>
        <w:tc>
          <w:tcPr>
            <w:tcW w:w="512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E08A76E" w14:textId="77777777" w:rsidR="00366CB9" w:rsidRPr="00E80D3A" w:rsidRDefault="009D0C1D" w:rsidP="00854441">
            <w:pPr>
              <w:pStyle w:val="a6"/>
              <w:shd w:val="clear" w:color="auto" w:fill="auto"/>
              <w:ind w:firstLine="140"/>
              <w:rPr>
                <w:sz w:val="18"/>
                <w:szCs w:val="24"/>
              </w:rPr>
            </w:pPr>
            <w:r w:rsidRPr="00E80D3A">
              <w:rPr>
                <w:color w:val="FFFFFF"/>
                <w:sz w:val="18"/>
                <w:szCs w:val="24"/>
              </w:rPr>
              <w:t>Коментар</w:t>
            </w:r>
          </w:p>
        </w:tc>
      </w:tr>
      <w:tr w:rsidR="00366CB9" w:rsidRPr="00E80D3A" w14:paraId="2A0A94DB" w14:textId="77777777" w:rsidTr="007751D5">
        <w:trPr>
          <w:trHeight w:hRule="exact" w:val="1901"/>
        </w:trPr>
        <w:tc>
          <w:tcPr>
            <w:tcW w:w="709" w:type="dxa"/>
            <w:vMerge w:val="restart"/>
            <w:tcBorders>
              <w:top w:val="single" w:sz="8" w:space="0" w:color="00B050"/>
            </w:tcBorders>
            <w:shd w:val="clear" w:color="auto" w:fill="9FC39D"/>
            <w:textDirection w:val="btLr"/>
          </w:tcPr>
          <w:p w14:paraId="7DCFE970" w14:textId="77777777" w:rsidR="00366CB9" w:rsidRPr="00E80D3A" w:rsidRDefault="009D0C1D" w:rsidP="001F35DC">
            <w:pPr>
              <w:pStyle w:val="a6"/>
              <w:shd w:val="clear" w:color="auto" w:fill="auto"/>
              <w:spacing w:before="120"/>
              <w:jc w:val="center"/>
              <w:rPr>
                <w:bCs w:val="0"/>
                <w:sz w:val="18"/>
                <w:szCs w:val="24"/>
              </w:rPr>
            </w:pPr>
            <w:r w:rsidRPr="00E80D3A">
              <w:rPr>
                <w:bCs w:val="0"/>
                <w:color w:val="000000"/>
                <w:sz w:val="18"/>
                <w:szCs w:val="24"/>
              </w:rPr>
              <w:t>Протитуберкульозі препарати другої лінії групи А</w:t>
            </w:r>
          </w:p>
        </w:tc>
        <w:tc>
          <w:tcPr>
            <w:tcW w:w="1465" w:type="dxa"/>
            <w:tcBorders>
              <w:top w:val="single" w:sz="8" w:space="0" w:color="00B050"/>
              <w:left w:val="nil"/>
              <w:bottom w:val="single" w:sz="8" w:space="0" w:color="00B050"/>
            </w:tcBorders>
            <w:shd w:val="clear" w:color="auto" w:fill="FFFFFF"/>
          </w:tcPr>
          <w:p w14:paraId="2C3B6D4B"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Бедаквілін</w:t>
            </w:r>
          </w:p>
        </w:tc>
        <w:tc>
          <w:tcPr>
            <w:tcW w:w="2357" w:type="dxa"/>
            <w:tcBorders>
              <w:top w:val="single" w:sz="8" w:space="0" w:color="00B050"/>
              <w:bottom w:val="single" w:sz="8" w:space="0" w:color="00B050"/>
            </w:tcBorders>
            <w:shd w:val="clear" w:color="auto" w:fill="FFFFFF"/>
          </w:tcPr>
          <w:p w14:paraId="7EDC969B"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Цільове СНП</w:t>
            </w:r>
          </w:p>
        </w:tc>
        <w:tc>
          <w:tcPr>
            <w:tcW w:w="2174" w:type="dxa"/>
            <w:tcBorders>
              <w:top w:val="single" w:sz="8" w:space="0" w:color="00B050"/>
              <w:bottom w:val="single" w:sz="8" w:space="0" w:color="00B050"/>
            </w:tcBorders>
            <w:shd w:val="clear" w:color="auto" w:fill="FFFFFF"/>
          </w:tcPr>
          <w:p w14:paraId="6F8AB9A2" w14:textId="77777777" w:rsidR="00366CB9" w:rsidRPr="00E80D3A" w:rsidRDefault="009D0C1D" w:rsidP="00854441">
            <w:pPr>
              <w:pStyle w:val="a6"/>
              <w:shd w:val="clear" w:color="auto" w:fill="auto"/>
              <w:spacing w:before="100" w:line="271" w:lineRule="auto"/>
              <w:rPr>
                <w:sz w:val="18"/>
                <w:szCs w:val="24"/>
              </w:rPr>
            </w:pPr>
            <w:r w:rsidRPr="00E80D3A">
              <w:rPr>
                <w:b w:val="0"/>
                <w:color w:val="000000"/>
                <w:sz w:val="18"/>
                <w:szCs w:val="24"/>
              </w:rPr>
              <w:t>КК встановлено для тестування в середовищах 7H11 та MGIT</w:t>
            </w:r>
          </w:p>
        </w:tc>
        <w:tc>
          <w:tcPr>
            <w:tcW w:w="2227" w:type="dxa"/>
            <w:tcBorders>
              <w:top w:val="single" w:sz="8" w:space="0" w:color="00B050"/>
              <w:bottom w:val="single" w:sz="8" w:space="0" w:color="00B050"/>
            </w:tcBorders>
            <w:shd w:val="clear" w:color="auto" w:fill="FFFFFF"/>
          </w:tcPr>
          <w:p w14:paraId="38006979" w14:textId="77777777" w:rsidR="00366CB9" w:rsidRPr="00E80D3A" w:rsidRDefault="009D0C1D" w:rsidP="00854441">
            <w:pPr>
              <w:pStyle w:val="a6"/>
              <w:shd w:val="clear" w:color="auto" w:fill="auto"/>
              <w:spacing w:before="100"/>
              <w:ind w:firstLine="140"/>
              <w:rPr>
                <w:sz w:val="18"/>
                <w:szCs w:val="24"/>
              </w:rPr>
            </w:pPr>
            <w:r w:rsidRPr="00E80D3A">
              <w:rPr>
                <w:b w:val="0"/>
                <w:color w:val="000000"/>
                <w:sz w:val="18"/>
                <w:szCs w:val="24"/>
              </w:rPr>
              <w:t>MGIT</w:t>
            </w:r>
          </w:p>
        </w:tc>
        <w:tc>
          <w:tcPr>
            <w:tcW w:w="5122" w:type="dxa"/>
            <w:tcBorders>
              <w:top w:val="single" w:sz="8" w:space="0" w:color="00B050"/>
              <w:bottom w:val="single" w:sz="8" w:space="0" w:color="00B050"/>
            </w:tcBorders>
            <w:shd w:val="clear" w:color="auto" w:fill="FFFFFF"/>
          </w:tcPr>
          <w:p w14:paraId="02DB16E9" w14:textId="77777777" w:rsidR="00366CB9" w:rsidRPr="00E80D3A" w:rsidRDefault="009D0C1D" w:rsidP="00E80D3A">
            <w:pPr>
              <w:pStyle w:val="a6"/>
              <w:shd w:val="clear" w:color="auto" w:fill="auto"/>
              <w:spacing w:before="60" w:line="271" w:lineRule="auto"/>
              <w:ind w:left="140"/>
              <w:rPr>
                <w:sz w:val="18"/>
                <w:szCs w:val="24"/>
              </w:rPr>
            </w:pPr>
            <w:r w:rsidRPr="00E80D3A">
              <w:rPr>
                <w:b w:val="0"/>
                <w:color w:val="000000"/>
                <w:sz w:val="18"/>
                <w:szCs w:val="24"/>
              </w:rPr>
              <w:t>В ідеалі, цільове СНП (для швидшого отримання результатів) або фенотипове ТМЧ необхідно проводити на початку лікування. Якщо ТМЧ на вихідному рівні не проводиться, ТМЧ необхідно проводити з першим штамом, ізольованим зі зразка пацієнта під час контролю лікування.</w:t>
            </w:r>
            <w:r w:rsidRPr="00E80D3A">
              <w:rPr>
                <w:b w:val="0"/>
                <w:color w:val="000000"/>
                <w:sz w:val="18"/>
                <w:szCs w:val="24"/>
                <w:vertAlign w:val="superscript"/>
              </w:rPr>
              <w:t>b</w:t>
            </w:r>
          </w:p>
        </w:tc>
      </w:tr>
      <w:tr w:rsidR="00366CB9" w:rsidRPr="00E80D3A" w14:paraId="05212B01" w14:textId="77777777" w:rsidTr="007751D5">
        <w:trPr>
          <w:trHeight w:hRule="exact" w:val="1958"/>
        </w:trPr>
        <w:tc>
          <w:tcPr>
            <w:tcW w:w="709" w:type="dxa"/>
            <w:vMerge/>
            <w:tcBorders>
              <w:top w:val="single" w:sz="8" w:space="0" w:color="00B050"/>
            </w:tcBorders>
            <w:shd w:val="clear" w:color="auto" w:fill="9FC39D"/>
            <w:textDirection w:val="btLr"/>
          </w:tcPr>
          <w:p w14:paraId="72FD4F7A" w14:textId="77777777" w:rsidR="00366CB9" w:rsidRPr="00E80D3A" w:rsidRDefault="00366CB9" w:rsidP="001F35DC">
            <w:pPr>
              <w:rPr>
                <w:b/>
                <w:sz w:val="18"/>
              </w:rPr>
            </w:pPr>
          </w:p>
        </w:tc>
        <w:tc>
          <w:tcPr>
            <w:tcW w:w="1465" w:type="dxa"/>
            <w:tcBorders>
              <w:top w:val="single" w:sz="8" w:space="0" w:color="00B050"/>
              <w:left w:val="nil"/>
              <w:bottom w:val="single" w:sz="8" w:space="0" w:color="00B050"/>
            </w:tcBorders>
            <w:shd w:val="clear" w:color="auto" w:fill="FFFFFF"/>
          </w:tcPr>
          <w:p w14:paraId="7ADEFBD2"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Лінезолід</w:t>
            </w:r>
          </w:p>
        </w:tc>
        <w:tc>
          <w:tcPr>
            <w:tcW w:w="2357" w:type="dxa"/>
            <w:tcBorders>
              <w:top w:val="single" w:sz="8" w:space="0" w:color="00B050"/>
              <w:bottom w:val="single" w:sz="8" w:space="0" w:color="00B050"/>
            </w:tcBorders>
            <w:shd w:val="clear" w:color="auto" w:fill="FFFFFF"/>
          </w:tcPr>
          <w:p w14:paraId="576F94E8"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Цільове СНП</w:t>
            </w:r>
          </w:p>
        </w:tc>
        <w:tc>
          <w:tcPr>
            <w:tcW w:w="2174" w:type="dxa"/>
            <w:tcBorders>
              <w:top w:val="single" w:sz="8" w:space="0" w:color="00B050"/>
              <w:bottom w:val="single" w:sz="8" w:space="0" w:color="00B050"/>
            </w:tcBorders>
            <w:shd w:val="clear" w:color="auto" w:fill="FFFFFF"/>
          </w:tcPr>
          <w:p w14:paraId="6EB07E97" w14:textId="77777777" w:rsidR="00366CB9" w:rsidRPr="00E80D3A" w:rsidRDefault="009D0C1D" w:rsidP="00854441">
            <w:pPr>
              <w:pStyle w:val="a6"/>
              <w:shd w:val="clear" w:color="auto" w:fill="auto"/>
              <w:spacing w:before="100" w:line="276" w:lineRule="auto"/>
              <w:rPr>
                <w:sz w:val="18"/>
                <w:szCs w:val="24"/>
              </w:rPr>
            </w:pPr>
            <w:r w:rsidRPr="00E80D3A">
              <w:rPr>
                <w:b w:val="0"/>
                <w:color w:val="000000"/>
                <w:sz w:val="18"/>
                <w:szCs w:val="24"/>
              </w:rPr>
              <w:t>КК, встановлені для тестування в середовищах 7H10, 7H11 та MGIT</w:t>
            </w:r>
          </w:p>
        </w:tc>
        <w:tc>
          <w:tcPr>
            <w:tcW w:w="2227" w:type="dxa"/>
            <w:tcBorders>
              <w:top w:val="single" w:sz="8" w:space="0" w:color="00B050"/>
              <w:bottom w:val="single" w:sz="8" w:space="0" w:color="00B050"/>
            </w:tcBorders>
            <w:shd w:val="clear" w:color="auto" w:fill="FFFFFF"/>
          </w:tcPr>
          <w:p w14:paraId="03F55FCB" w14:textId="77777777" w:rsidR="00366CB9" w:rsidRPr="00E80D3A" w:rsidRDefault="009D0C1D" w:rsidP="00854441">
            <w:pPr>
              <w:pStyle w:val="a6"/>
              <w:shd w:val="clear" w:color="auto" w:fill="auto"/>
              <w:spacing w:before="100"/>
              <w:ind w:firstLine="140"/>
              <w:rPr>
                <w:sz w:val="18"/>
                <w:szCs w:val="24"/>
              </w:rPr>
            </w:pPr>
            <w:r w:rsidRPr="00E80D3A">
              <w:rPr>
                <w:b w:val="0"/>
                <w:color w:val="000000"/>
                <w:sz w:val="18"/>
                <w:szCs w:val="24"/>
              </w:rPr>
              <w:t>MGIT</w:t>
            </w:r>
          </w:p>
        </w:tc>
        <w:tc>
          <w:tcPr>
            <w:tcW w:w="5122" w:type="dxa"/>
            <w:tcBorders>
              <w:top w:val="single" w:sz="8" w:space="0" w:color="00B050"/>
              <w:bottom w:val="single" w:sz="8" w:space="0" w:color="00B050"/>
            </w:tcBorders>
            <w:shd w:val="clear" w:color="auto" w:fill="FFFFFF"/>
          </w:tcPr>
          <w:p w14:paraId="7768A8D0" w14:textId="77777777" w:rsidR="00366CB9" w:rsidRPr="00E80D3A" w:rsidRDefault="009D0C1D" w:rsidP="00E80D3A">
            <w:pPr>
              <w:pStyle w:val="a6"/>
              <w:shd w:val="clear" w:color="auto" w:fill="auto"/>
              <w:spacing w:before="60" w:line="271" w:lineRule="auto"/>
              <w:ind w:left="140"/>
              <w:rPr>
                <w:sz w:val="18"/>
                <w:szCs w:val="24"/>
              </w:rPr>
            </w:pPr>
            <w:r w:rsidRPr="00E80D3A">
              <w:rPr>
                <w:b w:val="0"/>
                <w:color w:val="000000"/>
                <w:sz w:val="18"/>
                <w:szCs w:val="24"/>
              </w:rPr>
              <w:t>В ідеалі, цільове СНП (для швидшого отримання результатів) або фенотипове ТМЧ необхідно проводити на початку лікування. Якщо ТМЧ на вихідному рівні не проводиться, ТМЧ необхідно проводити з першим штамом, ізольованим зі зразка пацієнта під час контролю лікування.</w:t>
            </w:r>
            <w:r w:rsidRPr="00E80D3A">
              <w:rPr>
                <w:b w:val="0"/>
                <w:color w:val="000000"/>
                <w:sz w:val="18"/>
                <w:szCs w:val="24"/>
                <w:vertAlign w:val="superscript"/>
              </w:rPr>
              <w:t>b</w:t>
            </w:r>
          </w:p>
        </w:tc>
      </w:tr>
      <w:tr w:rsidR="00366CB9" w:rsidRPr="00E80D3A" w14:paraId="75EEB0FD" w14:textId="77777777" w:rsidTr="007751D5">
        <w:trPr>
          <w:trHeight w:hRule="exact" w:val="2069"/>
        </w:trPr>
        <w:tc>
          <w:tcPr>
            <w:tcW w:w="709" w:type="dxa"/>
            <w:vMerge w:val="restart"/>
            <w:tcBorders>
              <w:top w:val="single" w:sz="4" w:space="0" w:color="auto"/>
            </w:tcBorders>
            <w:shd w:val="clear" w:color="auto" w:fill="9FC39D"/>
            <w:textDirection w:val="btLr"/>
          </w:tcPr>
          <w:p w14:paraId="647B6727" w14:textId="77777777" w:rsidR="00366CB9" w:rsidRPr="00E80D3A" w:rsidRDefault="009D0C1D" w:rsidP="001F35DC">
            <w:pPr>
              <w:pStyle w:val="a6"/>
              <w:shd w:val="clear" w:color="auto" w:fill="auto"/>
              <w:spacing w:before="120"/>
              <w:jc w:val="center"/>
              <w:rPr>
                <w:bCs w:val="0"/>
                <w:sz w:val="18"/>
                <w:szCs w:val="24"/>
              </w:rPr>
            </w:pPr>
            <w:r w:rsidRPr="00E80D3A">
              <w:rPr>
                <w:bCs w:val="0"/>
                <w:color w:val="000000"/>
                <w:sz w:val="18"/>
                <w:szCs w:val="24"/>
              </w:rPr>
              <w:t>Протитуберкульозі препарати другої лінії групи B</w:t>
            </w:r>
          </w:p>
        </w:tc>
        <w:tc>
          <w:tcPr>
            <w:tcW w:w="1465" w:type="dxa"/>
            <w:tcBorders>
              <w:top w:val="single" w:sz="8" w:space="0" w:color="00B050"/>
              <w:left w:val="nil"/>
              <w:bottom w:val="single" w:sz="8" w:space="0" w:color="00B050"/>
            </w:tcBorders>
            <w:shd w:val="clear" w:color="auto" w:fill="FFFFFF"/>
          </w:tcPr>
          <w:p w14:paraId="6D31404C"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Клофазимін</w:t>
            </w:r>
          </w:p>
        </w:tc>
        <w:tc>
          <w:tcPr>
            <w:tcW w:w="2357" w:type="dxa"/>
            <w:tcBorders>
              <w:top w:val="single" w:sz="8" w:space="0" w:color="00B050"/>
              <w:bottom w:val="single" w:sz="8" w:space="0" w:color="00B050"/>
            </w:tcBorders>
            <w:shd w:val="clear" w:color="auto" w:fill="FFFFFF"/>
          </w:tcPr>
          <w:p w14:paraId="157C8A7D"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Цільове СНП</w:t>
            </w:r>
          </w:p>
        </w:tc>
        <w:tc>
          <w:tcPr>
            <w:tcW w:w="2174" w:type="dxa"/>
            <w:tcBorders>
              <w:top w:val="single" w:sz="8" w:space="0" w:color="00B050"/>
              <w:bottom w:val="single" w:sz="8" w:space="0" w:color="00B050"/>
            </w:tcBorders>
            <w:shd w:val="clear" w:color="auto" w:fill="FFFFFF"/>
          </w:tcPr>
          <w:p w14:paraId="65D9A005" w14:textId="77777777" w:rsidR="00366CB9" w:rsidRPr="00E80D3A" w:rsidRDefault="009D0C1D" w:rsidP="00854441">
            <w:pPr>
              <w:pStyle w:val="a6"/>
              <w:shd w:val="clear" w:color="auto" w:fill="auto"/>
              <w:spacing w:before="100" w:line="271" w:lineRule="auto"/>
              <w:rPr>
                <w:sz w:val="18"/>
                <w:szCs w:val="24"/>
              </w:rPr>
            </w:pPr>
            <w:r w:rsidRPr="00E80D3A">
              <w:rPr>
                <w:b w:val="0"/>
                <w:color w:val="000000"/>
                <w:sz w:val="18"/>
                <w:szCs w:val="24"/>
              </w:rPr>
              <w:t>КК, встановлені лише для тестування середовища MGIT</w:t>
            </w:r>
          </w:p>
        </w:tc>
        <w:tc>
          <w:tcPr>
            <w:tcW w:w="2227" w:type="dxa"/>
            <w:tcBorders>
              <w:top w:val="single" w:sz="8" w:space="0" w:color="00B050"/>
              <w:bottom w:val="single" w:sz="8" w:space="0" w:color="00B050"/>
            </w:tcBorders>
            <w:shd w:val="clear" w:color="auto" w:fill="FFFFFF"/>
          </w:tcPr>
          <w:p w14:paraId="68DCCC03" w14:textId="77777777" w:rsidR="00366CB9" w:rsidRPr="00E80D3A" w:rsidRDefault="009D0C1D" w:rsidP="00854441">
            <w:pPr>
              <w:pStyle w:val="a6"/>
              <w:shd w:val="clear" w:color="auto" w:fill="auto"/>
              <w:spacing w:before="100"/>
              <w:ind w:firstLine="140"/>
              <w:rPr>
                <w:sz w:val="18"/>
                <w:szCs w:val="24"/>
              </w:rPr>
            </w:pPr>
            <w:r w:rsidRPr="00E80D3A">
              <w:rPr>
                <w:b w:val="0"/>
                <w:color w:val="000000"/>
                <w:sz w:val="18"/>
                <w:szCs w:val="24"/>
              </w:rPr>
              <w:t>MGIT</w:t>
            </w:r>
          </w:p>
        </w:tc>
        <w:tc>
          <w:tcPr>
            <w:tcW w:w="5122" w:type="dxa"/>
            <w:tcBorders>
              <w:top w:val="single" w:sz="8" w:space="0" w:color="00B050"/>
              <w:bottom w:val="single" w:sz="8" w:space="0" w:color="00B050"/>
            </w:tcBorders>
            <w:shd w:val="clear" w:color="auto" w:fill="FFFFFF"/>
          </w:tcPr>
          <w:p w14:paraId="798B7404" w14:textId="77777777" w:rsidR="00366CB9" w:rsidRPr="00E80D3A" w:rsidRDefault="009D0C1D" w:rsidP="00E80D3A">
            <w:pPr>
              <w:pStyle w:val="a6"/>
              <w:shd w:val="clear" w:color="auto" w:fill="auto"/>
              <w:spacing w:before="60" w:line="271" w:lineRule="auto"/>
              <w:ind w:left="140"/>
              <w:rPr>
                <w:sz w:val="18"/>
                <w:szCs w:val="24"/>
              </w:rPr>
            </w:pPr>
            <w:r w:rsidRPr="00E80D3A">
              <w:rPr>
                <w:b w:val="0"/>
                <w:color w:val="000000"/>
                <w:sz w:val="18"/>
                <w:szCs w:val="24"/>
              </w:rPr>
              <w:t>В ідеалі, цільове СНП (для швидшого отримання результатів) або фенотипове ТМЧ необхідно проводити на початку лікування. Якщо ТМЧ на вихідному рівні не проводиться, ТМЧ необхідно проводити з першим штамом, ізольованим зі зразка пацієнта під час контролю лікування.</w:t>
            </w:r>
            <w:r w:rsidRPr="00E80D3A">
              <w:rPr>
                <w:b w:val="0"/>
                <w:color w:val="000000"/>
                <w:sz w:val="18"/>
                <w:szCs w:val="24"/>
                <w:vertAlign w:val="superscript"/>
              </w:rPr>
              <w:t>b</w:t>
            </w:r>
          </w:p>
        </w:tc>
      </w:tr>
      <w:tr w:rsidR="00366CB9" w:rsidRPr="00E80D3A" w14:paraId="20432F66" w14:textId="77777777" w:rsidTr="007751D5">
        <w:trPr>
          <w:trHeight w:hRule="exact" w:val="710"/>
        </w:trPr>
        <w:tc>
          <w:tcPr>
            <w:tcW w:w="709" w:type="dxa"/>
            <w:vMerge/>
            <w:tcBorders>
              <w:top w:val="single" w:sz="4" w:space="0" w:color="auto"/>
            </w:tcBorders>
            <w:shd w:val="clear" w:color="auto" w:fill="9FC39D"/>
            <w:textDirection w:val="btLr"/>
          </w:tcPr>
          <w:p w14:paraId="6108DDB5" w14:textId="77777777" w:rsidR="00366CB9" w:rsidRPr="00E80D3A" w:rsidRDefault="00366CB9" w:rsidP="001F35DC">
            <w:pPr>
              <w:rPr>
                <w:sz w:val="18"/>
              </w:rPr>
            </w:pPr>
          </w:p>
        </w:tc>
        <w:tc>
          <w:tcPr>
            <w:tcW w:w="1465" w:type="dxa"/>
            <w:tcBorders>
              <w:top w:val="single" w:sz="8" w:space="0" w:color="00B050"/>
              <w:left w:val="nil"/>
              <w:bottom w:val="single" w:sz="8" w:space="0" w:color="00B050"/>
            </w:tcBorders>
            <w:shd w:val="clear" w:color="auto" w:fill="FFFFFF"/>
          </w:tcPr>
          <w:p w14:paraId="2C2E5613" w14:textId="77777777" w:rsidR="00366CB9" w:rsidRPr="00E80D3A" w:rsidRDefault="009D0C1D" w:rsidP="00854441">
            <w:pPr>
              <w:pStyle w:val="a6"/>
              <w:shd w:val="clear" w:color="auto" w:fill="auto"/>
              <w:rPr>
                <w:sz w:val="18"/>
                <w:szCs w:val="24"/>
              </w:rPr>
            </w:pPr>
            <w:r w:rsidRPr="00E80D3A">
              <w:rPr>
                <w:b w:val="0"/>
                <w:color w:val="000000"/>
                <w:sz w:val="18"/>
                <w:szCs w:val="24"/>
              </w:rPr>
              <w:t>Циклосерин</w:t>
            </w:r>
          </w:p>
        </w:tc>
        <w:tc>
          <w:tcPr>
            <w:tcW w:w="2357" w:type="dxa"/>
            <w:vMerge w:val="restart"/>
            <w:tcBorders>
              <w:top w:val="single" w:sz="8" w:space="0" w:color="00B050"/>
              <w:bottom w:val="single" w:sz="8" w:space="0" w:color="00B050"/>
            </w:tcBorders>
            <w:shd w:val="clear" w:color="auto" w:fill="FFFFFF"/>
          </w:tcPr>
          <w:p w14:paraId="08A8F145" w14:textId="77777777" w:rsidR="00366CB9" w:rsidRPr="00E80D3A" w:rsidRDefault="009D0C1D" w:rsidP="00854441">
            <w:pPr>
              <w:pStyle w:val="a6"/>
              <w:shd w:val="clear" w:color="auto" w:fill="auto"/>
              <w:spacing w:before="100" w:line="276" w:lineRule="auto"/>
              <w:rPr>
                <w:sz w:val="18"/>
                <w:szCs w:val="24"/>
              </w:rPr>
            </w:pPr>
            <w:r w:rsidRPr="00E80D3A">
              <w:rPr>
                <w:b w:val="0"/>
                <w:color w:val="000000"/>
                <w:sz w:val="18"/>
                <w:szCs w:val="24"/>
              </w:rPr>
              <w:t>Наразі немає швидкого методу виявлення резистентності</w:t>
            </w:r>
          </w:p>
        </w:tc>
        <w:tc>
          <w:tcPr>
            <w:tcW w:w="2174" w:type="dxa"/>
            <w:vMerge w:val="restart"/>
            <w:tcBorders>
              <w:top w:val="single" w:sz="8" w:space="0" w:color="00B050"/>
              <w:bottom w:val="single" w:sz="8" w:space="0" w:color="00B050"/>
            </w:tcBorders>
            <w:shd w:val="clear" w:color="auto" w:fill="FFFFFF"/>
          </w:tcPr>
          <w:p w14:paraId="543C99CA" w14:textId="77777777" w:rsidR="00366CB9" w:rsidRPr="00E80D3A" w:rsidRDefault="009D0C1D" w:rsidP="00854441">
            <w:pPr>
              <w:pStyle w:val="a6"/>
              <w:shd w:val="clear" w:color="auto" w:fill="auto"/>
              <w:spacing w:before="100" w:line="276" w:lineRule="auto"/>
              <w:rPr>
                <w:sz w:val="18"/>
                <w:szCs w:val="24"/>
              </w:rPr>
            </w:pPr>
            <w:r w:rsidRPr="00E80D3A">
              <w:rPr>
                <w:b w:val="0"/>
                <w:color w:val="000000"/>
                <w:sz w:val="18"/>
                <w:szCs w:val="24"/>
              </w:rPr>
              <w:t>КК було встановлено лише для CS у середовищі MGIT</w:t>
            </w:r>
          </w:p>
        </w:tc>
        <w:tc>
          <w:tcPr>
            <w:tcW w:w="2227" w:type="dxa"/>
            <w:vMerge w:val="restart"/>
            <w:tcBorders>
              <w:top w:val="single" w:sz="8" w:space="0" w:color="00B050"/>
              <w:bottom w:val="single" w:sz="8" w:space="0" w:color="00B050"/>
            </w:tcBorders>
            <w:shd w:val="clear" w:color="auto" w:fill="FFFFFF"/>
          </w:tcPr>
          <w:p w14:paraId="33E4BD4A" w14:textId="77777777" w:rsidR="00366CB9" w:rsidRPr="00E80D3A" w:rsidRDefault="009D0C1D" w:rsidP="00854441">
            <w:pPr>
              <w:pStyle w:val="a6"/>
              <w:shd w:val="clear" w:color="auto" w:fill="auto"/>
              <w:spacing w:before="100"/>
              <w:ind w:firstLine="140"/>
              <w:rPr>
                <w:sz w:val="18"/>
                <w:szCs w:val="24"/>
              </w:rPr>
            </w:pPr>
            <w:r w:rsidRPr="00E80D3A">
              <w:rPr>
                <w:b w:val="0"/>
                <w:color w:val="000000"/>
                <w:sz w:val="18"/>
                <w:szCs w:val="24"/>
              </w:rPr>
              <w:t>MGIT</w:t>
            </w:r>
          </w:p>
        </w:tc>
        <w:tc>
          <w:tcPr>
            <w:tcW w:w="5122" w:type="dxa"/>
            <w:vMerge w:val="restart"/>
            <w:tcBorders>
              <w:top w:val="single" w:sz="8" w:space="0" w:color="00B050"/>
              <w:bottom w:val="single" w:sz="8" w:space="0" w:color="00B050"/>
            </w:tcBorders>
            <w:shd w:val="clear" w:color="auto" w:fill="FFFFFF"/>
          </w:tcPr>
          <w:p w14:paraId="693E90BA" w14:textId="77777777" w:rsidR="00366CB9" w:rsidRPr="00E80D3A" w:rsidRDefault="009D0C1D" w:rsidP="00E80D3A">
            <w:pPr>
              <w:pStyle w:val="a6"/>
              <w:shd w:val="clear" w:color="auto" w:fill="auto"/>
              <w:spacing w:before="60" w:line="271" w:lineRule="auto"/>
              <w:ind w:left="140"/>
              <w:rPr>
                <w:sz w:val="18"/>
                <w:szCs w:val="24"/>
              </w:rPr>
            </w:pPr>
            <w:r w:rsidRPr="00E80D3A">
              <w:rPr>
                <w:b w:val="0"/>
                <w:color w:val="000000"/>
                <w:sz w:val="18"/>
                <w:szCs w:val="24"/>
              </w:rPr>
              <w:t>В ідеалі, фенотипове ТМЧ необхідно проводити на початку лікування. Якщо ТМЧ на вихідному рівні не проводиться, ТМЧ необхідно проводити з першим штамом, ізольованим зі зразка пацієнта під час контролю лікування.</w:t>
            </w:r>
            <w:r w:rsidRPr="00E80D3A">
              <w:rPr>
                <w:b w:val="0"/>
                <w:color w:val="000000"/>
                <w:sz w:val="18"/>
                <w:szCs w:val="24"/>
                <w:vertAlign w:val="superscript"/>
              </w:rPr>
              <w:t>b</w:t>
            </w:r>
          </w:p>
        </w:tc>
      </w:tr>
      <w:tr w:rsidR="00366CB9" w:rsidRPr="00E80D3A" w14:paraId="5CE2D208" w14:textId="77777777" w:rsidTr="007751D5">
        <w:trPr>
          <w:trHeight w:hRule="exact" w:val="1133"/>
        </w:trPr>
        <w:tc>
          <w:tcPr>
            <w:tcW w:w="709" w:type="dxa"/>
            <w:vMerge/>
            <w:tcBorders>
              <w:top w:val="single" w:sz="4" w:space="0" w:color="auto"/>
            </w:tcBorders>
            <w:shd w:val="clear" w:color="auto" w:fill="9FC39D"/>
            <w:textDirection w:val="btLr"/>
          </w:tcPr>
          <w:p w14:paraId="4C7E313F" w14:textId="77777777" w:rsidR="00366CB9" w:rsidRPr="00E80D3A" w:rsidRDefault="00366CB9" w:rsidP="001F35DC">
            <w:pPr>
              <w:rPr>
                <w:sz w:val="18"/>
              </w:rPr>
            </w:pPr>
          </w:p>
        </w:tc>
        <w:tc>
          <w:tcPr>
            <w:tcW w:w="1465" w:type="dxa"/>
            <w:tcBorders>
              <w:top w:val="single" w:sz="8" w:space="0" w:color="00B050"/>
              <w:left w:val="nil"/>
              <w:bottom w:val="single" w:sz="8" w:space="0" w:color="00B050"/>
            </w:tcBorders>
            <w:shd w:val="clear" w:color="auto" w:fill="FFFFFF"/>
          </w:tcPr>
          <w:p w14:paraId="20342BE2" w14:textId="77777777" w:rsidR="00366CB9" w:rsidRPr="00E80D3A" w:rsidRDefault="009D0C1D" w:rsidP="001F35DC">
            <w:pPr>
              <w:pStyle w:val="a6"/>
              <w:shd w:val="clear" w:color="auto" w:fill="auto"/>
              <w:spacing w:before="100"/>
              <w:rPr>
                <w:sz w:val="18"/>
                <w:szCs w:val="24"/>
              </w:rPr>
            </w:pPr>
            <w:r w:rsidRPr="00E80D3A">
              <w:rPr>
                <w:b w:val="0"/>
                <w:color w:val="000000"/>
                <w:sz w:val="18"/>
                <w:szCs w:val="24"/>
              </w:rPr>
              <w:t>Теризидон</w:t>
            </w:r>
          </w:p>
        </w:tc>
        <w:tc>
          <w:tcPr>
            <w:tcW w:w="2357" w:type="dxa"/>
            <w:vMerge/>
            <w:tcBorders>
              <w:top w:val="single" w:sz="8" w:space="0" w:color="00B050"/>
              <w:bottom w:val="single" w:sz="8" w:space="0" w:color="00B050"/>
            </w:tcBorders>
            <w:shd w:val="clear" w:color="auto" w:fill="FFFFFF"/>
          </w:tcPr>
          <w:p w14:paraId="0C844975" w14:textId="77777777" w:rsidR="00366CB9" w:rsidRPr="00E80D3A" w:rsidRDefault="00366CB9" w:rsidP="001F35DC">
            <w:pPr>
              <w:rPr>
                <w:sz w:val="18"/>
              </w:rPr>
            </w:pPr>
          </w:p>
        </w:tc>
        <w:tc>
          <w:tcPr>
            <w:tcW w:w="2174" w:type="dxa"/>
            <w:vMerge/>
            <w:tcBorders>
              <w:top w:val="single" w:sz="8" w:space="0" w:color="00B050"/>
              <w:bottom w:val="single" w:sz="8" w:space="0" w:color="00B050"/>
            </w:tcBorders>
            <w:shd w:val="clear" w:color="auto" w:fill="FFFFFF"/>
          </w:tcPr>
          <w:p w14:paraId="4A02C480" w14:textId="77777777" w:rsidR="00366CB9" w:rsidRPr="00E80D3A" w:rsidRDefault="00366CB9" w:rsidP="001F35DC">
            <w:pPr>
              <w:rPr>
                <w:sz w:val="18"/>
              </w:rPr>
            </w:pPr>
          </w:p>
        </w:tc>
        <w:tc>
          <w:tcPr>
            <w:tcW w:w="2227" w:type="dxa"/>
            <w:vMerge/>
            <w:tcBorders>
              <w:top w:val="single" w:sz="8" w:space="0" w:color="00B050"/>
              <w:bottom w:val="single" w:sz="8" w:space="0" w:color="00B050"/>
            </w:tcBorders>
            <w:shd w:val="clear" w:color="auto" w:fill="FFFFFF"/>
          </w:tcPr>
          <w:p w14:paraId="673948C6" w14:textId="77777777" w:rsidR="00366CB9" w:rsidRPr="00E80D3A" w:rsidRDefault="00366CB9" w:rsidP="001F35DC">
            <w:pPr>
              <w:rPr>
                <w:sz w:val="18"/>
              </w:rPr>
            </w:pPr>
          </w:p>
        </w:tc>
        <w:tc>
          <w:tcPr>
            <w:tcW w:w="5122" w:type="dxa"/>
            <w:vMerge/>
            <w:tcBorders>
              <w:top w:val="single" w:sz="8" w:space="0" w:color="00B050"/>
              <w:bottom w:val="single" w:sz="8" w:space="0" w:color="00B050"/>
            </w:tcBorders>
            <w:shd w:val="clear" w:color="auto" w:fill="FFFFFF"/>
          </w:tcPr>
          <w:p w14:paraId="1BA9D1D0" w14:textId="77777777" w:rsidR="00366CB9" w:rsidRPr="00E80D3A" w:rsidRDefault="00366CB9" w:rsidP="001F35DC">
            <w:pPr>
              <w:rPr>
                <w:sz w:val="18"/>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163"/>
      </w:tblGrid>
      <w:tr w:rsidR="00366CB9" w14:paraId="180139FB" w14:textId="77777777">
        <w:trPr>
          <w:trHeight w:hRule="exact" w:val="2890"/>
        </w:trPr>
        <w:tc>
          <w:tcPr>
            <w:tcW w:w="163" w:type="dxa"/>
            <w:shd w:val="clear" w:color="auto" w:fill="FFFFFF"/>
            <w:textDirection w:val="tbRl"/>
          </w:tcPr>
          <w:p w14:paraId="04A062F6" w14:textId="77777777" w:rsidR="00366CB9" w:rsidRDefault="009D0C1D" w:rsidP="00425523">
            <w:pPr>
              <w:pStyle w:val="a6"/>
              <w:framePr w:w="163" w:h="3470" w:wrap="none" w:vAnchor="page" w:hAnchor="page" w:x="719" w:y="7640"/>
              <w:shd w:val="clear" w:color="auto" w:fill="auto"/>
              <w:rPr>
                <w:sz w:val="15"/>
                <w:szCs w:val="15"/>
              </w:rPr>
            </w:pPr>
            <w:r>
              <w:rPr>
                <w:b w:val="0"/>
                <w:color w:val="019648"/>
                <w:sz w:val="15"/>
              </w:rPr>
              <w:t>2. Тести на ТБ з рекомендаціями ВООЗ</w:t>
            </w:r>
          </w:p>
        </w:tc>
      </w:tr>
      <w:tr w:rsidR="00366CB9" w14:paraId="3E183662" w14:textId="77777777">
        <w:trPr>
          <w:trHeight w:hRule="exact" w:val="581"/>
        </w:trPr>
        <w:tc>
          <w:tcPr>
            <w:tcW w:w="163" w:type="dxa"/>
            <w:shd w:val="clear" w:color="auto" w:fill="FFFFFF"/>
            <w:textDirection w:val="tbRl"/>
          </w:tcPr>
          <w:p w14:paraId="021A1805" w14:textId="77777777" w:rsidR="00366CB9" w:rsidRDefault="009D0C1D" w:rsidP="00425523">
            <w:pPr>
              <w:pStyle w:val="a6"/>
              <w:framePr w:w="163" w:h="3470" w:wrap="none" w:vAnchor="page" w:hAnchor="page" w:x="719" w:y="7640"/>
              <w:shd w:val="clear" w:color="auto" w:fill="auto"/>
              <w:ind w:firstLine="360"/>
              <w:rPr>
                <w:sz w:val="15"/>
                <w:szCs w:val="15"/>
              </w:rPr>
            </w:pPr>
            <w:r>
              <w:rPr>
                <w:b w:val="0"/>
                <w:color w:val="019648"/>
                <w:sz w:val="15"/>
              </w:rPr>
              <w:t>51</w:t>
            </w:r>
          </w:p>
        </w:tc>
      </w:tr>
    </w:tbl>
    <w:p w14:paraId="41EB1AC8" w14:textId="77777777" w:rsidR="00366CB9" w:rsidRDefault="00366CB9" w:rsidP="00425523">
      <w:pPr>
        <w:spacing w:line="1" w:lineRule="exact"/>
        <w:sectPr w:rsidR="00366CB9" w:rsidSect="001F35DC">
          <w:type w:val="nextColumn"/>
          <w:pgSz w:w="16840" w:h="11913" w:orient="landscape"/>
          <w:pgMar w:top="1412" w:right="1304" w:bottom="851" w:left="1508" w:header="0" w:footer="6" w:gutter="0"/>
          <w:paperSrc w:first="15" w:other="15"/>
          <w:cols w:space="720"/>
          <w:noEndnote/>
          <w:docGrid w:linePitch="360"/>
        </w:sectPr>
      </w:pPr>
    </w:p>
    <w:p w14:paraId="736F3894"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576"/>
        <w:gridCol w:w="1598"/>
        <w:gridCol w:w="2280"/>
        <w:gridCol w:w="2256"/>
        <w:gridCol w:w="2222"/>
        <w:gridCol w:w="5122"/>
      </w:tblGrid>
      <w:tr w:rsidR="00366CB9" w:rsidRPr="00E80D3A" w14:paraId="38106776" w14:textId="77777777" w:rsidTr="007751D5">
        <w:trPr>
          <w:trHeight w:hRule="exact" w:val="461"/>
        </w:trPr>
        <w:tc>
          <w:tcPr>
            <w:tcW w:w="2174" w:type="dxa"/>
            <w:gridSpan w:val="2"/>
            <w:tcBorders>
              <w:top w:val="single" w:sz="8" w:space="0" w:color="00B050"/>
              <w:left w:val="single" w:sz="8" w:space="0" w:color="00B050"/>
              <w:bottom w:val="single" w:sz="8" w:space="0" w:color="00B050"/>
              <w:right w:val="single" w:sz="8" w:space="0" w:color="00B050"/>
            </w:tcBorders>
            <w:shd w:val="clear" w:color="auto" w:fill="62A86A"/>
            <w:vAlign w:val="center"/>
          </w:tcPr>
          <w:p w14:paraId="0CDA8260" w14:textId="77777777" w:rsidR="00366CB9" w:rsidRPr="00E80D3A" w:rsidRDefault="009D0C1D" w:rsidP="00854441">
            <w:pPr>
              <w:pStyle w:val="a6"/>
              <w:shd w:val="clear" w:color="auto" w:fill="auto"/>
              <w:rPr>
                <w:sz w:val="18"/>
                <w:szCs w:val="24"/>
              </w:rPr>
            </w:pPr>
            <w:r w:rsidRPr="00E80D3A">
              <w:rPr>
                <w:color w:val="FFFFFF"/>
                <w:sz w:val="18"/>
                <w:szCs w:val="24"/>
              </w:rPr>
              <w:t>Лікарський засіб</w:t>
            </w:r>
          </w:p>
        </w:tc>
        <w:tc>
          <w:tcPr>
            <w:tcW w:w="228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5C8530D" w14:textId="77777777" w:rsidR="00366CB9" w:rsidRPr="00E80D3A" w:rsidRDefault="009D0C1D" w:rsidP="00854441">
            <w:pPr>
              <w:pStyle w:val="a6"/>
              <w:shd w:val="clear" w:color="auto" w:fill="auto"/>
              <w:rPr>
                <w:sz w:val="18"/>
                <w:szCs w:val="24"/>
              </w:rPr>
            </w:pPr>
            <w:r w:rsidRPr="00E80D3A">
              <w:rPr>
                <w:color w:val="FFFFFF"/>
                <w:sz w:val="18"/>
                <w:szCs w:val="24"/>
              </w:rPr>
              <w:t>Генотипове ТМЧ</w:t>
            </w:r>
          </w:p>
        </w:tc>
        <w:tc>
          <w:tcPr>
            <w:tcW w:w="225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126D9B6" w14:textId="77777777" w:rsidR="00366CB9" w:rsidRPr="00E80D3A" w:rsidRDefault="009D0C1D" w:rsidP="00854441">
            <w:pPr>
              <w:pStyle w:val="a6"/>
              <w:shd w:val="clear" w:color="auto" w:fill="auto"/>
              <w:ind w:firstLine="200"/>
              <w:rPr>
                <w:sz w:val="18"/>
                <w:szCs w:val="24"/>
              </w:rPr>
            </w:pPr>
            <w:r w:rsidRPr="00E80D3A">
              <w:rPr>
                <w:color w:val="FFFFFF"/>
                <w:sz w:val="18"/>
                <w:szCs w:val="24"/>
              </w:rPr>
              <w:t>Фенотипове ТМЧ</w:t>
            </w:r>
          </w:p>
        </w:tc>
        <w:tc>
          <w:tcPr>
            <w:tcW w:w="222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A7AF99A" w14:textId="77777777" w:rsidR="00366CB9" w:rsidRPr="00E80D3A" w:rsidRDefault="009D0C1D" w:rsidP="00854441">
            <w:pPr>
              <w:pStyle w:val="a6"/>
              <w:shd w:val="clear" w:color="auto" w:fill="auto"/>
              <w:rPr>
                <w:sz w:val="18"/>
                <w:szCs w:val="24"/>
              </w:rPr>
            </w:pPr>
            <w:r w:rsidRPr="00E80D3A">
              <w:rPr>
                <w:color w:val="FFFFFF"/>
                <w:sz w:val="18"/>
                <w:szCs w:val="24"/>
              </w:rPr>
              <w:t>Еталонний метод</w:t>
            </w:r>
          </w:p>
        </w:tc>
        <w:tc>
          <w:tcPr>
            <w:tcW w:w="512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4AC664A8" w14:textId="77777777" w:rsidR="00366CB9" w:rsidRPr="00E80D3A" w:rsidRDefault="009D0C1D" w:rsidP="00854441">
            <w:pPr>
              <w:pStyle w:val="a6"/>
              <w:shd w:val="clear" w:color="auto" w:fill="auto"/>
              <w:ind w:firstLine="140"/>
              <w:rPr>
                <w:sz w:val="18"/>
                <w:szCs w:val="24"/>
              </w:rPr>
            </w:pPr>
            <w:r w:rsidRPr="00E80D3A">
              <w:rPr>
                <w:color w:val="FFFFFF"/>
                <w:sz w:val="18"/>
                <w:szCs w:val="24"/>
              </w:rPr>
              <w:t>Коментар</w:t>
            </w:r>
          </w:p>
        </w:tc>
      </w:tr>
      <w:tr w:rsidR="00366CB9" w:rsidRPr="00E80D3A" w14:paraId="681BEDC7" w14:textId="77777777" w:rsidTr="007751D5">
        <w:trPr>
          <w:trHeight w:hRule="exact" w:val="2266"/>
        </w:trPr>
        <w:tc>
          <w:tcPr>
            <w:tcW w:w="576" w:type="dxa"/>
            <w:vMerge w:val="restart"/>
            <w:tcBorders>
              <w:top w:val="single" w:sz="8" w:space="0" w:color="00B050"/>
            </w:tcBorders>
            <w:shd w:val="clear" w:color="auto" w:fill="9FC39D"/>
            <w:textDirection w:val="btLr"/>
          </w:tcPr>
          <w:p w14:paraId="685DD8F4" w14:textId="77777777" w:rsidR="00366CB9" w:rsidRPr="00E80D3A" w:rsidRDefault="009D0C1D" w:rsidP="001F35DC">
            <w:pPr>
              <w:pStyle w:val="a6"/>
              <w:shd w:val="clear" w:color="auto" w:fill="auto"/>
              <w:spacing w:before="120"/>
              <w:jc w:val="center"/>
              <w:rPr>
                <w:bCs w:val="0"/>
                <w:sz w:val="18"/>
                <w:szCs w:val="24"/>
              </w:rPr>
            </w:pPr>
            <w:r w:rsidRPr="00E80D3A">
              <w:rPr>
                <w:bCs w:val="0"/>
                <w:color w:val="000000"/>
                <w:sz w:val="18"/>
                <w:szCs w:val="24"/>
              </w:rPr>
              <w:t>Протитуберкульозі препарати другої лінії групи C</w:t>
            </w:r>
          </w:p>
        </w:tc>
        <w:tc>
          <w:tcPr>
            <w:tcW w:w="1598" w:type="dxa"/>
            <w:tcBorders>
              <w:top w:val="single" w:sz="8" w:space="0" w:color="00B050"/>
              <w:left w:val="nil"/>
              <w:bottom w:val="single" w:sz="8" w:space="0" w:color="00B050"/>
            </w:tcBorders>
            <w:shd w:val="clear" w:color="auto" w:fill="FFFFFF"/>
          </w:tcPr>
          <w:p w14:paraId="73590698"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Етамбутол</w:t>
            </w:r>
          </w:p>
        </w:tc>
        <w:tc>
          <w:tcPr>
            <w:tcW w:w="2280" w:type="dxa"/>
            <w:tcBorders>
              <w:top w:val="single" w:sz="8" w:space="0" w:color="00B050"/>
              <w:bottom w:val="single" w:sz="8" w:space="0" w:color="00B050"/>
            </w:tcBorders>
            <w:shd w:val="clear" w:color="auto" w:fill="FFFFFF"/>
          </w:tcPr>
          <w:p w14:paraId="395EDC05" w14:textId="77777777" w:rsidR="00366CB9" w:rsidRPr="00E80D3A" w:rsidRDefault="009D0C1D" w:rsidP="00854441">
            <w:pPr>
              <w:pStyle w:val="a6"/>
              <w:shd w:val="clear" w:color="auto" w:fill="auto"/>
              <w:spacing w:before="100" w:line="271" w:lineRule="auto"/>
              <w:rPr>
                <w:sz w:val="18"/>
                <w:szCs w:val="24"/>
              </w:rPr>
            </w:pPr>
            <w:r w:rsidRPr="00E80D3A">
              <w:rPr>
                <w:b w:val="0"/>
                <w:color w:val="000000"/>
                <w:sz w:val="18"/>
                <w:szCs w:val="24"/>
              </w:rPr>
              <w:t>Наразі немає швидкого методу виявлення резистентності до EMB</w:t>
            </w:r>
          </w:p>
        </w:tc>
        <w:tc>
          <w:tcPr>
            <w:tcW w:w="2256" w:type="dxa"/>
            <w:tcBorders>
              <w:top w:val="single" w:sz="8" w:space="0" w:color="00B050"/>
              <w:bottom w:val="single" w:sz="8" w:space="0" w:color="00B050"/>
            </w:tcBorders>
            <w:shd w:val="clear" w:color="auto" w:fill="FFFFFF"/>
          </w:tcPr>
          <w:p w14:paraId="072B8DC0" w14:textId="77777777" w:rsidR="00366CB9" w:rsidRPr="00E80D3A" w:rsidRDefault="009D0C1D" w:rsidP="00854441">
            <w:pPr>
              <w:pStyle w:val="a6"/>
              <w:shd w:val="clear" w:color="auto" w:fill="auto"/>
              <w:spacing w:before="100" w:line="271" w:lineRule="auto"/>
              <w:ind w:left="200"/>
              <w:rPr>
                <w:sz w:val="18"/>
                <w:szCs w:val="24"/>
              </w:rPr>
            </w:pPr>
            <w:r w:rsidRPr="00E80D3A">
              <w:rPr>
                <w:b w:val="0"/>
                <w:color w:val="000000"/>
                <w:sz w:val="18"/>
                <w:szCs w:val="24"/>
              </w:rPr>
              <w:t>ТМЧ не є надійним та відтворюваним</w:t>
            </w:r>
          </w:p>
        </w:tc>
        <w:tc>
          <w:tcPr>
            <w:tcW w:w="2222" w:type="dxa"/>
            <w:tcBorders>
              <w:top w:val="single" w:sz="8" w:space="0" w:color="00B050"/>
              <w:bottom w:val="single" w:sz="8" w:space="0" w:color="00B050"/>
            </w:tcBorders>
            <w:shd w:val="clear" w:color="auto" w:fill="FFFFFF"/>
          </w:tcPr>
          <w:p w14:paraId="2CE9C1BD" w14:textId="77777777" w:rsidR="00366CB9" w:rsidRPr="00E80D3A" w:rsidRDefault="009D0C1D" w:rsidP="00854441">
            <w:pPr>
              <w:pStyle w:val="a6"/>
              <w:shd w:val="clear" w:color="auto" w:fill="auto"/>
              <w:spacing w:before="100" w:line="271" w:lineRule="auto"/>
              <w:rPr>
                <w:sz w:val="18"/>
                <w:szCs w:val="24"/>
              </w:rPr>
            </w:pPr>
            <w:r w:rsidRPr="00E80D3A">
              <w:rPr>
                <w:b w:val="0"/>
                <w:color w:val="000000"/>
                <w:sz w:val="18"/>
                <w:szCs w:val="24"/>
              </w:rPr>
              <w:t xml:space="preserve">MGIT та секвенування ДНК всього гена </w:t>
            </w:r>
            <w:r w:rsidRPr="00E80D3A">
              <w:rPr>
                <w:b w:val="0"/>
                <w:i/>
                <w:color w:val="000000"/>
                <w:sz w:val="18"/>
                <w:szCs w:val="24"/>
              </w:rPr>
              <w:t>embB</w:t>
            </w:r>
          </w:p>
        </w:tc>
        <w:tc>
          <w:tcPr>
            <w:tcW w:w="5122" w:type="dxa"/>
            <w:tcBorders>
              <w:top w:val="single" w:sz="8" w:space="0" w:color="00B050"/>
              <w:bottom w:val="single" w:sz="8" w:space="0" w:color="00B050"/>
            </w:tcBorders>
            <w:shd w:val="clear" w:color="auto" w:fill="FFFFFF"/>
          </w:tcPr>
          <w:p w14:paraId="1EBA31F9" w14:textId="77777777" w:rsidR="00366CB9" w:rsidRPr="00E80D3A" w:rsidRDefault="009D0C1D" w:rsidP="00E80D3A">
            <w:pPr>
              <w:pStyle w:val="a6"/>
              <w:shd w:val="clear" w:color="auto" w:fill="auto"/>
              <w:spacing w:before="60" w:line="271" w:lineRule="auto"/>
              <w:ind w:left="140"/>
              <w:rPr>
                <w:sz w:val="18"/>
                <w:szCs w:val="24"/>
              </w:rPr>
            </w:pPr>
            <w:r w:rsidRPr="00E80D3A">
              <w:rPr>
                <w:b w:val="0"/>
                <w:color w:val="000000"/>
                <w:sz w:val="18"/>
                <w:szCs w:val="24"/>
              </w:rPr>
              <w:t>Як генотипове, так і фенотипове ТМЧ не є надійними. Якщо EMB застосовується в рамках схеми лікування МЛС/Риф-ТБ, його не можна вважати ефективним лікарським засобом цієї схеми. Фенотипове ТМЧ може призвести до поганої відтворюваності специфічних мутацій; тому перевагу віддають тестуванню у комбінації з фенотиповим ТМЧ та секвенуванням ДНК.</w:t>
            </w:r>
          </w:p>
        </w:tc>
      </w:tr>
      <w:tr w:rsidR="00366CB9" w:rsidRPr="00E80D3A" w14:paraId="477C87BB" w14:textId="77777777" w:rsidTr="007751D5">
        <w:trPr>
          <w:trHeight w:hRule="exact" w:val="1488"/>
        </w:trPr>
        <w:tc>
          <w:tcPr>
            <w:tcW w:w="576" w:type="dxa"/>
            <w:vMerge/>
            <w:tcBorders>
              <w:top w:val="single" w:sz="8" w:space="0" w:color="00B050"/>
            </w:tcBorders>
            <w:shd w:val="clear" w:color="auto" w:fill="9FC39D"/>
            <w:textDirection w:val="btLr"/>
          </w:tcPr>
          <w:p w14:paraId="127DE0B5" w14:textId="77777777" w:rsidR="00366CB9" w:rsidRPr="00E80D3A" w:rsidRDefault="00366CB9" w:rsidP="001F35DC">
            <w:pPr>
              <w:rPr>
                <w:sz w:val="18"/>
              </w:rPr>
            </w:pPr>
          </w:p>
        </w:tc>
        <w:tc>
          <w:tcPr>
            <w:tcW w:w="1598" w:type="dxa"/>
            <w:tcBorders>
              <w:top w:val="single" w:sz="8" w:space="0" w:color="00B050"/>
              <w:left w:val="nil"/>
              <w:bottom w:val="single" w:sz="8" w:space="0" w:color="00B050"/>
            </w:tcBorders>
            <w:shd w:val="clear" w:color="auto" w:fill="FFFFFF"/>
          </w:tcPr>
          <w:p w14:paraId="02224B70"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Деламанід</w:t>
            </w:r>
          </w:p>
        </w:tc>
        <w:tc>
          <w:tcPr>
            <w:tcW w:w="2280" w:type="dxa"/>
            <w:tcBorders>
              <w:top w:val="single" w:sz="8" w:space="0" w:color="00B050"/>
              <w:bottom w:val="single" w:sz="8" w:space="0" w:color="00B050"/>
            </w:tcBorders>
            <w:shd w:val="clear" w:color="auto" w:fill="FFFFFF"/>
          </w:tcPr>
          <w:p w14:paraId="78B4A654" w14:textId="77777777" w:rsidR="00366CB9" w:rsidRPr="00E80D3A" w:rsidRDefault="009D0C1D" w:rsidP="00854441">
            <w:pPr>
              <w:pStyle w:val="a6"/>
              <w:shd w:val="clear" w:color="auto" w:fill="auto"/>
              <w:spacing w:line="276" w:lineRule="auto"/>
              <w:rPr>
                <w:sz w:val="18"/>
                <w:szCs w:val="24"/>
              </w:rPr>
            </w:pPr>
            <w:r w:rsidRPr="00E80D3A">
              <w:rPr>
                <w:b w:val="0"/>
                <w:color w:val="000000"/>
                <w:sz w:val="18"/>
                <w:szCs w:val="24"/>
              </w:rPr>
              <w:t>Наразі не існує швидкого методу для виявлення резистентності.</w:t>
            </w:r>
          </w:p>
        </w:tc>
        <w:tc>
          <w:tcPr>
            <w:tcW w:w="2256" w:type="dxa"/>
            <w:tcBorders>
              <w:top w:val="single" w:sz="8" w:space="0" w:color="00B050"/>
              <w:bottom w:val="single" w:sz="8" w:space="0" w:color="00B050"/>
            </w:tcBorders>
            <w:shd w:val="clear" w:color="auto" w:fill="FFFFFF"/>
          </w:tcPr>
          <w:p w14:paraId="455DEFE2" w14:textId="77777777" w:rsidR="00366CB9" w:rsidRPr="00E80D3A" w:rsidRDefault="009D0C1D" w:rsidP="00854441">
            <w:pPr>
              <w:pStyle w:val="a6"/>
              <w:shd w:val="clear" w:color="auto" w:fill="auto"/>
              <w:spacing w:before="100" w:line="276" w:lineRule="auto"/>
              <w:ind w:left="200"/>
              <w:rPr>
                <w:sz w:val="18"/>
                <w:szCs w:val="24"/>
              </w:rPr>
            </w:pPr>
            <w:r w:rsidRPr="00E80D3A">
              <w:rPr>
                <w:b w:val="0"/>
                <w:color w:val="000000"/>
                <w:sz w:val="18"/>
                <w:szCs w:val="24"/>
              </w:rPr>
              <w:t>КК встановлено для тестування в середовищах 7H11 та MGIT</w:t>
            </w:r>
          </w:p>
        </w:tc>
        <w:tc>
          <w:tcPr>
            <w:tcW w:w="2222" w:type="dxa"/>
            <w:tcBorders>
              <w:top w:val="single" w:sz="8" w:space="0" w:color="00B050"/>
              <w:bottom w:val="single" w:sz="8" w:space="0" w:color="00B050"/>
            </w:tcBorders>
            <w:shd w:val="clear" w:color="auto" w:fill="FFFFFF"/>
          </w:tcPr>
          <w:p w14:paraId="3FC89C53"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MGIT</w:t>
            </w:r>
          </w:p>
        </w:tc>
        <w:tc>
          <w:tcPr>
            <w:tcW w:w="5122" w:type="dxa"/>
            <w:tcBorders>
              <w:top w:val="single" w:sz="8" w:space="0" w:color="00B050"/>
              <w:bottom w:val="single" w:sz="8" w:space="0" w:color="00B050"/>
            </w:tcBorders>
            <w:shd w:val="clear" w:color="auto" w:fill="FFFFFF"/>
          </w:tcPr>
          <w:p w14:paraId="0E21F339" w14:textId="77777777" w:rsidR="00366CB9" w:rsidRPr="00E80D3A" w:rsidRDefault="009D0C1D" w:rsidP="00E80D3A">
            <w:pPr>
              <w:pStyle w:val="a6"/>
              <w:shd w:val="clear" w:color="auto" w:fill="auto"/>
              <w:spacing w:before="60" w:line="271" w:lineRule="auto"/>
              <w:ind w:left="140"/>
              <w:rPr>
                <w:sz w:val="18"/>
                <w:szCs w:val="24"/>
              </w:rPr>
            </w:pPr>
            <w:r w:rsidRPr="00E80D3A">
              <w:rPr>
                <w:b w:val="0"/>
                <w:color w:val="000000"/>
                <w:sz w:val="18"/>
                <w:szCs w:val="24"/>
              </w:rPr>
              <w:t>В ідеалі, фенотипове ТМЧ необхідно проводити на початку лікування. Якщо ТМЧ на вихідному рівні не проводиться, ТМЧ необхідно проводити з першим штамом, ізольованим зі зразка пацієнта під час контролю лікування.</w:t>
            </w:r>
            <w:r w:rsidRPr="00E80D3A">
              <w:rPr>
                <w:b w:val="0"/>
                <w:color w:val="000000"/>
                <w:sz w:val="18"/>
                <w:szCs w:val="24"/>
                <w:vertAlign w:val="superscript"/>
              </w:rPr>
              <w:t>a</w:t>
            </w:r>
          </w:p>
        </w:tc>
      </w:tr>
      <w:tr w:rsidR="00366CB9" w:rsidRPr="00E80D3A" w14:paraId="62164428" w14:textId="77777777" w:rsidTr="007751D5">
        <w:trPr>
          <w:trHeight w:hRule="exact" w:val="2465"/>
        </w:trPr>
        <w:tc>
          <w:tcPr>
            <w:tcW w:w="576" w:type="dxa"/>
            <w:vMerge/>
            <w:tcBorders>
              <w:top w:val="single" w:sz="4" w:space="0" w:color="auto"/>
            </w:tcBorders>
            <w:shd w:val="clear" w:color="auto" w:fill="9FC39D"/>
            <w:textDirection w:val="btLr"/>
          </w:tcPr>
          <w:p w14:paraId="0F6FE95A" w14:textId="77777777" w:rsidR="00366CB9" w:rsidRPr="00E80D3A" w:rsidRDefault="00366CB9" w:rsidP="001F35DC">
            <w:pPr>
              <w:rPr>
                <w:sz w:val="18"/>
              </w:rPr>
            </w:pPr>
          </w:p>
        </w:tc>
        <w:tc>
          <w:tcPr>
            <w:tcW w:w="1598" w:type="dxa"/>
            <w:tcBorders>
              <w:top w:val="single" w:sz="8" w:space="0" w:color="00B050"/>
              <w:left w:val="nil"/>
              <w:bottom w:val="single" w:sz="8" w:space="0" w:color="00B050"/>
            </w:tcBorders>
            <w:shd w:val="clear" w:color="auto" w:fill="FFFFFF"/>
          </w:tcPr>
          <w:p w14:paraId="5357E20F"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Піразинамід</w:t>
            </w:r>
          </w:p>
        </w:tc>
        <w:tc>
          <w:tcPr>
            <w:tcW w:w="2280" w:type="dxa"/>
            <w:tcBorders>
              <w:top w:val="single" w:sz="8" w:space="0" w:color="00B050"/>
              <w:bottom w:val="single" w:sz="8" w:space="0" w:color="00B050"/>
            </w:tcBorders>
            <w:shd w:val="clear" w:color="auto" w:fill="FFFFFF"/>
          </w:tcPr>
          <w:p w14:paraId="6D883469" w14:textId="77777777" w:rsidR="00366CB9" w:rsidRPr="00E80D3A" w:rsidRDefault="009D0C1D" w:rsidP="00854441">
            <w:pPr>
              <w:pStyle w:val="a6"/>
              <w:shd w:val="clear" w:color="auto" w:fill="auto"/>
              <w:spacing w:before="100" w:after="80"/>
              <w:rPr>
                <w:sz w:val="18"/>
                <w:szCs w:val="24"/>
              </w:rPr>
            </w:pPr>
            <w:r w:rsidRPr="00E80D3A">
              <w:rPr>
                <w:b w:val="0"/>
                <w:color w:val="000000"/>
                <w:sz w:val="18"/>
                <w:szCs w:val="24"/>
              </w:rPr>
              <w:t>Цільове СНП</w:t>
            </w:r>
          </w:p>
          <w:p w14:paraId="1D4F8D9E" w14:textId="77777777" w:rsidR="00366CB9" w:rsidRPr="00E80D3A" w:rsidRDefault="009D0C1D" w:rsidP="00854441">
            <w:pPr>
              <w:pStyle w:val="a6"/>
              <w:shd w:val="clear" w:color="auto" w:fill="auto"/>
              <w:rPr>
                <w:sz w:val="18"/>
                <w:szCs w:val="24"/>
              </w:rPr>
            </w:pPr>
            <w:r w:rsidRPr="00E80D3A">
              <w:rPr>
                <w:b w:val="0"/>
                <w:color w:val="000000"/>
                <w:sz w:val="18"/>
                <w:szCs w:val="24"/>
              </w:rPr>
              <w:t>LPA</w:t>
            </w:r>
          </w:p>
        </w:tc>
        <w:tc>
          <w:tcPr>
            <w:tcW w:w="2256" w:type="dxa"/>
            <w:tcBorders>
              <w:top w:val="single" w:sz="8" w:space="0" w:color="00B050"/>
              <w:bottom w:val="single" w:sz="8" w:space="0" w:color="00B050"/>
            </w:tcBorders>
            <w:shd w:val="clear" w:color="auto" w:fill="FFFFFF"/>
          </w:tcPr>
          <w:p w14:paraId="0FF8A86A" w14:textId="77777777" w:rsidR="00366CB9" w:rsidRPr="00E80D3A" w:rsidRDefault="009D0C1D" w:rsidP="00854441">
            <w:pPr>
              <w:pStyle w:val="a6"/>
              <w:shd w:val="clear" w:color="auto" w:fill="auto"/>
              <w:spacing w:after="40" w:line="276" w:lineRule="auto"/>
              <w:ind w:left="200"/>
              <w:rPr>
                <w:sz w:val="18"/>
                <w:szCs w:val="24"/>
              </w:rPr>
            </w:pPr>
            <w:r w:rsidRPr="00E80D3A">
              <w:rPr>
                <w:b w:val="0"/>
                <w:color w:val="000000"/>
                <w:sz w:val="18"/>
                <w:szCs w:val="24"/>
              </w:rPr>
              <w:t>Метод ТМЧ стандартизований в MGIT</w:t>
            </w:r>
          </w:p>
          <w:p w14:paraId="51619EF5" w14:textId="77777777" w:rsidR="00366CB9" w:rsidRPr="00E80D3A" w:rsidRDefault="009D0C1D" w:rsidP="00854441">
            <w:pPr>
              <w:pStyle w:val="a6"/>
              <w:shd w:val="clear" w:color="auto" w:fill="auto"/>
              <w:spacing w:line="271" w:lineRule="auto"/>
              <w:ind w:left="200"/>
              <w:rPr>
                <w:sz w:val="18"/>
                <w:szCs w:val="24"/>
              </w:rPr>
            </w:pPr>
            <w:r w:rsidRPr="00E80D3A">
              <w:rPr>
                <w:b w:val="0"/>
                <w:color w:val="000000"/>
                <w:sz w:val="18"/>
                <w:szCs w:val="24"/>
              </w:rPr>
              <w:t>Помилково стійкі результати можна виявити, якщо інокулят ТМЧ неправильно підготовлено</w:t>
            </w:r>
          </w:p>
        </w:tc>
        <w:tc>
          <w:tcPr>
            <w:tcW w:w="2222" w:type="dxa"/>
            <w:tcBorders>
              <w:top w:val="single" w:sz="8" w:space="0" w:color="00B050"/>
              <w:bottom w:val="single" w:sz="8" w:space="0" w:color="00B050"/>
            </w:tcBorders>
            <w:shd w:val="clear" w:color="auto" w:fill="FFFFFF"/>
          </w:tcPr>
          <w:p w14:paraId="291BFC8A" w14:textId="77777777" w:rsidR="00366CB9" w:rsidRPr="00E80D3A" w:rsidRDefault="009D0C1D" w:rsidP="00854441">
            <w:pPr>
              <w:pStyle w:val="a6"/>
              <w:shd w:val="clear" w:color="auto" w:fill="auto"/>
              <w:spacing w:before="100" w:line="276" w:lineRule="auto"/>
              <w:rPr>
                <w:sz w:val="18"/>
                <w:szCs w:val="24"/>
              </w:rPr>
            </w:pPr>
            <w:r w:rsidRPr="00E80D3A">
              <w:rPr>
                <w:b w:val="0"/>
                <w:color w:val="000000"/>
                <w:sz w:val="18"/>
                <w:szCs w:val="24"/>
              </w:rPr>
              <w:t xml:space="preserve">MGIT та секвенування ДНК гена </w:t>
            </w:r>
            <w:r w:rsidRPr="00E80D3A">
              <w:rPr>
                <w:b w:val="0"/>
                <w:i/>
                <w:color w:val="000000"/>
                <w:sz w:val="18"/>
                <w:szCs w:val="24"/>
              </w:rPr>
              <w:t>pncA</w:t>
            </w:r>
          </w:p>
        </w:tc>
        <w:tc>
          <w:tcPr>
            <w:tcW w:w="5122" w:type="dxa"/>
            <w:tcBorders>
              <w:top w:val="single" w:sz="8" w:space="0" w:color="00B050"/>
              <w:bottom w:val="single" w:sz="8" w:space="0" w:color="00B050"/>
            </w:tcBorders>
            <w:shd w:val="clear" w:color="auto" w:fill="FFFFFF"/>
          </w:tcPr>
          <w:p w14:paraId="31B40450" w14:textId="77777777" w:rsidR="00366CB9" w:rsidRPr="00E80D3A" w:rsidRDefault="009D0C1D" w:rsidP="00E80D3A">
            <w:pPr>
              <w:pStyle w:val="a6"/>
              <w:shd w:val="clear" w:color="auto" w:fill="auto"/>
              <w:spacing w:before="60" w:line="290" w:lineRule="auto"/>
              <w:ind w:left="140"/>
              <w:rPr>
                <w:sz w:val="18"/>
                <w:szCs w:val="24"/>
              </w:rPr>
            </w:pPr>
            <w:r w:rsidRPr="00E80D3A">
              <w:rPr>
                <w:b w:val="0"/>
                <w:color w:val="000000"/>
                <w:sz w:val="18"/>
                <w:szCs w:val="24"/>
              </w:rPr>
              <w:t>У лабораторії із забезпеченням якості чутливий результат ТМЧ для PZA може бути використаний для керівництва включенням PZA до схеми лікування ЛС-ТБ. У разі виявлення резистентності не слід включати PZA; однак його не слід вважати ефективним лікарським засобом.</w:t>
            </w:r>
          </w:p>
        </w:tc>
      </w:tr>
    </w:tbl>
    <w:tbl>
      <w:tblPr>
        <w:tblOverlap w:val="never"/>
        <w:tblW w:w="254" w:type="dxa"/>
        <w:tblLayout w:type="fixed"/>
        <w:tblCellMar>
          <w:left w:w="10" w:type="dxa"/>
          <w:right w:w="10" w:type="dxa"/>
        </w:tblCellMar>
        <w:tblLook w:val="0000" w:firstRow="0" w:lastRow="0" w:firstColumn="0" w:lastColumn="0" w:noHBand="0" w:noVBand="0"/>
      </w:tblPr>
      <w:tblGrid>
        <w:gridCol w:w="254"/>
      </w:tblGrid>
      <w:tr w:rsidR="00366CB9" w14:paraId="6F39AD15" w14:textId="77777777" w:rsidTr="00854441">
        <w:trPr>
          <w:trHeight w:hRule="exact" w:val="663"/>
        </w:trPr>
        <w:tc>
          <w:tcPr>
            <w:tcW w:w="254" w:type="dxa"/>
            <w:shd w:val="clear" w:color="auto" w:fill="FFFFFF"/>
            <w:textDirection w:val="tbRl"/>
          </w:tcPr>
          <w:p w14:paraId="0B419D3C" w14:textId="77777777" w:rsidR="00366CB9" w:rsidRDefault="009D0C1D" w:rsidP="00425523">
            <w:pPr>
              <w:pStyle w:val="a6"/>
              <w:framePr w:w="187" w:h="5314" w:wrap="none" w:vAnchor="page" w:hAnchor="page" w:x="685" w:y="821"/>
              <w:shd w:val="clear" w:color="auto" w:fill="auto"/>
              <w:rPr>
                <w:sz w:val="15"/>
                <w:szCs w:val="15"/>
              </w:rPr>
            </w:pPr>
            <w:r>
              <w:rPr>
                <w:b w:val="0"/>
                <w:color w:val="019648"/>
                <w:sz w:val="15"/>
              </w:rPr>
              <w:t>52</w:t>
            </w:r>
          </w:p>
        </w:tc>
      </w:tr>
      <w:tr w:rsidR="00366CB9" w14:paraId="507EAF3A" w14:textId="77777777" w:rsidTr="00854441">
        <w:trPr>
          <w:trHeight w:hRule="exact" w:val="5507"/>
        </w:trPr>
        <w:tc>
          <w:tcPr>
            <w:tcW w:w="254" w:type="dxa"/>
            <w:shd w:val="clear" w:color="auto" w:fill="FFFFFF"/>
            <w:textDirection w:val="tbRl"/>
          </w:tcPr>
          <w:p w14:paraId="12B1F7DE" w14:textId="77777777" w:rsidR="00366CB9" w:rsidRDefault="009D0C1D" w:rsidP="00425523">
            <w:pPr>
              <w:pStyle w:val="a6"/>
              <w:framePr w:w="187" w:h="5314" w:wrap="none" w:vAnchor="page" w:hAnchor="page" w:x="685" w:y="821"/>
              <w:shd w:val="clear" w:color="auto" w:fill="auto"/>
              <w:rPr>
                <w:sz w:val="15"/>
                <w:szCs w:val="15"/>
              </w:rPr>
            </w:pPr>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p>
        </w:tc>
      </w:tr>
    </w:tbl>
    <w:p w14:paraId="27152B06" w14:textId="77777777" w:rsidR="00366CB9" w:rsidRDefault="00366CB9" w:rsidP="00425523">
      <w:pPr>
        <w:spacing w:line="1" w:lineRule="exact"/>
        <w:sectPr w:rsidR="00366CB9" w:rsidSect="001F35DC">
          <w:type w:val="nextColumn"/>
          <w:pgSz w:w="16840" w:h="11913" w:orient="landscape"/>
          <w:pgMar w:top="1412" w:right="1304" w:bottom="851" w:left="1508" w:header="0" w:footer="6" w:gutter="0"/>
          <w:paperSrc w:first="15" w:other="15"/>
          <w:cols w:space="720"/>
          <w:noEndnote/>
          <w:docGrid w:linePitch="360"/>
        </w:sectPr>
      </w:pPr>
    </w:p>
    <w:p w14:paraId="72204EAE"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581"/>
        <w:gridCol w:w="1608"/>
        <w:gridCol w:w="2270"/>
        <w:gridCol w:w="2246"/>
        <w:gridCol w:w="2232"/>
        <w:gridCol w:w="5117"/>
      </w:tblGrid>
      <w:tr w:rsidR="00366CB9" w:rsidRPr="00E80D3A" w14:paraId="04AA91D9" w14:textId="77777777" w:rsidTr="007751D5">
        <w:trPr>
          <w:trHeight w:hRule="exact" w:val="461"/>
        </w:trPr>
        <w:tc>
          <w:tcPr>
            <w:tcW w:w="2189" w:type="dxa"/>
            <w:gridSpan w:val="2"/>
            <w:tcBorders>
              <w:top w:val="single" w:sz="8" w:space="0" w:color="00B050"/>
              <w:left w:val="single" w:sz="8" w:space="0" w:color="00B050"/>
              <w:bottom w:val="single" w:sz="8" w:space="0" w:color="00B050"/>
              <w:right w:val="single" w:sz="8" w:space="0" w:color="00B050"/>
            </w:tcBorders>
            <w:shd w:val="clear" w:color="auto" w:fill="62A86A"/>
            <w:vAlign w:val="center"/>
          </w:tcPr>
          <w:p w14:paraId="5C7770AE" w14:textId="77777777" w:rsidR="00366CB9" w:rsidRPr="00E80D3A" w:rsidRDefault="009D0C1D" w:rsidP="00854441">
            <w:pPr>
              <w:pStyle w:val="a6"/>
              <w:shd w:val="clear" w:color="auto" w:fill="auto"/>
              <w:rPr>
                <w:sz w:val="18"/>
                <w:szCs w:val="24"/>
              </w:rPr>
            </w:pPr>
            <w:r w:rsidRPr="00E80D3A">
              <w:rPr>
                <w:color w:val="FFFFFF"/>
                <w:sz w:val="18"/>
                <w:szCs w:val="24"/>
              </w:rPr>
              <w:t>Лікарський засіб</w:t>
            </w:r>
          </w:p>
        </w:tc>
        <w:tc>
          <w:tcPr>
            <w:tcW w:w="227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D2AACA2" w14:textId="77777777" w:rsidR="00366CB9" w:rsidRPr="00E80D3A" w:rsidRDefault="009D0C1D" w:rsidP="00854441">
            <w:pPr>
              <w:pStyle w:val="a6"/>
              <w:shd w:val="clear" w:color="auto" w:fill="auto"/>
              <w:rPr>
                <w:sz w:val="18"/>
                <w:szCs w:val="24"/>
              </w:rPr>
            </w:pPr>
            <w:r w:rsidRPr="00E80D3A">
              <w:rPr>
                <w:color w:val="FFFFFF"/>
                <w:sz w:val="18"/>
                <w:szCs w:val="24"/>
              </w:rPr>
              <w:t>Генотипове ТМЧ</w:t>
            </w:r>
          </w:p>
        </w:tc>
        <w:tc>
          <w:tcPr>
            <w:tcW w:w="224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92DB27F" w14:textId="77777777" w:rsidR="00366CB9" w:rsidRPr="00E80D3A" w:rsidRDefault="009D0C1D" w:rsidP="00854441">
            <w:pPr>
              <w:pStyle w:val="a6"/>
              <w:shd w:val="clear" w:color="auto" w:fill="auto"/>
              <w:ind w:firstLine="200"/>
              <w:rPr>
                <w:sz w:val="18"/>
                <w:szCs w:val="24"/>
              </w:rPr>
            </w:pPr>
            <w:r w:rsidRPr="00E80D3A">
              <w:rPr>
                <w:color w:val="FFFFFF"/>
                <w:sz w:val="18"/>
                <w:szCs w:val="24"/>
              </w:rPr>
              <w:t>Фенотипове ТМЧ</w:t>
            </w:r>
          </w:p>
        </w:tc>
        <w:tc>
          <w:tcPr>
            <w:tcW w:w="223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9257E7E" w14:textId="77777777" w:rsidR="00366CB9" w:rsidRPr="00E80D3A" w:rsidRDefault="009D0C1D" w:rsidP="00854441">
            <w:pPr>
              <w:pStyle w:val="a6"/>
              <w:shd w:val="clear" w:color="auto" w:fill="auto"/>
              <w:ind w:firstLine="140"/>
              <w:rPr>
                <w:sz w:val="18"/>
                <w:szCs w:val="24"/>
              </w:rPr>
            </w:pPr>
            <w:r w:rsidRPr="00E80D3A">
              <w:rPr>
                <w:color w:val="FFFFFF"/>
                <w:sz w:val="18"/>
                <w:szCs w:val="24"/>
              </w:rPr>
              <w:t>Еталонний метод</w:t>
            </w:r>
          </w:p>
        </w:tc>
        <w:tc>
          <w:tcPr>
            <w:tcW w:w="511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E725EC4" w14:textId="77777777" w:rsidR="00366CB9" w:rsidRPr="00E80D3A" w:rsidRDefault="009D0C1D" w:rsidP="00854441">
            <w:pPr>
              <w:pStyle w:val="a6"/>
              <w:shd w:val="clear" w:color="auto" w:fill="auto"/>
              <w:ind w:firstLine="140"/>
              <w:rPr>
                <w:sz w:val="18"/>
                <w:szCs w:val="24"/>
              </w:rPr>
            </w:pPr>
            <w:r w:rsidRPr="00E80D3A">
              <w:rPr>
                <w:color w:val="FFFFFF"/>
                <w:sz w:val="18"/>
                <w:szCs w:val="24"/>
              </w:rPr>
              <w:t>Коментар</w:t>
            </w:r>
          </w:p>
        </w:tc>
      </w:tr>
      <w:tr w:rsidR="00366CB9" w:rsidRPr="00E80D3A" w14:paraId="3C380260" w14:textId="77777777" w:rsidTr="007751D5">
        <w:trPr>
          <w:trHeight w:hRule="exact" w:val="3216"/>
        </w:trPr>
        <w:tc>
          <w:tcPr>
            <w:tcW w:w="581" w:type="dxa"/>
            <w:vMerge w:val="restart"/>
            <w:tcBorders>
              <w:top w:val="single" w:sz="8" w:space="0" w:color="00B050"/>
            </w:tcBorders>
            <w:shd w:val="clear" w:color="auto" w:fill="9FC39D"/>
            <w:textDirection w:val="btLr"/>
          </w:tcPr>
          <w:p w14:paraId="1EA9E310" w14:textId="77777777" w:rsidR="00366CB9" w:rsidRPr="00E80D3A" w:rsidRDefault="009D0C1D" w:rsidP="001F35DC">
            <w:pPr>
              <w:pStyle w:val="a6"/>
              <w:shd w:val="clear" w:color="auto" w:fill="auto"/>
              <w:spacing w:before="120"/>
              <w:jc w:val="center"/>
              <w:rPr>
                <w:bCs w:val="0"/>
                <w:sz w:val="18"/>
                <w:szCs w:val="24"/>
              </w:rPr>
            </w:pPr>
            <w:r w:rsidRPr="00E80D3A">
              <w:rPr>
                <w:bCs w:val="0"/>
                <w:color w:val="000000"/>
                <w:sz w:val="18"/>
                <w:szCs w:val="24"/>
              </w:rPr>
              <w:t>Протитуберкульозі препарати другої лінії групи C</w:t>
            </w:r>
          </w:p>
        </w:tc>
        <w:tc>
          <w:tcPr>
            <w:tcW w:w="1608" w:type="dxa"/>
            <w:tcBorders>
              <w:top w:val="single" w:sz="8" w:space="0" w:color="00B050"/>
              <w:left w:val="nil"/>
              <w:bottom w:val="single" w:sz="8" w:space="0" w:color="00B050"/>
            </w:tcBorders>
            <w:shd w:val="clear" w:color="auto" w:fill="FFFFFF"/>
          </w:tcPr>
          <w:p w14:paraId="76789D3F" w14:textId="77777777" w:rsidR="00366CB9" w:rsidRPr="00E80D3A" w:rsidRDefault="009D0C1D" w:rsidP="00854441">
            <w:pPr>
              <w:pStyle w:val="a6"/>
              <w:shd w:val="clear" w:color="auto" w:fill="auto"/>
              <w:spacing w:before="100" w:line="271" w:lineRule="auto"/>
              <w:rPr>
                <w:sz w:val="18"/>
                <w:szCs w:val="24"/>
              </w:rPr>
            </w:pPr>
            <w:r w:rsidRPr="00E80D3A">
              <w:rPr>
                <w:b w:val="0"/>
                <w:color w:val="000000"/>
                <w:sz w:val="18"/>
                <w:szCs w:val="24"/>
              </w:rPr>
              <w:t>Амікацин (або стрептоміцин)</w:t>
            </w:r>
          </w:p>
        </w:tc>
        <w:tc>
          <w:tcPr>
            <w:tcW w:w="2270" w:type="dxa"/>
            <w:tcBorders>
              <w:top w:val="single" w:sz="8" w:space="0" w:color="00B050"/>
              <w:bottom w:val="single" w:sz="8" w:space="0" w:color="00B050"/>
            </w:tcBorders>
            <w:shd w:val="clear" w:color="auto" w:fill="FFFFFF"/>
          </w:tcPr>
          <w:p w14:paraId="0C35822F" w14:textId="77777777" w:rsidR="00366CB9" w:rsidRPr="00E80D3A" w:rsidRDefault="009D0C1D" w:rsidP="00854441">
            <w:pPr>
              <w:pStyle w:val="a6"/>
              <w:shd w:val="clear" w:color="auto" w:fill="auto"/>
              <w:spacing w:before="100" w:line="317" w:lineRule="auto"/>
              <w:rPr>
                <w:sz w:val="18"/>
                <w:szCs w:val="24"/>
              </w:rPr>
            </w:pPr>
            <w:r w:rsidRPr="00E80D3A">
              <w:rPr>
                <w:b w:val="0"/>
                <w:color w:val="000000"/>
                <w:sz w:val="18"/>
                <w:szCs w:val="24"/>
              </w:rPr>
              <w:t>Автоматизовані NAAT низької складності Цільове СНП (для AMK та STR) LPA</w:t>
            </w:r>
            <w:r w:rsidRPr="00E80D3A">
              <w:rPr>
                <w:b w:val="0"/>
                <w:color w:val="000000"/>
                <w:sz w:val="18"/>
                <w:szCs w:val="24"/>
                <w:vertAlign w:val="superscript"/>
              </w:rPr>
              <w:t>b</w:t>
            </w:r>
            <w:r w:rsidRPr="00E80D3A">
              <w:rPr>
                <w:b w:val="0"/>
                <w:color w:val="000000"/>
                <w:sz w:val="18"/>
                <w:szCs w:val="24"/>
              </w:rPr>
              <w:t xml:space="preserve"> (для AMK)</w:t>
            </w:r>
          </w:p>
        </w:tc>
        <w:tc>
          <w:tcPr>
            <w:tcW w:w="2246" w:type="dxa"/>
            <w:tcBorders>
              <w:top w:val="single" w:sz="8" w:space="0" w:color="00B050"/>
              <w:bottom w:val="single" w:sz="8" w:space="0" w:color="00B050"/>
            </w:tcBorders>
            <w:shd w:val="clear" w:color="auto" w:fill="FFFFFF"/>
          </w:tcPr>
          <w:p w14:paraId="7BD00822" w14:textId="77777777" w:rsidR="00366CB9" w:rsidRPr="00E80D3A" w:rsidRDefault="009D0C1D" w:rsidP="00854441">
            <w:pPr>
              <w:pStyle w:val="a6"/>
              <w:shd w:val="clear" w:color="auto" w:fill="auto"/>
              <w:spacing w:before="100" w:line="271" w:lineRule="auto"/>
              <w:ind w:left="200"/>
              <w:rPr>
                <w:sz w:val="18"/>
                <w:szCs w:val="24"/>
              </w:rPr>
            </w:pPr>
            <w:r w:rsidRPr="00E80D3A">
              <w:rPr>
                <w:b w:val="0"/>
                <w:color w:val="000000"/>
                <w:sz w:val="18"/>
                <w:szCs w:val="24"/>
              </w:rPr>
              <w:t>КК було встановлено для тестування у СЛЄ, середовищах Міддлбрука та MGIT</w:t>
            </w:r>
          </w:p>
        </w:tc>
        <w:tc>
          <w:tcPr>
            <w:tcW w:w="2232" w:type="dxa"/>
            <w:tcBorders>
              <w:top w:val="single" w:sz="8" w:space="0" w:color="00B050"/>
              <w:bottom w:val="single" w:sz="8" w:space="0" w:color="00B050"/>
            </w:tcBorders>
            <w:shd w:val="clear" w:color="auto" w:fill="FFFFFF"/>
          </w:tcPr>
          <w:p w14:paraId="76D4EFFE" w14:textId="77777777" w:rsidR="00366CB9" w:rsidRPr="00E80D3A" w:rsidRDefault="009D0C1D" w:rsidP="00854441">
            <w:pPr>
              <w:pStyle w:val="a6"/>
              <w:shd w:val="clear" w:color="auto" w:fill="auto"/>
              <w:spacing w:before="100"/>
              <w:ind w:firstLine="140"/>
              <w:rPr>
                <w:sz w:val="18"/>
                <w:szCs w:val="24"/>
              </w:rPr>
            </w:pPr>
            <w:r w:rsidRPr="00E80D3A">
              <w:rPr>
                <w:b w:val="0"/>
                <w:color w:val="000000"/>
                <w:sz w:val="18"/>
                <w:szCs w:val="24"/>
              </w:rPr>
              <w:t>MGIT</w:t>
            </w:r>
          </w:p>
        </w:tc>
        <w:tc>
          <w:tcPr>
            <w:tcW w:w="5117" w:type="dxa"/>
            <w:tcBorders>
              <w:top w:val="single" w:sz="8" w:space="0" w:color="00B050"/>
              <w:bottom w:val="single" w:sz="8" w:space="0" w:color="00B050"/>
            </w:tcBorders>
            <w:shd w:val="clear" w:color="auto" w:fill="FFFFFF"/>
          </w:tcPr>
          <w:p w14:paraId="6207D5FD" w14:textId="77777777" w:rsidR="00366CB9" w:rsidRPr="00E80D3A" w:rsidRDefault="009D0C1D" w:rsidP="00E80D3A">
            <w:pPr>
              <w:pStyle w:val="a6"/>
              <w:shd w:val="clear" w:color="auto" w:fill="auto"/>
              <w:spacing w:before="60" w:after="60" w:line="271" w:lineRule="auto"/>
              <w:ind w:left="140"/>
              <w:rPr>
                <w:sz w:val="18"/>
                <w:szCs w:val="24"/>
              </w:rPr>
            </w:pPr>
            <w:r w:rsidRPr="00E80D3A">
              <w:rPr>
                <w:b w:val="0"/>
                <w:color w:val="000000"/>
                <w:sz w:val="18"/>
                <w:szCs w:val="24"/>
              </w:rPr>
              <w:t>Ін’єкційні препарати більше не входять до схеми лікування ЛС-ТБ. Однак, тестування необхідно здійснювати, якщо планується застосування AMK або STR в індивідуалізованій схемі лікування ЛС-ТБ.</w:t>
            </w:r>
          </w:p>
          <w:p w14:paraId="61A92858" w14:textId="77777777" w:rsidR="00366CB9" w:rsidRPr="00E80D3A" w:rsidRDefault="009D0C1D" w:rsidP="00E80D3A">
            <w:pPr>
              <w:pStyle w:val="a6"/>
              <w:shd w:val="clear" w:color="auto" w:fill="auto"/>
              <w:spacing w:before="60" w:after="60" w:line="276" w:lineRule="auto"/>
              <w:ind w:left="140"/>
              <w:rPr>
                <w:sz w:val="18"/>
                <w:szCs w:val="24"/>
              </w:rPr>
            </w:pPr>
            <w:r w:rsidRPr="00E80D3A">
              <w:rPr>
                <w:b w:val="0"/>
                <w:color w:val="000000"/>
                <w:sz w:val="18"/>
                <w:szCs w:val="24"/>
              </w:rPr>
              <w:t xml:space="preserve">Штам без мутацій у генах </w:t>
            </w:r>
            <w:r w:rsidRPr="00E80D3A">
              <w:rPr>
                <w:b w:val="0"/>
                <w:i/>
                <w:iCs/>
                <w:color w:val="000000"/>
                <w:sz w:val="18"/>
                <w:szCs w:val="24"/>
              </w:rPr>
              <w:t>rrs</w:t>
            </w:r>
            <w:r w:rsidRPr="00E80D3A">
              <w:rPr>
                <w:b w:val="0"/>
                <w:color w:val="000000"/>
                <w:sz w:val="18"/>
                <w:szCs w:val="24"/>
              </w:rPr>
              <w:t xml:space="preserve"> та </w:t>
            </w:r>
            <w:r w:rsidRPr="00E80D3A">
              <w:rPr>
                <w:b w:val="0"/>
                <w:i/>
                <w:iCs/>
                <w:color w:val="000000"/>
                <w:sz w:val="18"/>
                <w:szCs w:val="24"/>
              </w:rPr>
              <w:t>eis</w:t>
            </w:r>
            <w:r w:rsidRPr="00E80D3A">
              <w:rPr>
                <w:b w:val="0"/>
                <w:color w:val="000000"/>
                <w:sz w:val="18"/>
                <w:szCs w:val="24"/>
              </w:rPr>
              <w:t>, виявлених за допомогою генотипових аналізів, все ще може бути стійким до AMK; це необхідно підтвердити за допомогою фенотипового ТМЧ</w:t>
            </w:r>
            <w:r w:rsidRPr="00E80D3A">
              <w:rPr>
                <w:b w:val="0"/>
                <w:color w:val="000000"/>
                <w:sz w:val="18"/>
                <w:szCs w:val="24"/>
                <w:vertAlign w:val="superscript"/>
              </w:rPr>
              <w:t>c</w:t>
            </w:r>
            <w:r w:rsidRPr="00E80D3A">
              <w:rPr>
                <w:b w:val="0"/>
                <w:color w:val="000000"/>
                <w:sz w:val="18"/>
                <w:szCs w:val="24"/>
              </w:rPr>
              <w:t>.</w:t>
            </w:r>
          </w:p>
          <w:p w14:paraId="317DA537" w14:textId="77777777" w:rsidR="00366CB9" w:rsidRPr="00E80D3A" w:rsidRDefault="009D0C1D" w:rsidP="00E80D3A">
            <w:pPr>
              <w:pStyle w:val="a6"/>
              <w:shd w:val="clear" w:color="auto" w:fill="auto"/>
              <w:spacing w:before="60" w:after="60" w:line="276" w:lineRule="auto"/>
              <w:ind w:left="140"/>
              <w:rPr>
                <w:sz w:val="18"/>
                <w:szCs w:val="24"/>
              </w:rPr>
            </w:pPr>
            <w:r w:rsidRPr="00E80D3A">
              <w:rPr>
                <w:b w:val="0"/>
                <w:color w:val="000000"/>
                <w:sz w:val="18"/>
                <w:szCs w:val="24"/>
              </w:rPr>
              <w:t>При застосуванні STR фенотипове ТМЧ необхідно проводити на початку лікування, за можливості.</w:t>
            </w:r>
          </w:p>
        </w:tc>
      </w:tr>
      <w:tr w:rsidR="00366CB9" w:rsidRPr="00E80D3A" w14:paraId="64864DE1" w14:textId="77777777" w:rsidTr="007751D5">
        <w:trPr>
          <w:trHeight w:hRule="exact" w:val="1437"/>
        </w:trPr>
        <w:tc>
          <w:tcPr>
            <w:tcW w:w="581" w:type="dxa"/>
            <w:vMerge/>
            <w:tcBorders>
              <w:top w:val="single" w:sz="8" w:space="0" w:color="00B050"/>
            </w:tcBorders>
            <w:shd w:val="clear" w:color="auto" w:fill="9FC39D"/>
            <w:textDirection w:val="btLr"/>
          </w:tcPr>
          <w:p w14:paraId="4BBFFD15" w14:textId="77777777" w:rsidR="00366CB9" w:rsidRPr="00E80D3A" w:rsidRDefault="00366CB9" w:rsidP="001F35DC">
            <w:pPr>
              <w:rPr>
                <w:sz w:val="18"/>
              </w:rPr>
            </w:pPr>
          </w:p>
        </w:tc>
        <w:tc>
          <w:tcPr>
            <w:tcW w:w="1608" w:type="dxa"/>
            <w:tcBorders>
              <w:top w:val="single" w:sz="8" w:space="0" w:color="00B050"/>
              <w:left w:val="nil"/>
              <w:bottom w:val="single" w:sz="8" w:space="0" w:color="00B050"/>
            </w:tcBorders>
            <w:shd w:val="clear" w:color="auto" w:fill="FFFFFF"/>
          </w:tcPr>
          <w:p w14:paraId="1F5CF129" w14:textId="77777777" w:rsidR="00366CB9" w:rsidRPr="00E80D3A" w:rsidRDefault="009D0C1D" w:rsidP="00854441">
            <w:pPr>
              <w:pStyle w:val="a6"/>
              <w:shd w:val="clear" w:color="auto" w:fill="auto"/>
              <w:spacing w:after="60" w:line="271" w:lineRule="auto"/>
              <w:rPr>
                <w:sz w:val="18"/>
                <w:szCs w:val="24"/>
              </w:rPr>
            </w:pPr>
            <w:r w:rsidRPr="00E80D3A">
              <w:rPr>
                <w:b w:val="0"/>
                <w:color w:val="000000"/>
                <w:sz w:val="18"/>
                <w:szCs w:val="24"/>
              </w:rPr>
              <w:t>Іміпенем-циластатин</w:t>
            </w:r>
          </w:p>
          <w:p w14:paraId="4B9C8643" w14:textId="77777777" w:rsidR="00366CB9" w:rsidRPr="00E80D3A" w:rsidRDefault="009D0C1D" w:rsidP="00854441">
            <w:pPr>
              <w:pStyle w:val="a6"/>
              <w:shd w:val="clear" w:color="auto" w:fill="auto"/>
              <w:spacing w:line="271" w:lineRule="auto"/>
              <w:rPr>
                <w:sz w:val="18"/>
                <w:szCs w:val="24"/>
              </w:rPr>
            </w:pPr>
            <w:r w:rsidRPr="00E80D3A">
              <w:rPr>
                <w:b w:val="0"/>
                <w:color w:val="000000"/>
                <w:sz w:val="18"/>
                <w:szCs w:val="24"/>
              </w:rPr>
              <w:t>Меропенем</w:t>
            </w:r>
          </w:p>
        </w:tc>
        <w:tc>
          <w:tcPr>
            <w:tcW w:w="2270" w:type="dxa"/>
            <w:tcBorders>
              <w:top w:val="single" w:sz="8" w:space="0" w:color="00B050"/>
              <w:bottom w:val="single" w:sz="8" w:space="0" w:color="00B050"/>
            </w:tcBorders>
            <w:shd w:val="clear" w:color="auto" w:fill="FFFFFF"/>
          </w:tcPr>
          <w:p w14:paraId="4ED7A669" w14:textId="77777777" w:rsidR="00366CB9" w:rsidRPr="00E80D3A" w:rsidRDefault="009D0C1D" w:rsidP="00854441">
            <w:pPr>
              <w:pStyle w:val="a6"/>
              <w:shd w:val="clear" w:color="auto" w:fill="auto"/>
              <w:spacing w:line="276" w:lineRule="auto"/>
              <w:rPr>
                <w:sz w:val="18"/>
                <w:szCs w:val="24"/>
              </w:rPr>
            </w:pPr>
            <w:r w:rsidRPr="00E80D3A">
              <w:rPr>
                <w:b w:val="0"/>
                <w:color w:val="000000"/>
                <w:sz w:val="18"/>
                <w:szCs w:val="24"/>
              </w:rPr>
              <w:t>Наразі немає швидкого методу виявлення резистентності</w:t>
            </w:r>
          </w:p>
        </w:tc>
        <w:tc>
          <w:tcPr>
            <w:tcW w:w="2246" w:type="dxa"/>
            <w:tcBorders>
              <w:top w:val="single" w:sz="8" w:space="0" w:color="00B050"/>
              <w:bottom w:val="single" w:sz="8" w:space="0" w:color="00B050"/>
            </w:tcBorders>
            <w:shd w:val="clear" w:color="auto" w:fill="FFFFFF"/>
          </w:tcPr>
          <w:p w14:paraId="4217DD77" w14:textId="77777777" w:rsidR="00366CB9" w:rsidRPr="00E80D3A" w:rsidRDefault="009D0C1D" w:rsidP="00854441">
            <w:pPr>
              <w:pStyle w:val="a6"/>
              <w:shd w:val="clear" w:color="auto" w:fill="auto"/>
              <w:spacing w:line="360" w:lineRule="auto"/>
              <w:ind w:left="200"/>
              <w:rPr>
                <w:sz w:val="18"/>
                <w:szCs w:val="24"/>
              </w:rPr>
            </w:pPr>
            <w:r w:rsidRPr="00E80D3A">
              <w:rPr>
                <w:b w:val="0"/>
                <w:color w:val="000000"/>
                <w:sz w:val="18"/>
                <w:szCs w:val="24"/>
              </w:rPr>
              <w:t>КК не було встановлено для жодного середовища ТМЧ</w:t>
            </w:r>
          </w:p>
        </w:tc>
        <w:tc>
          <w:tcPr>
            <w:tcW w:w="2232" w:type="dxa"/>
            <w:tcBorders>
              <w:top w:val="single" w:sz="8" w:space="0" w:color="00B050"/>
              <w:bottom w:val="single" w:sz="8" w:space="0" w:color="00B050"/>
            </w:tcBorders>
            <w:shd w:val="clear" w:color="auto" w:fill="FFFFFF"/>
          </w:tcPr>
          <w:p w14:paraId="2897F779" w14:textId="77777777" w:rsidR="00366CB9" w:rsidRPr="00E80D3A" w:rsidRDefault="009D0C1D" w:rsidP="00854441">
            <w:pPr>
              <w:pStyle w:val="a6"/>
              <w:shd w:val="clear" w:color="auto" w:fill="auto"/>
              <w:spacing w:before="100"/>
              <w:ind w:firstLine="140"/>
              <w:rPr>
                <w:sz w:val="18"/>
                <w:szCs w:val="24"/>
              </w:rPr>
            </w:pPr>
            <w:r w:rsidRPr="00E80D3A">
              <w:rPr>
                <w:b w:val="0"/>
                <w:color w:val="000000"/>
                <w:sz w:val="18"/>
                <w:szCs w:val="24"/>
              </w:rPr>
              <w:t>Н/З</w:t>
            </w:r>
          </w:p>
        </w:tc>
        <w:tc>
          <w:tcPr>
            <w:tcW w:w="5117" w:type="dxa"/>
            <w:tcBorders>
              <w:top w:val="single" w:sz="8" w:space="0" w:color="00B050"/>
              <w:bottom w:val="single" w:sz="8" w:space="0" w:color="00B050"/>
            </w:tcBorders>
            <w:shd w:val="clear" w:color="auto" w:fill="FFFFFF"/>
          </w:tcPr>
          <w:p w14:paraId="68FD9D3E" w14:textId="77777777" w:rsidR="00366CB9" w:rsidRPr="00E80D3A" w:rsidRDefault="009D0C1D" w:rsidP="00E80D3A">
            <w:pPr>
              <w:pStyle w:val="a6"/>
              <w:shd w:val="clear" w:color="auto" w:fill="auto"/>
              <w:spacing w:before="60" w:line="360" w:lineRule="auto"/>
              <w:ind w:left="140"/>
              <w:rPr>
                <w:sz w:val="18"/>
                <w:szCs w:val="24"/>
              </w:rPr>
            </w:pPr>
            <w:r w:rsidRPr="00E80D3A">
              <w:rPr>
                <w:b w:val="0"/>
                <w:color w:val="000000"/>
                <w:sz w:val="18"/>
                <w:szCs w:val="24"/>
              </w:rPr>
              <w:t>ТМЧ не рекомендується, оскільки як IMP, так і MPM є дуже нестабільними у рідких середовищах.</w:t>
            </w:r>
          </w:p>
        </w:tc>
      </w:tr>
      <w:tr w:rsidR="00366CB9" w:rsidRPr="00E80D3A" w14:paraId="315AC101" w14:textId="77777777" w:rsidTr="007751D5">
        <w:trPr>
          <w:trHeight w:hRule="exact" w:val="1982"/>
        </w:trPr>
        <w:tc>
          <w:tcPr>
            <w:tcW w:w="581" w:type="dxa"/>
            <w:vMerge/>
            <w:tcBorders>
              <w:top w:val="single" w:sz="4" w:space="0" w:color="auto"/>
            </w:tcBorders>
            <w:shd w:val="clear" w:color="auto" w:fill="9FC39D"/>
            <w:textDirection w:val="btLr"/>
          </w:tcPr>
          <w:p w14:paraId="0F66A255" w14:textId="77777777" w:rsidR="00366CB9" w:rsidRPr="00E80D3A" w:rsidRDefault="00366CB9" w:rsidP="001F35DC">
            <w:pPr>
              <w:rPr>
                <w:sz w:val="18"/>
              </w:rPr>
            </w:pPr>
          </w:p>
        </w:tc>
        <w:tc>
          <w:tcPr>
            <w:tcW w:w="1608" w:type="dxa"/>
            <w:tcBorders>
              <w:top w:val="single" w:sz="8" w:space="0" w:color="00B050"/>
              <w:left w:val="nil"/>
              <w:bottom w:val="single" w:sz="8" w:space="0" w:color="00B050"/>
            </w:tcBorders>
            <w:shd w:val="clear" w:color="auto" w:fill="FFFFFF"/>
          </w:tcPr>
          <w:p w14:paraId="6F6E5870" w14:textId="77777777" w:rsidR="00366CB9" w:rsidRPr="00E80D3A" w:rsidRDefault="009D0C1D" w:rsidP="00854441">
            <w:pPr>
              <w:pStyle w:val="a6"/>
              <w:shd w:val="clear" w:color="auto" w:fill="auto"/>
              <w:spacing w:before="100"/>
              <w:rPr>
                <w:sz w:val="18"/>
                <w:szCs w:val="24"/>
              </w:rPr>
            </w:pPr>
            <w:r w:rsidRPr="00E80D3A">
              <w:rPr>
                <w:b w:val="0"/>
                <w:color w:val="000000"/>
                <w:sz w:val="18"/>
                <w:szCs w:val="24"/>
              </w:rPr>
              <w:t>Етіонамід</w:t>
            </w:r>
          </w:p>
        </w:tc>
        <w:tc>
          <w:tcPr>
            <w:tcW w:w="2270" w:type="dxa"/>
            <w:tcBorders>
              <w:top w:val="single" w:sz="8" w:space="0" w:color="00B050"/>
              <w:bottom w:val="single" w:sz="8" w:space="0" w:color="00B050"/>
            </w:tcBorders>
            <w:shd w:val="clear" w:color="auto" w:fill="FFFFFF"/>
          </w:tcPr>
          <w:p w14:paraId="7743BE6A" w14:textId="77777777" w:rsidR="00366CB9" w:rsidRPr="00E80D3A" w:rsidRDefault="009D0C1D" w:rsidP="00854441">
            <w:pPr>
              <w:pStyle w:val="a6"/>
              <w:shd w:val="clear" w:color="auto" w:fill="auto"/>
              <w:spacing w:line="307" w:lineRule="auto"/>
              <w:rPr>
                <w:sz w:val="18"/>
                <w:szCs w:val="24"/>
              </w:rPr>
            </w:pPr>
            <w:r w:rsidRPr="00E80D3A">
              <w:rPr>
                <w:b w:val="0"/>
                <w:color w:val="000000"/>
                <w:sz w:val="18"/>
                <w:szCs w:val="24"/>
              </w:rPr>
              <w:t>Автоматизовані NAAT низької складності Автоматизовані NAAT середньої складності LPA</w:t>
            </w:r>
          </w:p>
          <w:p w14:paraId="7CECE0EA" w14:textId="77777777" w:rsidR="00366CB9" w:rsidRPr="00E80D3A" w:rsidRDefault="009D0C1D" w:rsidP="00854441">
            <w:pPr>
              <w:pStyle w:val="a6"/>
              <w:shd w:val="clear" w:color="auto" w:fill="auto"/>
              <w:spacing w:line="307" w:lineRule="auto"/>
              <w:rPr>
                <w:sz w:val="18"/>
                <w:szCs w:val="24"/>
              </w:rPr>
            </w:pPr>
            <w:r w:rsidRPr="00E80D3A">
              <w:rPr>
                <w:b w:val="0"/>
                <w:color w:val="000000"/>
                <w:sz w:val="18"/>
                <w:szCs w:val="24"/>
              </w:rPr>
              <w:t>Цільове СНП</w:t>
            </w:r>
          </w:p>
        </w:tc>
        <w:tc>
          <w:tcPr>
            <w:tcW w:w="2246" w:type="dxa"/>
            <w:tcBorders>
              <w:top w:val="single" w:sz="8" w:space="0" w:color="00B050"/>
              <w:bottom w:val="single" w:sz="8" w:space="0" w:color="00B050"/>
            </w:tcBorders>
            <w:shd w:val="clear" w:color="auto" w:fill="FFFFFF"/>
          </w:tcPr>
          <w:p w14:paraId="267D6D51" w14:textId="77777777" w:rsidR="00366CB9" w:rsidRPr="00E80D3A" w:rsidRDefault="009D0C1D" w:rsidP="00854441">
            <w:pPr>
              <w:pStyle w:val="a6"/>
              <w:shd w:val="clear" w:color="auto" w:fill="auto"/>
              <w:spacing w:before="100" w:line="271" w:lineRule="auto"/>
              <w:ind w:left="200"/>
              <w:rPr>
                <w:sz w:val="18"/>
                <w:szCs w:val="24"/>
              </w:rPr>
            </w:pPr>
            <w:r w:rsidRPr="00E80D3A">
              <w:rPr>
                <w:b w:val="0"/>
                <w:color w:val="000000"/>
                <w:sz w:val="18"/>
                <w:szCs w:val="24"/>
              </w:rPr>
              <w:t>ТМЧ не є надійним і відтворюваним</w:t>
            </w:r>
          </w:p>
        </w:tc>
        <w:tc>
          <w:tcPr>
            <w:tcW w:w="2232" w:type="dxa"/>
            <w:tcBorders>
              <w:top w:val="single" w:sz="8" w:space="0" w:color="00B050"/>
              <w:bottom w:val="single" w:sz="8" w:space="0" w:color="00B050"/>
            </w:tcBorders>
            <w:shd w:val="clear" w:color="auto" w:fill="FFFFFF"/>
          </w:tcPr>
          <w:p w14:paraId="34D77D17" w14:textId="77777777" w:rsidR="00366CB9" w:rsidRPr="00E80D3A" w:rsidRDefault="009D0C1D" w:rsidP="00854441">
            <w:pPr>
              <w:pStyle w:val="a6"/>
              <w:shd w:val="clear" w:color="auto" w:fill="auto"/>
              <w:spacing w:before="100" w:line="293" w:lineRule="auto"/>
              <w:ind w:left="140"/>
              <w:rPr>
                <w:sz w:val="18"/>
                <w:szCs w:val="24"/>
              </w:rPr>
            </w:pPr>
            <w:r w:rsidRPr="00E80D3A">
              <w:rPr>
                <w:b w:val="0"/>
                <w:color w:val="000000"/>
                <w:sz w:val="18"/>
                <w:szCs w:val="24"/>
              </w:rPr>
              <w:t xml:space="preserve">Секвенування ДНК промоторної області </w:t>
            </w:r>
            <w:r w:rsidRPr="00E80D3A">
              <w:rPr>
                <w:b w:val="0"/>
                <w:i/>
                <w:iCs/>
                <w:color w:val="000000"/>
                <w:sz w:val="18"/>
                <w:szCs w:val="24"/>
              </w:rPr>
              <w:t>inhA</w:t>
            </w:r>
            <w:r w:rsidRPr="00E80D3A">
              <w:rPr>
                <w:b w:val="0"/>
                <w:color w:val="000000"/>
                <w:sz w:val="18"/>
                <w:szCs w:val="24"/>
              </w:rPr>
              <w:t xml:space="preserve"> та генів </w:t>
            </w:r>
            <w:r w:rsidRPr="00E80D3A">
              <w:rPr>
                <w:b w:val="0"/>
                <w:i/>
                <w:iCs/>
                <w:color w:val="000000"/>
                <w:sz w:val="18"/>
                <w:szCs w:val="24"/>
              </w:rPr>
              <w:t>etA</w:t>
            </w:r>
            <w:r w:rsidRPr="00E80D3A">
              <w:rPr>
                <w:b w:val="0"/>
                <w:color w:val="000000"/>
                <w:sz w:val="18"/>
                <w:szCs w:val="24"/>
              </w:rPr>
              <w:t xml:space="preserve"> та </w:t>
            </w:r>
            <w:r w:rsidRPr="00E80D3A">
              <w:rPr>
                <w:b w:val="0"/>
                <w:i/>
                <w:iCs/>
                <w:color w:val="000000"/>
                <w:sz w:val="18"/>
                <w:szCs w:val="24"/>
              </w:rPr>
              <w:t>ethR</w:t>
            </w:r>
          </w:p>
        </w:tc>
        <w:tc>
          <w:tcPr>
            <w:tcW w:w="5117" w:type="dxa"/>
            <w:tcBorders>
              <w:top w:val="single" w:sz="8" w:space="0" w:color="00B050"/>
              <w:bottom w:val="single" w:sz="8" w:space="0" w:color="00B050"/>
            </w:tcBorders>
            <w:shd w:val="clear" w:color="auto" w:fill="FFFFFF"/>
          </w:tcPr>
          <w:p w14:paraId="49E6ABD4" w14:textId="77777777" w:rsidR="00366CB9" w:rsidRPr="00E80D3A" w:rsidRDefault="009D0C1D" w:rsidP="00E80D3A">
            <w:pPr>
              <w:pStyle w:val="a6"/>
              <w:shd w:val="clear" w:color="auto" w:fill="auto"/>
              <w:spacing w:before="60" w:line="271" w:lineRule="auto"/>
              <w:ind w:left="140"/>
              <w:rPr>
                <w:sz w:val="18"/>
                <w:szCs w:val="24"/>
              </w:rPr>
            </w:pPr>
            <w:r w:rsidRPr="00E80D3A">
              <w:rPr>
                <w:b w:val="0"/>
                <w:color w:val="000000"/>
                <w:sz w:val="18"/>
                <w:szCs w:val="24"/>
              </w:rPr>
              <w:t>Тіоаміди (ETO та PTO) не слід включати у разі виявлення мутацій, пов’язаних з резистентністю.</w:t>
            </w:r>
          </w:p>
        </w:tc>
      </w:tr>
      <w:tr w:rsidR="00366CB9" w:rsidRPr="00E80D3A" w14:paraId="2C8EE264" w14:textId="77777777" w:rsidTr="007751D5">
        <w:trPr>
          <w:trHeight w:hRule="exact" w:val="1238"/>
        </w:trPr>
        <w:tc>
          <w:tcPr>
            <w:tcW w:w="581" w:type="dxa"/>
            <w:vMerge/>
            <w:tcBorders>
              <w:top w:val="single" w:sz="4" w:space="0" w:color="auto"/>
            </w:tcBorders>
            <w:shd w:val="clear" w:color="auto" w:fill="9FC39D"/>
            <w:textDirection w:val="btLr"/>
          </w:tcPr>
          <w:p w14:paraId="01AB06CE" w14:textId="77777777" w:rsidR="00366CB9" w:rsidRPr="00E80D3A" w:rsidRDefault="00366CB9" w:rsidP="001F35DC">
            <w:pPr>
              <w:rPr>
                <w:sz w:val="18"/>
              </w:rPr>
            </w:pPr>
          </w:p>
        </w:tc>
        <w:tc>
          <w:tcPr>
            <w:tcW w:w="1608" w:type="dxa"/>
            <w:tcBorders>
              <w:top w:val="single" w:sz="8" w:space="0" w:color="00B050"/>
              <w:left w:val="nil"/>
              <w:bottom w:val="single" w:sz="8" w:space="0" w:color="00B050"/>
            </w:tcBorders>
            <w:shd w:val="clear" w:color="auto" w:fill="FFFFFF"/>
          </w:tcPr>
          <w:p w14:paraId="1930AC3C" w14:textId="77777777" w:rsidR="00366CB9" w:rsidRPr="00E80D3A" w:rsidRDefault="009D0C1D" w:rsidP="00854441">
            <w:pPr>
              <w:pStyle w:val="a6"/>
              <w:shd w:val="clear" w:color="auto" w:fill="auto"/>
              <w:spacing w:line="276" w:lineRule="auto"/>
              <w:rPr>
                <w:sz w:val="18"/>
                <w:szCs w:val="24"/>
              </w:rPr>
            </w:pPr>
            <w:r w:rsidRPr="00E80D3A">
              <w:rPr>
                <w:b w:val="0"/>
                <w:i/>
                <w:iCs/>
                <w:color w:val="000000"/>
                <w:sz w:val="18"/>
                <w:szCs w:val="24"/>
              </w:rPr>
              <w:t>Пара</w:t>
            </w:r>
            <w:r w:rsidRPr="00E80D3A">
              <w:rPr>
                <w:b w:val="0"/>
                <w:color w:val="000000"/>
                <w:sz w:val="18"/>
                <w:szCs w:val="24"/>
              </w:rPr>
              <w:t>-аміносаліцилова кислота</w:t>
            </w:r>
          </w:p>
        </w:tc>
        <w:tc>
          <w:tcPr>
            <w:tcW w:w="2270" w:type="dxa"/>
            <w:tcBorders>
              <w:top w:val="single" w:sz="8" w:space="0" w:color="00B050"/>
              <w:bottom w:val="single" w:sz="8" w:space="0" w:color="00B050"/>
            </w:tcBorders>
            <w:shd w:val="clear" w:color="auto" w:fill="FFFFFF"/>
          </w:tcPr>
          <w:p w14:paraId="7B4C3165" w14:textId="77777777" w:rsidR="00366CB9" w:rsidRPr="00E80D3A" w:rsidRDefault="009D0C1D" w:rsidP="00854441">
            <w:pPr>
              <w:pStyle w:val="a6"/>
              <w:shd w:val="clear" w:color="auto" w:fill="auto"/>
              <w:spacing w:line="276" w:lineRule="auto"/>
              <w:rPr>
                <w:sz w:val="18"/>
                <w:szCs w:val="24"/>
              </w:rPr>
            </w:pPr>
            <w:r w:rsidRPr="00E80D3A">
              <w:rPr>
                <w:b w:val="0"/>
                <w:color w:val="000000"/>
                <w:sz w:val="18"/>
                <w:szCs w:val="24"/>
              </w:rPr>
              <w:t>Наразі немає швидкого методу виявлення резистентності</w:t>
            </w:r>
          </w:p>
        </w:tc>
        <w:tc>
          <w:tcPr>
            <w:tcW w:w="2246" w:type="dxa"/>
            <w:tcBorders>
              <w:top w:val="single" w:sz="8" w:space="0" w:color="00B050"/>
              <w:bottom w:val="single" w:sz="8" w:space="0" w:color="00B050"/>
            </w:tcBorders>
            <w:shd w:val="clear" w:color="auto" w:fill="FFFFFF"/>
          </w:tcPr>
          <w:p w14:paraId="350FD7FE" w14:textId="77777777" w:rsidR="00366CB9" w:rsidRPr="00E80D3A" w:rsidRDefault="009D0C1D" w:rsidP="00854441">
            <w:pPr>
              <w:pStyle w:val="a6"/>
              <w:shd w:val="clear" w:color="auto" w:fill="auto"/>
              <w:spacing w:line="276" w:lineRule="auto"/>
              <w:ind w:left="200"/>
              <w:rPr>
                <w:sz w:val="18"/>
                <w:szCs w:val="24"/>
              </w:rPr>
            </w:pPr>
            <w:r w:rsidRPr="00E80D3A">
              <w:rPr>
                <w:b w:val="0"/>
                <w:color w:val="000000"/>
                <w:sz w:val="18"/>
                <w:szCs w:val="24"/>
              </w:rPr>
              <w:t>КК не було встановлено для жодного середовища ТМЧ</w:t>
            </w:r>
          </w:p>
        </w:tc>
        <w:tc>
          <w:tcPr>
            <w:tcW w:w="2232" w:type="dxa"/>
            <w:tcBorders>
              <w:top w:val="single" w:sz="8" w:space="0" w:color="00B050"/>
              <w:bottom w:val="single" w:sz="8" w:space="0" w:color="00B050"/>
            </w:tcBorders>
            <w:shd w:val="clear" w:color="auto" w:fill="FFFFFF"/>
          </w:tcPr>
          <w:p w14:paraId="3BDDFF1E" w14:textId="77777777" w:rsidR="00366CB9" w:rsidRPr="00E80D3A" w:rsidRDefault="009D0C1D" w:rsidP="00854441">
            <w:pPr>
              <w:pStyle w:val="a6"/>
              <w:shd w:val="clear" w:color="auto" w:fill="auto"/>
              <w:spacing w:before="100"/>
              <w:ind w:firstLine="140"/>
              <w:rPr>
                <w:sz w:val="18"/>
                <w:szCs w:val="24"/>
              </w:rPr>
            </w:pPr>
            <w:r w:rsidRPr="00E80D3A">
              <w:rPr>
                <w:b w:val="0"/>
                <w:color w:val="000000"/>
                <w:sz w:val="18"/>
                <w:szCs w:val="24"/>
              </w:rPr>
              <w:t>Н/З</w:t>
            </w:r>
          </w:p>
        </w:tc>
        <w:tc>
          <w:tcPr>
            <w:tcW w:w="5117" w:type="dxa"/>
            <w:tcBorders>
              <w:top w:val="single" w:sz="8" w:space="0" w:color="00B050"/>
              <w:bottom w:val="single" w:sz="8" w:space="0" w:color="00B050"/>
            </w:tcBorders>
            <w:shd w:val="clear" w:color="auto" w:fill="FFFFFF"/>
          </w:tcPr>
          <w:p w14:paraId="4E91058D" w14:textId="77777777" w:rsidR="00366CB9" w:rsidRPr="00E80D3A" w:rsidRDefault="009D0C1D" w:rsidP="00E80D3A">
            <w:pPr>
              <w:pStyle w:val="a6"/>
              <w:shd w:val="clear" w:color="auto" w:fill="auto"/>
              <w:spacing w:before="60"/>
              <w:ind w:firstLine="140"/>
              <w:rPr>
                <w:sz w:val="18"/>
                <w:szCs w:val="24"/>
              </w:rPr>
            </w:pPr>
            <w:r w:rsidRPr="00E80D3A">
              <w:rPr>
                <w:b w:val="0"/>
                <w:color w:val="000000"/>
                <w:sz w:val="18"/>
                <w:szCs w:val="24"/>
              </w:rPr>
              <w:t>ТМЧ наразі не рекомендується.</w:t>
            </w:r>
          </w:p>
        </w:tc>
      </w:tr>
    </w:tbl>
    <w:tbl>
      <w:tblPr>
        <w:tblOverlap w:val="never"/>
        <w:tblW w:w="0" w:type="auto"/>
        <w:tblLayout w:type="fixed"/>
        <w:tblCellMar>
          <w:left w:w="10" w:type="dxa"/>
          <w:right w:w="10" w:type="dxa"/>
        </w:tblCellMar>
        <w:tblLook w:val="0000" w:firstRow="0" w:lastRow="0" w:firstColumn="0" w:lastColumn="0" w:noHBand="0" w:noVBand="0"/>
      </w:tblPr>
      <w:tblGrid>
        <w:gridCol w:w="197"/>
      </w:tblGrid>
      <w:tr w:rsidR="00366CB9" w14:paraId="2C81D8DB" w14:textId="77777777">
        <w:trPr>
          <w:trHeight w:hRule="exact" w:val="2885"/>
        </w:trPr>
        <w:tc>
          <w:tcPr>
            <w:tcW w:w="197" w:type="dxa"/>
            <w:shd w:val="clear" w:color="auto" w:fill="FFFFFF"/>
            <w:textDirection w:val="tbRl"/>
          </w:tcPr>
          <w:p w14:paraId="008FECF3" w14:textId="77777777" w:rsidR="00366CB9" w:rsidRDefault="009D0C1D" w:rsidP="00425523">
            <w:pPr>
              <w:pStyle w:val="a6"/>
              <w:framePr w:w="197" w:h="3509" w:wrap="none" w:vAnchor="page" w:hAnchor="page" w:x="700" w:y="7626"/>
              <w:shd w:val="clear" w:color="auto" w:fill="auto"/>
              <w:rPr>
                <w:sz w:val="15"/>
                <w:szCs w:val="15"/>
              </w:rPr>
            </w:pPr>
            <w:r>
              <w:rPr>
                <w:b w:val="0"/>
                <w:color w:val="019648"/>
                <w:sz w:val="15"/>
              </w:rPr>
              <w:t>2. Тести на ТБ з рекомендаціями ВООЗ</w:t>
            </w:r>
          </w:p>
        </w:tc>
      </w:tr>
      <w:tr w:rsidR="00366CB9" w14:paraId="363E1739" w14:textId="77777777">
        <w:trPr>
          <w:trHeight w:hRule="exact" w:val="624"/>
        </w:trPr>
        <w:tc>
          <w:tcPr>
            <w:tcW w:w="197" w:type="dxa"/>
            <w:shd w:val="clear" w:color="auto" w:fill="FFFFFF"/>
            <w:textDirection w:val="tbRl"/>
          </w:tcPr>
          <w:p w14:paraId="0C691457" w14:textId="77777777" w:rsidR="00366CB9" w:rsidRDefault="009D0C1D" w:rsidP="00425523">
            <w:pPr>
              <w:pStyle w:val="a6"/>
              <w:framePr w:w="197" w:h="3509" w:wrap="none" w:vAnchor="page" w:hAnchor="page" w:x="700" w:y="7626"/>
              <w:shd w:val="clear" w:color="auto" w:fill="auto"/>
              <w:jc w:val="right"/>
              <w:rPr>
                <w:sz w:val="15"/>
                <w:szCs w:val="15"/>
              </w:rPr>
            </w:pPr>
            <w:r>
              <w:rPr>
                <w:b w:val="0"/>
                <w:color w:val="019648"/>
                <w:sz w:val="15"/>
              </w:rPr>
              <w:t>53</w:t>
            </w:r>
          </w:p>
        </w:tc>
      </w:tr>
    </w:tbl>
    <w:p w14:paraId="070DBE17" w14:textId="77777777" w:rsidR="00366CB9" w:rsidRDefault="00366CB9" w:rsidP="00425523">
      <w:pPr>
        <w:spacing w:line="1" w:lineRule="exact"/>
        <w:sectPr w:rsidR="00366CB9" w:rsidSect="001F35DC">
          <w:type w:val="nextColumn"/>
          <w:pgSz w:w="16840" w:h="11913" w:orient="landscape"/>
          <w:pgMar w:top="1412" w:right="1304" w:bottom="851" w:left="1508" w:header="0" w:footer="6" w:gutter="0"/>
          <w:paperSrc w:first="15" w:other="15"/>
          <w:cols w:space="720"/>
          <w:noEndnote/>
          <w:docGrid w:linePitch="360"/>
        </w:sectPr>
      </w:pPr>
    </w:p>
    <w:p w14:paraId="35422204"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576"/>
        <w:gridCol w:w="1627"/>
        <w:gridCol w:w="2352"/>
        <w:gridCol w:w="2179"/>
        <w:gridCol w:w="2242"/>
        <w:gridCol w:w="5050"/>
      </w:tblGrid>
      <w:tr w:rsidR="00366CB9" w:rsidRPr="00785005" w14:paraId="173A5594" w14:textId="77777777" w:rsidTr="007751D5">
        <w:trPr>
          <w:trHeight w:hRule="exact" w:val="461"/>
        </w:trPr>
        <w:tc>
          <w:tcPr>
            <w:tcW w:w="2203" w:type="dxa"/>
            <w:gridSpan w:val="2"/>
            <w:tcBorders>
              <w:top w:val="single" w:sz="8" w:space="0" w:color="00B050"/>
              <w:left w:val="single" w:sz="8" w:space="0" w:color="00B050"/>
              <w:bottom w:val="single" w:sz="8" w:space="0" w:color="00B050"/>
              <w:right w:val="single" w:sz="8" w:space="0" w:color="00B050"/>
            </w:tcBorders>
            <w:shd w:val="clear" w:color="auto" w:fill="62A86A"/>
            <w:vAlign w:val="center"/>
          </w:tcPr>
          <w:p w14:paraId="451FCCFE" w14:textId="77777777" w:rsidR="00366CB9" w:rsidRPr="00E80D3A" w:rsidRDefault="009D0C1D" w:rsidP="00854441">
            <w:pPr>
              <w:pStyle w:val="a6"/>
              <w:shd w:val="clear" w:color="auto" w:fill="auto"/>
              <w:rPr>
                <w:sz w:val="18"/>
                <w:szCs w:val="24"/>
              </w:rPr>
            </w:pPr>
            <w:r w:rsidRPr="00E80D3A">
              <w:rPr>
                <w:color w:val="FFFFFF"/>
                <w:sz w:val="18"/>
                <w:szCs w:val="24"/>
              </w:rPr>
              <w:t>Лікарський засіб</w:t>
            </w:r>
          </w:p>
        </w:tc>
        <w:tc>
          <w:tcPr>
            <w:tcW w:w="235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008086F" w14:textId="77777777" w:rsidR="00366CB9" w:rsidRPr="00E80D3A" w:rsidRDefault="009D0C1D" w:rsidP="00854441">
            <w:pPr>
              <w:pStyle w:val="a6"/>
              <w:shd w:val="clear" w:color="auto" w:fill="auto"/>
              <w:rPr>
                <w:sz w:val="18"/>
                <w:szCs w:val="24"/>
              </w:rPr>
            </w:pPr>
            <w:r w:rsidRPr="00E80D3A">
              <w:rPr>
                <w:color w:val="FFFFFF"/>
                <w:sz w:val="18"/>
                <w:szCs w:val="24"/>
              </w:rPr>
              <w:t>Генотипове ТМЧ</w:t>
            </w:r>
          </w:p>
        </w:tc>
        <w:tc>
          <w:tcPr>
            <w:tcW w:w="2179"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F387432" w14:textId="77777777" w:rsidR="00366CB9" w:rsidRPr="00E80D3A" w:rsidRDefault="009D0C1D" w:rsidP="00854441">
            <w:pPr>
              <w:pStyle w:val="a6"/>
              <w:shd w:val="clear" w:color="auto" w:fill="auto"/>
              <w:rPr>
                <w:sz w:val="18"/>
                <w:szCs w:val="24"/>
              </w:rPr>
            </w:pPr>
            <w:r w:rsidRPr="00E80D3A">
              <w:rPr>
                <w:color w:val="FFFFFF"/>
                <w:sz w:val="18"/>
                <w:szCs w:val="24"/>
              </w:rPr>
              <w:t>Фенотипове ТМЧ</w:t>
            </w:r>
          </w:p>
        </w:tc>
        <w:tc>
          <w:tcPr>
            <w:tcW w:w="224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3CE9554" w14:textId="77777777" w:rsidR="00366CB9" w:rsidRPr="00E80D3A" w:rsidRDefault="009D0C1D" w:rsidP="00854441">
            <w:pPr>
              <w:pStyle w:val="a6"/>
              <w:shd w:val="clear" w:color="auto" w:fill="auto"/>
              <w:rPr>
                <w:sz w:val="18"/>
                <w:szCs w:val="24"/>
              </w:rPr>
            </w:pPr>
            <w:r w:rsidRPr="00E80D3A">
              <w:rPr>
                <w:color w:val="FFFFFF"/>
                <w:sz w:val="18"/>
                <w:szCs w:val="24"/>
              </w:rPr>
              <w:t>Еталонний метод</w:t>
            </w:r>
          </w:p>
        </w:tc>
        <w:tc>
          <w:tcPr>
            <w:tcW w:w="505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7439867" w14:textId="77777777" w:rsidR="00366CB9" w:rsidRPr="00E80D3A" w:rsidRDefault="009D0C1D" w:rsidP="00854441">
            <w:pPr>
              <w:pStyle w:val="a6"/>
              <w:shd w:val="clear" w:color="auto" w:fill="auto"/>
              <w:rPr>
                <w:sz w:val="18"/>
                <w:szCs w:val="24"/>
              </w:rPr>
            </w:pPr>
            <w:r w:rsidRPr="00E80D3A">
              <w:rPr>
                <w:color w:val="FFFFFF"/>
                <w:sz w:val="18"/>
                <w:szCs w:val="24"/>
              </w:rPr>
              <w:t>Коментар</w:t>
            </w:r>
          </w:p>
        </w:tc>
      </w:tr>
      <w:tr w:rsidR="00366CB9" w14:paraId="11ED6EA8" w14:textId="77777777" w:rsidTr="007751D5">
        <w:trPr>
          <w:trHeight w:hRule="exact" w:val="1478"/>
        </w:trPr>
        <w:tc>
          <w:tcPr>
            <w:tcW w:w="576" w:type="dxa"/>
            <w:tcBorders>
              <w:top w:val="single" w:sz="8" w:space="0" w:color="00B050"/>
            </w:tcBorders>
            <w:shd w:val="clear" w:color="auto" w:fill="9FC39D"/>
            <w:textDirection w:val="btLr"/>
          </w:tcPr>
          <w:p w14:paraId="33F1BE0C" w14:textId="77777777" w:rsidR="00366CB9" w:rsidRPr="00785005" w:rsidRDefault="009D0C1D" w:rsidP="001F35DC">
            <w:pPr>
              <w:pStyle w:val="a6"/>
              <w:shd w:val="clear" w:color="auto" w:fill="auto"/>
              <w:spacing w:before="120"/>
              <w:jc w:val="center"/>
              <w:rPr>
                <w:sz w:val="22"/>
                <w:szCs w:val="22"/>
              </w:rPr>
            </w:pPr>
            <w:r w:rsidRPr="00E80D3A">
              <w:rPr>
                <w:color w:val="000000"/>
                <w:sz w:val="20"/>
                <w:szCs w:val="24"/>
              </w:rPr>
              <w:t>Інше</w:t>
            </w:r>
          </w:p>
        </w:tc>
        <w:tc>
          <w:tcPr>
            <w:tcW w:w="1627" w:type="dxa"/>
            <w:tcBorders>
              <w:top w:val="single" w:sz="8" w:space="0" w:color="00B050"/>
              <w:left w:val="nil"/>
              <w:bottom w:val="single" w:sz="8" w:space="0" w:color="00B050"/>
            </w:tcBorders>
            <w:shd w:val="clear" w:color="auto" w:fill="FFFFFF"/>
          </w:tcPr>
          <w:p w14:paraId="5C149D70" w14:textId="77777777" w:rsidR="00366CB9" w:rsidRPr="00E80D3A" w:rsidRDefault="009D0C1D" w:rsidP="00E80D3A">
            <w:pPr>
              <w:pStyle w:val="a6"/>
              <w:shd w:val="clear" w:color="auto" w:fill="auto"/>
              <w:spacing w:before="60"/>
              <w:rPr>
                <w:sz w:val="18"/>
                <w:szCs w:val="24"/>
              </w:rPr>
            </w:pPr>
            <w:r w:rsidRPr="00E80D3A">
              <w:rPr>
                <w:b w:val="0"/>
                <w:color w:val="000000"/>
                <w:sz w:val="18"/>
                <w:szCs w:val="24"/>
              </w:rPr>
              <w:t>Претоманід</w:t>
            </w:r>
          </w:p>
        </w:tc>
        <w:tc>
          <w:tcPr>
            <w:tcW w:w="2352" w:type="dxa"/>
            <w:tcBorders>
              <w:top w:val="single" w:sz="8" w:space="0" w:color="00B050"/>
              <w:bottom w:val="single" w:sz="8" w:space="0" w:color="00B050"/>
            </w:tcBorders>
            <w:shd w:val="clear" w:color="auto" w:fill="FFFFFF"/>
          </w:tcPr>
          <w:p w14:paraId="1DE8ABAE" w14:textId="77777777" w:rsidR="00366CB9" w:rsidRPr="00E80D3A" w:rsidRDefault="009D0C1D" w:rsidP="00E80D3A">
            <w:pPr>
              <w:pStyle w:val="a6"/>
              <w:shd w:val="clear" w:color="auto" w:fill="auto"/>
              <w:spacing w:before="60" w:line="271" w:lineRule="auto"/>
              <w:rPr>
                <w:sz w:val="18"/>
                <w:szCs w:val="24"/>
              </w:rPr>
            </w:pPr>
            <w:r w:rsidRPr="00E80D3A">
              <w:rPr>
                <w:b w:val="0"/>
                <w:color w:val="000000"/>
                <w:sz w:val="18"/>
                <w:szCs w:val="24"/>
              </w:rPr>
              <w:t>Наразі немає швидкого методу виявлення резистентності</w:t>
            </w:r>
          </w:p>
        </w:tc>
        <w:tc>
          <w:tcPr>
            <w:tcW w:w="2179" w:type="dxa"/>
            <w:tcBorders>
              <w:top w:val="single" w:sz="8" w:space="0" w:color="00B050"/>
              <w:bottom w:val="single" w:sz="8" w:space="0" w:color="00B050"/>
            </w:tcBorders>
            <w:shd w:val="clear" w:color="auto" w:fill="FFFFFF"/>
          </w:tcPr>
          <w:p w14:paraId="020EEB76" w14:textId="77777777" w:rsidR="00366CB9" w:rsidRPr="00E80D3A" w:rsidRDefault="009D0C1D" w:rsidP="00E80D3A">
            <w:pPr>
              <w:pStyle w:val="a6"/>
              <w:shd w:val="clear" w:color="auto" w:fill="auto"/>
              <w:spacing w:before="60" w:line="271" w:lineRule="auto"/>
              <w:rPr>
                <w:sz w:val="18"/>
                <w:szCs w:val="24"/>
              </w:rPr>
            </w:pPr>
            <w:r w:rsidRPr="00E80D3A">
              <w:rPr>
                <w:b w:val="0"/>
                <w:color w:val="000000"/>
                <w:sz w:val="18"/>
                <w:szCs w:val="24"/>
              </w:rPr>
              <w:t>КК було встановлено лише для середовищ MGIT</w:t>
            </w:r>
          </w:p>
        </w:tc>
        <w:tc>
          <w:tcPr>
            <w:tcW w:w="2242" w:type="dxa"/>
            <w:tcBorders>
              <w:top w:val="single" w:sz="8" w:space="0" w:color="00B050"/>
              <w:bottom w:val="single" w:sz="8" w:space="0" w:color="00B050"/>
            </w:tcBorders>
            <w:shd w:val="clear" w:color="auto" w:fill="FFFFFF"/>
          </w:tcPr>
          <w:p w14:paraId="116BB8A8" w14:textId="77777777" w:rsidR="00366CB9" w:rsidRPr="00E80D3A" w:rsidRDefault="009D0C1D" w:rsidP="00E80D3A">
            <w:pPr>
              <w:pStyle w:val="a6"/>
              <w:shd w:val="clear" w:color="auto" w:fill="auto"/>
              <w:spacing w:before="60"/>
              <w:rPr>
                <w:sz w:val="18"/>
                <w:szCs w:val="24"/>
              </w:rPr>
            </w:pPr>
            <w:r w:rsidRPr="00E80D3A">
              <w:rPr>
                <w:b w:val="0"/>
                <w:color w:val="000000"/>
                <w:sz w:val="18"/>
                <w:szCs w:val="24"/>
              </w:rPr>
              <w:t>MGIT</w:t>
            </w:r>
          </w:p>
        </w:tc>
        <w:tc>
          <w:tcPr>
            <w:tcW w:w="5050" w:type="dxa"/>
            <w:tcBorders>
              <w:top w:val="single" w:sz="8" w:space="0" w:color="00B050"/>
              <w:bottom w:val="single" w:sz="8" w:space="0" w:color="00B050"/>
            </w:tcBorders>
            <w:shd w:val="clear" w:color="auto" w:fill="FFFFFF"/>
          </w:tcPr>
          <w:p w14:paraId="6C97ADA4" w14:textId="77777777" w:rsidR="00366CB9" w:rsidRPr="00E80D3A" w:rsidRDefault="009D0C1D" w:rsidP="00E80D3A">
            <w:pPr>
              <w:pStyle w:val="a6"/>
              <w:shd w:val="clear" w:color="auto" w:fill="auto"/>
              <w:spacing w:before="60" w:line="271" w:lineRule="auto"/>
              <w:rPr>
                <w:sz w:val="18"/>
                <w:szCs w:val="24"/>
              </w:rPr>
            </w:pPr>
            <w:r w:rsidRPr="00E80D3A">
              <w:rPr>
                <w:b w:val="0"/>
                <w:color w:val="000000"/>
                <w:sz w:val="18"/>
                <w:szCs w:val="24"/>
              </w:rPr>
              <w:t>В ідеалі, фенотипове ТМЧ необхідно проводити на початку лікування. Якщо ТМЧ на вихідному рівні не проводиться, ТМЧ необхідно проводити з першим штамом, ізольованим зі зразка пацієнта під час контролю лікування.</w:t>
            </w:r>
            <w:r w:rsidRPr="00E80D3A">
              <w:rPr>
                <w:b w:val="0"/>
                <w:color w:val="000000"/>
                <w:sz w:val="18"/>
                <w:szCs w:val="24"/>
                <w:vertAlign w:val="superscript"/>
              </w:rPr>
              <w:t>c</w:t>
            </w:r>
          </w:p>
        </w:tc>
      </w:tr>
      <w:tr w:rsidR="00366CB9" w14:paraId="5783B4E3" w14:textId="77777777" w:rsidTr="007751D5">
        <w:trPr>
          <w:trHeight w:hRule="exact" w:val="3184"/>
        </w:trPr>
        <w:tc>
          <w:tcPr>
            <w:tcW w:w="14026" w:type="dxa"/>
            <w:gridSpan w:val="6"/>
            <w:tcBorders>
              <w:top w:val="single" w:sz="8" w:space="0" w:color="00B050"/>
            </w:tcBorders>
            <w:shd w:val="clear" w:color="auto" w:fill="FFFFFF"/>
            <w:vAlign w:val="bottom"/>
          </w:tcPr>
          <w:p w14:paraId="5CBAE318" w14:textId="77777777" w:rsidR="00366CB9" w:rsidRDefault="009D0C1D" w:rsidP="001F35DC">
            <w:pPr>
              <w:pStyle w:val="a6"/>
              <w:shd w:val="clear" w:color="auto" w:fill="auto"/>
              <w:spacing w:after="40" w:line="266" w:lineRule="auto"/>
              <w:jc w:val="both"/>
              <w:rPr>
                <w:sz w:val="17"/>
                <w:szCs w:val="17"/>
              </w:rPr>
            </w:pPr>
            <w:r>
              <w:rPr>
                <w:b w:val="0"/>
                <w:color w:val="000000"/>
                <w:sz w:val="17"/>
              </w:rPr>
              <w:t>ККТ: клінічна критична точка; КК: критична концентрація; ДНК: дезоксирибонуклеїнова кислота; ЛС-ТБ: лікарсько-стійкий ТБ; ТМЧ: тестування медикаментозної чутливості; Нрез-ТБ: чутливий до рифампіцину, резистентний до ізоніазиду туберкульоз; СЛЄ: середовище Левенштайна-Єнсена; LPA: аналіз олігонуклеотидними зондами; МЛС/Риф-ТБ: туберкульоз із множинною лікарською стійкістю або рифампіцин-резистентний туберкульоз; MGIT: пробірка з індикатором росту мікобактерій; МІК: мінімальна інгібуюча концентрація; Н/З: не застосовується; NAAT: аналіз ампліфікації нуклеїнових кислот; СНП: секвенування наступного покоління; RRDR: ділянка, що визначає резистентність до рифампіцину; SL-LPA: аналіз олігонуклеотидними зондами для препаратів другої лінії; ТБ: туберкульоз; ПГС: повногеномне секвенування; ВООЗ: Всесвітня організація охорони здоров’я; WRD: експрес-тест для діагностики туберкульозу, рекомендований ВООЗ.</w:t>
            </w:r>
          </w:p>
          <w:p w14:paraId="08A6F52D" w14:textId="77777777" w:rsidR="00366CB9" w:rsidRDefault="009D0C1D" w:rsidP="001F35DC">
            <w:pPr>
              <w:pStyle w:val="a6"/>
              <w:shd w:val="clear" w:color="auto" w:fill="auto"/>
              <w:spacing w:after="40" w:line="266" w:lineRule="auto"/>
              <w:jc w:val="both"/>
              <w:rPr>
                <w:sz w:val="17"/>
                <w:szCs w:val="17"/>
              </w:rPr>
            </w:pPr>
            <w:r>
              <w:rPr>
                <w:b w:val="0"/>
                <w:color w:val="000000"/>
                <w:sz w:val="17"/>
              </w:rPr>
              <w:t>Лікарські засоби: AMK: амікацин; CS: циклосерин; EMB: етамбутол; ETO: етіонамід; FQ: фторхінолон; HREZ: ізоніазид (H), рифампіцин (R), етамбутол (E) та піразинамід (Z); IMP: іміпенем; INH: ізоніазид; LFX: левофлоксацин; MPM: меропенем; MFX: моксифлоксацин; PTO: протіонамід; PZA: піразинамід; RIF: рифампіцин; STR: стрептоміцин.</w:t>
            </w:r>
          </w:p>
          <w:p w14:paraId="08187094" w14:textId="77777777" w:rsidR="00366CB9" w:rsidRDefault="009D0C1D" w:rsidP="001F35DC">
            <w:pPr>
              <w:pStyle w:val="a6"/>
              <w:shd w:val="clear" w:color="auto" w:fill="auto"/>
              <w:spacing w:after="40" w:line="266" w:lineRule="auto"/>
              <w:jc w:val="both"/>
              <w:rPr>
                <w:sz w:val="17"/>
                <w:szCs w:val="17"/>
              </w:rPr>
            </w:pPr>
            <w:r>
              <w:rPr>
                <w:b w:val="0"/>
                <w:color w:val="000000"/>
                <w:sz w:val="17"/>
                <w:vertAlign w:val="superscript"/>
              </w:rPr>
              <w:t>a</w:t>
            </w:r>
            <w:r>
              <w:rPr>
                <w:b w:val="0"/>
                <w:color w:val="000000"/>
                <w:sz w:val="17"/>
              </w:rPr>
              <w:t>КК LFX та MFX для СЛЄ встановлені, незважаючи на обмежені дані.</w:t>
            </w:r>
          </w:p>
          <w:p w14:paraId="2CA39E35" w14:textId="77777777" w:rsidR="00366CB9" w:rsidRDefault="009D0C1D" w:rsidP="001F35DC">
            <w:pPr>
              <w:pStyle w:val="a6"/>
              <w:shd w:val="clear" w:color="auto" w:fill="auto"/>
              <w:spacing w:after="40" w:line="266" w:lineRule="auto"/>
              <w:ind w:left="140" w:hanging="140"/>
              <w:jc w:val="both"/>
              <w:rPr>
                <w:sz w:val="17"/>
                <w:szCs w:val="17"/>
              </w:rPr>
            </w:pPr>
            <w:r>
              <w:rPr>
                <w:b w:val="0"/>
                <w:color w:val="000000"/>
                <w:sz w:val="17"/>
                <w:vertAlign w:val="superscript"/>
              </w:rPr>
              <w:t>b</w:t>
            </w:r>
            <w:r>
              <w:rPr>
                <w:b w:val="0"/>
                <w:color w:val="000000"/>
                <w:sz w:val="17"/>
              </w:rPr>
              <w:t>Фенотипове ТМЧ необхідно здійснювати для штамів, виділених у осіб під час контролю лікування. У разі виявлення резистентності штами необхідно зберігати, а також, за можливості, проводити ПГС для збору даних про мутації, пов’язані з резистентністю.</w:t>
            </w:r>
          </w:p>
          <w:p w14:paraId="1BF912D3" w14:textId="77777777" w:rsidR="00366CB9" w:rsidRDefault="009D0C1D" w:rsidP="001F35DC">
            <w:pPr>
              <w:pStyle w:val="a6"/>
              <w:shd w:val="clear" w:color="auto" w:fill="auto"/>
              <w:spacing w:after="40" w:line="266" w:lineRule="auto"/>
              <w:jc w:val="both"/>
              <w:rPr>
                <w:sz w:val="17"/>
                <w:szCs w:val="17"/>
              </w:rPr>
            </w:pPr>
            <w:r>
              <w:rPr>
                <w:b w:val="0"/>
                <w:color w:val="000000"/>
                <w:sz w:val="17"/>
                <w:vertAlign w:val="superscript"/>
              </w:rPr>
              <w:t>c</w:t>
            </w:r>
            <w:r>
              <w:rPr>
                <w:b w:val="0"/>
                <w:color w:val="000000"/>
                <w:sz w:val="17"/>
              </w:rPr>
              <w:t xml:space="preserve">SL-LPA не охоплюють відповідну область гена </w:t>
            </w:r>
            <w:r>
              <w:rPr>
                <w:b w:val="0"/>
                <w:i/>
                <w:iCs/>
                <w:color w:val="000000"/>
                <w:sz w:val="17"/>
              </w:rPr>
              <w:t xml:space="preserve">rrs </w:t>
            </w:r>
            <w:r>
              <w:rPr>
                <w:b w:val="0"/>
                <w:color w:val="000000"/>
                <w:sz w:val="17"/>
              </w:rPr>
              <w:t>або інших генів, пов’язаних з резистентністю до STR.</w:t>
            </w:r>
          </w:p>
          <w:p w14:paraId="3D53EBA4" w14:textId="77777777" w:rsidR="00366CB9" w:rsidRDefault="009D0C1D" w:rsidP="001F35DC">
            <w:pPr>
              <w:pStyle w:val="a6"/>
              <w:shd w:val="clear" w:color="auto" w:fill="auto"/>
              <w:spacing w:after="40" w:line="266" w:lineRule="auto"/>
              <w:jc w:val="both"/>
              <w:rPr>
                <w:sz w:val="17"/>
                <w:szCs w:val="17"/>
              </w:rPr>
            </w:pPr>
            <w:r>
              <w:rPr>
                <w:b w:val="0"/>
                <w:color w:val="000000"/>
                <w:sz w:val="17"/>
              </w:rPr>
              <w:t xml:space="preserve">Джерело: адаптовано з Таблиці 3 у </w:t>
            </w:r>
            <w:hyperlink r:id="rId84" w:history="1">
              <w:r w:rsidR="00366CB9">
                <w:rPr>
                  <w:color w:val="000000"/>
                  <w:sz w:val="18"/>
                </w:rPr>
                <w:t>Вебдодатку C</w:t>
              </w:r>
            </w:hyperlink>
            <w:r>
              <w:rPr>
                <w:b w:val="0"/>
                <w:color w:val="000000"/>
                <w:sz w:val="17"/>
              </w:rPr>
              <w:t>.</w:t>
            </w:r>
          </w:p>
        </w:tc>
      </w:tr>
    </w:tbl>
    <w:tbl>
      <w:tblPr>
        <w:tblOverlap w:val="never"/>
        <w:tblW w:w="0" w:type="auto"/>
        <w:tblLayout w:type="fixed"/>
        <w:tblCellMar>
          <w:left w:w="10" w:type="dxa"/>
          <w:right w:w="10" w:type="dxa"/>
        </w:tblCellMar>
        <w:tblLook w:val="0000" w:firstRow="0" w:lastRow="0" w:firstColumn="0" w:lastColumn="0" w:noHBand="0" w:noVBand="0"/>
      </w:tblPr>
      <w:tblGrid>
        <w:gridCol w:w="216"/>
      </w:tblGrid>
      <w:tr w:rsidR="00366CB9" w14:paraId="32B22A38" w14:textId="77777777">
        <w:trPr>
          <w:trHeight w:hRule="exact" w:val="590"/>
        </w:trPr>
        <w:tc>
          <w:tcPr>
            <w:tcW w:w="216" w:type="dxa"/>
            <w:shd w:val="clear" w:color="auto" w:fill="FFFFFF"/>
            <w:textDirection w:val="tbRl"/>
          </w:tcPr>
          <w:p w14:paraId="72BF5F26" w14:textId="77777777" w:rsidR="00366CB9" w:rsidRDefault="009D0C1D" w:rsidP="00425523">
            <w:pPr>
              <w:pStyle w:val="a6"/>
              <w:framePr w:w="216" w:h="5323" w:wrap="none" w:vAnchor="page" w:hAnchor="page" w:x="666" w:y="802"/>
              <w:shd w:val="clear" w:color="auto" w:fill="auto"/>
              <w:rPr>
                <w:sz w:val="15"/>
                <w:szCs w:val="15"/>
              </w:rPr>
            </w:pPr>
            <w:r>
              <w:rPr>
                <w:b w:val="0"/>
                <w:color w:val="019648"/>
                <w:sz w:val="15"/>
              </w:rPr>
              <w:t>54</w:t>
            </w:r>
          </w:p>
        </w:tc>
      </w:tr>
      <w:tr w:rsidR="00366CB9" w14:paraId="43C7F50F" w14:textId="77777777">
        <w:trPr>
          <w:trHeight w:hRule="exact" w:val="4733"/>
        </w:trPr>
        <w:tc>
          <w:tcPr>
            <w:tcW w:w="216" w:type="dxa"/>
            <w:shd w:val="clear" w:color="auto" w:fill="FFFFFF"/>
            <w:textDirection w:val="tbRl"/>
          </w:tcPr>
          <w:p w14:paraId="780A7218" w14:textId="77777777" w:rsidR="00366CB9" w:rsidRDefault="009D0C1D" w:rsidP="00425523">
            <w:pPr>
              <w:pStyle w:val="a6"/>
              <w:framePr w:w="216" w:h="5323" w:wrap="none" w:vAnchor="page" w:hAnchor="page" w:x="666" w:y="802"/>
              <w:shd w:val="clear" w:color="auto" w:fill="auto"/>
              <w:rPr>
                <w:sz w:val="15"/>
                <w:szCs w:val="15"/>
              </w:rPr>
            </w:pPr>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p>
        </w:tc>
      </w:tr>
    </w:tbl>
    <w:p w14:paraId="6911217B" w14:textId="77777777" w:rsidR="00366CB9" w:rsidRDefault="00366CB9" w:rsidP="00425523">
      <w:pPr>
        <w:spacing w:line="1" w:lineRule="exact"/>
        <w:sectPr w:rsidR="00366CB9" w:rsidSect="001F35DC">
          <w:type w:val="nextColumn"/>
          <w:pgSz w:w="16840" w:h="11913" w:orient="landscape"/>
          <w:pgMar w:top="1412" w:right="1304" w:bottom="851" w:left="1508" w:header="0" w:footer="6" w:gutter="0"/>
          <w:paperSrc w:first="15" w:other="15"/>
          <w:cols w:space="720"/>
          <w:noEndnote/>
          <w:docGrid w:linePitch="360"/>
        </w:sectPr>
      </w:pPr>
    </w:p>
    <w:p w14:paraId="513E4E23" w14:textId="77777777" w:rsidR="00366CB9" w:rsidRDefault="00366CB9" w:rsidP="00425523">
      <w:pPr>
        <w:spacing w:line="1" w:lineRule="exact"/>
      </w:pPr>
    </w:p>
    <w:p w14:paraId="5E48887A" w14:textId="77777777" w:rsidR="00366CB9" w:rsidRDefault="009D0C1D" w:rsidP="001F35DC">
      <w:pPr>
        <w:pStyle w:val="22"/>
        <w:numPr>
          <w:ilvl w:val="0"/>
          <w:numId w:val="7"/>
        </w:numPr>
        <w:shd w:val="clear" w:color="auto" w:fill="auto"/>
        <w:tabs>
          <w:tab w:val="left" w:pos="692"/>
        </w:tabs>
        <w:spacing w:after="140" w:line="240" w:lineRule="auto"/>
        <w:jc w:val="both"/>
      </w:pPr>
      <w:bookmarkStart w:id="62" w:name="bookmark61"/>
      <w:bookmarkStart w:id="63" w:name="bookmark62"/>
      <w:bookmarkStart w:id="64" w:name="bookmark59"/>
      <w:bookmarkStart w:id="65" w:name="bookmark60"/>
      <w:r>
        <w:t>Тести на виявлення туберкульозної інфекції</w:t>
      </w:r>
      <w:bookmarkEnd w:id="62"/>
      <w:bookmarkEnd w:id="63"/>
      <w:bookmarkEnd w:id="64"/>
      <w:bookmarkEnd w:id="65"/>
    </w:p>
    <w:p w14:paraId="1FA8A283" w14:textId="77777777" w:rsidR="00366CB9" w:rsidRPr="00E80D3A" w:rsidRDefault="009D0C1D" w:rsidP="001F35DC">
      <w:pPr>
        <w:pStyle w:val="1"/>
        <w:shd w:val="clear" w:color="auto" w:fill="auto"/>
        <w:spacing w:after="140" w:line="324" w:lineRule="auto"/>
        <w:jc w:val="both"/>
        <w:rPr>
          <w:sz w:val="18"/>
          <w:szCs w:val="18"/>
        </w:rPr>
      </w:pPr>
      <w:r w:rsidRPr="00E80D3A">
        <w:rPr>
          <w:sz w:val="18"/>
          <w:szCs w:val="18"/>
        </w:rPr>
        <w:t xml:space="preserve">Туберкульозна інфекція – це стан стійкої імунної відповіді на антигени </w:t>
      </w:r>
      <w:r w:rsidRPr="00E80D3A">
        <w:rPr>
          <w:i/>
          <w:sz w:val="18"/>
          <w:szCs w:val="18"/>
        </w:rPr>
        <w:t>Mtb</w:t>
      </w:r>
      <w:r w:rsidRPr="00E80D3A">
        <w:rPr>
          <w:sz w:val="18"/>
          <w:szCs w:val="18"/>
        </w:rPr>
        <w:t>, що не має ознак клінічно виявленого ТБ (</w:t>
      </w:r>
      <w:hyperlink w:anchor="bookmark197" w:tooltip="Поточний документ">
        <w:r w:rsidR="00366CB9" w:rsidRPr="00E80D3A">
          <w:rPr>
            <w:sz w:val="18"/>
            <w:szCs w:val="18"/>
          </w:rPr>
          <w:t>35</w:t>
        </w:r>
      </w:hyperlink>
      <w:r w:rsidRPr="00E80D3A">
        <w:rPr>
          <w:sz w:val="18"/>
          <w:szCs w:val="18"/>
        </w:rPr>
        <w:t xml:space="preserve">). У осіб з туберкульозною інфекцією відсутні ознаки або симптоми ТБ, інфекції, спостерігаються нормальні або стабільні рентгенограми органів грудної клітини (РОГК) та негативні результати мікробіологічних тестів (за наявності таких тестів). За оцінками, прибл. 25 % людей у світі заражені </w:t>
      </w:r>
      <w:r w:rsidRPr="00E80D3A">
        <w:rPr>
          <w:i/>
          <w:sz w:val="18"/>
          <w:szCs w:val="18"/>
        </w:rPr>
        <w:t>Mtb</w:t>
      </w:r>
      <w:r w:rsidRPr="00E80D3A">
        <w:rPr>
          <w:sz w:val="18"/>
          <w:szCs w:val="18"/>
        </w:rPr>
        <w:t xml:space="preserve"> (</w:t>
      </w:r>
      <w:hyperlink w:anchor="bookmark193" w:tooltip="Поточний документ">
        <w:r w:rsidR="00366CB9" w:rsidRPr="00E80D3A">
          <w:rPr>
            <w:sz w:val="18"/>
            <w:szCs w:val="18"/>
          </w:rPr>
          <w:t>1</w:t>
        </w:r>
      </w:hyperlink>
      <w:r w:rsidRPr="00E80D3A">
        <w:rPr>
          <w:sz w:val="18"/>
          <w:szCs w:val="18"/>
        </w:rPr>
        <w:t>), з яких у 5-10 % ТБ розвинеться протягом усього життя (</w:t>
      </w:r>
      <w:hyperlink w:anchor="bookmark197" w:tooltip="Поточний документ">
        <w:r w:rsidR="00366CB9" w:rsidRPr="00E80D3A">
          <w:rPr>
            <w:sz w:val="18"/>
            <w:szCs w:val="18"/>
          </w:rPr>
          <w:t>36</w:t>
        </w:r>
      </w:hyperlink>
      <w:r w:rsidRPr="00E80D3A">
        <w:rPr>
          <w:sz w:val="18"/>
          <w:szCs w:val="18"/>
        </w:rPr>
        <w:t>). Цей ризик набагато вищий у осіб з певними епідеміологічними факторами (наприклад, нещодавній контакт з особою з бактеріологічно підтвердженим ТБ легень), соціальні характеристики (низький соціально-економічний статус або недоїдання) та демографічні характеристики (наприклад, дуже маленькі діти або люди похилого віку) або клінічні стани, що послаблюють імунну систему (наприклад, ВІЛ-інфекція, цукровий діабет або імуносупресорні препарати) (</w:t>
      </w:r>
      <w:hyperlink w:anchor="bookmark197" w:tooltip="Поточний документ">
        <w:r w:rsidR="00366CB9" w:rsidRPr="00E80D3A">
          <w:rPr>
            <w:sz w:val="18"/>
            <w:szCs w:val="18"/>
          </w:rPr>
          <w:t>37–39</w:t>
        </w:r>
      </w:hyperlink>
      <w:r w:rsidRPr="00E80D3A">
        <w:rPr>
          <w:sz w:val="18"/>
          <w:szCs w:val="18"/>
        </w:rPr>
        <w:t>).</w:t>
      </w:r>
    </w:p>
    <w:p w14:paraId="236F4E8A" w14:textId="77777777" w:rsidR="00366CB9" w:rsidRPr="00E80D3A" w:rsidRDefault="009D0C1D" w:rsidP="001F35DC">
      <w:pPr>
        <w:pStyle w:val="1"/>
        <w:shd w:val="clear" w:color="auto" w:fill="auto"/>
        <w:spacing w:after="140" w:line="324" w:lineRule="auto"/>
        <w:jc w:val="both"/>
        <w:rPr>
          <w:sz w:val="18"/>
          <w:szCs w:val="18"/>
        </w:rPr>
      </w:pPr>
      <w:r w:rsidRPr="00E80D3A">
        <w:rPr>
          <w:sz w:val="18"/>
          <w:szCs w:val="18"/>
        </w:rPr>
        <w:t>У осіб з такими факторами ризику ПЛТ може бути ефективною для здоров’я населення. Однак, впровадження ПЛТ передбачає проблеми з точки зору пріоритетності програм, небажання фахівців у сфері охорони здоров’я лікувати осіб без симптомів, дотримання схеми лікування, наявності відповідних лікарських засобів та форм, витрат, вимог до систем охорони здоров’я та відповідних осіб, а також доступу до безкоштовного скринінгу та тестування на виявлення туберкульозної інфекції. ПЛТ може спричиняти побічні реакції на лікарські засоби (хоча вони рідко бувають серйозними) у осіб, які зазвичай здорові. Отже, ПЛТ рекомендується лише для груп високого ризику ТБ, де переваги ПЛТ суттєво переважають ризики.</w:t>
      </w:r>
    </w:p>
    <w:p w14:paraId="0024BA89" w14:textId="77777777" w:rsidR="00366CB9" w:rsidRPr="00E80D3A" w:rsidRDefault="009D0C1D" w:rsidP="001F35DC">
      <w:pPr>
        <w:pStyle w:val="1"/>
        <w:shd w:val="clear" w:color="auto" w:fill="auto"/>
        <w:spacing w:after="140" w:line="324" w:lineRule="auto"/>
        <w:jc w:val="both"/>
        <w:rPr>
          <w:sz w:val="18"/>
          <w:szCs w:val="18"/>
        </w:rPr>
      </w:pPr>
      <w:r w:rsidRPr="00E80D3A">
        <w:rPr>
          <w:sz w:val="18"/>
          <w:szCs w:val="18"/>
        </w:rPr>
        <w:t>Ризик ТБ є вищим у осіб з позитивним результатом тесту на виявлення туберкульозної інфекції, ніж у осіб з тими ж факторами ризику, але з негативним результатом тесту на виявлення туберкульозної інфекції. Крім того, важливо проводити тестування на виявлення туберкульозної інфекції, оскільки у осіб з позитивним результатом тесту більше шансів отримати користь від ПЛТ, ніж у осіб з негативним результатом; тому ПЛТ буде найбільш ефективною для здоров’я населення, якщо передбачатиме оцінку ризику разом з результатами тестування на виявлення туберкульозної інфекції. Отже, розширення ПЛТ створює необхідність у розширенні можливостей у сфері тестування на виявлення туберкульозної інфекції. Однак відсутність тестування на виявлення туберкульозної інфекції не має перешкоджати ПЛТ, особливо для контактів пацієнтів з ТБ у віці до 5 років та людей, які живуть з ВІЛ (</w:t>
      </w:r>
      <w:hyperlink w:anchor="bookmark197" w:tooltip="Поточний документ">
        <w:r w:rsidR="00366CB9" w:rsidRPr="00E80D3A">
          <w:rPr>
            <w:sz w:val="18"/>
            <w:szCs w:val="18"/>
          </w:rPr>
          <w:t>41</w:t>
        </w:r>
      </w:hyperlink>
      <w:r w:rsidRPr="00E80D3A">
        <w:rPr>
          <w:sz w:val="18"/>
          <w:szCs w:val="18"/>
        </w:rPr>
        <w:t>).</w:t>
      </w:r>
    </w:p>
    <w:p w14:paraId="1C14C84D" w14:textId="77777777" w:rsidR="00366CB9" w:rsidRPr="00E80D3A" w:rsidRDefault="009D0C1D" w:rsidP="001F35DC">
      <w:pPr>
        <w:pStyle w:val="1"/>
        <w:shd w:val="clear" w:color="auto" w:fill="auto"/>
        <w:spacing w:line="326" w:lineRule="auto"/>
        <w:jc w:val="both"/>
        <w:rPr>
          <w:sz w:val="18"/>
          <w:szCs w:val="18"/>
        </w:rPr>
      </w:pPr>
      <w:r w:rsidRPr="00E80D3A">
        <w:rPr>
          <w:sz w:val="18"/>
          <w:szCs w:val="18"/>
        </w:rPr>
        <w:t>ВООЗ рекомендує три класи тестів на виявлення туберкульозної інфекції: TST, TBST та IGRA (</w:t>
      </w:r>
      <w:hyperlink w:anchor="bookmark63" w:tooltip="Поточний документ">
        <w:r w:rsidR="00366CB9" w:rsidRPr="00E80D3A">
          <w:rPr>
            <w:b/>
            <w:sz w:val="18"/>
            <w:szCs w:val="18"/>
          </w:rPr>
          <w:t>Вставка 2.1</w:t>
        </w:r>
        <w:r w:rsidR="00366CB9" w:rsidRPr="00E80D3A">
          <w:rPr>
            <w:sz w:val="18"/>
            <w:szCs w:val="18"/>
          </w:rPr>
          <w:t>2</w:t>
        </w:r>
      </w:hyperlink>
      <w:r w:rsidRPr="00E80D3A">
        <w:rPr>
          <w:sz w:val="18"/>
          <w:szCs w:val="18"/>
        </w:rPr>
        <w:t>). Про ці тести детально описано у підрозділі нижче.</w:t>
      </w:r>
    </w:p>
    <w:p w14:paraId="64550418" w14:textId="77777777" w:rsidR="00366CB9" w:rsidRDefault="00366CB9" w:rsidP="00425523">
      <w:pPr>
        <w:spacing w:line="1" w:lineRule="exact"/>
        <w:sectPr w:rsidR="00366CB9" w:rsidSect="001F35DC">
          <w:footerReference w:type="default" r:id="rId85"/>
          <w:pgSz w:w="11913" w:h="16840"/>
          <w:pgMar w:top="1469" w:right="1378" w:bottom="851" w:left="1372" w:header="0" w:footer="6" w:gutter="0"/>
          <w:paperSrc w:first="15" w:other="15"/>
          <w:cols w:space="720"/>
          <w:noEndnote/>
          <w:docGrid w:linePitch="360"/>
        </w:sectPr>
      </w:pPr>
    </w:p>
    <w:p w14:paraId="2C8AF7F1"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14:paraId="1A9C1CCA" w14:textId="77777777">
        <w:trPr>
          <w:trHeight w:hRule="exact" w:val="5741"/>
        </w:trPr>
        <w:tc>
          <w:tcPr>
            <w:tcW w:w="9106" w:type="dxa"/>
            <w:shd w:val="clear" w:color="auto" w:fill="FFFFFF"/>
          </w:tcPr>
          <w:p w14:paraId="6A56AF9D" w14:textId="10370BDB" w:rsidR="00366CB9" w:rsidRDefault="00D4401E" w:rsidP="001F35DC">
            <w:pPr>
              <w:rPr>
                <w:sz w:val="2"/>
                <w:szCs w:val="2"/>
              </w:rPr>
            </w:pPr>
            <w:r>
              <w:rPr>
                <w:noProof/>
              </w:rPr>
              <mc:AlternateContent>
                <mc:Choice Requires="wps">
                  <w:drawing>
                    <wp:anchor distT="0" distB="0" distL="114300" distR="114300" simplePos="0" relativeHeight="251508736" behindDoc="0" locked="0" layoutInCell="1" allowOverlap="1" wp14:anchorId="14ED2392" wp14:editId="34C68CF7">
                      <wp:simplePos x="0" y="0"/>
                      <wp:positionH relativeFrom="column">
                        <wp:posOffset>122555</wp:posOffset>
                      </wp:positionH>
                      <wp:positionV relativeFrom="paragraph">
                        <wp:posOffset>200024</wp:posOffset>
                      </wp:positionV>
                      <wp:extent cx="4096987" cy="295275"/>
                      <wp:effectExtent l="0" t="0" r="0" b="9525"/>
                      <wp:wrapNone/>
                      <wp:docPr id="141102819" name="Прямокутник 2"/>
                      <wp:cNvGraphicFramePr/>
                      <a:graphic xmlns:a="http://schemas.openxmlformats.org/drawingml/2006/main">
                        <a:graphicData uri="http://schemas.microsoft.com/office/word/2010/wordprocessingShape">
                          <wps:wsp>
                            <wps:cNvSpPr/>
                            <wps:spPr>
                              <a:xfrm>
                                <a:off x="0" y="0"/>
                                <a:ext cx="4096987" cy="295275"/>
                              </a:xfrm>
                              <a:prstGeom prst="rect">
                                <a:avLst/>
                              </a:prstGeom>
                              <a:solidFill>
                                <a:srgbClr val="009649"/>
                              </a:solidFill>
                            </wps:spPr>
                            <wps:txbx>
                              <w:txbxContent>
                                <w:p w14:paraId="27F50FBC" w14:textId="77777777" w:rsidR="009D0C1D" w:rsidRPr="00785005" w:rsidRDefault="009D0C1D" w:rsidP="00D4401E">
                                  <w:pPr>
                                    <w:rPr>
                                      <w:rFonts w:eastAsia="+mn-ea" w:cs="+mn-cs"/>
                                      <w:b/>
                                      <w:bCs/>
                                      <w:color w:val="FFFFFF"/>
                                      <w:kern w:val="24"/>
                                      <w:sz w:val="20"/>
                                      <w:szCs w:val="20"/>
                                    </w:rPr>
                                  </w:pPr>
                                  <w:r>
                                    <w:rPr>
                                      <w:b/>
                                      <w:color w:val="FFFFFF"/>
                                      <w:sz w:val="20"/>
                                    </w:rPr>
                                    <w:t xml:space="preserve">Вставка 2.12. Рекомендації ВООЗ щодо тестів на виявлення туберкульозної інфекції </w:t>
                                  </w:r>
                                  <w:r>
                                    <w:rPr>
                                      <w:b/>
                                      <w:i/>
                                      <w:color w:val="FFFFFF"/>
                                      <w:sz w:val="20"/>
                                    </w:rPr>
                                    <w:t>(6)</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4ED2392" id="_x0000_s1131" style="position:absolute;margin-left:9.65pt;margin-top:15.75pt;width:322.6pt;height:23.2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" fillcolor="#009649" stroked="f">
                      <v:textbox inset="0,0,0,0">
                        <w:txbxContent>
                          <w:p w14:paraId="27F50FBC" w14:textId="77777777" w:rsidR="009D0C1D" w:rsidRPr="00785005" w:rsidRDefault="009D0C1D" w:rsidP="00D4401E">
                            <w:pPr>
                              <w:rPr>
                                <w:rFonts w:eastAsia="+mn-ea" w:cs="+mn-cs"/>
                                <w:b/>
                                <w:bCs/>
                                <w:color w:val="FFFFFF"/>
                                <w:kern w:val="24"/>
                                <w:sz w:val="20"/>
                                <w:szCs w:val="20"/>
                              </w:rPr>
                            </w:pPr>
                            <w:r>
                              <w:rPr>
                                <w:b/>
                                <w:color w:val="FFFFFF"/>
                                <w:sz w:val="20"/>
                              </w:rPr>
                              <w:t xml:space="preserve">Вставка 2.12. Рекомендації ВООЗ щодо тестів на виявлення туберкульозної інфекції </w:t>
                            </w:r>
                            <w:r>
                              <w:rPr>
                                <w:b/>
                                <w:i/>
                                <w:color w:val="FFFFFF"/>
                                <w:sz w:val="20"/>
                              </w:rPr>
                              <w:t>(6)</w:t>
                            </w:r>
                          </w:p>
                        </w:txbxContent>
                      </v:textbox>
                    </v:rect>
                  </w:pict>
                </mc:Fallback>
              </mc:AlternateContent>
            </w:r>
            <w:r>
              <w:rPr>
                <w:noProof/>
              </w:rPr>
              <mc:AlternateContent>
                <mc:Choice Requires="wps">
                  <w:drawing>
                    <wp:anchor distT="0" distB="0" distL="114300" distR="114300" simplePos="0" relativeHeight="251509760" behindDoc="0" locked="0" layoutInCell="1" allowOverlap="1" wp14:anchorId="3625DED5" wp14:editId="5B69AB4B">
                      <wp:simplePos x="0" y="0"/>
                      <wp:positionH relativeFrom="column">
                        <wp:posOffset>320675</wp:posOffset>
                      </wp:positionH>
                      <wp:positionV relativeFrom="paragraph">
                        <wp:posOffset>635635</wp:posOffset>
                      </wp:positionV>
                      <wp:extent cx="5242560" cy="2499360"/>
                      <wp:effectExtent l="0" t="0" r="0" b="0"/>
                      <wp:wrapNone/>
                      <wp:docPr id="1035036898" name="Прямокутник 3"/>
                      <wp:cNvGraphicFramePr/>
                      <a:graphic xmlns:a="http://schemas.openxmlformats.org/drawingml/2006/main">
                        <a:graphicData uri="http://schemas.microsoft.com/office/word/2010/wordprocessingShape">
                          <wps:wsp>
                            <wps:cNvSpPr/>
                            <wps:spPr>
                              <a:xfrm>
                                <a:off x="0" y="0"/>
                                <a:ext cx="5242560" cy="2499360"/>
                              </a:xfrm>
                              <a:prstGeom prst="rect">
                                <a:avLst/>
                              </a:prstGeom>
                              <a:solidFill>
                                <a:srgbClr val="C6E0CE"/>
                              </a:solidFill>
                            </wps:spPr>
                            <wps:txbx>
                              <w:txbxContent>
                                <w:p w14:paraId="073A405D" w14:textId="77777777" w:rsidR="009D0C1D" w:rsidRDefault="009D0C1D" w:rsidP="00D4401E">
                                  <w:pPr>
                                    <w:spacing w:after="56" w:line="316" w:lineRule="auto"/>
                                    <w:rPr>
                                      <w:rFonts w:eastAsia="+mn-ea" w:cs="+mn-cs"/>
                                      <w:kern w:val="24"/>
                                      <w:sz w:val="20"/>
                                      <w:szCs w:val="20"/>
                                    </w:rPr>
                                  </w:pPr>
                                  <w:r>
                                    <w:rPr>
                                      <w:sz w:val="20"/>
                                    </w:rPr>
                                    <w:t xml:space="preserve">Шкірні тести на антигени </w:t>
                                  </w:r>
                                  <w:r>
                                    <w:rPr>
                                      <w:i/>
                                      <w:sz w:val="20"/>
                                    </w:rPr>
                                    <w:t>Mycobacterium tuberculosis</w:t>
                                  </w:r>
                                  <w:r>
                                    <w:rPr>
                                      <w:sz w:val="20"/>
                                    </w:rPr>
                                    <w:t xml:space="preserve"> можуть застосовуватись для виявлення туберкульозної інфекції.</w:t>
                                  </w:r>
                                </w:p>
                                <w:p w14:paraId="60C3E25C" w14:textId="77777777" w:rsidR="009D0C1D" w:rsidRDefault="009D0C1D" w:rsidP="00D4401E">
                                  <w:pPr>
                                    <w:spacing w:after="98" w:line="314" w:lineRule="auto"/>
                                    <w:rPr>
                                      <w:rFonts w:eastAsia="+mn-ea" w:cs="+mn-cs"/>
                                      <w:kern w:val="24"/>
                                      <w:sz w:val="20"/>
                                      <w:szCs w:val="20"/>
                                    </w:rPr>
                                  </w:pPr>
                                  <w:r>
                                    <w:rPr>
                                      <w:i/>
                                      <w:sz w:val="20"/>
                                    </w:rPr>
                                    <w:t>(Умовна рекомендація, дуже низький рівень достовірності доказів)</w:t>
                                  </w:r>
                                </w:p>
                                <w:p w14:paraId="55CFD490" w14:textId="77777777" w:rsidR="009D0C1D" w:rsidRDefault="009D0C1D" w:rsidP="00D4401E">
                                  <w:pPr>
                                    <w:spacing w:after="56" w:line="312" w:lineRule="auto"/>
                                    <w:rPr>
                                      <w:rFonts w:eastAsia="+mn-ea" w:cs="+mn-cs"/>
                                      <w:kern w:val="24"/>
                                      <w:sz w:val="20"/>
                                      <w:szCs w:val="20"/>
                                    </w:rPr>
                                  </w:pPr>
                                  <w:r>
                                    <w:rPr>
                                      <w:sz w:val="20"/>
                                    </w:rPr>
                                    <w:t>Для тесту на виявлення туберкульозної інфекції можна застосовувати туберкуліновий шкірний тест або аналіз на вивільнення гамма-інтерферону.</w:t>
                                  </w:r>
                                </w:p>
                                <w:p w14:paraId="211A7CCB" w14:textId="77777777" w:rsidR="009D0C1D" w:rsidRDefault="009D0C1D" w:rsidP="00D4401E">
                                  <w:pPr>
                                    <w:spacing w:after="98" w:line="314" w:lineRule="auto"/>
                                    <w:rPr>
                                      <w:rFonts w:eastAsia="+mn-ea" w:cs="+mn-cs"/>
                                      <w:kern w:val="24"/>
                                      <w:sz w:val="20"/>
                                      <w:szCs w:val="20"/>
                                    </w:rPr>
                                  </w:pPr>
                                  <w:r>
                                    <w:rPr>
                                      <w:i/>
                                      <w:sz w:val="20"/>
                                    </w:rPr>
                                    <w:t>(Сильна рекомендація, дуже низький рівень достовірності доказів)</w:t>
                                  </w:r>
                                </w:p>
                                <w:p w14:paraId="1032417B" w14:textId="77777777" w:rsidR="009D0C1D" w:rsidRDefault="009D0C1D" w:rsidP="00D4401E">
                                  <w:pPr>
                                    <w:spacing w:after="56" w:line="314" w:lineRule="auto"/>
                                    <w:rPr>
                                      <w:rFonts w:eastAsia="+mn-ea" w:cs="+mn-cs"/>
                                      <w:kern w:val="24"/>
                                      <w:sz w:val="20"/>
                                      <w:szCs w:val="20"/>
                                    </w:rPr>
                                  </w:pPr>
                                  <w:r>
                                    <w:rPr>
                                      <w:sz w:val="20"/>
                                    </w:rPr>
                                    <w:t>Примітка:</w:t>
                                  </w:r>
                                </w:p>
                                <w:p w14:paraId="7306B4F7" w14:textId="595D3D09" w:rsidR="009D0C1D" w:rsidRDefault="009D0C1D" w:rsidP="00D4401E">
                                  <w:pPr>
                                    <w:spacing w:line="314" w:lineRule="auto"/>
                                    <w:ind w:left="403" w:hanging="403"/>
                                    <w:rPr>
                                      <w:rFonts w:eastAsia="+mn-ea" w:cs="+mn-cs"/>
                                      <w:color w:val="019648"/>
                                      <w:kern w:val="24"/>
                                      <w:sz w:val="20"/>
                                      <w:szCs w:val="20"/>
                                    </w:rPr>
                                  </w:pPr>
                                  <w:r>
                                    <w:rPr>
                                      <w:rFonts w:ascii="Wingdings" w:hAnsi="Wingdings"/>
                                      <w:color w:val="019648"/>
                                    </w:rPr>
                                    <w:t></w:t>
                                  </w:r>
                                  <w:r>
                                    <w:tab/>
                                  </w:r>
                                  <w:r>
                                    <w:rPr>
                                      <w:sz w:val="20"/>
                                    </w:rPr>
                                    <w:t>Тестування на виявлення туберкульозної інфекції не є обов’язковою умовою для початку ПЛТ у дітей у віці до 5 років, які є побутовими контактами осіб з активною формою ТБ. Проте тестування на виявлення туберкульозної інфекції підвищує впевненість у тому, що люди отримають користь від ПЛТ.</w:t>
                                  </w:r>
                                </w:p>
                              </w:txbxContent>
                            </wps:txbx>
                            <wps:bodyPr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625DED5" id="_x0000_s1132" style="position:absolute;margin-left:25.25pt;margin-top:50.05pt;width:412.8pt;height:196.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" fillcolor="#c6e0ce" stroked="f">
                      <v:textbox inset="0,0,0,0">
                        <w:txbxContent>
                          <w:p w14:paraId="073A405D" w14:textId="77777777" w:rsidR="009D0C1D" w:rsidRDefault="009D0C1D" w:rsidP="00D4401E">
                            <w:pPr>
                              <w:spacing w:after="56" w:line="316" w:lineRule="auto"/>
                              <w:rPr>
                                <w:rFonts w:eastAsia="+mn-ea" w:cs="+mn-cs"/>
                                <w:kern w:val="24"/>
                                <w:sz w:val="20"/>
                                <w:szCs w:val="20"/>
                              </w:rPr>
                            </w:pPr>
                            <w:r>
                              <w:rPr>
                                <w:sz w:val="20"/>
                              </w:rPr>
                              <w:t xml:space="preserve">Шкірні тести на антигени </w:t>
                            </w:r>
                            <w:r>
                              <w:rPr>
                                <w:i/>
                                <w:sz w:val="20"/>
                              </w:rPr>
                              <w:t>Mycobacterium tuberculosis</w:t>
                            </w:r>
                            <w:r>
                              <w:rPr>
                                <w:sz w:val="20"/>
                              </w:rPr>
                              <w:t xml:space="preserve"> можуть застосовуватись для виявлення туберкульозної інфекції.</w:t>
                            </w:r>
                          </w:p>
                          <w:p w14:paraId="60C3E25C" w14:textId="77777777" w:rsidR="009D0C1D" w:rsidRDefault="009D0C1D" w:rsidP="00D4401E">
                            <w:pPr>
                              <w:spacing w:after="98" w:line="314" w:lineRule="auto"/>
                              <w:rPr>
                                <w:rFonts w:eastAsia="+mn-ea" w:cs="+mn-cs"/>
                                <w:kern w:val="24"/>
                                <w:sz w:val="20"/>
                                <w:szCs w:val="20"/>
                              </w:rPr>
                            </w:pPr>
                            <w:r>
                              <w:rPr>
                                <w:i/>
                                <w:sz w:val="20"/>
                              </w:rPr>
                              <w:t>(Умовна рекомендація, дуже низький рівень достовірності доказів)</w:t>
                            </w:r>
                          </w:p>
                          <w:p w14:paraId="55CFD490" w14:textId="77777777" w:rsidR="009D0C1D" w:rsidRDefault="009D0C1D" w:rsidP="00D4401E">
                            <w:pPr>
                              <w:spacing w:after="56" w:line="312" w:lineRule="auto"/>
                              <w:rPr>
                                <w:rFonts w:eastAsia="+mn-ea" w:cs="+mn-cs"/>
                                <w:kern w:val="24"/>
                                <w:sz w:val="20"/>
                                <w:szCs w:val="20"/>
                              </w:rPr>
                            </w:pPr>
                            <w:r>
                              <w:rPr>
                                <w:sz w:val="20"/>
                              </w:rPr>
                              <w:t>Для тесту на виявлення туберкульозної інфекції можна застосовувати туберкуліновий шкірний тест або аналіз на вивільнення гамма-інтерферону.</w:t>
                            </w:r>
                          </w:p>
                          <w:p w14:paraId="211A7CCB" w14:textId="77777777" w:rsidR="009D0C1D" w:rsidRDefault="009D0C1D" w:rsidP="00D4401E">
                            <w:pPr>
                              <w:spacing w:after="98" w:line="314" w:lineRule="auto"/>
                              <w:rPr>
                                <w:rFonts w:eastAsia="+mn-ea" w:cs="+mn-cs"/>
                                <w:kern w:val="24"/>
                                <w:sz w:val="20"/>
                                <w:szCs w:val="20"/>
                              </w:rPr>
                            </w:pPr>
                            <w:r>
                              <w:rPr>
                                <w:i/>
                                <w:sz w:val="20"/>
                              </w:rPr>
                              <w:t>(Сильна рекомендація, дуже низький рівень достовірності доказів)</w:t>
                            </w:r>
                          </w:p>
                          <w:p w14:paraId="1032417B" w14:textId="77777777" w:rsidR="009D0C1D" w:rsidRDefault="009D0C1D" w:rsidP="00D4401E">
                            <w:pPr>
                              <w:spacing w:after="56" w:line="314" w:lineRule="auto"/>
                              <w:rPr>
                                <w:rFonts w:eastAsia="+mn-ea" w:cs="+mn-cs"/>
                                <w:kern w:val="24"/>
                                <w:sz w:val="20"/>
                                <w:szCs w:val="20"/>
                              </w:rPr>
                            </w:pPr>
                            <w:r>
                              <w:rPr>
                                <w:sz w:val="20"/>
                              </w:rPr>
                              <w:t>Примітка:</w:t>
                            </w:r>
                          </w:p>
                          <w:p w14:paraId="7306B4F7" w14:textId="595D3D09" w:rsidR="009D0C1D" w:rsidRDefault="009D0C1D" w:rsidP="00D4401E">
                            <w:pPr>
                              <w:spacing w:line="314" w:lineRule="auto"/>
                              <w:ind w:left="403" w:hanging="403"/>
                              <w:rPr>
                                <w:rFonts w:eastAsia="+mn-ea" w:cs="+mn-cs"/>
                                <w:color w:val="019648"/>
                                <w:kern w:val="24"/>
                                <w:sz w:val="20"/>
                                <w:szCs w:val="20"/>
                              </w:rPr>
                            </w:pPr>
                            <w:r>
                              <w:rPr>
                                <w:rFonts w:ascii="Wingdings" w:hAnsi="Wingdings"/>
                                <w:color w:val="019648"/>
                              </w:rPr>
                              <w:t></w:t>
                            </w:r>
                            <w:r>
                              <w:tab/>
                            </w:r>
                            <w:r>
                              <w:rPr>
                                <w:sz w:val="20"/>
                              </w:rPr>
                              <w:t>Тестування на виявлення туберкульозної інфекції не є обов’язковою умовою для початку ПЛТ у дітей у віці до 5 років, які є побутовими контактами осіб з активною формою ТБ. Проте тестування на виявлення туберкульозної інфекції підвищує впевненість у тому, що люди отримають користь від ПЛТ.</w:t>
                            </w:r>
                          </w:p>
                        </w:txbxContent>
                      </v:textbox>
                    </v:rect>
                  </w:pict>
                </mc:Fallback>
              </mc:AlternateContent>
            </w:r>
            <w:r>
              <w:rPr>
                <w:noProof/>
              </w:rPr>
              <w:drawing>
                <wp:inline distT="0" distB="0" distL="0" distR="0" wp14:anchorId="6D42FDCD" wp14:editId="7E445A6D">
                  <wp:extent cx="5782310" cy="364553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6"/>
                          <a:stretch/>
                        </pic:blipFill>
                        <pic:spPr>
                          <a:xfrm>
                            <a:off x="0" y="0"/>
                            <a:ext cx="5782310" cy="3645535"/>
                          </a:xfrm>
                          <a:prstGeom prst="rect">
                            <a:avLst/>
                          </a:prstGeom>
                        </pic:spPr>
                      </pic:pic>
                    </a:graphicData>
                  </a:graphic>
                </wp:inline>
              </w:drawing>
            </w:r>
          </w:p>
        </w:tc>
      </w:tr>
      <w:tr w:rsidR="00366CB9" w14:paraId="3C230DC3" w14:textId="77777777" w:rsidTr="00E80D3A">
        <w:trPr>
          <w:trHeight w:hRule="exact" w:val="2618"/>
        </w:trPr>
        <w:tc>
          <w:tcPr>
            <w:tcW w:w="9106" w:type="dxa"/>
            <w:shd w:val="clear" w:color="auto" w:fill="FFFFFF"/>
          </w:tcPr>
          <w:p w14:paraId="7209236F" w14:textId="5253DCA4" w:rsidR="00366CB9" w:rsidRDefault="009D0C1D" w:rsidP="001F35DC">
            <w:pPr>
              <w:pStyle w:val="a6"/>
              <w:shd w:val="clear" w:color="auto" w:fill="auto"/>
              <w:spacing w:after="200"/>
            </w:pPr>
            <w:bookmarkStart w:id="66" w:name="bookmark63"/>
            <w:r>
              <w:rPr>
                <w:b w:val="0"/>
                <w:color w:val="019648"/>
              </w:rPr>
              <w:t>2.6.1 Каскадна допомога проти туберкульозної інфекції</w:t>
            </w:r>
            <w:bookmarkEnd w:id="66"/>
          </w:p>
          <w:p w14:paraId="63A1400D" w14:textId="08E26F21" w:rsidR="00366CB9" w:rsidRDefault="009D0C1D" w:rsidP="001F35DC">
            <w:pPr>
              <w:pStyle w:val="a6"/>
              <w:shd w:val="clear" w:color="auto" w:fill="auto"/>
              <w:spacing w:line="324" w:lineRule="auto"/>
              <w:jc w:val="both"/>
              <w:rPr>
                <w:sz w:val="20"/>
                <w:szCs w:val="20"/>
              </w:rPr>
            </w:pPr>
            <w:r w:rsidRPr="00E80D3A">
              <w:rPr>
                <w:b w:val="0"/>
                <w:color w:val="000000"/>
                <w:sz w:val="18"/>
                <w:szCs w:val="24"/>
              </w:rPr>
              <w:t>Визначення, тестування, оцінка та лікування осіб з туберкульозною інфекцією є багатоетапним процесом, що має назву «каскадна допомога проти туберкульозної інфекції» (</w:t>
            </w:r>
            <w:hyperlink w:anchor="bookmark197" w:tooltip="Поточний документ">
              <w:r w:rsidR="00366CB9" w:rsidRPr="00E80D3A">
                <w:rPr>
                  <w:b w:val="0"/>
                  <w:color w:val="000000"/>
                  <w:sz w:val="18"/>
                  <w:szCs w:val="24"/>
                </w:rPr>
                <w:t>40</w:t>
              </w:r>
            </w:hyperlink>
            <w:r w:rsidRPr="00E80D3A">
              <w:rPr>
                <w:b w:val="0"/>
                <w:color w:val="000000"/>
                <w:sz w:val="18"/>
                <w:szCs w:val="24"/>
              </w:rPr>
              <w:t>). Систематичний огляд продемонстрував, курс лікування завершило менше 20 % осіб, які брали участь у ПЛТ, внаслідок втрат (</w:t>
            </w:r>
            <w:hyperlink w:anchor="bookmark197" w:tooltip="Поточний документ">
              <w:r w:rsidR="00366CB9" w:rsidRPr="00E80D3A">
                <w:rPr>
                  <w:b w:val="0"/>
                  <w:color w:val="000000"/>
                  <w:sz w:val="18"/>
                  <w:szCs w:val="24"/>
                </w:rPr>
                <w:t>40</w:t>
              </w:r>
            </w:hyperlink>
            <w:r w:rsidRPr="00E80D3A">
              <w:rPr>
                <w:b w:val="0"/>
                <w:color w:val="000000"/>
                <w:sz w:val="18"/>
                <w:szCs w:val="24"/>
              </w:rPr>
              <w:t xml:space="preserve">). У польових умовах 70-80 % втрат спостерігалось до початку ПЛТ. Різні практичні та програмні проблеми обмежують доступ до тестування на виявлення туберкульозної інфекції. Необхідно враховувати вплив цих проблем на каскадну допомогу на місцевому рівні, а також вживати заходів для вирішення визначених проблем. Спрощений чотириетапний процес представлено на </w:t>
            </w:r>
            <w:hyperlink w:anchor="bookmark64" w:tooltip="Поточний документ">
              <w:r w:rsidR="00366CB9" w:rsidRPr="00E80D3A">
                <w:rPr>
                  <w:color w:val="000000"/>
                  <w:sz w:val="18"/>
                  <w:szCs w:val="24"/>
                </w:rPr>
                <w:t>рис. 2.3</w:t>
              </w:r>
            </w:hyperlink>
            <w:r w:rsidRPr="00E80D3A">
              <w:rPr>
                <w:b w:val="0"/>
                <w:color w:val="000000"/>
                <w:sz w:val="18"/>
                <w:szCs w:val="24"/>
              </w:rPr>
              <w:t>.</w:t>
            </w:r>
          </w:p>
        </w:tc>
      </w:tr>
    </w:tbl>
    <w:p w14:paraId="27D3BFEB" w14:textId="06EDDE2D" w:rsidR="00366CB9" w:rsidRDefault="00366CB9" w:rsidP="00425523">
      <w:pPr>
        <w:spacing w:line="1" w:lineRule="exact"/>
        <w:sectPr w:rsidR="00366CB9" w:rsidSect="00F03360">
          <w:footerReference w:type="even" r:id="rId87"/>
          <w:type w:val="nextColumn"/>
          <w:pgSz w:w="11913" w:h="16840"/>
          <w:pgMar w:top="1469" w:right="1378" w:bottom="851" w:left="1372" w:header="0" w:footer="6" w:gutter="0"/>
          <w:paperSrc w:first="15" w:other="15"/>
          <w:cols w:space="720"/>
          <w:noEndnote/>
          <w:docGrid w:linePitch="360"/>
        </w:sectPr>
      </w:pPr>
    </w:p>
    <w:p w14:paraId="01765831"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3283"/>
        <w:gridCol w:w="5822"/>
      </w:tblGrid>
      <w:tr w:rsidR="00366CB9" w14:paraId="170CF62B" w14:textId="77777777">
        <w:trPr>
          <w:trHeight w:hRule="exact" w:val="600"/>
        </w:trPr>
        <w:tc>
          <w:tcPr>
            <w:tcW w:w="9105" w:type="dxa"/>
            <w:gridSpan w:val="2"/>
            <w:shd w:val="clear" w:color="auto" w:fill="FFFFFF"/>
          </w:tcPr>
          <w:p w14:paraId="3421FDA8" w14:textId="77777777" w:rsidR="00366CB9" w:rsidRPr="00785005" w:rsidRDefault="009D0C1D" w:rsidP="001F35DC">
            <w:pPr>
              <w:pStyle w:val="a6"/>
              <w:shd w:val="clear" w:color="auto" w:fill="auto"/>
              <w:rPr>
                <w:sz w:val="24"/>
                <w:szCs w:val="24"/>
              </w:rPr>
            </w:pPr>
            <w:bookmarkStart w:id="67" w:name="bookmark64"/>
            <w:r>
              <w:rPr>
                <w:color w:val="636466"/>
                <w:sz w:val="24"/>
              </w:rPr>
              <w:t>Рис. 2.3. Спрощена чотириетапна людиноцентрична каскадна допомога проти туберкульозної інфекції</w:t>
            </w:r>
            <w:bookmarkEnd w:id="67"/>
          </w:p>
        </w:tc>
      </w:tr>
      <w:tr w:rsidR="00366CB9" w14:paraId="41E3F23E" w14:textId="77777777" w:rsidTr="008F64D5">
        <w:trPr>
          <w:trHeight w:hRule="exact" w:val="1814"/>
        </w:trPr>
        <w:tc>
          <w:tcPr>
            <w:tcW w:w="3283" w:type="dxa"/>
            <w:vMerge w:val="restart"/>
            <w:shd w:val="clear" w:color="auto" w:fill="FFFFFF"/>
          </w:tcPr>
          <w:p w14:paraId="674C9052" w14:textId="7B63EE7D" w:rsidR="00366CB9" w:rsidRDefault="008F64D5" w:rsidP="001F35DC">
            <w:pPr>
              <w:rPr>
                <w:sz w:val="2"/>
                <w:szCs w:val="2"/>
              </w:rPr>
            </w:pPr>
            <w:r>
              <w:rPr>
                <w:noProof/>
              </w:rPr>
              <mc:AlternateContent>
                <mc:Choice Requires="wps">
                  <w:drawing>
                    <wp:anchor distT="0" distB="0" distL="114300" distR="114300" simplePos="0" relativeHeight="251513856" behindDoc="0" locked="0" layoutInCell="1" allowOverlap="1" wp14:anchorId="44D985E3" wp14:editId="6169E878">
                      <wp:simplePos x="0" y="0"/>
                      <wp:positionH relativeFrom="column">
                        <wp:posOffset>558507</wp:posOffset>
                      </wp:positionH>
                      <wp:positionV relativeFrom="paragraph">
                        <wp:posOffset>3556488</wp:posOffset>
                      </wp:positionV>
                      <wp:extent cx="718820" cy="357554"/>
                      <wp:effectExtent l="0" t="0" r="5080" b="4445"/>
                      <wp:wrapNone/>
                      <wp:docPr id="6" name="Прямокутник 5"/>
                      <wp:cNvGraphicFramePr/>
                      <a:graphic xmlns:a="http://schemas.openxmlformats.org/drawingml/2006/main">
                        <a:graphicData uri="http://schemas.microsoft.com/office/word/2010/wordprocessingShape">
                          <wps:wsp>
                            <wps:cNvSpPr/>
                            <wps:spPr>
                              <a:xfrm>
                                <a:off x="0" y="0"/>
                                <a:ext cx="718820" cy="357554"/>
                              </a:xfrm>
                              <a:prstGeom prst="rect">
                                <a:avLst/>
                              </a:prstGeom>
                              <a:solidFill>
                                <a:srgbClr val="D1E4CE"/>
                              </a:solidFill>
                            </wps:spPr>
                            <wps:txbx>
                              <w:txbxContent>
                                <w:p w14:paraId="1BE5976F" w14:textId="77777777" w:rsidR="009D0C1D" w:rsidRPr="008F64D5" w:rsidRDefault="009D0C1D" w:rsidP="00D4401E">
                                  <w:pPr>
                                    <w:jc w:val="center"/>
                                    <w:rPr>
                                      <w:rFonts w:ascii="Century Gothic" w:eastAsia="+mn-ea" w:hAnsi="Century Gothic" w:cs="+mn-cs"/>
                                      <w:b/>
                                      <w:bCs/>
                                      <w:color w:val="343433"/>
                                      <w:kern w:val="24"/>
                                      <w:sz w:val="18"/>
                                      <w:szCs w:val="18"/>
                                    </w:rPr>
                                  </w:pPr>
                                  <w:r w:rsidRPr="008F64D5">
                                    <w:rPr>
                                      <w:rFonts w:ascii="Century Gothic" w:hAnsi="Century Gothic"/>
                                      <w:b/>
                                      <w:color w:val="343433"/>
                                      <w:sz w:val="18"/>
                                      <w:szCs w:val="22"/>
                                    </w:rPr>
                                    <w:t>Етап 4.</w:t>
                                  </w:r>
                                </w:p>
                                <w:p w14:paraId="51EF45C7" w14:textId="77777777" w:rsidR="009D0C1D" w:rsidRPr="008F64D5" w:rsidRDefault="009D0C1D" w:rsidP="00D4401E">
                                  <w:pPr>
                                    <w:jc w:val="center"/>
                                    <w:rPr>
                                      <w:rFonts w:ascii="Century Gothic" w:eastAsia="+mn-ea" w:hAnsi="Century Gothic" w:cs="+mn-cs"/>
                                      <w:b/>
                                      <w:bCs/>
                                      <w:color w:val="343433"/>
                                      <w:kern w:val="24"/>
                                      <w:sz w:val="14"/>
                                      <w:szCs w:val="14"/>
                                    </w:rPr>
                                  </w:pPr>
                                  <w:r w:rsidRPr="008F64D5">
                                    <w:rPr>
                                      <w:rFonts w:ascii="Century Gothic" w:hAnsi="Century Gothic"/>
                                      <w:b/>
                                      <w:color w:val="343433"/>
                                      <w:sz w:val="14"/>
                                      <w:szCs w:val="22"/>
                                    </w:rPr>
                                    <w:t>Завершити ПЛТ</w:t>
                                  </w:r>
                                </w:p>
                              </w:txbxContent>
                            </wps:txbx>
                            <wps:bodyPr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4D985E3" id="Прямокутник 5" o:spid="_x0000_s1133" style="position:absolute;margin-left:44pt;margin-top:280.05pt;width:56.6pt;height:28.1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" fillcolor="#d1e4ce" stroked="f">
                      <v:textbox inset="0,0,0,0">
                        <w:txbxContent>
                          <w:p w14:paraId="1BE5976F" w14:textId="77777777" w:rsidR="009D0C1D" w:rsidRPr="008F64D5" w:rsidRDefault="009D0C1D" w:rsidP="00D4401E">
                            <w:pPr>
                              <w:jc w:val="center"/>
                              <w:rPr>
                                <w:rFonts w:ascii="Century Gothic" w:eastAsia="+mn-ea" w:hAnsi="Century Gothic" w:cs="+mn-cs"/>
                                <w:b/>
                                <w:bCs/>
                                <w:color w:val="343433"/>
                                <w:kern w:val="24"/>
                                <w:sz w:val="18"/>
                                <w:szCs w:val="18"/>
                              </w:rPr>
                            </w:pPr>
                            <w:r w:rsidRPr="008F64D5">
                              <w:rPr>
                                <w:rFonts w:ascii="Century Gothic" w:hAnsi="Century Gothic"/>
                                <w:b/>
                                <w:color w:val="343433"/>
                                <w:sz w:val="18"/>
                                <w:szCs w:val="22"/>
                              </w:rPr>
                              <w:t>Етап 4.</w:t>
                            </w:r>
                          </w:p>
                          <w:p w14:paraId="51EF45C7" w14:textId="77777777" w:rsidR="009D0C1D" w:rsidRPr="008F64D5" w:rsidRDefault="009D0C1D" w:rsidP="00D4401E">
                            <w:pPr>
                              <w:jc w:val="center"/>
                              <w:rPr>
                                <w:rFonts w:ascii="Century Gothic" w:eastAsia="+mn-ea" w:hAnsi="Century Gothic" w:cs="+mn-cs"/>
                                <w:b/>
                                <w:bCs/>
                                <w:color w:val="343433"/>
                                <w:kern w:val="24"/>
                                <w:sz w:val="14"/>
                                <w:szCs w:val="14"/>
                              </w:rPr>
                            </w:pPr>
                            <w:r w:rsidRPr="008F64D5">
                              <w:rPr>
                                <w:rFonts w:ascii="Century Gothic" w:hAnsi="Century Gothic"/>
                                <w:b/>
                                <w:color w:val="343433"/>
                                <w:sz w:val="14"/>
                                <w:szCs w:val="22"/>
                              </w:rPr>
                              <w:t>Завершити ПЛТ</w:t>
                            </w:r>
                          </w:p>
                        </w:txbxContent>
                      </v:textbox>
                    </v:rect>
                  </w:pict>
                </mc:Fallback>
              </mc:AlternateContent>
            </w:r>
            <w:r>
              <w:rPr>
                <w:noProof/>
              </w:rPr>
              <mc:AlternateContent>
                <mc:Choice Requires="wps">
                  <w:drawing>
                    <wp:anchor distT="0" distB="0" distL="114300" distR="114300" simplePos="0" relativeHeight="251512832" behindDoc="0" locked="0" layoutInCell="1" allowOverlap="1" wp14:anchorId="374393B1" wp14:editId="794B6C6B">
                      <wp:simplePos x="0" y="0"/>
                      <wp:positionH relativeFrom="column">
                        <wp:posOffset>400245</wp:posOffset>
                      </wp:positionH>
                      <wp:positionV relativeFrom="paragraph">
                        <wp:posOffset>2483826</wp:posOffset>
                      </wp:positionV>
                      <wp:extent cx="1038860" cy="392723"/>
                      <wp:effectExtent l="0" t="0" r="8890" b="7620"/>
                      <wp:wrapNone/>
                      <wp:docPr id="786041811" name="Прямокутник 4"/>
                      <wp:cNvGraphicFramePr/>
                      <a:graphic xmlns:a="http://schemas.openxmlformats.org/drawingml/2006/main">
                        <a:graphicData uri="http://schemas.microsoft.com/office/word/2010/wordprocessingShape">
                          <wps:wsp>
                            <wps:cNvSpPr/>
                            <wps:spPr>
                              <a:xfrm>
                                <a:off x="0" y="0"/>
                                <a:ext cx="1038860" cy="392723"/>
                              </a:xfrm>
                              <a:prstGeom prst="rect">
                                <a:avLst/>
                              </a:prstGeom>
                              <a:solidFill>
                                <a:srgbClr val="B4D4AB"/>
                              </a:solidFill>
                            </wps:spPr>
                            <wps:txbx>
                              <w:txbxContent>
                                <w:p w14:paraId="395E4507" w14:textId="77777777" w:rsidR="009D0C1D" w:rsidRPr="008F64D5" w:rsidRDefault="009D0C1D" w:rsidP="00D4401E">
                                  <w:pPr>
                                    <w:spacing w:line="208" w:lineRule="auto"/>
                                    <w:jc w:val="center"/>
                                    <w:rPr>
                                      <w:rFonts w:ascii="Century Gothic" w:eastAsia="+mn-ea" w:hAnsi="Century Gothic" w:cs="+mn-cs"/>
                                      <w:b/>
                                      <w:bCs/>
                                      <w:color w:val="343433"/>
                                      <w:kern w:val="24"/>
                                      <w:sz w:val="18"/>
                                      <w:szCs w:val="18"/>
                                    </w:rPr>
                                  </w:pPr>
                                  <w:r w:rsidRPr="008F64D5">
                                    <w:rPr>
                                      <w:rFonts w:ascii="Century Gothic" w:hAnsi="Century Gothic"/>
                                      <w:b/>
                                      <w:color w:val="343433"/>
                                      <w:sz w:val="18"/>
                                      <w:szCs w:val="22"/>
                                    </w:rPr>
                                    <w:t xml:space="preserve">Етап 3: </w:t>
                                  </w:r>
                                  <w:r w:rsidRPr="008F64D5">
                                    <w:rPr>
                                      <w:rFonts w:ascii="Century Gothic" w:hAnsi="Century Gothic"/>
                                      <w:b/>
                                      <w:color w:val="343433"/>
                                      <w:sz w:val="14"/>
                                      <w:szCs w:val="22"/>
                                    </w:rPr>
                                    <w:t>Проводити спостереження під час ПЛТ</w:t>
                                  </w:r>
                                </w:p>
                              </w:txbxContent>
                            </wps:txbx>
                            <wps:bodyPr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74393B1" id="_x0000_s1134" style="position:absolute;margin-left:31.5pt;margin-top:195.6pt;width:81.8pt;height:30.9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" fillcolor="#b4d4ab" stroked="f">
                      <v:textbox inset="0,0,0,0">
                        <w:txbxContent>
                          <w:p w14:paraId="395E4507" w14:textId="77777777" w:rsidR="009D0C1D" w:rsidRPr="008F64D5" w:rsidRDefault="009D0C1D" w:rsidP="00D4401E">
                            <w:pPr>
                              <w:spacing w:line="208" w:lineRule="auto"/>
                              <w:jc w:val="center"/>
                              <w:rPr>
                                <w:rFonts w:ascii="Century Gothic" w:eastAsia="+mn-ea" w:hAnsi="Century Gothic" w:cs="+mn-cs"/>
                                <w:b/>
                                <w:bCs/>
                                <w:color w:val="343433"/>
                                <w:kern w:val="24"/>
                                <w:sz w:val="18"/>
                                <w:szCs w:val="18"/>
                              </w:rPr>
                            </w:pPr>
                            <w:r w:rsidRPr="008F64D5">
                              <w:rPr>
                                <w:rFonts w:ascii="Century Gothic" w:hAnsi="Century Gothic"/>
                                <w:b/>
                                <w:color w:val="343433"/>
                                <w:sz w:val="18"/>
                                <w:szCs w:val="22"/>
                              </w:rPr>
                              <w:t xml:space="preserve">Етап 3: </w:t>
                            </w:r>
                            <w:r w:rsidRPr="008F64D5">
                              <w:rPr>
                                <w:rFonts w:ascii="Century Gothic" w:hAnsi="Century Gothic"/>
                                <w:b/>
                                <w:color w:val="343433"/>
                                <w:sz w:val="14"/>
                                <w:szCs w:val="22"/>
                              </w:rPr>
                              <w:t>Проводити спостереження під час ПЛТ</w:t>
                            </w:r>
                          </w:p>
                        </w:txbxContent>
                      </v:textbox>
                    </v:rect>
                  </w:pict>
                </mc:Fallback>
              </mc:AlternateContent>
            </w:r>
            <w:r>
              <w:rPr>
                <w:noProof/>
              </w:rPr>
              <mc:AlternateContent>
                <mc:Choice Requires="wps">
                  <w:drawing>
                    <wp:anchor distT="0" distB="0" distL="114300" distR="114300" simplePos="0" relativeHeight="251511808" behindDoc="0" locked="0" layoutInCell="1" allowOverlap="1" wp14:anchorId="47D1DC98" wp14:editId="235DBB19">
                      <wp:simplePos x="0" y="0"/>
                      <wp:positionH relativeFrom="column">
                        <wp:posOffset>189230</wp:posOffset>
                      </wp:positionH>
                      <wp:positionV relativeFrom="paragraph">
                        <wp:posOffset>1199857</wp:posOffset>
                      </wp:positionV>
                      <wp:extent cx="1487170" cy="697523"/>
                      <wp:effectExtent l="0" t="0" r="0" b="7620"/>
                      <wp:wrapNone/>
                      <wp:docPr id="791806250" name="Прямокутник 3"/>
                      <wp:cNvGraphicFramePr/>
                      <a:graphic xmlns:a="http://schemas.openxmlformats.org/drawingml/2006/main">
                        <a:graphicData uri="http://schemas.microsoft.com/office/word/2010/wordprocessingShape">
                          <wps:wsp>
                            <wps:cNvSpPr/>
                            <wps:spPr>
                              <a:xfrm>
                                <a:off x="0" y="0"/>
                                <a:ext cx="1487170" cy="697523"/>
                              </a:xfrm>
                              <a:prstGeom prst="rect">
                                <a:avLst/>
                              </a:prstGeom>
                              <a:solidFill>
                                <a:srgbClr val="98C593"/>
                              </a:solidFill>
                            </wps:spPr>
                            <wps:txbx>
                              <w:txbxContent>
                                <w:p w14:paraId="37B22CD4" w14:textId="77777777" w:rsidR="009D0C1D" w:rsidRPr="008F64D5" w:rsidRDefault="009D0C1D" w:rsidP="00D4401E">
                                  <w:pPr>
                                    <w:spacing w:line="192" w:lineRule="auto"/>
                                    <w:jc w:val="center"/>
                                    <w:rPr>
                                      <w:rFonts w:ascii="Century Gothic" w:eastAsia="+mn-ea" w:hAnsi="Century Gothic" w:cs="+mn-cs"/>
                                      <w:b/>
                                      <w:bCs/>
                                      <w:color w:val="343433"/>
                                      <w:kern w:val="24"/>
                                      <w:sz w:val="18"/>
                                      <w:szCs w:val="18"/>
                                    </w:rPr>
                                  </w:pPr>
                                  <w:r w:rsidRPr="008F64D5">
                                    <w:rPr>
                                      <w:rFonts w:ascii="Century Gothic" w:hAnsi="Century Gothic"/>
                                      <w:b/>
                                      <w:color w:val="343433"/>
                                      <w:sz w:val="18"/>
                                      <w:szCs w:val="22"/>
                                    </w:rPr>
                                    <w:t>Етап 2:</w:t>
                                  </w:r>
                                </w:p>
                                <w:p w14:paraId="496E9A08" w14:textId="77777777" w:rsidR="009D0C1D" w:rsidRPr="008F64D5" w:rsidRDefault="009D0C1D" w:rsidP="00D4401E">
                                  <w:pPr>
                                    <w:jc w:val="center"/>
                                    <w:rPr>
                                      <w:rFonts w:ascii="Century Gothic" w:eastAsia="+mn-ea" w:hAnsi="Century Gothic" w:cs="+mn-cs"/>
                                      <w:b/>
                                      <w:bCs/>
                                      <w:color w:val="343433"/>
                                      <w:kern w:val="24"/>
                                      <w:sz w:val="14"/>
                                      <w:szCs w:val="14"/>
                                    </w:rPr>
                                  </w:pPr>
                                  <w:r w:rsidRPr="008F64D5">
                                    <w:rPr>
                                      <w:rFonts w:ascii="Century Gothic" w:hAnsi="Century Gothic"/>
                                      <w:b/>
                                      <w:color w:val="343433"/>
                                      <w:sz w:val="14"/>
                                      <w:szCs w:val="22"/>
                                    </w:rPr>
                                    <w:t>Переглянути результати тесту на виявлення туберкульозної інфекції Оцінити ТБ Порекомендувати та ініціювати ПЛТ, за необхідності</w:t>
                                  </w:r>
                                </w:p>
                              </w:txbxContent>
                            </wps:txbx>
                            <wps:bodyPr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7D1DC98" id="_x0000_s1135" style="position:absolute;margin-left:14.9pt;margin-top:94.5pt;width:117.1pt;height:54.9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" fillcolor="#98c593" stroked="f">
                      <v:textbox inset="0,0,0,0">
                        <w:txbxContent>
                          <w:p w14:paraId="37B22CD4" w14:textId="77777777" w:rsidR="009D0C1D" w:rsidRPr="008F64D5" w:rsidRDefault="009D0C1D" w:rsidP="00D4401E">
                            <w:pPr>
                              <w:spacing w:line="192" w:lineRule="auto"/>
                              <w:jc w:val="center"/>
                              <w:rPr>
                                <w:rFonts w:ascii="Century Gothic" w:eastAsia="+mn-ea" w:hAnsi="Century Gothic" w:cs="+mn-cs"/>
                                <w:b/>
                                <w:bCs/>
                                <w:color w:val="343433"/>
                                <w:kern w:val="24"/>
                                <w:sz w:val="18"/>
                                <w:szCs w:val="18"/>
                              </w:rPr>
                            </w:pPr>
                            <w:r w:rsidRPr="008F64D5">
                              <w:rPr>
                                <w:rFonts w:ascii="Century Gothic" w:hAnsi="Century Gothic"/>
                                <w:b/>
                                <w:color w:val="343433"/>
                                <w:sz w:val="18"/>
                                <w:szCs w:val="22"/>
                              </w:rPr>
                              <w:t>Етап 2:</w:t>
                            </w:r>
                          </w:p>
                          <w:p w14:paraId="496E9A08" w14:textId="77777777" w:rsidR="009D0C1D" w:rsidRPr="008F64D5" w:rsidRDefault="009D0C1D" w:rsidP="00D4401E">
                            <w:pPr>
                              <w:jc w:val="center"/>
                              <w:rPr>
                                <w:rFonts w:ascii="Century Gothic" w:eastAsia="+mn-ea" w:hAnsi="Century Gothic" w:cs="+mn-cs"/>
                                <w:b/>
                                <w:bCs/>
                                <w:color w:val="343433"/>
                                <w:kern w:val="24"/>
                                <w:sz w:val="14"/>
                                <w:szCs w:val="14"/>
                              </w:rPr>
                            </w:pPr>
                            <w:r w:rsidRPr="008F64D5">
                              <w:rPr>
                                <w:rFonts w:ascii="Century Gothic" w:hAnsi="Century Gothic"/>
                                <w:b/>
                                <w:color w:val="343433"/>
                                <w:sz w:val="14"/>
                                <w:szCs w:val="22"/>
                              </w:rPr>
                              <w:t>Переглянути результати тесту на виявлення туберкульозної інфекції Оцінити ТБ Порекомендувати та ініціювати ПЛТ, за необхідності</w:t>
                            </w:r>
                          </w:p>
                        </w:txbxContent>
                      </v:textbox>
                    </v:rect>
                  </w:pict>
                </mc:Fallback>
              </mc:AlternateContent>
            </w:r>
            <w:r w:rsidR="00D4401E">
              <w:rPr>
                <w:noProof/>
              </w:rPr>
              <mc:AlternateContent>
                <mc:Choice Requires="wps">
                  <w:drawing>
                    <wp:anchor distT="0" distB="0" distL="114300" distR="114300" simplePos="0" relativeHeight="251510784" behindDoc="0" locked="0" layoutInCell="1" allowOverlap="1" wp14:anchorId="3E681061" wp14:editId="60C87551">
                      <wp:simplePos x="0" y="0"/>
                      <wp:positionH relativeFrom="column">
                        <wp:posOffset>74930</wp:posOffset>
                      </wp:positionH>
                      <wp:positionV relativeFrom="paragraph">
                        <wp:posOffset>102577</wp:posOffset>
                      </wp:positionV>
                      <wp:extent cx="1688465" cy="714375"/>
                      <wp:effectExtent l="0" t="0" r="6985" b="9525"/>
                      <wp:wrapNone/>
                      <wp:docPr id="1229696027" name="Прямокутник 2"/>
                      <wp:cNvGraphicFramePr/>
                      <a:graphic xmlns:a="http://schemas.openxmlformats.org/drawingml/2006/main">
                        <a:graphicData uri="http://schemas.microsoft.com/office/word/2010/wordprocessingShape">
                          <wps:wsp>
                            <wps:cNvSpPr/>
                            <wps:spPr>
                              <a:xfrm>
                                <a:off x="0" y="0"/>
                                <a:ext cx="1688465" cy="714375"/>
                              </a:xfrm>
                              <a:prstGeom prst="rect">
                                <a:avLst/>
                              </a:prstGeom>
                              <a:solidFill>
                                <a:srgbClr val="009744"/>
                              </a:solidFill>
                              <a:ln>
                                <a:noFill/>
                              </a:ln>
                            </wps:spPr>
                            <wps:txbx>
                              <w:txbxContent>
                                <w:p w14:paraId="24EEFBCA" w14:textId="77777777" w:rsidR="009D0C1D" w:rsidRPr="008F64D5" w:rsidRDefault="009D0C1D" w:rsidP="00D4401E">
                                  <w:pPr>
                                    <w:spacing w:line="192" w:lineRule="auto"/>
                                    <w:jc w:val="center"/>
                                    <w:rPr>
                                      <w:rFonts w:ascii="Century Gothic" w:eastAsia="+mn-ea" w:hAnsi="Century Gothic" w:cs="+mn-cs"/>
                                      <w:b/>
                                      <w:bCs/>
                                      <w:color w:val="FFFFFF"/>
                                      <w:kern w:val="24"/>
                                      <w:sz w:val="18"/>
                                      <w:szCs w:val="18"/>
                                    </w:rPr>
                                  </w:pPr>
                                  <w:r w:rsidRPr="008F64D5">
                                    <w:rPr>
                                      <w:rFonts w:ascii="Century Gothic" w:hAnsi="Century Gothic"/>
                                      <w:b/>
                                      <w:color w:val="FFFFFF"/>
                                      <w:sz w:val="18"/>
                                      <w:szCs w:val="22"/>
                                    </w:rPr>
                                    <w:t>Етап 1:</w:t>
                                  </w:r>
                                </w:p>
                                <w:p w14:paraId="7F3E336E" w14:textId="77777777" w:rsidR="009D0C1D" w:rsidRPr="008F64D5" w:rsidRDefault="009D0C1D" w:rsidP="00D4401E">
                                  <w:pPr>
                                    <w:jc w:val="center"/>
                                    <w:rPr>
                                      <w:rFonts w:ascii="Century Gothic" w:eastAsia="+mn-ea" w:hAnsi="Century Gothic" w:cs="+mn-cs"/>
                                      <w:b/>
                                      <w:bCs/>
                                      <w:color w:val="FFFFFF"/>
                                      <w:kern w:val="24"/>
                                      <w:sz w:val="14"/>
                                      <w:szCs w:val="14"/>
                                    </w:rPr>
                                  </w:pPr>
                                  <w:r w:rsidRPr="008F64D5">
                                    <w:rPr>
                                      <w:rFonts w:ascii="Century Gothic" w:hAnsi="Century Gothic"/>
                                      <w:b/>
                                      <w:color w:val="FFFFFF"/>
                                      <w:sz w:val="14"/>
                                      <w:szCs w:val="22"/>
                                    </w:rPr>
                                    <w:t>Визначити цільові популяції для ПЛТ Провести скринінг на ТБ та обстеження на ТБ Ініціювати тестування на виявлення туберкульозної інфекції</w:t>
                                  </w:r>
                                </w:p>
                              </w:txbxContent>
                            </wps:txbx>
                            <wps:bodyPr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E681061" id="_x0000_s1136" style="position:absolute;margin-left:5.9pt;margin-top:8.1pt;width:132.95pt;height:56.2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" fillcolor="#009744" stroked="f">
                      <v:textbox inset="0,0,0,0">
                        <w:txbxContent>
                          <w:p w14:paraId="24EEFBCA" w14:textId="77777777" w:rsidR="009D0C1D" w:rsidRPr="008F64D5" w:rsidRDefault="009D0C1D" w:rsidP="00D4401E">
                            <w:pPr>
                              <w:spacing w:line="192" w:lineRule="auto"/>
                              <w:jc w:val="center"/>
                              <w:rPr>
                                <w:rFonts w:ascii="Century Gothic" w:eastAsia="+mn-ea" w:hAnsi="Century Gothic" w:cs="+mn-cs"/>
                                <w:b/>
                                <w:bCs/>
                                <w:color w:val="FFFFFF"/>
                                <w:kern w:val="24"/>
                                <w:sz w:val="18"/>
                                <w:szCs w:val="18"/>
                              </w:rPr>
                            </w:pPr>
                            <w:r w:rsidRPr="008F64D5">
                              <w:rPr>
                                <w:rFonts w:ascii="Century Gothic" w:hAnsi="Century Gothic"/>
                                <w:b/>
                                <w:color w:val="FFFFFF"/>
                                <w:sz w:val="18"/>
                                <w:szCs w:val="22"/>
                              </w:rPr>
                              <w:t>Етап 1:</w:t>
                            </w:r>
                          </w:p>
                          <w:p w14:paraId="7F3E336E" w14:textId="77777777" w:rsidR="009D0C1D" w:rsidRPr="008F64D5" w:rsidRDefault="009D0C1D" w:rsidP="00D4401E">
                            <w:pPr>
                              <w:jc w:val="center"/>
                              <w:rPr>
                                <w:rFonts w:ascii="Century Gothic" w:eastAsia="+mn-ea" w:hAnsi="Century Gothic" w:cs="+mn-cs"/>
                                <w:b/>
                                <w:bCs/>
                                <w:color w:val="FFFFFF"/>
                                <w:kern w:val="24"/>
                                <w:sz w:val="14"/>
                                <w:szCs w:val="14"/>
                              </w:rPr>
                            </w:pPr>
                            <w:r w:rsidRPr="008F64D5">
                              <w:rPr>
                                <w:rFonts w:ascii="Century Gothic" w:hAnsi="Century Gothic"/>
                                <w:b/>
                                <w:color w:val="FFFFFF"/>
                                <w:sz w:val="14"/>
                                <w:szCs w:val="22"/>
                              </w:rPr>
                              <w:t>Визначити цільові популяції для ПЛТ Провести скринінг на ТБ та обстеження на ТБ Ініціювати тестування на виявлення туберкульозної інфекції</w:t>
                            </w:r>
                          </w:p>
                        </w:txbxContent>
                      </v:textbox>
                    </v:rect>
                  </w:pict>
                </mc:Fallback>
              </mc:AlternateContent>
            </w:r>
            <w:r w:rsidR="00D4401E">
              <w:rPr>
                <w:noProof/>
              </w:rPr>
              <w:drawing>
                <wp:inline distT="0" distB="0" distL="0" distR="0" wp14:anchorId="74536E4A" wp14:editId="3A5DCA91">
                  <wp:extent cx="2057400" cy="4285076"/>
                  <wp:effectExtent l="0" t="0" r="0" b="127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8"/>
                          <a:stretch/>
                        </pic:blipFill>
                        <pic:spPr>
                          <a:xfrm>
                            <a:off x="0" y="0"/>
                            <a:ext cx="2062364" cy="4295415"/>
                          </a:xfrm>
                          <a:prstGeom prst="rect">
                            <a:avLst/>
                          </a:prstGeom>
                        </pic:spPr>
                      </pic:pic>
                    </a:graphicData>
                  </a:graphic>
                </wp:inline>
              </w:drawing>
            </w:r>
          </w:p>
        </w:tc>
        <w:tc>
          <w:tcPr>
            <w:tcW w:w="5822" w:type="dxa"/>
            <w:shd w:val="clear" w:color="auto" w:fill="FFFFFF"/>
          </w:tcPr>
          <w:p w14:paraId="7F4980ED" w14:textId="77777777" w:rsidR="00366CB9" w:rsidRDefault="009D0C1D" w:rsidP="001F35DC">
            <w:pPr>
              <w:pStyle w:val="a6"/>
              <w:shd w:val="clear" w:color="auto" w:fill="auto"/>
              <w:rPr>
                <w:sz w:val="16"/>
                <w:szCs w:val="16"/>
              </w:rPr>
            </w:pPr>
            <w:r>
              <w:rPr>
                <w:rFonts w:ascii="Century Gothic" w:hAnsi="Century Gothic"/>
                <w:color w:val="343433"/>
                <w:sz w:val="16"/>
              </w:rPr>
              <w:t>Увесь медперсонал, за всіма програмами та в усіх умовах, визначає цільові популяції для ПЛТ та скринінгу на ТБ, оцінюючи симптоми ТБ та бажано використовуючи точніші інструменти (наприклад, РОГК) для виявлення ТБ; пацієнтів з позитивним результатом скринінгу на ТБ негайно досліджують на ТБ. Під час того ж візиту висококваліфікований персонал проводить шкірні тести (TST або TBST) або бере зразки для IGRA для виявлення туберкульозної інфекції.</w:t>
            </w:r>
          </w:p>
        </w:tc>
      </w:tr>
      <w:tr w:rsidR="00366CB9" w14:paraId="2C29CC05" w14:textId="77777777" w:rsidTr="008F64D5">
        <w:trPr>
          <w:trHeight w:hRule="exact" w:val="1906"/>
        </w:trPr>
        <w:tc>
          <w:tcPr>
            <w:tcW w:w="3283" w:type="dxa"/>
            <w:vMerge/>
            <w:shd w:val="clear" w:color="auto" w:fill="FFFFFF"/>
          </w:tcPr>
          <w:p w14:paraId="60D10EF6" w14:textId="77777777" w:rsidR="00366CB9" w:rsidRDefault="00366CB9" w:rsidP="001F35DC"/>
        </w:tc>
        <w:tc>
          <w:tcPr>
            <w:tcW w:w="5822" w:type="dxa"/>
            <w:shd w:val="clear" w:color="auto" w:fill="FFFFFF"/>
          </w:tcPr>
          <w:p w14:paraId="4F37D66C" w14:textId="77777777" w:rsidR="00366CB9" w:rsidRDefault="009D0C1D" w:rsidP="001F35DC">
            <w:pPr>
              <w:pStyle w:val="a6"/>
              <w:shd w:val="clear" w:color="auto" w:fill="auto"/>
              <w:rPr>
                <w:sz w:val="16"/>
                <w:szCs w:val="16"/>
              </w:rPr>
            </w:pPr>
            <w:r>
              <w:rPr>
                <w:rFonts w:ascii="Century Gothic" w:hAnsi="Century Gothic"/>
                <w:color w:val="343433"/>
                <w:sz w:val="16"/>
              </w:rPr>
              <w:t>Навчений медперсонал зчитує й інтерпретує результат шкірного тесту на виявлення туберкульозної інфекції або отримує результат IGRA. Якщо результат тесту позитивний, медперсонал підтверджує, що попередня оцінка виключила ризик ТБ, потім визначає відповідність пацієнта вимогам до ПЛТ шляхом клінічної оцінки, консультує пацієнта та розпочинає ПЛТ, а також здійснює реєстрацію на вихідному рівні під час того ж візиту.</w:t>
            </w:r>
          </w:p>
        </w:tc>
      </w:tr>
      <w:tr w:rsidR="00366CB9" w14:paraId="66E00090" w14:textId="77777777" w:rsidTr="008F64D5">
        <w:trPr>
          <w:trHeight w:hRule="exact" w:val="1800"/>
        </w:trPr>
        <w:tc>
          <w:tcPr>
            <w:tcW w:w="3283" w:type="dxa"/>
            <w:vMerge/>
            <w:shd w:val="clear" w:color="auto" w:fill="FFFFFF"/>
          </w:tcPr>
          <w:p w14:paraId="5A84AD0A" w14:textId="77777777" w:rsidR="00366CB9" w:rsidRDefault="00366CB9" w:rsidP="001F35DC"/>
        </w:tc>
        <w:tc>
          <w:tcPr>
            <w:tcW w:w="5822" w:type="dxa"/>
            <w:shd w:val="clear" w:color="auto" w:fill="FFFFFF"/>
          </w:tcPr>
          <w:p w14:paraId="2EEF2E94" w14:textId="77777777" w:rsidR="00366CB9" w:rsidRDefault="009D0C1D" w:rsidP="001F35DC">
            <w:pPr>
              <w:pStyle w:val="a6"/>
              <w:shd w:val="clear" w:color="auto" w:fill="auto"/>
              <w:rPr>
                <w:sz w:val="16"/>
                <w:szCs w:val="16"/>
              </w:rPr>
            </w:pPr>
            <w:r>
              <w:rPr>
                <w:rFonts w:ascii="Century Gothic" w:hAnsi="Century Gothic"/>
                <w:color w:val="343433"/>
                <w:sz w:val="16"/>
              </w:rPr>
              <w:t>Навчений медперсонал контролює проведення ПЛТ для своєчасного виявлення, реєстрації та звітування про небажані явища та супроводжує пацієнта протягом усього процесу ПЛТ.</w:t>
            </w:r>
          </w:p>
          <w:p w14:paraId="28DAA45B" w14:textId="77777777" w:rsidR="00366CB9" w:rsidRDefault="009D0C1D" w:rsidP="001F35DC">
            <w:pPr>
              <w:pStyle w:val="a6"/>
              <w:shd w:val="clear" w:color="auto" w:fill="auto"/>
              <w:rPr>
                <w:sz w:val="16"/>
                <w:szCs w:val="16"/>
              </w:rPr>
            </w:pPr>
            <w:r>
              <w:rPr>
                <w:rFonts w:ascii="Century Gothic" w:hAnsi="Century Gothic"/>
                <w:color w:val="343433"/>
                <w:sz w:val="16"/>
              </w:rPr>
              <w:t>Впровадження коротшої та безпечнішої ПЛТ покращить цей етап.</w:t>
            </w:r>
          </w:p>
        </w:tc>
      </w:tr>
      <w:tr w:rsidR="00366CB9" w14:paraId="4C56F3E4" w14:textId="77777777" w:rsidTr="008F64D5">
        <w:trPr>
          <w:trHeight w:hRule="exact" w:val="1229"/>
        </w:trPr>
        <w:tc>
          <w:tcPr>
            <w:tcW w:w="3283" w:type="dxa"/>
            <w:vMerge/>
            <w:shd w:val="clear" w:color="auto" w:fill="FFFFFF"/>
          </w:tcPr>
          <w:p w14:paraId="3A82756C" w14:textId="77777777" w:rsidR="00366CB9" w:rsidRDefault="00366CB9" w:rsidP="001F35DC"/>
        </w:tc>
        <w:tc>
          <w:tcPr>
            <w:tcW w:w="5822" w:type="dxa"/>
            <w:shd w:val="clear" w:color="auto" w:fill="FFFFFF"/>
          </w:tcPr>
          <w:p w14:paraId="39DF734C" w14:textId="77777777" w:rsidR="00366CB9" w:rsidRDefault="009D0C1D" w:rsidP="001F35DC">
            <w:pPr>
              <w:pStyle w:val="a6"/>
              <w:shd w:val="clear" w:color="auto" w:fill="auto"/>
              <w:rPr>
                <w:sz w:val="16"/>
                <w:szCs w:val="16"/>
              </w:rPr>
            </w:pPr>
            <w:r>
              <w:rPr>
                <w:rFonts w:ascii="Century Gothic" w:hAnsi="Century Gothic"/>
                <w:color w:val="343433"/>
                <w:sz w:val="16"/>
              </w:rPr>
              <w:t>Завершенню ПЛТ сприятимуть фактори, як-от постійна підтримка під час ПЛТ та використання коротшої схеми лікування. Кінцевий результат ПЛТ реєструють та повідомляють.</w:t>
            </w:r>
          </w:p>
        </w:tc>
      </w:tr>
      <w:tr w:rsidR="00366CB9" w14:paraId="4D2F4909" w14:textId="77777777" w:rsidTr="008F64D5">
        <w:trPr>
          <w:trHeight w:hRule="exact" w:val="3704"/>
        </w:trPr>
        <w:tc>
          <w:tcPr>
            <w:tcW w:w="9105" w:type="dxa"/>
            <w:gridSpan w:val="2"/>
            <w:shd w:val="clear" w:color="auto" w:fill="FFFFFF"/>
            <w:vAlign w:val="bottom"/>
          </w:tcPr>
          <w:p w14:paraId="3ED73E08" w14:textId="77777777" w:rsidR="00366CB9" w:rsidRDefault="009D0C1D" w:rsidP="001F35DC">
            <w:pPr>
              <w:pStyle w:val="a6"/>
              <w:shd w:val="clear" w:color="auto" w:fill="auto"/>
              <w:spacing w:after="340" w:line="266" w:lineRule="auto"/>
              <w:jc w:val="both"/>
              <w:rPr>
                <w:sz w:val="17"/>
                <w:szCs w:val="17"/>
              </w:rPr>
            </w:pPr>
            <w:r>
              <w:rPr>
                <w:b w:val="0"/>
                <w:color w:val="000000"/>
                <w:sz w:val="17"/>
              </w:rPr>
              <w:t xml:space="preserve">РОГК: рентгенограма органів грудної клітини; IGRA: аналіз на вивільнення гамма-інтерферону; ТБ: туберкульоз; TBST: шкірний тест на антигени </w:t>
            </w:r>
            <w:r>
              <w:rPr>
                <w:b w:val="0"/>
                <w:i/>
                <w:color w:val="000000"/>
                <w:sz w:val="17"/>
              </w:rPr>
              <w:t>Mycobacterium tuberculosis</w:t>
            </w:r>
            <w:r>
              <w:rPr>
                <w:b w:val="0"/>
                <w:color w:val="000000"/>
                <w:sz w:val="17"/>
              </w:rPr>
              <w:t>; ПЛТ: профілактичне лікування ТБ; ТШП: туберкулінова шкірна проба.</w:t>
            </w:r>
          </w:p>
          <w:p w14:paraId="62738854" w14:textId="77777777" w:rsidR="00366CB9" w:rsidRPr="00384EE0" w:rsidRDefault="009D0C1D" w:rsidP="001F35DC">
            <w:pPr>
              <w:pStyle w:val="a6"/>
              <w:shd w:val="clear" w:color="auto" w:fill="auto"/>
              <w:spacing w:after="180" w:line="269" w:lineRule="auto"/>
              <w:jc w:val="both"/>
              <w:rPr>
                <w:i/>
                <w:iCs/>
                <w:sz w:val="24"/>
                <w:szCs w:val="24"/>
              </w:rPr>
            </w:pPr>
            <w:r>
              <w:rPr>
                <w:b w:val="0"/>
                <w:i/>
                <w:color w:val="019648"/>
                <w:sz w:val="24"/>
              </w:rPr>
              <w:t>Кого необхідно тестувати на наявність туберкульозної інфекції?</w:t>
            </w:r>
          </w:p>
          <w:p w14:paraId="0541ED0A" w14:textId="3D1785B6" w:rsidR="00366CB9" w:rsidRDefault="009D0C1D" w:rsidP="001F35DC">
            <w:pPr>
              <w:pStyle w:val="a6"/>
              <w:shd w:val="clear" w:color="auto" w:fill="auto"/>
              <w:spacing w:after="260" w:line="324" w:lineRule="auto"/>
              <w:jc w:val="both"/>
              <w:rPr>
                <w:sz w:val="20"/>
                <w:szCs w:val="20"/>
              </w:rPr>
            </w:pPr>
            <w:r w:rsidRPr="00E80D3A">
              <w:rPr>
                <w:b w:val="0"/>
                <w:color w:val="000000"/>
                <w:sz w:val="18"/>
                <w:szCs w:val="24"/>
              </w:rPr>
              <w:t xml:space="preserve">Рішення про тестування на виявлення туберкульозної інфекції передбачає варіант ПЛТ. Тому тестування на виявлення туберкульозної інфекції необхідно проводити лише для популяцій з високим ризиком ТБ та осіб, які отримають найбільшу користь від ПЛТ. При прийнятті рішення про початок ПЛТ завжди необхідно враховувати ризик небажаних явищ, крім симптомів ТБ та результатів тесту на виявлення туберкульозної інфекції. </w:t>
            </w:r>
            <w:hyperlink w:anchor="bookmark65" w:tooltip="Поточний документ">
              <w:r w:rsidR="00366CB9" w:rsidRPr="00E80D3A">
                <w:rPr>
                  <w:color w:val="000000"/>
                  <w:sz w:val="18"/>
                  <w:szCs w:val="24"/>
                </w:rPr>
                <w:t>У Вставці 2.1</w:t>
              </w:r>
              <w:r w:rsidR="00366CB9" w:rsidRPr="00E80D3A">
                <w:rPr>
                  <w:b w:val="0"/>
                  <w:color w:val="000000"/>
                  <w:sz w:val="18"/>
                  <w:szCs w:val="24"/>
                </w:rPr>
                <w:t>3</w:t>
              </w:r>
            </w:hyperlink>
            <w:r w:rsidRPr="00E80D3A">
              <w:rPr>
                <w:b w:val="0"/>
                <w:color w:val="000000"/>
                <w:sz w:val="18"/>
                <w:szCs w:val="24"/>
              </w:rPr>
              <w:t xml:space="preserve"> узагальнено групи, яким ВООЗ рекомендує ПЛТ, при цьому тестування не є обов’язковим для груп 1-5. Див. детальну інформацію у Модулі 1 оперативного довідника ВООЗ з туберкульозу (</w:t>
            </w:r>
            <w:hyperlink w:anchor="bookmark197" w:tooltip="Поточний документ">
              <w:r w:rsidR="00366CB9" w:rsidRPr="00E80D3A">
                <w:rPr>
                  <w:b w:val="0"/>
                  <w:color w:val="000000"/>
                  <w:sz w:val="18"/>
                  <w:szCs w:val="24"/>
                </w:rPr>
                <w:t>41</w:t>
              </w:r>
            </w:hyperlink>
            <w:r w:rsidRPr="00E80D3A">
              <w:rPr>
                <w:b w:val="0"/>
                <w:color w:val="000000"/>
                <w:sz w:val="18"/>
                <w:szCs w:val="24"/>
              </w:rPr>
              <w:t>).</w:t>
            </w:r>
          </w:p>
        </w:tc>
      </w:tr>
    </w:tbl>
    <w:p w14:paraId="2A11C526" w14:textId="464102A0"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06C50558" w14:textId="259B891E" w:rsidR="00366CB9" w:rsidRDefault="00366CB9" w:rsidP="00425523">
      <w:pPr>
        <w:spacing w:line="1" w:lineRule="exact"/>
      </w:pPr>
    </w:p>
    <w:p w14:paraId="4F6ABFD5" w14:textId="77777777" w:rsidR="00366CB9" w:rsidRDefault="009D0C1D" w:rsidP="00425523">
      <w:pPr>
        <w:pStyle w:val="a4"/>
        <w:framePr w:wrap="none" w:vAnchor="page" w:hAnchor="page" w:x="1556" w:y="1906"/>
        <w:shd w:val="clear" w:color="auto" w:fill="auto"/>
        <w:spacing w:line="240" w:lineRule="auto"/>
        <w:rPr>
          <w:sz w:val="20"/>
          <w:szCs w:val="20"/>
        </w:rPr>
      </w:pPr>
      <w:bookmarkStart w:id="68" w:name="bookmark65"/>
      <w:r>
        <w:rPr>
          <w:color w:val="FFFFFF"/>
          <w:sz w:val="20"/>
        </w:rPr>
        <w:t>Вставка 2.1</w:t>
      </w:r>
      <w:r>
        <w:rPr>
          <w:b w:val="0"/>
          <w:color w:val="FFFFFF"/>
          <w:sz w:val="20"/>
        </w:rPr>
        <w:t xml:space="preserve">3. Групи, яким ВООЗ рекомендує ПЛТ </w:t>
      </w:r>
      <w:r>
        <w:rPr>
          <w:b w:val="0"/>
          <w:i/>
          <w:color w:val="FFFFFF"/>
          <w:sz w:val="20"/>
        </w:rPr>
        <w:t>(6)</w:t>
      </w:r>
      <w:bookmarkEnd w:id="68"/>
    </w:p>
    <w:p w14:paraId="4D4E376E" w14:textId="0D8FF1CF" w:rsidR="00366CB9" w:rsidRDefault="00D4401E" w:rsidP="001F35DC">
      <w:pPr>
        <w:sectPr w:rsidR="00366CB9" w:rsidSect="00F03360">
          <w:type w:val="nextColumn"/>
          <w:pgSz w:w="11913" w:h="16840"/>
          <w:pgMar w:top="1469" w:right="1378" w:bottom="851" w:left="1372" w:header="0" w:footer="6" w:gutter="0"/>
          <w:paperSrc w:first="15" w:other="15"/>
          <w:cols w:space="720"/>
          <w:noEndnote/>
          <w:docGrid w:linePitch="360"/>
        </w:sectPr>
      </w:pPr>
      <w:r>
        <w:rPr>
          <w:noProof/>
        </w:rPr>
        <mc:AlternateContent>
          <mc:Choice Requires="wps">
            <w:drawing>
              <wp:anchor distT="0" distB="0" distL="114300" distR="114300" simplePos="0" relativeHeight="251514880" behindDoc="0" locked="0" layoutInCell="1" allowOverlap="1" wp14:anchorId="6591A551" wp14:editId="0393F2BB">
                <wp:simplePos x="0" y="0"/>
                <wp:positionH relativeFrom="column">
                  <wp:posOffset>118745</wp:posOffset>
                </wp:positionH>
                <wp:positionV relativeFrom="paragraph">
                  <wp:posOffset>272415</wp:posOffset>
                </wp:positionV>
                <wp:extent cx="4218305" cy="158115"/>
                <wp:effectExtent l="0" t="0" r="6350" b="0"/>
                <wp:wrapNone/>
                <wp:docPr id="223236580" name="Прямокутник 2"/>
                <wp:cNvGraphicFramePr/>
                <a:graphic xmlns:a="http://schemas.openxmlformats.org/drawingml/2006/main">
                  <a:graphicData uri="http://schemas.microsoft.com/office/word/2010/wordprocessingShape">
                    <wps:wsp>
                      <wps:cNvSpPr/>
                      <wps:spPr>
                        <a:xfrm>
                          <a:off x="0" y="0"/>
                          <a:ext cx="4218305" cy="158115"/>
                        </a:xfrm>
                        <a:prstGeom prst="rect">
                          <a:avLst/>
                        </a:prstGeom>
                        <a:solidFill>
                          <a:srgbClr val="009649"/>
                        </a:solidFill>
                      </wps:spPr>
                      <wps:txbx>
                        <w:txbxContent>
                          <w:p w14:paraId="061FBA0A" w14:textId="77777777" w:rsidR="009D0C1D" w:rsidRPr="00785005" w:rsidRDefault="009D0C1D" w:rsidP="00D4401E">
                            <w:pPr>
                              <w:rPr>
                                <w:rFonts w:eastAsia="+mn-ea" w:cs="+mn-cs"/>
                                <w:b/>
                                <w:bCs/>
                                <w:color w:val="FFFFFF"/>
                                <w:kern w:val="24"/>
                                <w:sz w:val="20"/>
                                <w:szCs w:val="20"/>
                              </w:rPr>
                            </w:pPr>
                            <w:r>
                              <w:rPr>
                                <w:b/>
                                <w:color w:val="FFFFFF"/>
                                <w:sz w:val="20"/>
                              </w:rPr>
                              <w:t xml:space="preserve">Вставка 2.13. Групи, яким ВООЗ рекомендує ПЛТ </w:t>
                            </w:r>
                            <w:r>
                              <w:rPr>
                                <w:b/>
                                <w:i/>
                                <w:color w:val="FFFFFF"/>
                                <w:sz w:val="20"/>
                              </w:rPr>
                              <w:t>(6)</w:t>
                            </w:r>
                          </w:p>
                        </w:txbxContent>
                      </wps:txbx>
                      <wps:bodyPr wrap="none" lIns="0" tIns="0" rIns="0" bIns="0">
                        <a:noAutofit/>
                      </wps:bodyPr>
                    </wps:wsp>
                  </a:graphicData>
                </a:graphic>
              </wp:anchor>
            </w:drawing>
          </mc:Choice>
          <mc:Fallback>
            <w:pict>
              <v:rect w14:anchorId="6591A551" id="_x0000_s1137" style="position:absolute;margin-left:9.35pt;margin-top:21.45pt;width:332.15pt;height:12.45pt;z-index:251514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" fillcolor="#009649" stroked="f">
                <v:textbox inset="0,0,0,0">
                  <w:txbxContent>
                    <w:p w14:paraId="061FBA0A" w14:textId="77777777" w:rsidR="009D0C1D" w:rsidRPr="00785005" w:rsidRDefault="009D0C1D" w:rsidP="00D4401E">
                      <w:pPr>
                        <w:rPr>
                          <w:rFonts w:eastAsia="+mn-ea" w:cs="+mn-cs"/>
                          <w:b/>
                          <w:bCs/>
                          <w:color w:val="FFFFFF"/>
                          <w:kern w:val="24"/>
                          <w:sz w:val="20"/>
                          <w:szCs w:val="20"/>
                        </w:rPr>
                      </w:pPr>
                      <w:r>
                        <w:rPr>
                          <w:b/>
                          <w:color w:val="FFFFFF"/>
                          <w:sz w:val="20"/>
                        </w:rPr>
                        <w:t xml:space="preserve">Вставка 2.13. Групи, яким ВООЗ рекомендує ПЛТ </w:t>
                      </w:r>
                      <w:r>
                        <w:rPr>
                          <w:b/>
                          <w:i/>
                          <w:color w:val="FFFFFF"/>
                          <w:sz w:val="20"/>
                        </w:rPr>
                        <w:t>(6)</w:t>
                      </w:r>
                    </w:p>
                  </w:txbxContent>
                </v:textbox>
              </v:rect>
            </w:pict>
          </mc:Fallback>
        </mc:AlternateContent>
      </w:r>
      <w:r>
        <w:rPr>
          <w:noProof/>
        </w:rPr>
        <mc:AlternateContent>
          <mc:Choice Requires="wps">
            <w:drawing>
              <wp:anchor distT="0" distB="0" distL="114300" distR="114300" simplePos="0" relativeHeight="251515904" behindDoc="0" locked="0" layoutInCell="1" allowOverlap="1" wp14:anchorId="0B9964B9" wp14:editId="184E060E">
                <wp:simplePos x="0" y="0"/>
                <wp:positionH relativeFrom="column">
                  <wp:posOffset>328930</wp:posOffset>
                </wp:positionH>
                <wp:positionV relativeFrom="paragraph">
                  <wp:posOffset>638175</wp:posOffset>
                </wp:positionV>
                <wp:extent cx="5227320" cy="7000875"/>
                <wp:effectExtent l="0" t="0" r="0" b="9525"/>
                <wp:wrapNone/>
                <wp:docPr id="60582513" name="Прямокутник 3"/>
                <wp:cNvGraphicFramePr/>
                <a:graphic xmlns:a="http://schemas.openxmlformats.org/drawingml/2006/main">
                  <a:graphicData uri="http://schemas.microsoft.com/office/word/2010/wordprocessingShape">
                    <wps:wsp>
                      <wps:cNvSpPr/>
                      <wps:spPr>
                        <a:xfrm>
                          <a:off x="0" y="0"/>
                          <a:ext cx="5227320" cy="7000875"/>
                        </a:xfrm>
                        <a:prstGeom prst="rect">
                          <a:avLst/>
                        </a:prstGeom>
                        <a:solidFill>
                          <a:srgbClr val="C6E0CE"/>
                        </a:solidFill>
                      </wps:spPr>
                      <wps:txbx>
                        <w:txbxContent>
                          <w:p w14:paraId="0AA504C1" w14:textId="77777777" w:rsidR="009D0C1D" w:rsidRPr="00785005" w:rsidRDefault="009D0C1D" w:rsidP="00D4401E">
                            <w:pPr>
                              <w:spacing w:after="56" w:line="314" w:lineRule="auto"/>
                              <w:rPr>
                                <w:rFonts w:eastAsia="+mn-ea" w:cs="+mn-cs"/>
                                <w:b/>
                                <w:bCs/>
                                <w:kern w:val="24"/>
                                <w:sz w:val="20"/>
                                <w:szCs w:val="20"/>
                              </w:rPr>
                            </w:pPr>
                            <w:r>
                              <w:rPr>
                                <w:b/>
                                <w:sz w:val="20"/>
                              </w:rPr>
                              <w:t>Люди, які живуть з ВІЛ</w:t>
                            </w:r>
                          </w:p>
                          <w:p w14:paraId="77B41B4E" w14:textId="3B822514" w:rsidR="009D0C1D" w:rsidRDefault="009D0C1D" w:rsidP="00D4401E">
                            <w:pPr>
                              <w:spacing w:after="56" w:line="312" w:lineRule="auto"/>
                              <w:ind w:left="374" w:hanging="374"/>
                              <w:jc w:val="both"/>
                              <w:rPr>
                                <w:rFonts w:eastAsia="+mn-ea" w:cs="+mn-cs"/>
                                <w:kern w:val="24"/>
                                <w:sz w:val="20"/>
                                <w:szCs w:val="20"/>
                              </w:rPr>
                            </w:pPr>
                            <w:r>
                              <w:rPr>
                                <w:sz w:val="20"/>
                              </w:rPr>
                              <w:t>1.</w:t>
                            </w:r>
                            <w:r w:rsidRPr="008F64D5">
                              <w:t xml:space="preserve"> </w:t>
                            </w:r>
                            <w:r>
                              <w:tab/>
                            </w:r>
                            <w:r>
                              <w:rPr>
                                <w:sz w:val="20"/>
                              </w:rPr>
                              <w:t>Дорослі та підлітки, що живуть із ВІЛ, які навряд чи мають ТБ за відповідною клінічною оцінкою або згідно з національними керівництвами повинні проходити ПЛТ у межах комплексного пакету допомоги ВІЛ-інфікованим людям. Лікування також слід надавати тим, хто проходить антиретровірусну терапію, вагітним жінкам та тим, хто раніше проходив лікування туберкульозу, незалежно від ступеня імунодепресії та навіть якщо тестування на виявлення ТБ недоступне.</w:t>
                            </w:r>
                          </w:p>
                          <w:p w14:paraId="53886C35" w14:textId="13B46111" w:rsidR="009D0C1D" w:rsidRDefault="009D0C1D" w:rsidP="00D4401E">
                            <w:pPr>
                              <w:spacing w:after="56" w:line="314" w:lineRule="auto"/>
                              <w:ind w:left="374" w:hanging="374"/>
                              <w:jc w:val="both"/>
                              <w:rPr>
                                <w:rFonts w:eastAsia="+mn-ea" w:cs="+mn-cs"/>
                                <w:kern w:val="24"/>
                                <w:sz w:val="20"/>
                                <w:szCs w:val="20"/>
                              </w:rPr>
                            </w:pPr>
                            <w:r>
                              <w:rPr>
                                <w:sz w:val="20"/>
                              </w:rPr>
                              <w:t>2.</w:t>
                            </w:r>
                            <w:r w:rsidRPr="008F64D5">
                              <w:t xml:space="preserve"> </w:t>
                            </w:r>
                            <w:r>
                              <w:tab/>
                            </w:r>
                            <w:r>
                              <w:rPr>
                                <w:sz w:val="20"/>
                              </w:rPr>
                              <w:t>Немовлята у віці до 12 місяців, які живуть із ВІЛ, які контактують з особою із ТБ та які навряд чи мають ТБ за відповідною клінічною оцінкою або згідно з національними керівництвами, повинні отримувати ПЛТ.</w:t>
                            </w:r>
                          </w:p>
                          <w:p w14:paraId="33AC043F" w14:textId="75B4EAEC" w:rsidR="009D0C1D" w:rsidRDefault="009D0C1D" w:rsidP="00D4401E">
                            <w:pPr>
                              <w:spacing w:after="56" w:line="314" w:lineRule="auto"/>
                              <w:ind w:left="374" w:hanging="374"/>
                              <w:jc w:val="both"/>
                              <w:rPr>
                                <w:rFonts w:eastAsia="+mn-ea" w:cs="+mn-cs"/>
                                <w:kern w:val="24"/>
                                <w:sz w:val="20"/>
                                <w:szCs w:val="20"/>
                              </w:rPr>
                            </w:pPr>
                            <w:r>
                              <w:rPr>
                                <w:sz w:val="20"/>
                              </w:rPr>
                              <w:t>3.</w:t>
                            </w:r>
                            <w:r w:rsidRPr="008F64D5">
                              <w:t xml:space="preserve"> </w:t>
                            </w:r>
                            <w:r>
                              <w:tab/>
                            </w:r>
                            <w:r>
                              <w:rPr>
                                <w:sz w:val="20"/>
                              </w:rPr>
                              <w:t>Дітям у віці від 12 місяців, які живуть із ВІЛ, які навряд чи мають активну форму ТБ за відповідною клінічною оцінкою або згідно з національними керівництвами, слід пропонувати ПЛТ як частину комплексного пакету профілактики та допомоги ВІЛ-інфікованим людям, якщо вони живуть в умовах високої передачі ТБ, незалежно від контакту з особою із ТБ.</w:t>
                            </w:r>
                          </w:p>
                          <w:p w14:paraId="692BBA4E" w14:textId="73FBA1FE" w:rsidR="009D0C1D" w:rsidRDefault="009D0C1D" w:rsidP="00D4401E">
                            <w:pPr>
                              <w:spacing w:after="56" w:line="316" w:lineRule="auto"/>
                              <w:ind w:left="374" w:hanging="374"/>
                              <w:jc w:val="both"/>
                              <w:rPr>
                                <w:rFonts w:eastAsia="+mn-ea" w:cs="+mn-cs"/>
                                <w:kern w:val="24"/>
                                <w:sz w:val="20"/>
                                <w:szCs w:val="20"/>
                              </w:rPr>
                            </w:pPr>
                            <w:r>
                              <w:rPr>
                                <w:sz w:val="20"/>
                              </w:rPr>
                              <w:t>4.</w:t>
                            </w:r>
                            <w:r w:rsidRPr="008F64D5">
                              <w:t xml:space="preserve"> </w:t>
                            </w:r>
                            <w:r>
                              <w:tab/>
                            </w:r>
                            <w:r>
                              <w:rPr>
                                <w:sz w:val="20"/>
                              </w:rPr>
                              <w:t>Усі діти, які живуть із ВІЛ, які успішно пройшли лікування ТБ, можуть проходити ПЛТ.</w:t>
                            </w:r>
                          </w:p>
                          <w:p w14:paraId="4D971EDF" w14:textId="77777777" w:rsidR="009D0C1D" w:rsidRPr="00785005" w:rsidRDefault="009D0C1D" w:rsidP="00D4401E">
                            <w:pPr>
                              <w:spacing w:after="56" w:line="314" w:lineRule="auto"/>
                              <w:rPr>
                                <w:rFonts w:eastAsia="+mn-ea" w:cs="+mn-cs"/>
                                <w:b/>
                                <w:bCs/>
                                <w:kern w:val="24"/>
                                <w:sz w:val="20"/>
                                <w:szCs w:val="20"/>
                              </w:rPr>
                            </w:pPr>
                            <w:r>
                              <w:rPr>
                                <w:b/>
                                <w:sz w:val="20"/>
                              </w:rPr>
                              <w:t>Побутові контакти хворих на ТБ (незалежно від ВІЛ-статусу)</w:t>
                            </w:r>
                          </w:p>
                          <w:p w14:paraId="3988375D" w14:textId="5BC9901E" w:rsidR="009D0C1D" w:rsidRDefault="009D0C1D" w:rsidP="00D4401E">
                            <w:pPr>
                              <w:spacing w:after="56" w:line="314" w:lineRule="auto"/>
                              <w:ind w:left="374" w:hanging="374"/>
                              <w:jc w:val="both"/>
                              <w:rPr>
                                <w:rFonts w:eastAsia="+mn-ea" w:cs="+mn-cs"/>
                                <w:kern w:val="24"/>
                                <w:sz w:val="20"/>
                                <w:szCs w:val="20"/>
                              </w:rPr>
                            </w:pPr>
                            <w:r>
                              <w:rPr>
                                <w:sz w:val="20"/>
                              </w:rPr>
                              <w:t>5.</w:t>
                            </w:r>
                            <w:r w:rsidRPr="008F64D5">
                              <w:t xml:space="preserve"> </w:t>
                            </w:r>
                            <w:r>
                              <w:tab/>
                            </w:r>
                            <w:r>
                              <w:rPr>
                                <w:sz w:val="20"/>
                              </w:rPr>
                              <w:t>Дітям у віці до 5 років, які є побутовими контактами осіб з бактеріологічно підтвердженим ТБ легень та у яких не виявлено ТБ за відповідною клінічною оцінкою або згідно з національними керівництвами, слід проводити ПЛТ, навіть якщо тест на виявлення ТБ недоступний.</w:t>
                            </w:r>
                          </w:p>
                          <w:p w14:paraId="39C0C945" w14:textId="51417363" w:rsidR="009D0C1D" w:rsidRDefault="009D0C1D" w:rsidP="00D4401E">
                            <w:pPr>
                              <w:spacing w:after="56" w:line="312" w:lineRule="auto"/>
                              <w:ind w:left="374" w:hanging="374"/>
                              <w:jc w:val="both"/>
                              <w:rPr>
                                <w:rFonts w:eastAsia="+mn-ea" w:cs="+mn-cs"/>
                                <w:kern w:val="24"/>
                                <w:sz w:val="20"/>
                                <w:szCs w:val="20"/>
                              </w:rPr>
                            </w:pPr>
                            <w:r>
                              <w:rPr>
                                <w:sz w:val="20"/>
                              </w:rPr>
                              <w:t>6.</w:t>
                            </w:r>
                            <w:r w:rsidRPr="008F64D5">
                              <w:t xml:space="preserve"> </w:t>
                            </w:r>
                            <w:r>
                              <w:tab/>
                            </w:r>
                            <w:r>
                              <w:rPr>
                                <w:sz w:val="20"/>
                              </w:rPr>
                              <w:t>Дітям у віці від 5 років, підліткам та дорослим, які є побутовими контактами осіб з бактеріологічно підтвердженим ТБ легень та у яких не виявлено ТБ за відповідною клінічною оцінкою або згідно з національними керівництвами, можна проводити ПЛТ.</w:t>
                            </w:r>
                          </w:p>
                          <w:p w14:paraId="33F637C8" w14:textId="77777777" w:rsidR="009D0C1D" w:rsidRPr="00785005" w:rsidRDefault="009D0C1D" w:rsidP="00D4401E">
                            <w:pPr>
                              <w:spacing w:after="56" w:line="314" w:lineRule="auto"/>
                              <w:rPr>
                                <w:rFonts w:eastAsia="+mn-ea" w:cs="+mn-cs"/>
                                <w:b/>
                                <w:bCs/>
                                <w:kern w:val="24"/>
                                <w:sz w:val="20"/>
                                <w:szCs w:val="20"/>
                              </w:rPr>
                            </w:pPr>
                            <w:r>
                              <w:rPr>
                                <w:b/>
                                <w:sz w:val="20"/>
                              </w:rPr>
                              <w:t>Інші групи ризику ТБ</w:t>
                            </w:r>
                          </w:p>
                          <w:p w14:paraId="07C6B3B9" w14:textId="7833850F" w:rsidR="009D0C1D" w:rsidRDefault="009D0C1D" w:rsidP="00D4401E">
                            <w:pPr>
                              <w:spacing w:after="56" w:line="314" w:lineRule="auto"/>
                              <w:ind w:left="374" w:hanging="374"/>
                              <w:jc w:val="both"/>
                              <w:rPr>
                                <w:rFonts w:eastAsia="+mn-ea" w:cs="+mn-cs"/>
                                <w:kern w:val="24"/>
                                <w:sz w:val="20"/>
                                <w:szCs w:val="20"/>
                              </w:rPr>
                            </w:pPr>
                            <w:r>
                              <w:rPr>
                                <w:sz w:val="20"/>
                              </w:rPr>
                              <w:t>7.</w:t>
                            </w:r>
                            <w:r w:rsidRPr="008F64D5">
                              <w:t xml:space="preserve"> </w:t>
                            </w:r>
                            <w:r>
                              <w:tab/>
                            </w:r>
                            <w:r>
                              <w:rPr>
                                <w:sz w:val="20"/>
                              </w:rPr>
                              <w:t>Особи, які починають антитілами до інгібіторів ФНП (анти-ФНП), або отримують діаліз, або готуються до трансплантації органів чи переливання крові, або мають силікоз, слід систематично перевіряти та лікувати туберкульозну інфекцію.</w:t>
                            </w:r>
                          </w:p>
                          <w:p w14:paraId="6CE97F4B" w14:textId="0F9DBE66" w:rsidR="009D0C1D" w:rsidRDefault="009D0C1D" w:rsidP="00D4401E">
                            <w:pPr>
                              <w:spacing w:line="314" w:lineRule="auto"/>
                              <w:ind w:left="374" w:hanging="374"/>
                              <w:jc w:val="both"/>
                              <w:rPr>
                                <w:rFonts w:eastAsia="+mn-ea" w:cs="+mn-cs"/>
                                <w:kern w:val="24"/>
                                <w:sz w:val="20"/>
                                <w:szCs w:val="20"/>
                              </w:rPr>
                            </w:pPr>
                            <w:r>
                              <w:rPr>
                                <w:sz w:val="20"/>
                              </w:rPr>
                              <w:t>8.</w:t>
                            </w:r>
                            <w:r w:rsidRPr="008F64D5">
                              <w:t xml:space="preserve"> </w:t>
                            </w:r>
                            <w:r>
                              <w:tab/>
                            </w:r>
                            <w:r>
                              <w:rPr>
                                <w:sz w:val="20"/>
                              </w:rPr>
                              <w:t>Систематичне тестування та лікування туберкульозної інфекції може розглядатися для ув’язнених, фахівців у сфері охорони здоров’я, іммігрантів з країн з великим тягарем ТБ, бездомних та осіб, що вживають наркотичні засоби.</w:t>
                            </w:r>
                          </w:p>
                        </w:txbxContent>
                      </wps:txbx>
                      <wps:bodyPr lIns="0" tIns="0" rIns="0" bIns="0">
                        <a:noAutofit/>
                      </wps:bodyPr>
                    </wps:wsp>
                  </a:graphicData>
                </a:graphic>
              </wp:anchor>
            </w:drawing>
          </mc:Choice>
          <mc:Fallback>
            <w:pict>
              <v:rect w14:anchorId="0B9964B9" id="_x0000_s1138" style="position:absolute;margin-left:25.9pt;margin-top:50.25pt;width:411.6pt;height:551.25pt;z-index:25151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" fillcolor="#c6e0ce" stroked="f">
                <v:textbox inset="0,0,0,0">
                  <w:txbxContent>
                    <w:p w14:paraId="0AA504C1" w14:textId="77777777" w:rsidR="009D0C1D" w:rsidRPr="00785005" w:rsidRDefault="009D0C1D" w:rsidP="00D4401E">
                      <w:pPr>
                        <w:spacing w:after="56" w:line="314" w:lineRule="auto"/>
                        <w:rPr>
                          <w:rFonts w:eastAsia="+mn-ea" w:cs="+mn-cs"/>
                          <w:b/>
                          <w:bCs/>
                          <w:kern w:val="24"/>
                          <w:sz w:val="20"/>
                          <w:szCs w:val="20"/>
                        </w:rPr>
                      </w:pPr>
                      <w:r>
                        <w:rPr>
                          <w:b/>
                          <w:sz w:val="20"/>
                        </w:rPr>
                        <w:t>Люди, які живуть з ВІЛ</w:t>
                      </w:r>
                    </w:p>
                    <w:p w14:paraId="77B41B4E" w14:textId="3B822514" w:rsidR="009D0C1D" w:rsidRDefault="009D0C1D" w:rsidP="00D4401E">
                      <w:pPr>
                        <w:spacing w:after="56" w:line="312" w:lineRule="auto"/>
                        <w:ind w:left="374" w:hanging="374"/>
                        <w:jc w:val="both"/>
                        <w:rPr>
                          <w:rFonts w:eastAsia="+mn-ea" w:cs="+mn-cs"/>
                          <w:kern w:val="24"/>
                          <w:sz w:val="20"/>
                          <w:szCs w:val="20"/>
                        </w:rPr>
                      </w:pPr>
                      <w:r>
                        <w:rPr>
                          <w:sz w:val="20"/>
                        </w:rPr>
                        <w:t>1.</w:t>
                      </w:r>
                      <w:r w:rsidRPr="008F64D5">
                        <w:t xml:space="preserve"> </w:t>
                      </w:r>
                      <w:r>
                        <w:tab/>
                      </w:r>
                      <w:r>
                        <w:rPr>
                          <w:sz w:val="20"/>
                        </w:rPr>
                        <w:t>Дорослі та підлітки, що живуть із ВІЛ, які навряд чи мають ТБ за відповідною клінічною оцінкою або згідно з національними керівництвами повинні проходити ПЛТ у межах комплексного пакету допомоги ВІЛ-інфікованим людям. Лікування також слід надавати тим, хто проходить антиретровірусну терапію, вагітним жінкам та тим, хто раніше проходив лікування туберкульозу, незалежно від ступеня імунодепресії та навіть якщо тестування на виявлення ТБ недоступне.</w:t>
                      </w:r>
                    </w:p>
                    <w:p w14:paraId="53886C35" w14:textId="13B46111" w:rsidR="009D0C1D" w:rsidRDefault="009D0C1D" w:rsidP="00D4401E">
                      <w:pPr>
                        <w:spacing w:after="56" w:line="314" w:lineRule="auto"/>
                        <w:ind w:left="374" w:hanging="374"/>
                        <w:jc w:val="both"/>
                        <w:rPr>
                          <w:rFonts w:eastAsia="+mn-ea" w:cs="+mn-cs"/>
                          <w:kern w:val="24"/>
                          <w:sz w:val="20"/>
                          <w:szCs w:val="20"/>
                        </w:rPr>
                      </w:pPr>
                      <w:r>
                        <w:rPr>
                          <w:sz w:val="20"/>
                        </w:rPr>
                        <w:t>2.</w:t>
                      </w:r>
                      <w:r w:rsidRPr="008F64D5">
                        <w:t xml:space="preserve"> </w:t>
                      </w:r>
                      <w:r>
                        <w:tab/>
                      </w:r>
                      <w:r>
                        <w:rPr>
                          <w:sz w:val="20"/>
                        </w:rPr>
                        <w:t>Немовлята у віці до 12 місяців, які живуть із ВІЛ, які контактують з особою із ТБ та які навряд чи мають ТБ за відповідною клінічною оцінкою або згідно з національними керівництвами, повинні отримувати ПЛТ.</w:t>
                      </w:r>
                    </w:p>
                    <w:p w14:paraId="33AC043F" w14:textId="75B4EAEC" w:rsidR="009D0C1D" w:rsidRDefault="009D0C1D" w:rsidP="00D4401E">
                      <w:pPr>
                        <w:spacing w:after="56" w:line="314" w:lineRule="auto"/>
                        <w:ind w:left="374" w:hanging="374"/>
                        <w:jc w:val="both"/>
                        <w:rPr>
                          <w:rFonts w:eastAsia="+mn-ea" w:cs="+mn-cs"/>
                          <w:kern w:val="24"/>
                          <w:sz w:val="20"/>
                          <w:szCs w:val="20"/>
                        </w:rPr>
                      </w:pPr>
                      <w:r>
                        <w:rPr>
                          <w:sz w:val="20"/>
                        </w:rPr>
                        <w:t>3.</w:t>
                      </w:r>
                      <w:r w:rsidRPr="008F64D5">
                        <w:t xml:space="preserve"> </w:t>
                      </w:r>
                      <w:r>
                        <w:tab/>
                      </w:r>
                      <w:r>
                        <w:rPr>
                          <w:sz w:val="20"/>
                        </w:rPr>
                        <w:t>Дітям у віці від 12 місяців, які живуть із ВІЛ, які навряд чи мають активну форму ТБ за відповідною клінічною оцінкою або згідно з національними керівництвами, слід пропонувати ПЛТ як частину комплексного пакету профілактики та допомоги ВІЛ-інфікованим людям, якщо вони живуть в умовах високої передачі ТБ, незалежно від контакту з особою із ТБ.</w:t>
                      </w:r>
                    </w:p>
                    <w:p w14:paraId="692BBA4E" w14:textId="73FBA1FE" w:rsidR="009D0C1D" w:rsidRDefault="009D0C1D" w:rsidP="00D4401E">
                      <w:pPr>
                        <w:spacing w:after="56" w:line="316" w:lineRule="auto"/>
                        <w:ind w:left="374" w:hanging="374"/>
                        <w:jc w:val="both"/>
                        <w:rPr>
                          <w:rFonts w:eastAsia="+mn-ea" w:cs="+mn-cs"/>
                          <w:kern w:val="24"/>
                          <w:sz w:val="20"/>
                          <w:szCs w:val="20"/>
                        </w:rPr>
                      </w:pPr>
                      <w:r>
                        <w:rPr>
                          <w:sz w:val="20"/>
                        </w:rPr>
                        <w:t>4.</w:t>
                      </w:r>
                      <w:r w:rsidRPr="008F64D5">
                        <w:t xml:space="preserve"> </w:t>
                      </w:r>
                      <w:r>
                        <w:tab/>
                      </w:r>
                      <w:r>
                        <w:rPr>
                          <w:sz w:val="20"/>
                        </w:rPr>
                        <w:t>Усі діти, які живуть із ВІЛ, які успішно пройшли лікування ТБ, можуть проходити ПЛТ.</w:t>
                      </w:r>
                    </w:p>
                    <w:p w14:paraId="4D971EDF" w14:textId="77777777" w:rsidR="009D0C1D" w:rsidRPr="00785005" w:rsidRDefault="009D0C1D" w:rsidP="00D4401E">
                      <w:pPr>
                        <w:spacing w:after="56" w:line="314" w:lineRule="auto"/>
                        <w:rPr>
                          <w:rFonts w:eastAsia="+mn-ea" w:cs="+mn-cs"/>
                          <w:b/>
                          <w:bCs/>
                          <w:kern w:val="24"/>
                          <w:sz w:val="20"/>
                          <w:szCs w:val="20"/>
                        </w:rPr>
                      </w:pPr>
                      <w:r>
                        <w:rPr>
                          <w:b/>
                          <w:sz w:val="20"/>
                        </w:rPr>
                        <w:t>Побутові контакти хворих на ТБ (незалежно від ВІЛ-статусу)</w:t>
                      </w:r>
                    </w:p>
                    <w:p w14:paraId="3988375D" w14:textId="5BC9901E" w:rsidR="009D0C1D" w:rsidRDefault="009D0C1D" w:rsidP="00D4401E">
                      <w:pPr>
                        <w:spacing w:after="56" w:line="314" w:lineRule="auto"/>
                        <w:ind w:left="374" w:hanging="374"/>
                        <w:jc w:val="both"/>
                        <w:rPr>
                          <w:rFonts w:eastAsia="+mn-ea" w:cs="+mn-cs"/>
                          <w:kern w:val="24"/>
                          <w:sz w:val="20"/>
                          <w:szCs w:val="20"/>
                        </w:rPr>
                      </w:pPr>
                      <w:r>
                        <w:rPr>
                          <w:sz w:val="20"/>
                        </w:rPr>
                        <w:t>5.</w:t>
                      </w:r>
                      <w:r w:rsidRPr="008F64D5">
                        <w:t xml:space="preserve"> </w:t>
                      </w:r>
                      <w:r>
                        <w:tab/>
                      </w:r>
                      <w:r>
                        <w:rPr>
                          <w:sz w:val="20"/>
                        </w:rPr>
                        <w:t>Дітям у віці до 5 років, які є побутовими контактами осіб з бактеріологічно підтвердженим ТБ легень та у яких не виявлено ТБ за відповідною клінічною оцінкою або згідно з національними керівництвами, слід проводити ПЛТ, навіть якщо тест на виявлення ТБ недоступний.</w:t>
                      </w:r>
                    </w:p>
                    <w:p w14:paraId="39C0C945" w14:textId="51417363" w:rsidR="009D0C1D" w:rsidRDefault="009D0C1D" w:rsidP="00D4401E">
                      <w:pPr>
                        <w:spacing w:after="56" w:line="312" w:lineRule="auto"/>
                        <w:ind w:left="374" w:hanging="374"/>
                        <w:jc w:val="both"/>
                        <w:rPr>
                          <w:rFonts w:eastAsia="+mn-ea" w:cs="+mn-cs"/>
                          <w:kern w:val="24"/>
                          <w:sz w:val="20"/>
                          <w:szCs w:val="20"/>
                        </w:rPr>
                      </w:pPr>
                      <w:r>
                        <w:rPr>
                          <w:sz w:val="20"/>
                        </w:rPr>
                        <w:t>6.</w:t>
                      </w:r>
                      <w:r w:rsidRPr="008F64D5">
                        <w:t xml:space="preserve"> </w:t>
                      </w:r>
                      <w:r>
                        <w:tab/>
                      </w:r>
                      <w:r>
                        <w:rPr>
                          <w:sz w:val="20"/>
                        </w:rPr>
                        <w:t>Дітям у віці від 5 років, підліткам та дорослим, які є побутовими контактами осіб з бактеріологічно підтвердженим ТБ легень та у яких не виявлено ТБ за відповідною клінічною оцінкою або згідно з національними керівництвами, можна проводити ПЛТ.</w:t>
                      </w:r>
                    </w:p>
                    <w:p w14:paraId="33F637C8" w14:textId="77777777" w:rsidR="009D0C1D" w:rsidRPr="00785005" w:rsidRDefault="009D0C1D" w:rsidP="00D4401E">
                      <w:pPr>
                        <w:spacing w:after="56" w:line="314" w:lineRule="auto"/>
                        <w:rPr>
                          <w:rFonts w:eastAsia="+mn-ea" w:cs="+mn-cs"/>
                          <w:b/>
                          <w:bCs/>
                          <w:kern w:val="24"/>
                          <w:sz w:val="20"/>
                          <w:szCs w:val="20"/>
                        </w:rPr>
                      </w:pPr>
                      <w:r>
                        <w:rPr>
                          <w:b/>
                          <w:sz w:val="20"/>
                        </w:rPr>
                        <w:t>Інші групи ризику ТБ</w:t>
                      </w:r>
                    </w:p>
                    <w:p w14:paraId="07C6B3B9" w14:textId="7833850F" w:rsidR="009D0C1D" w:rsidRDefault="009D0C1D" w:rsidP="00D4401E">
                      <w:pPr>
                        <w:spacing w:after="56" w:line="314" w:lineRule="auto"/>
                        <w:ind w:left="374" w:hanging="374"/>
                        <w:jc w:val="both"/>
                        <w:rPr>
                          <w:rFonts w:eastAsia="+mn-ea" w:cs="+mn-cs"/>
                          <w:kern w:val="24"/>
                          <w:sz w:val="20"/>
                          <w:szCs w:val="20"/>
                        </w:rPr>
                      </w:pPr>
                      <w:r>
                        <w:rPr>
                          <w:sz w:val="20"/>
                        </w:rPr>
                        <w:t>7.</w:t>
                      </w:r>
                      <w:r w:rsidRPr="008F64D5">
                        <w:t xml:space="preserve"> </w:t>
                      </w:r>
                      <w:r>
                        <w:tab/>
                      </w:r>
                      <w:r>
                        <w:rPr>
                          <w:sz w:val="20"/>
                        </w:rPr>
                        <w:t>Особи, які починають антитілами до інгібіторів ФНП (анти-ФНП), або отримують діаліз, або готуються до трансплантації органів чи переливання крові, або мають силікоз, слід систематично перевіряти та лікувати туберкульозну інфекцію.</w:t>
                      </w:r>
                    </w:p>
                    <w:p w14:paraId="6CE97F4B" w14:textId="0F9DBE66" w:rsidR="009D0C1D" w:rsidRDefault="009D0C1D" w:rsidP="00D4401E">
                      <w:pPr>
                        <w:spacing w:line="314" w:lineRule="auto"/>
                        <w:ind w:left="374" w:hanging="374"/>
                        <w:jc w:val="both"/>
                        <w:rPr>
                          <w:rFonts w:eastAsia="+mn-ea" w:cs="+mn-cs"/>
                          <w:kern w:val="24"/>
                          <w:sz w:val="20"/>
                          <w:szCs w:val="20"/>
                        </w:rPr>
                      </w:pPr>
                      <w:r>
                        <w:rPr>
                          <w:sz w:val="20"/>
                        </w:rPr>
                        <w:t>8.</w:t>
                      </w:r>
                      <w:r w:rsidRPr="008F64D5">
                        <w:t xml:space="preserve"> </w:t>
                      </w:r>
                      <w:r>
                        <w:tab/>
                      </w:r>
                      <w:r>
                        <w:rPr>
                          <w:sz w:val="20"/>
                        </w:rPr>
                        <w:t>Систематичне тестування та лікування туберкульозної інфекції може розглядатися для ув’язнених, фахівців у сфері охорони здоров’я, іммігрантів з країн з великим тягарем ТБ, бездомних та осіб, що вживають наркотичні засоби.</w:t>
                      </w:r>
                    </w:p>
                  </w:txbxContent>
                </v:textbox>
              </v:rect>
            </w:pict>
          </mc:Fallback>
        </mc:AlternateContent>
      </w:r>
      <w:r>
        <w:rPr>
          <w:noProof/>
        </w:rPr>
        <w:drawing>
          <wp:inline distT="0" distB="0" distL="0" distR="0" wp14:anchorId="01CD268A" wp14:editId="4D3CF134">
            <wp:extent cx="5782310" cy="7836535"/>
            <wp:effectExtent l="0" t="0" r="8890" b="0"/>
            <wp:docPr id="89" name="Shape 89"/>
            <wp:cNvGraphicFramePr/>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89" cstate="print">
                      <a:extLst>
                        <a:ext uri="{28A0092B-C50C-407E-A947-70E740481C1C}">
                          <a14:useLocalDpi xmlns:a14="http://schemas.microsoft.com/office/drawing/2010/main" val="0"/>
                        </a:ext>
                      </a:extLst>
                    </a:blip>
                    <a:stretch/>
                  </pic:blipFill>
                  <pic:spPr>
                    <a:xfrm>
                      <a:off x="0" y="0"/>
                      <a:ext cx="5782310" cy="7836535"/>
                    </a:xfrm>
                    <a:prstGeom prst="rect">
                      <a:avLst/>
                    </a:prstGeom>
                  </pic:spPr>
                </pic:pic>
              </a:graphicData>
            </a:graphic>
          </wp:inline>
        </w:drawing>
      </w:r>
    </w:p>
    <w:p w14:paraId="4CB143C3" w14:textId="77777777" w:rsidR="00366CB9" w:rsidRDefault="00366CB9" w:rsidP="00425523">
      <w:pPr>
        <w:spacing w:line="1" w:lineRule="exact"/>
      </w:pPr>
    </w:p>
    <w:p w14:paraId="478170A6" w14:textId="77777777" w:rsidR="00366CB9" w:rsidRDefault="009D0C1D" w:rsidP="001F35DC">
      <w:pPr>
        <w:pStyle w:val="80"/>
        <w:numPr>
          <w:ilvl w:val="0"/>
          <w:numId w:val="8"/>
        </w:numPr>
        <w:shd w:val="clear" w:color="auto" w:fill="auto"/>
        <w:tabs>
          <w:tab w:val="left" w:pos="793"/>
        </w:tabs>
        <w:jc w:val="both"/>
      </w:pPr>
      <w:r>
        <w:t>Туберкуліновий шкірний тест на виявлення туберкульозної інфекції</w:t>
      </w:r>
    </w:p>
    <w:p w14:paraId="4BCB5DDB" w14:textId="77777777" w:rsidR="00366CB9" w:rsidRPr="00E80D3A" w:rsidRDefault="009D0C1D" w:rsidP="001F35DC">
      <w:pPr>
        <w:pStyle w:val="1"/>
        <w:shd w:val="clear" w:color="auto" w:fill="auto"/>
        <w:spacing w:after="140" w:line="324" w:lineRule="auto"/>
        <w:jc w:val="both"/>
        <w:rPr>
          <w:sz w:val="18"/>
          <w:szCs w:val="18"/>
        </w:rPr>
      </w:pPr>
      <w:r w:rsidRPr="00E80D3A">
        <w:rPr>
          <w:sz w:val="18"/>
          <w:szCs w:val="18"/>
        </w:rPr>
        <w:t xml:space="preserve">Стандартизований препарат туберкуліну з </w:t>
      </w:r>
      <w:r w:rsidRPr="00E80D3A">
        <w:rPr>
          <w:i/>
          <w:iCs/>
          <w:sz w:val="18"/>
          <w:szCs w:val="18"/>
        </w:rPr>
        <w:t>Mtb</w:t>
      </w:r>
      <w:r w:rsidRPr="00E80D3A">
        <w:rPr>
          <w:sz w:val="18"/>
          <w:szCs w:val="18"/>
        </w:rPr>
        <w:t>, що має назву «очищений білковий продукт (стандартний)» (ОБПС), у 1941 році вперше розробив Florence Seibert (</w:t>
      </w:r>
      <w:hyperlink w:anchor="bookmark197" w:tooltip="Поточний документ">
        <w:r w:rsidR="00366CB9" w:rsidRPr="00E80D3A">
          <w:rPr>
            <w:sz w:val="18"/>
            <w:szCs w:val="18"/>
          </w:rPr>
          <w:t>42</w:t>
        </w:r>
      </w:hyperlink>
      <w:r w:rsidRPr="00E80D3A">
        <w:rPr>
          <w:sz w:val="18"/>
          <w:szCs w:val="18"/>
        </w:rPr>
        <w:t>); з того часу туберкуліновий матеріал розроблявся за допомогою тих же методів та тестування відповідно до цього стандарту. Весь доступний у продажу туберкуліновий матеріал, крім шкірного тесту «наступного покоління», описаного нижче, виготовляється для отримання матеріалу ОБП, біоеквівалентного цьому стандартному ОБПС.</w:t>
      </w:r>
    </w:p>
    <w:p w14:paraId="53DC7452" w14:textId="77777777" w:rsidR="00366CB9" w:rsidRPr="00E80D3A" w:rsidRDefault="009D0C1D" w:rsidP="001F35DC">
      <w:pPr>
        <w:pStyle w:val="1"/>
        <w:shd w:val="clear" w:color="auto" w:fill="auto"/>
        <w:spacing w:after="140" w:line="324" w:lineRule="auto"/>
        <w:jc w:val="both"/>
        <w:rPr>
          <w:sz w:val="18"/>
          <w:szCs w:val="18"/>
        </w:rPr>
      </w:pPr>
      <w:r w:rsidRPr="00E80D3A">
        <w:rPr>
          <w:sz w:val="18"/>
          <w:szCs w:val="18"/>
        </w:rPr>
        <w:t xml:space="preserve">ОБПС містить суміш антигенів, зокрема деякі антигени, специфічні для </w:t>
      </w:r>
      <w:r w:rsidRPr="00E80D3A">
        <w:rPr>
          <w:i/>
          <w:iCs/>
          <w:sz w:val="18"/>
          <w:szCs w:val="18"/>
        </w:rPr>
        <w:t>Mtb</w:t>
      </w:r>
      <w:r w:rsidRPr="00E80D3A">
        <w:rPr>
          <w:sz w:val="18"/>
          <w:szCs w:val="18"/>
        </w:rPr>
        <w:t>, а також інші антигени, що містяться в НТМ та БЦЖ. Отже, хибнопозитивні реакції на ОБПС були описані у осіб із захворюванням, спричиненим НТМ, або з сенсибілізацією до антигенів НТМ (</w:t>
      </w:r>
      <w:hyperlink w:anchor="bookmark197" w:tooltip="Поточний документ">
        <w:r w:rsidR="00366CB9" w:rsidRPr="00E80D3A">
          <w:rPr>
            <w:sz w:val="18"/>
            <w:szCs w:val="18"/>
          </w:rPr>
          <w:t>43</w:t>
        </w:r>
      </w:hyperlink>
      <w:r w:rsidRPr="00E80D3A">
        <w:rPr>
          <w:sz w:val="18"/>
          <w:szCs w:val="18"/>
        </w:rPr>
        <w:t>), а також у осіб, які пройшли вакцинацію БЦЖ, особливо якщо вони отримали БЦЖ більше одного разу або після дитячого віку (</w:t>
      </w:r>
      <w:hyperlink w:anchor="bookmark197" w:tooltip="Поточний документ">
        <w:r w:rsidR="00366CB9" w:rsidRPr="00E80D3A">
          <w:rPr>
            <w:sz w:val="18"/>
            <w:szCs w:val="18"/>
          </w:rPr>
          <w:t>44</w:t>
        </w:r>
      </w:hyperlink>
      <w:r w:rsidRPr="00E80D3A">
        <w:rPr>
          <w:sz w:val="18"/>
          <w:szCs w:val="18"/>
        </w:rPr>
        <w:t>).</w:t>
      </w:r>
    </w:p>
    <w:p w14:paraId="4B675EDB" w14:textId="77777777" w:rsidR="00366CB9" w:rsidRPr="00E80D3A" w:rsidRDefault="009D0C1D" w:rsidP="001F35DC">
      <w:pPr>
        <w:pStyle w:val="1"/>
        <w:shd w:val="clear" w:color="auto" w:fill="auto"/>
        <w:spacing w:after="140" w:line="324" w:lineRule="auto"/>
        <w:jc w:val="both"/>
        <w:rPr>
          <w:sz w:val="18"/>
          <w:szCs w:val="18"/>
        </w:rPr>
      </w:pPr>
      <w:r w:rsidRPr="00E80D3A">
        <w:rPr>
          <w:sz w:val="18"/>
          <w:szCs w:val="18"/>
        </w:rPr>
        <w:t>Тестування за допомогою ОБПС є безпечним. Попри те, що важкі місцеві реакції з пухирями можна спостерігати у 2-3 % осіб, це істинно позитивні реакції, які є самообмеженими й самостійно загоюються. Алергічні реакції з генералізованим висипом спостерігаються менш ніж у 1 % осіб (</w:t>
      </w:r>
      <w:hyperlink w:anchor="bookmark197" w:tooltip="Поточний документ">
        <w:r w:rsidR="00366CB9" w:rsidRPr="00E80D3A">
          <w:rPr>
            <w:sz w:val="18"/>
            <w:szCs w:val="18"/>
          </w:rPr>
          <w:t>45</w:t>
        </w:r>
      </w:hyperlink>
      <w:r w:rsidRPr="00E80D3A">
        <w:rPr>
          <w:sz w:val="18"/>
          <w:szCs w:val="18"/>
        </w:rPr>
        <w:t>), а анафілаксія – лише у однієї на мільйон осіб (</w:t>
      </w:r>
      <w:hyperlink w:anchor="bookmark198" w:tooltip="Поточний документ">
        <w:r w:rsidR="00366CB9" w:rsidRPr="00E80D3A">
          <w:rPr>
            <w:sz w:val="18"/>
            <w:szCs w:val="18"/>
          </w:rPr>
          <w:t>46</w:t>
        </w:r>
      </w:hyperlink>
      <w:r w:rsidRPr="00E80D3A">
        <w:rPr>
          <w:sz w:val="18"/>
          <w:szCs w:val="18"/>
        </w:rPr>
        <w:t>). Відповідно до багаторічного досвіду, TST з використанням ОБПС є безпечним для вагітних та годуючих жінок (</w:t>
      </w:r>
      <w:hyperlink w:anchor="bookmark198" w:tooltip="Поточний документ">
        <w:r w:rsidR="00366CB9" w:rsidRPr="00E80D3A">
          <w:rPr>
            <w:sz w:val="18"/>
            <w:szCs w:val="18"/>
          </w:rPr>
          <w:t>47</w:t>
        </w:r>
      </w:hyperlink>
      <w:r w:rsidRPr="00E80D3A">
        <w:rPr>
          <w:sz w:val="18"/>
          <w:szCs w:val="18"/>
        </w:rPr>
        <w:t xml:space="preserve">). Див. детальний поетапний опис TST у </w:t>
      </w:r>
      <w:r w:rsidRPr="00E80D3A">
        <w:rPr>
          <w:b/>
          <w:bCs/>
          <w:sz w:val="18"/>
          <w:szCs w:val="18"/>
        </w:rPr>
        <w:t>Додатку 4</w:t>
      </w:r>
      <w:r w:rsidRPr="00E80D3A">
        <w:rPr>
          <w:sz w:val="18"/>
          <w:szCs w:val="18"/>
        </w:rPr>
        <w:t>.</w:t>
      </w:r>
    </w:p>
    <w:p w14:paraId="57AED511" w14:textId="77777777" w:rsidR="00366CB9" w:rsidRDefault="009D0C1D" w:rsidP="001F35DC">
      <w:pPr>
        <w:pStyle w:val="80"/>
        <w:numPr>
          <w:ilvl w:val="0"/>
          <w:numId w:val="8"/>
        </w:numPr>
        <w:shd w:val="clear" w:color="auto" w:fill="auto"/>
        <w:tabs>
          <w:tab w:val="left" w:pos="793"/>
          <w:tab w:val="left" w:pos="1191"/>
          <w:tab w:val="left" w:pos="2430"/>
          <w:tab w:val="left" w:pos="3025"/>
          <w:tab w:val="left" w:pos="3706"/>
          <w:tab w:val="left" w:pos="4489"/>
          <w:tab w:val="left" w:pos="6178"/>
        </w:tabs>
        <w:jc w:val="both"/>
      </w:pPr>
      <w:r>
        <w:t>Шкірні тести на виявлення туберкульозної інфекції з використанням Mtb-специфічних антигенів</w:t>
      </w:r>
    </w:p>
    <w:p w14:paraId="6930E163" w14:textId="77777777" w:rsidR="00366CB9" w:rsidRPr="00E80D3A" w:rsidRDefault="009D0C1D" w:rsidP="001F35DC">
      <w:pPr>
        <w:pStyle w:val="1"/>
        <w:shd w:val="clear" w:color="auto" w:fill="auto"/>
        <w:spacing w:line="324" w:lineRule="auto"/>
        <w:jc w:val="both"/>
        <w:rPr>
          <w:sz w:val="18"/>
          <w:szCs w:val="18"/>
        </w:rPr>
      </w:pPr>
      <w:r w:rsidRPr="00E80D3A">
        <w:rPr>
          <w:sz w:val="18"/>
          <w:szCs w:val="18"/>
        </w:rPr>
        <w:t xml:space="preserve">Щоб зробити шкірний тест in vivo більш специфічним, деякі шкірні тести було розроблено з рекомбінантними антигенами </w:t>
      </w:r>
      <w:r w:rsidRPr="00E80D3A">
        <w:rPr>
          <w:i/>
          <w:iCs/>
          <w:sz w:val="18"/>
          <w:szCs w:val="18"/>
        </w:rPr>
        <w:t>Mtb</w:t>
      </w:r>
      <w:r w:rsidRPr="00E80D3A">
        <w:rPr>
          <w:sz w:val="18"/>
          <w:szCs w:val="18"/>
        </w:rPr>
        <w:t xml:space="preserve">. </w:t>
      </w:r>
      <w:r w:rsidRPr="00E80D3A">
        <w:rPr>
          <w:i/>
          <w:iCs/>
          <w:sz w:val="18"/>
          <w:szCs w:val="18"/>
        </w:rPr>
        <w:t>Mtb</w:t>
      </w:r>
      <w:r w:rsidRPr="00E80D3A">
        <w:rPr>
          <w:sz w:val="18"/>
          <w:szCs w:val="18"/>
        </w:rPr>
        <w:t xml:space="preserve">-специфічні тести ESAT-6 та CFP-10 застосовувались або як окремі білки, або в одному білку злиття, що поєднує два антигени. ВООЗ оцінила три тести, що продемонстрували прийнятну ефективність та можуть бути рекомендовані. Усі тести засновані на тому ж принципі, що й TST; тобто вводиться підшкірна ін’єкція рекомбінантних антигенів, а ущільнення оцінюється через 48-72 години. Див. резюме різних тестів, рекомендованих ВООЗ, у </w:t>
      </w:r>
      <w:hyperlink w:anchor="bookmark66" w:tooltip="Поточний документ">
        <w:r w:rsidR="00366CB9" w:rsidRPr="00E80D3A">
          <w:rPr>
            <w:b/>
            <w:sz w:val="18"/>
            <w:szCs w:val="18"/>
          </w:rPr>
          <w:t>Таблиці 2.1</w:t>
        </w:r>
        <w:r w:rsidR="00366CB9" w:rsidRPr="00E80D3A">
          <w:rPr>
            <w:sz w:val="18"/>
            <w:szCs w:val="18"/>
          </w:rPr>
          <w:t>2</w:t>
        </w:r>
      </w:hyperlink>
      <w:r w:rsidRPr="00E80D3A">
        <w:rPr>
          <w:sz w:val="18"/>
          <w:szCs w:val="18"/>
        </w:rPr>
        <w:t xml:space="preserve">. Слід зазначити, що станом на початок 2025 року доступ до тесту Cy-TB TBST надавався в рамках Глобального механізму із забезпечення лікарськими засобами «Зупинимо туберкульоз» лише за 1,50 дол. США за тест; це сприяло впровадженню програм тестування на виявлення туберкульозної інфекції за низькою вартістю. Див. додаткову інформацію про тести, процедури та тлумачення результатів тестування на виявлення ТБ та трьох TBST у </w:t>
      </w:r>
      <w:hyperlink w:anchor="bookmark220" w:tooltip="Поточний документ">
        <w:r w:rsidR="00366CB9" w:rsidRPr="00E80D3A">
          <w:rPr>
            <w:b/>
            <w:sz w:val="18"/>
            <w:szCs w:val="18"/>
          </w:rPr>
          <w:t>Додатку 4</w:t>
        </w:r>
      </w:hyperlink>
      <w:r w:rsidRPr="00E80D3A">
        <w:rPr>
          <w:sz w:val="18"/>
          <w:szCs w:val="18"/>
        </w:rPr>
        <w:t>.</w:t>
      </w:r>
    </w:p>
    <w:p w14:paraId="1343889B"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20DC5C88"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2760"/>
        <w:gridCol w:w="4349"/>
        <w:gridCol w:w="3499"/>
        <w:gridCol w:w="3451"/>
      </w:tblGrid>
      <w:tr w:rsidR="00366CB9" w14:paraId="00E186DB" w14:textId="77777777">
        <w:trPr>
          <w:trHeight w:hRule="exact" w:val="542"/>
        </w:trPr>
        <w:tc>
          <w:tcPr>
            <w:tcW w:w="14059" w:type="dxa"/>
            <w:gridSpan w:val="4"/>
            <w:shd w:val="clear" w:color="auto" w:fill="FFFFFF"/>
            <w:vAlign w:val="center"/>
          </w:tcPr>
          <w:p w14:paraId="40D6860D" w14:textId="77777777" w:rsidR="00366CB9" w:rsidRPr="00785005" w:rsidRDefault="009D0C1D" w:rsidP="001F35DC">
            <w:pPr>
              <w:pStyle w:val="a6"/>
              <w:shd w:val="clear" w:color="auto" w:fill="auto"/>
              <w:rPr>
                <w:sz w:val="24"/>
                <w:szCs w:val="24"/>
              </w:rPr>
            </w:pPr>
            <w:r>
              <w:rPr>
                <w:color w:val="636466"/>
                <w:sz w:val="24"/>
              </w:rPr>
              <w:t xml:space="preserve">Таблиця 2.12. Порівняння шкірних тестів на виявлення інфекції, пов’язаної з </w:t>
            </w:r>
            <w:r>
              <w:rPr>
                <w:i/>
                <w:color w:val="636466"/>
                <w:sz w:val="22"/>
              </w:rPr>
              <w:t>Mtb</w:t>
            </w:r>
          </w:p>
        </w:tc>
      </w:tr>
      <w:tr w:rsidR="00366CB9" w14:paraId="6B94523E" w14:textId="77777777" w:rsidTr="007751D5">
        <w:trPr>
          <w:trHeight w:hRule="exact" w:val="446"/>
        </w:trPr>
        <w:tc>
          <w:tcPr>
            <w:tcW w:w="2760" w:type="dxa"/>
            <w:tcBorders>
              <w:right w:val="single" w:sz="8" w:space="0" w:color="00B050"/>
            </w:tcBorders>
            <w:shd w:val="clear" w:color="auto" w:fill="62A86A"/>
          </w:tcPr>
          <w:p w14:paraId="66FF22C6" w14:textId="77777777" w:rsidR="00366CB9" w:rsidRPr="00E80D3A" w:rsidRDefault="00366CB9" w:rsidP="001F35DC">
            <w:pPr>
              <w:rPr>
                <w:b/>
                <w:bCs/>
                <w:sz w:val="18"/>
              </w:rPr>
            </w:pPr>
          </w:p>
        </w:tc>
        <w:tc>
          <w:tcPr>
            <w:tcW w:w="4349"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4E5EE01" w14:textId="77777777" w:rsidR="00366CB9" w:rsidRPr="00E80D3A" w:rsidRDefault="009D0C1D" w:rsidP="00654075">
            <w:pPr>
              <w:pStyle w:val="a6"/>
              <w:shd w:val="clear" w:color="auto" w:fill="auto"/>
              <w:rPr>
                <w:sz w:val="18"/>
                <w:szCs w:val="24"/>
              </w:rPr>
            </w:pPr>
            <w:r w:rsidRPr="00E80D3A">
              <w:rPr>
                <w:color w:val="FFFFFF"/>
                <w:sz w:val="18"/>
                <w:szCs w:val="24"/>
              </w:rPr>
              <w:t>Cy-Tb (</w:t>
            </w:r>
            <w:hyperlink w:anchor="bookmark198" w:tooltip="Поточний документ">
              <w:r w:rsidR="00366CB9" w:rsidRPr="00E80D3A">
                <w:rPr>
                  <w:color w:val="FFFFFF"/>
                  <w:sz w:val="18"/>
                  <w:szCs w:val="24"/>
                </w:rPr>
                <w:t>48</w:t>
              </w:r>
            </w:hyperlink>
            <w:r w:rsidRPr="00E80D3A">
              <w:rPr>
                <w:color w:val="FFFFFF"/>
                <w:sz w:val="18"/>
                <w:szCs w:val="24"/>
              </w:rPr>
              <w:t>)</w:t>
            </w:r>
          </w:p>
        </w:tc>
        <w:tc>
          <w:tcPr>
            <w:tcW w:w="3499"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3E88D21" w14:textId="77777777" w:rsidR="00366CB9" w:rsidRPr="00E80D3A" w:rsidRDefault="009D0C1D" w:rsidP="00654075">
            <w:pPr>
              <w:pStyle w:val="a6"/>
              <w:shd w:val="clear" w:color="auto" w:fill="auto"/>
              <w:ind w:firstLine="160"/>
              <w:rPr>
                <w:sz w:val="18"/>
                <w:szCs w:val="24"/>
              </w:rPr>
            </w:pPr>
            <w:r w:rsidRPr="00E80D3A">
              <w:rPr>
                <w:color w:val="FFFFFF"/>
                <w:sz w:val="18"/>
                <w:szCs w:val="24"/>
              </w:rPr>
              <w:t>Diaskintest (</w:t>
            </w:r>
            <w:hyperlink w:anchor="bookmark198" w:tooltip="Поточний документ">
              <w:r w:rsidR="00366CB9" w:rsidRPr="00E80D3A">
                <w:rPr>
                  <w:color w:val="FFFFFF"/>
                  <w:sz w:val="18"/>
                  <w:szCs w:val="24"/>
                </w:rPr>
                <w:t>49</w:t>
              </w:r>
            </w:hyperlink>
            <w:r w:rsidRPr="00E80D3A">
              <w:rPr>
                <w:color w:val="FFFFFF"/>
                <w:sz w:val="18"/>
                <w:szCs w:val="24"/>
              </w:rPr>
              <w:t>)</w:t>
            </w:r>
          </w:p>
        </w:tc>
        <w:tc>
          <w:tcPr>
            <w:tcW w:w="3451"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B7B12FD" w14:textId="77777777" w:rsidR="00366CB9" w:rsidRPr="00E80D3A" w:rsidRDefault="009D0C1D" w:rsidP="00654075">
            <w:pPr>
              <w:pStyle w:val="a6"/>
              <w:shd w:val="clear" w:color="auto" w:fill="auto"/>
              <w:rPr>
                <w:sz w:val="18"/>
                <w:szCs w:val="24"/>
              </w:rPr>
            </w:pPr>
            <w:r w:rsidRPr="00E80D3A">
              <w:rPr>
                <w:color w:val="FFFFFF"/>
                <w:sz w:val="18"/>
                <w:szCs w:val="24"/>
              </w:rPr>
              <w:t>C-TST (</w:t>
            </w:r>
            <w:hyperlink w:anchor="bookmark198" w:tooltip="Поточний документ">
              <w:r w:rsidR="00366CB9" w:rsidRPr="00E80D3A">
                <w:rPr>
                  <w:color w:val="FFFFFF"/>
                  <w:sz w:val="18"/>
                  <w:szCs w:val="24"/>
                </w:rPr>
                <w:t>50</w:t>
              </w:r>
            </w:hyperlink>
            <w:r w:rsidRPr="00E80D3A">
              <w:rPr>
                <w:color w:val="FFFFFF"/>
                <w:sz w:val="18"/>
                <w:szCs w:val="24"/>
              </w:rPr>
              <w:t>)</w:t>
            </w:r>
          </w:p>
        </w:tc>
      </w:tr>
      <w:tr w:rsidR="00366CB9" w14:paraId="7925C5B6" w14:textId="77777777" w:rsidTr="007751D5">
        <w:trPr>
          <w:trHeight w:hRule="exact" w:val="442"/>
        </w:trPr>
        <w:tc>
          <w:tcPr>
            <w:tcW w:w="2760" w:type="dxa"/>
            <w:shd w:val="clear" w:color="auto" w:fill="62A86A"/>
            <w:vAlign w:val="center"/>
          </w:tcPr>
          <w:p w14:paraId="342408BD" w14:textId="77777777" w:rsidR="00366CB9" w:rsidRPr="00E80D3A" w:rsidRDefault="009D0C1D" w:rsidP="00654075">
            <w:pPr>
              <w:pStyle w:val="a6"/>
              <w:shd w:val="clear" w:color="auto" w:fill="auto"/>
              <w:rPr>
                <w:sz w:val="18"/>
                <w:szCs w:val="24"/>
              </w:rPr>
            </w:pPr>
            <w:r w:rsidRPr="00E80D3A">
              <w:rPr>
                <w:color w:val="FFFFFF"/>
                <w:sz w:val="18"/>
                <w:szCs w:val="24"/>
              </w:rPr>
              <w:t>Виробник</w:t>
            </w:r>
          </w:p>
        </w:tc>
        <w:tc>
          <w:tcPr>
            <w:tcW w:w="4349" w:type="dxa"/>
            <w:tcBorders>
              <w:top w:val="single" w:sz="8" w:space="0" w:color="00B050"/>
              <w:bottom w:val="single" w:sz="8" w:space="0" w:color="00B050"/>
            </w:tcBorders>
            <w:shd w:val="clear" w:color="auto" w:fill="FFFFFF"/>
          </w:tcPr>
          <w:p w14:paraId="65700A02" w14:textId="77777777" w:rsidR="00366CB9" w:rsidRPr="00E80D3A" w:rsidRDefault="009D0C1D" w:rsidP="001F35DC">
            <w:pPr>
              <w:pStyle w:val="a6"/>
              <w:shd w:val="clear" w:color="auto" w:fill="auto"/>
              <w:rPr>
                <w:sz w:val="18"/>
                <w:szCs w:val="24"/>
              </w:rPr>
            </w:pPr>
            <w:r w:rsidRPr="00E80D3A">
              <w:rPr>
                <w:b w:val="0"/>
                <w:color w:val="000000"/>
                <w:sz w:val="18"/>
                <w:szCs w:val="24"/>
              </w:rPr>
              <w:t>Інститут сироватки крові Індії</w:t>
            </w:r>
          </w:p>
        </w:tc>
        <w:tc>
          <w:tcPr>
            <w:tcW w:w="3499" w:type="dxa"/>
            <w:tcBorders>
              <w:top w:val="single" w:sz="8" w:space="0" w:color="00B050"/>
              <w:bottom w:val="single" w:sz="8" w:space="0" w:color="00B050"/>
            </w:tcBorders>
            <w:shd w:val="clear" w:color="auto" w:fill="FFFFFF"/>
          </w:tcPr>
          <w:p w14:paraId="163CD648" w14:textId="77777777" w:rsidR="00366CB9" w:rsidRPr="00E80D3A" w:rsidRDefault="009D0C1D" w:rsidP="001F35DC">
            <w:pPr>
              <w:pStyle w:val="a6"/>
              <w:shd w:val="clear" w:color="auto" w:fill="auto"/>
              <w:ind w:firstLine="160"/>
              <w:rPr>
                <w:sz w:val="18"/>
                <w:szCs w:val="24"/>
              </w:rPr>
            </w:pPr>
            <w:r w:rsidRPr="00E80D3A">
              <w:rPr>
                <w:b w:val="0"/>
                <w:color w:val="000000"/>
                <w:sz w:val="18"/>
                <w:szCs w:val="24"/>
              </w:rPr>
              <w:t>Generium</w:t>
            </w:r>
          </w:p>
        </w:tc>
        <w:tc>
          <w:tcPr>
            <w:tcW w:w="3451" w:type="dxa"/>
            <w:tcBorders>
              <w:top w:val="single" w:sz="8" w:space="0" w:color="00B050"/>
              <w:bottom w:val="single" w:sz="8" w:space="0" w:color="00B050"/>
            </w:tcBorders>
            <w:shd w:val="clear" w:color="auto" w:fill="FFFFFF"/>
          </w:tcPr>
          <w:p w14:paraId="36F53CAF" w14:textId="77777777" w:rsidR="00366CB9" w:rsidRPr="00E80D3A" w:rsidRDefault="009D0C1D" w:rsidP="001F35DC">
            <w:pPr>
              <w:pStyle w:val="a6"/>
              <w:shd w:val="clear" w:color="auto" w:fill="auto"/>
              <w:rPr>
                <w:sz w:val="18"/>
                <w:szCs w:val="24"/>
              </w:rPr>
            </w:pPr>
            <w:r w:rsidRPr="00E80D3A">
              <w:rPr>
                <w:b w:val="0"/>
                <w:color w:val="000000"/>
                <w:sz w:val="18"/>
                <w:szCs w:val="24"/>
              </w:rPr>
              <w:t>Anhui Zhifei Longcom</w:t>
            </w:r>
          </w:p>
        </w:tc>
      </w:tr>
      <w:tr w:rsidR="00366CB9" w14:paraId="4F7B6E45" w14:textId="77777777" w:rsidTr="007751D5">
        <w:trPr>
          <w:trHeight w:hRule="exact" w:val="1138"/>
        </w:trPr>
        <w:tc>
          <w:tcPr>
            <w:tcW w:w="2760" w:type="dxa"/>
            <w:shd w:val="clear" w:color="auto" w:fill="62A86A"/>
            <w:vAlign w:val="center"/>
          </w:tcPr>
          <w:p w14:paraId="391EC38A" w14:textId="77777777" w:rsidR="00366CB9" w:rsidRPr="00E80D3A" w:rsidRDefault="009D0C1D" w:rsidP="00654075">
            <w:pPr>
              <w:pStyle w:val="a6"/>
              <w:shd w:val="clear" w:color="auto" w:fill="auto"/>
              <w:spacing w:line="276" w:lineRule="auto"/>
              <w:rPr>
                <w:sz w:val="18"/>
                <w:szCs w:val="24"/>
              </w:rPr>
            </w:pPr>
            <w:r w:rsidRPr="00E80D3A">
              <w:rPr>
                <w:color w:val="FFFFFF"/>
                <w:sz w:val="18"/>
                <w:szCs w:val="24"/>
              </w:rPr>
              <w:t>Рекомбінантний антиген та мікроорганізм, що використовуються для виробництва</w:t>
            </w:r>
          </w:p>
        </w:tc>
        <w:tc>
          <w:tcPr>
            <w:tcW w:w="4349" w:type="dxa"/>
            <w:tcBorders>
              <w:top w:val="single" w:sz="8" w:space="0" w:color="00B050"/>
              <w:bottom w:val="single" w:sz="8" w:space="0" w:color="00B050"/>
            </w:tcBorders>
            <w:shd w:val="clear" w:color="auto" w:fill="FFFFFF"/>
          </w:tcPr>
          <w:p w14:paraId="6C4058AD" w14:textId="77777777" w:rsidR="00366CB9" w:rsidRPr="00E80D3A" w:rsidRDefault="009D0C1D" w:rsidP="001F35DC">
            <w:pPr>
              <w:pStyle w:val="a6"/>
              <w:shd w:val="clear" w:color="auto" w:fill="auto"/>
              <w:rPr>
                <w:sz w:val="18"/>
                <w:szCs w:val="24"/>
              </w:rPr>
            </w:pPr>
            <w:r w:rsidRPr="00E80D3A">
              <w:rPr>
                <w:b w:val="0"/>
                <w:color w:val="000000"/>
                <w:sz w:val="18"/>
                <w:szCs w:val="24"/>
              </w:rPr>
              <w:t>Окремий рекомбінантний ESAT-6 та</w:t>
            </w:r>
          </w:p>
          <w:p w14:paraId="7B96D2FD" w14:textId="77777777" w:rsidR="00366CB9" w:rsidRPr="00E80D3A" w:rsidRDefault="009D0C1D" w:rsidP="001F35DC">
            <w:pPr>
              <w:pStyle w:val="a6"/>
              <w:shd w:val="clear" w:color="auto" w:fill="auto"/>
              <w:rPr>
                <w:sz w:val="18"/>
                <w:szCs w:val="24"/>
              </w:rPr>
            </w:pPr>
            <w:r w:rsidRPr="00E80D3A">
              <w:rPr>
                <w:b w:val="0"/>
                <w:color w:val="000000"/>
                <w:sz w:val="18"/>
                <w:szCs w:val="24"/>
              </w:rPr>
              <w:t>CFP-10</w:t>
            </w:r>
          </w:p>
          <w:p w14:paraId="642934B6" w14:textId="77777777" w:rsidR="00366CB9" w:rsidRPr="00E80D3A" w:rsidRDefault="009D0C1D" w:rsidP="001F35DC">
            <w:pPr>
              <w:pStyle w:val="a6"/>
              <w:shd w:val="clear" w:color="auto" w:fill="auto"/>
              <w:rPr>
                <w:i/>
                <w:iCs/>
                <w:sz w:val="18"/>
                <w:szCs w:val="24"/>
              </w:rPr>
            </w:pPr>
            <w:r w:rsidRPr="00E80D3A">
              <w:rPr>
                <w:b w:val="0"/>
                <w:i/>
                <w:color w:val="000000"/>
                <w:sz w:val="18"/>
                <w:szCs w:val="24"/>
              </w:rPr>
              <w:t>Lactobacillus lactis</w:t>
            </w:r>
          </w:p>
        </w:tc>
        <w:tc>
          <w:tcPr>
            <w:tcW w:w="3499" w:type="dxa"/>
            <w:tcBorders>
              <w:top w:val="single" w:sz="8" w:space="0" w:color="00B050"/>
              <w:bottom w:val="single" w:sz="8" w:space="0" w:color="00B050"/>
            </w:tcBorders>
            <w:shd w:val="clear" w:color="auto" w:fill="FFFFFF"/>
          </w:tcPr>
          <w:p w14:paraId="1BD80D40" w14:textId="77777777" w:rsidR="00366CB9" w:rsidRPr="00E80D3A" w:rsidRDefault="009D0C1D" w:rsidP="001F35DC">
            <w:pPr>
              <w:pStyle w:val="a6"/>
              <w:shd w:val="clear" w:color="auto" w:fill="auto"/>
              <w:ind w:firstLine="160"/>
              <w:rPr>
                <w:sz w:val="18"/>
                <w:szCs w:val="24"/>
              </w:rPr>
            </w:pPr>
            <w:r w:rsidRPr="00E80D3A">
              <w:rPr>
                <w:b w:val="0"/>
                <w:color w:val="000000"/>
                <w:sz w:val="18"/>
                <w:szCs w:val="24"/>
              </w:rPr>
              <w:t>Рекомбінантний білок злиття</w:t>
            </w:r>
          </w:p>
          <w:p w14:paraId="4A810FA4" w14:textId="77777777" w:rsidR="00366CB9" w:rsidRPr="00E80D3A" w:rsidRDefault="009D0C1D" w:rsidP="001F35DC">
            <w:pPr>
              <w:pStyle w:val="a6"/>
              <w:shd w:val="clear" w:color="auto" w:fill="auto"/>
              <w:ind w:firstLine="160"/>
              <w:rPr>
                <w:sz w:val="18"/>
                <w:szCs w:val="24"/>
              </w:rPr>
            </w:pPr>
            <w:r w:rsidRPr="00E80D3A">
              <w:rPr>
                <w:b w:val="0"/>
                <w:color w:val="000000"/>
                <w:sz w:val="18"/>
                <w:szCs w:val="24"/>
              </w:rPr>
              <w:t>ESAT-6 та CFP-10</w:t>
            </w:r>
          </w:p>
          <w:p w14:paraId="5441D3AE" w14:textId="77777777" w:rsidR="00366CB9" w:rsidRPr="00E80D3A" w:rsidRDefault="009D0C1D" w:rsidP="001F35DC">
            <w:pPr>
              <w:pStyle w:val="a6"/>
              <w:shd w:val="clear" w:color="auto" w:fill="auto"/>
              <w:ind w:firstLine="160"/>
              <w:rPr>
                <w:i/>
                <w:iCs/>
                <w:sz w:val="18"/>
                <w:szCs w:val="24"/>
              </w:rPr>
            </w:pPr>
            <w:r w:rsidRPr="00E80D3A">
              <w:rPr>
                <w:b w:val="0"/>
                <w:i/>
                <w:color w:val="000000"/>
                <w:sz w:val="18"/>
                <w:szCs w:val="24"/>
              </w:rPr>
              <w:t>Escherichia coli</w:t>
            </w:r>
          </w:p>
        </w:tc>
        <w:tc>
          <w:tcPr>
            <w:tcW w:w="3451" w:type="dxa"/>
            <w:tcBorders>
              <w:top w:val="single" w:sz="8" w:space="0" w:color="00B050"/>
              <w:bottom w:val="single" w:sz="8" w:space="0" w:color="00B050"/>
            </w:tcBorders>
            <w:shd w:val="clear" w:color="auto" w:fill="FFFFFF"/>
          </w:tcPr>
          <w:p w14:paraId="7C629086" w14:textId="77777777" w:rsidR="00366CB9" w:rsidRPr="00E80D3A" w:rsidRDefault="009D0C1D" w:rsidP="001F35DC">
            <w:pPr>
              <w:pStyle w:val="a6"/>
              <w:shd w:val="clear" w:color="auto" w:fill="auto"/>
              <w:rPr>
                <w:sz w:val="18"/>
                <w:szCs w:val="24"/>
              </w:rPr>
            </w:pPr>
            <w:r w:rsidRPr="00E80D3A">
              <w:rPr>
                <w:b w:val="0"/>
                <w:color w:val="000000"/>
                <w:sz w:val="18"/>
                <w:szCs w:val="24"/>
              </w:rPr>
              <w:t>Рекомбінантний білок злиття</w:t>
            </w:r>
          </w:p>
          <w:p w14:paraId="6C4F6E78" w14:textId="77777777" w:rsidR="00366CB9" w:rsidRPr="00E80D3A" w:rsidRDefault="009D0C1D" w:rsidP="001F35DC">
            <w:pPr>
              <w:pStyle w:val="a6"/>
              <w:shd w:val="clear" w:color="auto" w:fill="auto"/>
              <w:rPr>
                <w:sz w:val="18"/>
                <w:szCs w:val="24"/>
              </w:rPr>
            </w:pPr>
            <w:r w:rsidRPr="00E80D3A">
              <w:rPr>
                <w:b w:val="0"/>
                <w:color w:val="000000"/>
                <w:sz w:val="18"/>
                <w:szCs w:val="24"/>
              </w:rPr>
              <w:t>ESAT-6 та CFP-10</w:t>
            </w:r>
          </w:p>
          <w:p w14:paraId="3E4DF34C" w14:textId="77777777" w:rsidR="00366CB9" w:rsidRPr="00E80D3A" w:rsidRDefault="009D0C1D" w:rsidP="001F35DC">
            <w:pPr>
              <w:pStyle w:val="a6"/>
              <w:shd w:val="clear" w:color="auto" w:fill="auto"/>
              <w:rPr>
                <w:i/>
                <w:iCs/>
                <w:sz w:val="18"/>
                <w:szCs w:val="24"/>
              </w:rPr>
            </w:pPr>
            <w:r w:rsidRPr="00E80D3A">
              <w:rPr>
                <w:b w:val="0"/>
                <w:i/>
                <w:color w:val="000000"/>
                <w:sz w:val="18"/>
                <w:szCs w:val="24"/>
              </w:rPr>
              <w:t>Escherichia coli</w:t>
            </w:r>
          </w:p>
        </w:tc>
      </w:tr>
      <w:tr w:rsidR="00366CB9" w14:paraId="2AE6AB2A" w14:textId="77777777" w:rsidTr="007751D5">
        <w:trPr>
          <w:trHeight w:hRule="exact" w:val="706"/>
        </w:trPr>
        <w:tc>
          <w:tcPr>
            <w:tcW w:w="2760" w:type="dxa"/>
            <w:shd w:val="clear" w:color="auto" w:fill="62A86A"/>
            <w:vAlign w:val="center"/>
          </w:tcPr>
          <w:p w14:paraId="4D4227BB" w14:textId="77777777" w:rsidR="00366CB9" w:rsidRPr="00E80D3A" w:rsidRDefault="009D0C1D" w:rsidP="00654075">
            <w:pPr>
              <w:pStyle w:val="a6"/>
              <w:shd w:val="clear" w:color="auto" w:fill="auto"/>
              <w:spacing w:line="276" w:lineRule="auto"/>
              <w:rPr>
                <w:sz w:val="18"/>
                <w:szCs w:val="24"/>
              </w:rPr>
            </w:pPr>
            <w:r w:rsidRPr="00E80D3A">
              <w:rPr>
                <w:color w:val="FFFFFF"/>
                <w:sz w:val="18"/>
                <w:szCs w:val="24"/>
              </w:rPr>
              <w:t>Кількість антигену в одній дозі</w:t>
            </w:r>
          </w:p>
        </w:tc>
        <w:tc>
          <w:tcPr>
            <w:tcW w:w="4349" w:type="dxa"/>
            <w:tcBorders>
              <w:top w:val="single" w:sz="8" w:space="0" w:color="00B050"/>
              <w:bottom w:val="single" w:sz="8" w:space="0" w:color="00B050"/>
            </w:tcBorders>
            <w:shd w:val="clear" w:color="auto" w:fill="FFFFFF"/>
          </w:tcPr>
          <w:p w14:paraId="7DFB0287" w14:textId="77777777" w:rsidR="00366CB9" w:rsidRPr="00E80D3A" w:rsidRDefault="009D0C1D" w:rsidP="001F35DC">
            <w:pPr>
              <w:pStyle w:val="a6"/>
              <w:shd w:val="clear" w:color="auto" w:fill="auto"/>
              <w:rPr>
                <w:sz w:val="18"/>
                <w:szCs w:val="24"/>
              </w:rPr>
            </w:pPr>
            <w:r w:rsidRPr="00E80D3A">
              <w:rPr>
                <w:b w:val="0"/>
                <w:color w:val="000000"/>
                <w:sz w:val="18"/>
                <w:szCs w:val="24"/>
              </w:rPr>
              <w:t>0,05 мкг кожного рекомбінантного білка</w:t>
            </w:r>
          </w:p>
        </w:tc>
        <w:tc>
          <w:tcPr>
            <w:tcW w:w="3499" w:type="dxa"/>
            <w:tcBorders>
              <w:top w:val="single" w:sz="8" w:space="0" w:color="00B050"/>
              <w:bottom w:val="single" w:sz="8" w:space="0" w:color="00B050"/>
            </w:tcBorders>
            <w:shd w:val="clear" w:color="auto" w:fill="FFFFFF"/>
          </w:tcPr>
          <w:p w14:paraId="219CEDD4" w14:textId="77777777" w:rsidR="00366CB9" w:rsidRPr="00E80D3A" w:rsidRDefault="009D0C1D" w:rsidP="001F35DC">
            <w:pPr>
              <w:pStyle w:val="a6"/>
              <w:shd w:val="clear" w:color="auto" w:fill="auto"/>
              <w:ind w:firstLine="160"/>
              <w:rPr>
                <w:sz w:val="18"/>
                <w:szCs w:val="24"/>
              </w:rPr>
            </w:pPr>
            <w:r w:rsidRPr="00E80D3A">
              <w:rPr>
                <w:b w:val="0"/>
                <w:color w:val="000000"/>
                <w:sz w:val="18"/>
                <w:szCs w:val="24"/>
              </w:rPr>
              <w:t>0,2 мкг білка злиття</w:t>
            </w:r>
          </w:p>
        </w:tc>
        <w:tc>
          <w:tcPr>
            <w:tcW w:w="3451" w:type="dxa"/>
            <w:tcBorders>
              <w:top w:val="single" w:sz="8" w:space="0" w:color="00B050"/>
              <w:bottom w:val="single" w:sz="8" w:space="0" w:color="00B050"/>
            </w:tcBorders>
            <w:shd w:val="clear" w:color="auto" w:fill="FFFFFF"/>
          </w:tcPr>
          <w:p w14:paraId="1C5CB05D" w14:textId="77777777" w:rsidR="00366CB9" w:rsidRPr="00E80D3A" w:rsidRDefault="009D0C1D" w:rsidP="001F35DC">
            <w:pPr>
              <w:pStyle w:val="a6"/>
              <w:shd w:val="clear" w:color="auto" w:fill="auto"/>
              <w:rPr>
                <w:sz w:val="18"/>
                <w:szCs w:val="24"/>
              </w:rPr>
            </w:pPr>
            <w:r w:rsidRPr="00E80D3A">
              <w:rPr>
                <w:b w:val="0"/>
                <w:color w:val="000000"/>
                <w:sz w:val="18"/>
                <w:szCs w:val="24"/>
              </w:rPr>
              <w:t>5 О</w:t>
            </w:r>
          </w:p>
        </w:tc>
      </w:tr>
      <w:tr w:rsidR="00366CB9" w14:paraId="3AEEDD56" w14:textId="77777777" w:rsidTr="007751D5">
        <w:trPr>
          <w:trHeight w:hRule="exact" w:val="1229"/>
        </w:trPr>
        <w:tc>
          <w:tcPr>
            <w:tcW w:w="2760" w:type="dxa"/>
            <w:shd w:val="clear" w:color="auto" w:fill="62A86A"/>
            <w:vAlign w:val="center"/>
          </w:tcPr>
          <w:p w14:paraId="6E4139C1" w14:textId="77777777" w:rsidR="00366CB9" w:rsidRPr="00E80D3A" w:rsidRDefault="009D0C1D" w:rsidP="00654075">
            <w:pPr>
              <w:pStyle w:val="a6"/>
              <w:shd w:val="clear" w:color="auto" w:fill="auto"/>
              <w:rPr>
                <w:sz w:val="18"/>
                <w:szCs w:val="24"/>
              </w:rPr>
            </w:pPr>
            <w:r w:rsidRPr="00E80D3A">
              <w:rPr>
                <w:color w:val="FFFFFF"/>
                <w:sz w:val="18"/>
                <w:szCs w:val="24"/>
              </w:rPr>
              <w:t>Додаткові компоненти</w:t>
            </w:r>
          </w:p>
        </w:tc>
        <w:tc>
          <w:tcPr>
            <w:tcW w:w="4349" w:type="dxa"/>
            <w:tcBorders>
              <w:top w:val="single" w:sz="8" w:space="0" w:color="00B050"/>
              <w:bottom w:val="single" w:sz="8" w:space="0" w:color="00B050"/>
            </w:tcBorders>
            <w:shd w:val="clear" w:color="auto" w:fill="FFFFFF"/>
          </w:tcPr>
          <w:p w14:paraId="5751969A" w14:textId="77777777" w:rsidR="00366CB9" w:rsidRPr="00E80D3A" w:rsidRDefault="009D0C1D" w:rsidP="001F35DC">
            <w:pPr>
              <w:pStyle w:val="a6"/>
              <w:shd w:val="clear" w:color="auto" w:fill="auto"/>
              <w:spacing w:line="276" w:lineRule="auto"/>
              <w:rPr>
                <w:sz w:val="18"/>
                <w:szCs w:val="24"/>
              </w:rPr>
            </w:pPr>
            <w:r w:rsidRPr="00E80D3A">
              <w:rPr>
                <w:b w:val="0"/>
                <w:color w:val="000000"/>
                <w:sz w:val="18"/>
                <w:szCs w:val="24"/>
              </w:rPr>
              <w:t>Динатрію гідрофосфату дигідрат, калію дигідрофосфату ортофосфат, калію хлорид, натрію хлорид, полісорбат 20 та фенол</w:t>
            </w:r>
          </w:p>
        </w:tc>
        <w:tc>
          <w:tcPr>
            <w:tcW w:w="3499" w:type="dxa"/>
            <w:tcBorders>
              <w:top w:val="single" w:sz="8" w:space="0" w:color="00B050"/>
              <w:bottom w:val="single" w:sz="8" w:space="0" w:color="00B050"/>
            </w:tcBorders>
            <w:shd w:val="clear" w:color="auto" w:fill="FFFFFF"/>
          </w:tcPr>
          <w:p w14:paraId="700B6497" w14:textId="77777777" w:rsidR="00366CB9" w:rsidRPr="00E80D3A" w:rsidRDefault="009D0C1D" w:rsidP="001F35DC">
            <w:pPr>
              <w:pStyle w:val="a6"/>
              <w:shd w:val="clear" w:color="auto" w:fill="auto"/>
              <w:spacing w:line="276" w:lineRule="auto"/>
              <w:ind w:left="160"/>
              <w:rPr>
                <w:sz w:val="18"/>
                <w:szCs w:val="24"/>
              </w:rPr>
            </w:pPr>
            <w:r w:rsidRPr="00E80D3A">
              <w:rPr>
                <w:b w:val="0"/>
                <w:color w:val="000000"/>
                <w:sz w:val="18"/>
                <w:szCs w:val="24"/>
              </w:rPr>
              <w:t>Динатрію фосфату дигідрат, натрію хлорид, калію дигідрофосфат, полісорбат 80 та фенол</w:t>
            </w:r>
          </w:p>
        </w:tc>
        <w:tc>
          <w:tcPr>
            <w:tcW w:w="3451" w:type="dxa"/>
            <w:tcBorders>
              <w:top w:val="single" w:sz="8" w:space="0" w:color="00B050"/>
              <w:bottom w:val="single" w:sz="8" w:space="0" w:color="00B050"/>
            </w:tcBorders>
            <w:shd w:val="clear" w:color="auto" w:fill="FFFFFF"/>
          </w:tcPr>
          <w:p w14:paraId="001EDC1C" w14:textId="77777777" w:rsidR="00366CB9" w:rsidRPr="00E80D3A" w:rsidRDefault="009D0C1D" w:rsidP="001F35DC">
            <w:pPr>
              <w:pStyle w:val="a6"/>
              <w:shd w:val="clear" w:color="auto" w:fill="auto"/>
              <w:spacing w:line="276" w:lineRule="auto"/>
              <w:rPr>
                <w:sz w:val="18"/>
                <w:szCs w:val="24"/>
              </w:rPr>
            </w:pPr>
            <w:r w:rsidRPr="00E80D3A">
              <w:rPr>
                <w:b w:val="0"/>
                <w:color w:val="000000"/>
                <w:sz w:val="18"/>
                <w:szCs w:val="24"/>
              </w:rPr>
              <w:t>Динатрію гідрофосфат, калію дигідрофосфат, натрію хлорид, фенол та полісорбат 80</w:t>
            </w:r>
          </w:p>
        </w:tc>
      </w:tr>
      <w:tr w:rsidR="00366CB9" w14:paraId="791149E8" w14:textId="77777777" w:rsidTr="007751D5">
        <w:trPr>
          <w:trHeight w:hRule="exact" w:val="884"/>
        </w:trPr>
        <w:tc>
          <w:tcPr>
            <w:tcW w:w="2760" w:type="dxa"/>
            <w:shd w:val="clear" w:color="auto" w:fill="62A86A"/>
            <w:vAlign w:val="center"/>
          </w:tcPr>
          <w:p w14:paraId="78AE0ACD" w14:textId="77777777" w:rsidR="00366CB9" w:rsidRPr="00E80D3A" w:rsidRDefault="009D0C1D" w:rsidP="00654075">
            <w:pPr>
              <w:pStyle w:val="a6"/>
              <w:shd w:val="clear" w:color="auto" w:fill="auto"/>
              <w:spacing w:line="271" w:lineRule="auto"/>
              <w:rPr>
                <w:sz w:val="18"/>
                <w:szCs w:val="24"/>
              </w:rPr>
            </w:pPr>
            <w:r w:rsidRPr="00E80D3A">
              <w:rPr>
                <w:color w:val="FFFFFF"/>
                <w:sz w:val="18"/>
                <w:szCs w:val="24"/>
              </w:rPr>
              <w:t>Вагітність і період лактації</w:t>
            </w:r>
          </w:p>
        </w:tc>
        <w:tc>
          <w:tcPr>
            <w:tcW w:w="4349" w:type="dxa"/>
            <w:tcBorders>
              <w:top w:val="single" w:sz="8" w:space="0" w:color="00B050"/>
              <w:bottom w:val="single" w:sz="8" w:space="0" w:color="00B050"/>
            </w:tcBorders>
            <w:shd w:val="clear" w:color="auto" w:fill="FFFFFF"/>
          </w:tcPr>
          <w:p w14:paraId="47E14B8A" w14:textId="77777777" w:rsidR="00366CB9" w:rsidRPr="00E80D3A" w:rsidRDefault="009D0C1D" w:rsidP="00B97539">
            <w:pPr>
              <w:pStyle w:val="a6"/>
              <w:shd w:val="clear" w:color="auto" w:fill="auto"/>
              <w:spacing w:line="271" w:lineRule="auto"/>
              <w:rPr>
                <w:sz w:val="18"/>
                <w:szCs w:val="24"/>
              </w:rPr>
            </w:pPr>
            <w:r w:rsidRPr="00E80D3A">
              <w:rPr>
                <w:b w:val="0"/>
                <w:color w:val="000000"/>
                <w:sz w:val="18"/>
                <w:szCs w:val="24"/>
              </w:rPr>
              <w:t>Відсутність доказів небажаних явищ у вагітних або годуючих жінок та їхніх дітей в обмеженій когорті (&lt; 500 жінок).</w:t>
            </w:r>
          </w:p>
        </w:tc>
        <w:tc>
          <w:tcPr>
            <w:tcW w:w="3499" w:type="dxa"/>
            <w:tcBorders>
              <w:top w:val="single" w:sz="8" w:space="0" w:color="00B050"/>
              <w:bottom w:val="single" w:sz="8" w:space="0" w:color="00B050"/>
            </w:tcBorders>
            <w:shd w:val="clear" w:color="auto" w:fill="FFFFFF"/>
          </w:tcPr>
          <w:p w14:paraId="291BCAB8" w14:textId="77777777" w:rsidR="00366CB9" w:rsidRPr="00E80D3A" w:rsidRDefault="009D0C1D" w:rsidP="00B97539">
            <w:pPr>
              <w:pStyle w:val="a6"/>
              <w:shd w:val="clear" w:color="auto" w:fill="auto"/>
              <w:ind w:firstLine="160"/>
              <w:rPr>
                <w:sz w:val="18"/>
                <w:szCs w:val="24"/>
              </w:rPr>
            </w:pPr>
            <w:r w:rsidRPr="00E80D3A">
              <w:rPr>
                <w:b w:val="0"/>
                <w:color w:val="000000"/>
                <w:sz w:val="18"/>
                <w:szCs w:val="24"/>
              </w:rPr>
              <w:t>Дані відсутні</w:t>
            </w:r>
          </w:p>
        </w:tc>
        <w:tc>
          <w:tcPr>
            <w:tcW w:w="3451" w:type="dxa"/>
            <w:tcBorders>
              <w:top w:val="single" w:sz="8" w:space="0" w:color="00B050"/>
              <w:bottom w:val="single" w:sz="8" w:space="0" w:color="00B050"/>
            </w:tcBorders>
            <w:shd w:val="clear" w:color="auto" w:fill="FFFFFF"/>
          </w:tcPr>
          <w:p w14:paraId="2A3CC9AA" w14:textId="77777777" w:rsidR="00366CB9" w:rsidRPr="00E80D3A" w:rsidRDefault="009D0C1D" w:rsidP="00B97539">
            <w:pPr>
              <w:pStyle w:val="a6"/>
              <w:shd w:val="clear" w:color="auto" w:fill="auto"/>
              <w:rPr>
                <w:sz w:val="18"/>
                <w:szCs w:val="24"/>
              </w:rPr>
            </w:pPr>
            <w:r w:rsidRPr="00E80D3A">
              <w:rPr>
                <w:b w:val="0"/>
                <w:color w:val="000000"/>
                <w:sz w:val="18"/>
                <w:szCs w:val="24"/>
              </w:rPr>
              <w:t>Дані відсутні</w:t>
            </w:r>
          </w:p>
        </w:tc>
      </w:tr>
      <w:tr w:rsidR="00366CB9" w14:paraId="5B5F6F98" w14:textId="77777777" w:rsidTr="007751D5">
        <w:trPr>
          <w:trHeight w:hRule="exact" w:val="3263"/>
        </w:trPr>
        <w:tc>
          <w:tcPr>
            <w:tcW w:w="2760" w:type="dxa"/>
            <w:shd w:val="clear" w:color="auto" w:fill="62A86A"/>
            <w:vAlign w:val="center"/>
          </w:tcPr>
          <w:p w14:paraId="274D509B" w14:textId="77777777" w:rsidR="00366CB9" w:rsidRPr="00E80D3A" w:rsidRDefault="009D0C1D" w:rsidP="00654075">
            <w:pPr>
              <w:pStyle w:val="a6"/>
              <w:shd w:val="clear" w:color="auto" w:fill="auto"/>
              <w:rPr>
                <w:sz w:val="18"/>
                <w:szCs w:val="24"/>
              </w:rPr>
            </w:pPr>
            <w:r w:rsidRPr="00E80D3A">
              <w:rPr>
                <w:color w:val="FFFFFF"/>
                <w:sz w:val="18"/>
                <w:szCs w:val="24"/>
              </w:rPr>
              <w:t>Протипоказання</w:t>
            </w:r>
          </w:p>
        </w:tc>
        <w:tc>
          <w:tcPr>
            <w:tcW w:w="4349" w:type="dxa"/>
            <w:tcBorders>
              <w:top w:val="single" w:sz="8" w:space="0" w:color="00B050"/>
              <w:bottom w:val="single" w:sz="8" w:space="0" w:color="00B050"/>
            </w:tcBorders>
            <w:shd w:val="clear" w:color="auto" w:fill="FFFFFF"/>
          </w:tcPr>
          <w:p w14:paraId="5C19FF95" w14:textId="77777777" w:rsidR="00366CB9" w:rsidRPr="00E80D3A" w:rsidRDefault="009D0C1D" w:rsidP="00B97539">
            <w:pPr>
              <w:pStyle w:val="a6"/>
              <w:shd w:val="clear" w:color="auto" w:fill="auto"/>
              <w:spacing w:line="271" w:lineRule="auto"/>
              <w:rPr>
                <w:sz w:val="18"/>
                <w:szCs w:val="24"/>
              </w:rPr>
            </w:pPr>
            <w:r w:rsidRPr="00E80D3A">
              <w:rPr>
                <w:b w:val="0"/>
                <w:color w:val="000000"/>
                <w:sz w:val="18"/>
                <w:szCs w:val="24"/>
              </w:rPr>
              <w:t xml:space="preserve">Алергія на продукти з </w:t>
            </w:r>
            <w:r w:rsidRPr="00E80D3A">
              <w:rPr>
                <w:b w:val="0"/>
                <w:i/>
                <w:color w:val="000000"/>
                <w:sz w:val="18"/>
                <w:szCs w:val="24"/>
              </w:rPr>
              <w:t>Lactobacillus lactis</w:t>
            </w:r>
          </w:p>
        </w:tc>
        <w:tc>
          <w:tcPr>
            <w:tcW w:w="3499" w:type="dxa"/>
            <w:tcBorders>
              <w:top w:val="single" w:sz="8" w:space="0" w:color="00B050"/>
              <w:bottom w:val="single" w:sz="8" w:space="0" w:color="00B050"/>
            </w:tcBorders>
            <w:shd w:val="clear" w:color="auto" w:fill="FFFFFF"/>
          </w:tcPr>
          <w:p w14:paraId="141B53B8" w14:textId="7747E4CB" w:rsidR="00B97539" w:rsidRPr="00E80D3A" w:rsidRDefault="00FE22F4" w:rsidP="00654075">
            <w:pPr>
              <w:pStyle w:val="a6"/>
              <w:shd w:val="clear" w:color="auto" w:fill="auto"/>
              <w:tabs>
                <w:tab w:val="left" w:pos="535"/>
              </w:tabs>
              <w:spacing w:line="312" w:lineRule="auto"/>
              <w:ind w:left="251" w:hanging="251"/>
              <w:rPr>
                <w:b w:val="0"/>
                <w:bCs w:val="0"/>
                <w:color w:val="000000"/>
                <w:sz w:val="18"/>
                <w:szCs w:val="24"/>
              </w:rPr>
            </w:pPr>
            <w:r w:rsidRPr="00E80D3A">
              <w:rPr>
                <w:rFonts w:ascii="Wingdings" w:hAnsi="Wingdings"/>
                <w:b w:val="0"/>
                <w:color w:val="000000"/>
                <w:sz w:val="18"/>
                <w:szCs w:val="24"/>
              </w:rPr>
              <w:t></w:t>
            </w:r>
            <w:r w:rsidR="00654075" w:rsidRPr="00E80D3A">
              <w:rPr>
                <w:sz w:val="18"/>
                <w:szCs w:val="24"/>
              </w:rPr>
              <w:tab/>
            </w:r>
            <w:r w:rsidRPr="00E80D3A">
              <w:rPr>
                <w:b w:val="0"/>
                <w:color w:val="000000"/>
                <w:sz w:val="18"/>
                <w:szCs w:val="24"/>
              </w:rPr>
              <w:t xml:space="preserve">Гострі та хронічні (у стадії загострення) інфекції, відмінні від ТБ (можливого або ймовірного) </w:t>
            </w:r>
          </w:p>
          <w:p w14:paraId="57BC9EBC" w14:textId="789032DD" w:rsidR="00B97539" w:rsidRPr="00E80D3A" w:rsidRDefault="00FE22F4" w:rsidP="00654075">
            <w:pPr>
              <w:pStyle w:val="a6"/>
              <w:shd w:val="clear" w:color="auto" w:fill="auto"/>
              <w:tabs>
                <w:tab w:val="left" w:pos="535"/>
              </w:tabs>
              <w:spacing w:line="312" w:lineRule="auto"/>
              <w:ind w:left="251" w:hanging="251"/>
              <w:rPr>
                <w:b w:val="0"/>
                <w:bCs w:val="0"/>
                <w:color w:val="000000"/>
                <w:sz w:val="18"/>
                <w:szCs w:val="24"/>
              </w:rPr>
            </w:pPr>
            <w:r w:rsidRPr="00E80D3A">
              <w:rPr>
                <w:rFonts w:ascii="Wingdings" w:hAnsi="Wingdings"/>
                <w:b w:val="0"/>
                <w:color w:val="000000"/>
                <w:sz w:val="18"/>
                <w:szCs w:val="24"/>
              </w:rPr>
              <w:t></w:t>
            </w:r>
            <w:r w:rsidR="00654075" w:rsidRPr="00E80D3A">
              <w:rPr>
                <w:sz w:val="18"/>
                <w:szCs w:val="24"/>
              </w:rPr>
              <w:tab/>
            </w:r>
            <w:r w:rsidRPr="00E80D3A">
              <w:rPr>
                <w:b w:val="0"/>
                <w:color w:val="000000"/>
                <w:sz w:val="18"/>
                <w:szCs w:val="24"/>
              </w:rPr>
              <w:t xml:space="preserve">Соматичні та інші захворювання у стадії загострення </w:t>
            </w:r>
          </w:p>
          <w:p w14:paraId="05DAAA5A" w14:textId="170CEAD5" w:rsidR="00B97539" w:rsidRPr="00E80D3A" w:rsidRDefault="00FE22F4" w:rsidP="00654075">
            <w:pPr>
              <w:pStyle w:val="a6"/>
              <w:shd w:val="clear" w:color="auto" w:fill="auto"/>
              <w:tabs>
                <w:tab w:val="left" w:pos="535"/>
              </w:tabs>
              <w:spacing w:line="312" w:lineRule="auto"/>
              <w:ind w:left="251" w:hanging="251"/>
              <w:rPr>
                <w:b w:val="0"/>
                <w:bCs w:val="0"/>
                <w:color w:val="000000"/>
                <w:sz w:val="18"/>
                <w:szCs w:val="24"/>
              </w:rPr>
            </w:pPr>
            <w:r w:rsidRPr="00E80D3A">
              <w:rPr>
                <w:rFonts w:ascii="Wingdings" w:hAnsi="Wingdings"/>
                <w:b w:val="0"/>
                <w:color w:val="000000"/>
                <w:sz w:val="18"/>
                <w:szCs w:val="24"/>
              </w:rPr>
              <w:t></w:t>
            </w:r>
            <w:r w:rsidR="00654075" w:rsidRPr="00E80D3A">
              <w:rPr>
                <w:sz w:val="18"/>
                <w:szCs w:val="24"/>
              </w:rPr>
              <w:tab/>
            </w:r>
            <w:r w:rsidRPr="00E80D3A">
              <w:rPr>
                <w:b w:val="0"/>
                <w:color w:val="000000"/>
                <w:sz w:val="18"/>
                <w:szCs w:val="24"/>
              </w:rPr>
              <w:t xml:space="preserve">Поширені захворювання шкіри </w:t>
            </w:r>
          </w:p>
          <w:p w14:paraId="154AD003" w14:textId="5F890465" w:rsidR="00B97539" w:rsidRPr="00E80D3A" w:rsidRDefault="00FE22F4" w:rsidP="00654075">
            <w:pPr>
              <w:pStyle w:val="a6"/>
              <w:shd w:val="clear" w:color="auto" w:fill="auto"/>
              <w:tabs>
                <w:tab w:val="left" w:pos="535"/>
              </w:tabs>
              <w:spacing w:line="312" w:lineRule="auto"/>
              <w:ind w:left="251" w:hanging="251"/>
              <w:rPr>
                <w:b w:val="0"/>
                <w:bCs w:val="0"/>
                <w:color w:val="000000"/>
                <w:sz w:val="18"/>
                <w:szCs w:val="24"/>
              </w:rPr>
            </w:pPr>
            <w:r w:rsidRPr="00E80D3A">
              <w:rPr>
                <w:rFonts w:ascii="Wingdings" w:hAnsi="Wingdings"/>
                <w:b w:val="0"/>
                <w:color w:val="000000"/>
                <w:sz w:val="18"/>
                <w:szCs w:val="24"/>
              </w:rPr>
              <w:t></w:t>
            </w:r>
            <w:r w:rsidR="00654075" w:rsidRPr="00E80D3A">
              <w:rPr>
                <w:sz w:val="18"/>
                <w:szCs w:val="24"/>
              </w:rPr>
              <w:tab/>
            </w:r>
            <w:r w:rsidRPr="00E80D3A">
              <w:rPr>
                <w:b w:val="0"/>
                <w:color w:val="000000"/>
                <w:sz w:val="18"/>
                <w:szCs w:val="24"/>
              </w:rPr>
              <w:t xml:space="preserve">Алергії </w:t>
            </w:r>
          </w:p>
          <w:p w14:paraId="34DCD42D" w14:textId="0E797844" w:rsidR="00B97539" w:rsidRPr="00E80D3A" w:rsidRDefault="00FE22F4" w:rsidP="00654075">
            <w:pPr>
              <w:pStyle w:val="a6"/>
              <w:shd w:val="clear" w:color="auto" w:fill="auto"/>
              <w:tabs>
                <w:tab w:val="left" w:pos="535"/>
              </w:tabs>
              <w:spacing w:line="312" w:lineRule="auto"/>
              <w:ind w:left="251" w:hanging="251"/>
              <w:rPr>
                <w:b w:val="0"/>
                <w:bCs w:val="0"/>
                <w:color w:val="000000"/>
                <w:sz w:val="18"/>
                <w:szCs w:val="24"/>
              </w:rPr>
            </w:pPr>
            <w:r w:rsidRPr="00E80D3A">
              <w:rPr>
                <w:rFonts w:ascii="Wingdings" w:hAnsi="Wingdings"/>
                <w:b w:val="0"/>
                <w:color w:val="000000"/>
                <w:sz w:val="18"/>
                <w:szCs w:val="24"/>
              </w:rPr>
              <w:t></w:t>
            </w:r>
            <w:r w:rsidR="00654075" w:rsidRPr="00E80D3A">
              <w:rPr>
                <w:sz w:val="18"/>
                <w:szCs w:val="24"/>
              </w:rPr>
              <w:tab/>
            </w:r>
            <w:r w:rsidRPr="00E80D3A">
              <w:rPr>
                <w:b w:val="0"/>
                <w:color w:val="000000"/>
                <w:sz w:val="18"/>
                <w:szCs w:val="24"/>
              </w:rPr>
              <w:t xml:space="preserve">Епілепсія </w:t>
            </w:r>
          </w:p>
          <w:p w14:paraId="6C6ED696" w14:textId="53D14389" w:rsidR="00366CB9" w:rsidRPr="00E80D3A" w:rsidRDefault="00FE22F4" w:rsidP="00654075">
            <w:pPr>
              <w:pStyle w:val="a6"/>
              <w:shd w:val="clear" w:color="auto" w:fill="auto"/>
              <w:tabs>
                <w:tab w:val="left" w:pos="535"/>
              </w:tabs>
              <w:spacing w:line="312" w:lineRule="auto"/>
              <w:ind w:left="251" w:hanging="251"/>
              <w:rPr>
                <w:sz w:val="18"/>
                <w:szCs w:val="24"/>
              </w:rPr>
            </w:pPr>
            <w:r w:rsidRPr="00E80D3A">
              <w:rPr>
                <w:rFonts w:ascii="Wingdings" w:hAnsi="Wingdings"/>
                <w:b w:val="0"/>
                <w:color w:val="000000"/>
                <w:sz w:val="18"/>
                <w:szCs w:val="24"/>
              </w:rPr>
              <w:t></w:t>
            </w:r>
            <w:r w:rsidR="00654075" w:rsidRPr="00E80D3A">
              <w:rPr>
                <w:sz w:val="18"/>
                <w:szCs w:val="24"/>
              </w:rPr>
              <w:tab/>
            </w:r>
            <w:r w:rsidRPr="00E80D3A">
              <w:rPr>
                <w:b w:val="0"/>
                <w:color w:val="000000"/>
                <w:sz w:val="18"/>
                <w:szCs w:val="24"/>
              </w:rPr>
              <w:t>Гіперчутливість до діючої речовини або до будь-якої допоміжної речовини лікарського засобу</w:t>
            </w:r>
          </w:p>
        </w:tc>
        <w:tc>
          <w:tcPr>
            <w:tcW w:w="3451" w:type="dxa"/>
            <w:tcBorders>
              <w:top w:val="single" w:sz="8" w:space="0" w:color="00B050"/>
              <w:bottom w:val="single" w:sz="8" w:space="0" w:color="00B050"/>
            </w:tcBorders>
            <w:shd w:val="clear" w:color="auto" w:fill="FFFFFF"/>
          </w:tcPr>
          <w:p w14:paraId="732B2210" w14:textId="2858A7B8" w:rsidR="00366CB9" w:rsidRPr="00E80D3A" w:rsidRDefault="00FE22F4" w:rsidP="001F35DC">
            <w:pPr>
              <w:pStyle w:val="a6"/>
              <w:shd w:val="clear" w:color="auto" w:fill="auto"/>
              <w:spacing w:after="60" w:line="271" w:lineRule="auto"/>
              <w:ind w:left="260" w:hanging="260"/>
              <w:rPr>
                <w:sz w:val="18"/>
                <w:szCs w:val="24"/>
              </w:rPr>
            </w:pPr>
            <w:r w:rsidRPr="00E80D3A">
              <w:rPr>
                <w:rFonts w:ascii="Wingdings" w:hAnsi="Wingdings"/>
                <w:b w:val="0"/>
                <w:color w:val="000000"/>
                <w:sz w:val="18"/>
                <w:szCs w:val="24"/>
              </w:rPr>
              <w:t></w:t>
            </w:r>
            <w:r w:rsidR="00654075" w:rsidRPr="00E80D3A">
              <w:rPr>
                <w:sz w:val="18"/>
                <w:szCs w:val="24"/>
              </w:rPr>
              <w:tab/>
            </w:r>
            <w:r w:rsidRPr="00E80D3A">
              <w:rPr>
                <w:b w:val="0"/>
                <w:color w:val="000000"/>
                <w:sz w:val="18"/>
                <w:szCs w:val="24"/>
              </w:rPr>
              <w:t>Діти у віці до 6 місяців або від 65 років, відносні протипоказання через відсутні дані щодо безпеки або точності для цих вікових груп</w:t>
            </w:r>
          </w:p>
          <w:p w14:paraId="58C6BD77" w14:textId="383DF3EB" w:rsidR="00366CB9" w:rsidRPr="00E80D3A" w:rsidRDefault="00FE22F4" w:rsidP="001F35DC">
            <w:pPr>
              <w:pStyle w:val="a6"/>
              <w:shd w:val="clear" w:color="auto" w:fill="auto"/>
              <w:spacing w:line="271" w:lineRule="auto"/>
              <w:ind w:left="260" w:hanging="260"/>
              <w:rPr>
                <w:sz w:val="18"/>
                <w:szCs w:val="24"/>
              </w:rPr>
            </w:pPr>
            <w:r w:rsidRPr="00E80D3A">
              <w:rPr>
                <w:rFonts w:ascii="Wingdings" w:hAnsi="Wingdings"/>
                <w:b w:val="0"/>
                <w:color w:val="000000"/>
                <w:sz w:val="18"/>
                <w:szCs w:val="24"/>
              </w:rPr>
              <w:t></w:t>
            </w:r>
            <w:r w:rsidR="00654075" w:rsidRPr="00E80D3A">
              <w:rPr>
                <w:sz w:val="18"/>
                <w:szCs w:val="24"/>
              </w:rPr>
              <w:tab/>
            </w:r>
            <w:r w:rsidRPr="00E80D3A">
              <w:rPr>
                <w:b w:val="0"/>
                <w:color w:val="000000"/>
                <w:sz w:val="18"/>
                <w:szCs w:val="24"/>
              </w:rPr>
              <w:t>Пацієнти з гострими інфекційними захворюваннями (наприклад, кір, кашлюк, грип або пневмонія), гострим менінгітом з ураженням очей, гострим отитом середнього вуха та поширеними захворюваннями шкіри</w:t>
            </w:r>
          </w:p>
        </w:tc>
      </w:tr>
      <w:tr w:rsidR="00366CB9" w14:paraId="4981DEAD" w14:textId="77777777" w:rsidTr="00654075">
        <w:trPr>
          <w:trHeight w:hRule="exact" w:val="525"/>
        </w:trPr>
        <w:tc>
          <w:tcPr>
            <w:tcW w:w="14059" w:type="dxa"/>
            <w:gridSpan w:val="4"/>
            <w:tcBorders>
              <w:top w:val="single" w:sz="4" w:space="0" w:color="auto"/>
            </w:tcBorders>
            <w:shd w:val="clear" w:color="auto" w:fill="FFFFFF"/>
            <w:vAlign w:val="center"/>
          </w:tcPr>
          <w:p w14:paraId="77491399" w14:textId="77777777" w:rsidR="00366CB9" w:rsidRDefault="009D0C1D" w:rsidP="00654075">
            <w:pPr>
              <w:pStyle w:val="a6"/>
              <w:shd w:val="clear" w:color="auto" w:fill="auto"/>
              <w:rPr>
                <w:sz w:val="17"/>
                <w:szCs w:val="17"/>
              </w:rPr>
            </w:pPr>
            <w:r>
              <w:rPr>
                <w:b w:val="0"/>
                <w:color w:val="000000"/>
                <w:sz w:val="17"/>
              </w:rPr>
              <w:t xml:space="preserve">CFP-10: білок культурального фільтрату 10; ESAT-6: рання секреторна антигенна мішень 6 кДа; Mtb: </w:t>
            </w:r>
            <w:r>
              <w:rPr>
                <w:b w:val="0"/>
                <w:i/>
                <w:iCs/>
                <w:color w:val="000000"/>
                <w:sz w:val="17"/>
              </w:rPr>
              <w:t>Mycobacterium tuberculosis</w:t>
            </w:r>
            <w:r>
              <w:rPr>
                <w:b w:val="0"/>
                <w:color w:val="000000"/>
                <w:sz w:val="17"/>
              </w:rPr>
              <w:t>; ТБ: туберкульоз.</w:t>
            </w:r>
          </w:p>
        </w:tc>
      </w:tr>
    </w:tbl>
    <w:tbl>
      <w:tblPr>
        <w:tblOverlap w:val="never"/>
        <w:tblW w:w="0" w:type="auto"/>
        <w:tblLayout w:type="fixed"/>
        <w:tblCellMar>
          <w:left w:w="10" w:type="dxa"/>
          <w:right w:w="10" w:type="dxa"/>
        </w:tblCellMar>
        <w:tblLook w:val="0000" w:firstRow="0" w:lastRow="0" w:firstColumn="0" w:lastColumn="0" w:noHBand="0" w:noVBand="0"/>
      </w:tblPr>
      <w:tblGrid>
        <w:gridCol w:w="197"/>
      </w:tblGrid>
      <w:tr w:rsidR="00366CB9" w14:paraId="72257D20" w14:textId="77777777">
        <w:trPr>
          <w:trHeight w:hRule="exact" w:val="586"/>
        </w:trPr>
        <w:tc>
          <w:tcPr>
            <w:tcW w:w="197" w:type="dxa"/>
            <w:shd w:val="clear" w:color="auto" w:fill="FFFFFF"/>
            <w:textDirection w:val="tbRl"/>
          </w:tcPr>
          <w:p w14:paraId="164863B3" w14:textId="77777777" w:rsidR="00366CB9" w:rsidRDefault="009D0C1D" w:rsidP="00425523">
            <w:pPr>
              <w:pStyle w:val="a6"/>
              <w:framePr w:w="197" w:h="5342" w:wrap="none" w:vAnchor="page" w:hAnchor="page" w:x="685" w:y="805"/>
              <w:shd w:val="clear" w:color="auto" w:fill="auto"/>
              <w:rPr>
                <w:sz w:val="15"/>
                <w:szCs w:val="15"/>
              </w:rPr>
            </w:pPr>
            <w:r>
              <w:rPr>
                <w:b w:val="0"/>
                <w:color w:val="019648"/>
                <w:sz w:val="15"/>
              </w:rPr>
              <w:t>60</w:t>
            </w:r>
          </w:p>
        </w:tc>
      </w:tr>
      <w:tr w:rsidR="00366CB9" w14:paraId="23CB42C8" w14:textId="77777777" w:rsidTr="008F64D5">
        <w:trPr>
          <w:trHeight w:hRule="exact" w:val="5364"/>
        </w:trPr>
        <w:tc>
          <w:tcPr>
            <w:tcW w:w="197" w:type="dxa"/>
            <w:shd w:val="clear" w:color="auto" w:fill="FFFFFF"/>
            <w:textDirection w:val="tbRl"/>
          </w:tcPr>
          <w:p w14:paraId="233E302F" w14:textId="77777777" w:rsidR="00366CB9" w:rsidRDefault="009D0C1D" w:rsidP="00425523">
            <w:pPr>
              <w:pStyle w:val="a6"/>
              <w:framePr w:w="197" w:h="5342" w:wrap="none" w:vAnchor="page" w:hAnchor="page" w:x="685" w:y="805"/>
              <w:shd w:val="clear" w:color="auto" w:fill="auto"/>
              <w:rPr>
                <w:sz w:val="15"/>
                <w:szCs w:val="15"/>
              </w:rPr>
            </w:pPr>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p>
        </w:tc>
      </w:tr>
    </w:tbl>
    <w:p w14:paraId="47CDC5FA" w14:textId="77777777" w:rsidR="00366CB9" w:rsidRDefault="00366CB9" w:rsidP="00425523">
      <w:pPr>
        <w:spacing w:line="1" w:lineRule="exact"/>
        <w:sectPr w:rsidR="00366CB9" w:rsidSect="001F35DC">
          <w:footerReference w:type="even" r:id="rId90"/>
          <w:pgSz w:w="16840" w:h="11913" w:orient="landscape"/>
          <w:pgMar w:top="1452" w:right="1276" w:bottom="713" w:left="1505" w:header="0" w:footer="6" w:gutter="0"/>
          <w:paperSrc w:first="15" w:other="15"/>
          <w:cols w:space="720"/>
          <w:noEndnote/>
          <w:docGrid w:linePitch="360"/>
        </w:sectPr>
      </w:pPr>
    </w:p>
    <w:p w14:paraId="3C30E10F"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93"/>
        <w:gridCol w:w="8113"/>
      </w:tblGrid>
      <w:tr w:rsidR="00366CB9" w14:paraId="54196083" w14:textId="77777777" w:rsidTr="00654075">
        <w:trPr>
          <w:trHeight w:hRule="exact" w:val="4394"/>
        </w:trPr>
        <w:tc>
          <w:tcPr>
            <w:tcW w:w="9106" w:type="dxa"/>
            <w:gridSpan w:val="2"/>
            <w:shd w:val="clear" w:color="auto" w:fill="FFFFFF"/>
            <w:vAlign w:val="bottom"/>
          </w:tcPr>
          <w:p w14:paraId="3A36E31A" w14:textId="77777777" w:rsidR="00366CB9" w:rsidRDefault="009D0C1D" w:rsidP="00C670F3">
            <w:pPr>
              <w:pStyle w:val="a6"/>
              <w:shd w:val="clear" w:color="auto" w:fill="auto"/>
              <w:spacing w:after="200"/>
            </w:pPr>
            <w:r>
              <w:rPr>
                <w:b w:val="0"/>
                <w:color w:val="019648"/>
              </w:rPr>
              <w:t>2.6.4 Аналізи на вивільнення гамма-інтерферону</w:t>
            </w:r>
          </w:p>
          <w:p w14:paraId="66B33070" w14:textId="77777777" w:rsidR="00366CB9" w:rsidRPr="00E80D3A" w:rsidRDefault="009D0C1D" w:rsidP="00C670F3">
            <w:pPr>
              <w:pStyle w:val="a6"/>
              <w:shd w:val="clear" w:color="auto" w:fill="auto"/>
              <w:spacing w:after="140" w:line="324" w:lineRule="auto"/>
              <w:jc w:val="both"/>
              <w:rPr>
                <w:sz w:val="18"/>
                <w:szCs w:val="18"/>
              </w:rPr>
            </w:pPr>
            <w:r w:rsidRPr="00E80D3A">
              <w:rPr>
                <w:b w:val="0"/>
                <w:color w:val="000000"/>
                <w:sz w:val="18"/>
                <w:szCs w:val="24"/>
              </w:rPr>
              <w:t xml:space="preserve">IGRA – це аналізи крові in vitro, що вимірюють інтерферон-гамма, що вивільняється циркулюючими лімфоцитами в цільній крові під час інкубації протягом ночі з впливом </w:t>
            </w:r>
            <w:r w:rsidRPr="00E80D3A">
              <w:rPr>
                <w:b w:val="0"/>
                <w:i/>
                <w:iCs/>
                <w:color w:val="000000"/>
                <w:sz w:val="18"/>
                <w:szCs w:val="24"/>
              </w:rPr>
              <w:t>Mtb</w:t>
            </w:r>
            <w:r w:rsidRPr="00E80D3A">
              <w:rPr>
                <w:b w:val="0"/>
                <w:color w:val="000000"/>
                <w:sz w:val="18"/>
                <w:szCs w:val="24"/>
              </w:rPr>
              <w:t>-специфічних антигенів (на основі імуноферментного аналізу [ELISA]) або кількість Т-лімфоцитів, що виробляють інтерферон-гамма (на основі модифікованого імуноферментного аналізу [ELISPOT]). У 2011 році ВООЗ опублікувала перші рекомендації щодо застосування IGRA для діагностики туберкульозної інфекції; до цього класу було включено три тести. Після рекомендації ТКГ, отриманих у січні 2025 року, ВООЗ оновила перелік тестів, що відповідають критеріям класу, підкріплений програмними заявами щодо їхнього застосування (</w:t>
            </w:r>
            <w:r w:rsidRPr="00E80D3A">
              <w:rPr>
                <w:color w:val="000000"/>
                <w:sz w:val="18"/>
                <w:szCs w:val="24"/>
              </w:rPr>
              <w:t>Вставка 2.1</w:t>
            </w:r>
            <w:r w:rsidRPr="00E80D3A">
              <w:rPr>
                <w:b w:val="0"/>
                <w:color w:val="000000"/>
                <w:sz w:val="18"/>
                <w:szCs w:val="24"/>
              </w:rPr>
              <w:t>4). Тести, включені до класу, до яких застосовуються рекомендації ВООЗ:</w:t>
            </w:r>
          </w:p>
          <w:p w14:paraId="03562A48" w14:textId="4DD2DC04" w:rsidR="00366CB9" w:rsidRPr="00E80D3A" w:rsidRDefault="009D0C1D" w:rsidP="00654075">
            <w:pPr>
              <w:pStyle w:val="a6"/>
              <w:shd w:val="clear" w:color="auto" w:fill="auto"/>
              <w:tabs>
                <w:tab w:val="left" w:pos="129"/>
              </w:tabs>
              <w:spacing w:line="324" w:lineRule="auto"/>
              <w:jc w:val="both"/>
              <w:rPr>
                <w:sz w:val="18"/>
                <w:szCs w:val="18"/>
              </w:rPr>
            </w:pPr>
            <w:r w:rsidRPr="00E80D3A">
              <w:rPr>
                <w:b w:val="0"/>
                <w:color w:val="019648"/>
                <w:sz w:val="18"/>
                <w:szCs w:val="24"/>
              </w:rPr>
              <w:t>•</w:t>
            </w:r>
            <w:r w:rsidR="00654075" w:rsidRPr="00E80D3A">
              <w:rPr>
                <w:sz w:val="24"/>
                <w:szCs w:val="24"/>
              </w:rPr>
              <w:tab/>
            </w:r>
            <w:r w:rsidRPr="00E80D3A">
              <w:rPr>
                <w:b w:val="0"/>
                <w:color w:val="000000"/>
                <w:sz w:val="18"/>
                <w:szCs w:val="24"/>
              </w:rPr>
              <w:t>Qiagen’s QuantiFERON-TB Gold Plus;</w:t>
            </w:r>
          </w:p>
          <w:p w14:paraId="1BA0CDB9" w14:textId="5256320F" w:rsidR="00366CB9" w:rsidRPr="00E80D3A" w:rsidRDefault="009D0C1D" w:rsidP="00654075">
            <w:pPr>
              <w:pStyle w:val="a6"/>
              <w:shd w:val="clear" w:color="auto" w:fill="auto"/>
              <w:tabs>
                <w:tab w:val="left" w:pos="129"/>
              </w:tabs>
              <w:spacing w:line="324" w:lineRule="auto"/>
              <w:jc w:val="both"/>
              <w:rPr>
                <w:sz w:val="18"/>
                <w:szCs w:val="18"/>
              </w:rPr>
            </w:pPr>
            <w:r w:rsidRPr="00E80D3A">
              <w:rPr>
                <w:b w:val="0"/>
                <w:color w:val="019648"/>
                <w:sz w:val="18"/>
                <w:szCs w:val="24"/>
              </w:rPr>
              <w:t>•</w:t>
            </w:r>
            <w:r w:rsidR="00654075" w:rsidRPr="00E80D3A">
              <w:rPr>
                <w:sz w:val="24"/>
                <w:szCs w:val="24"/>
              </w:rPr>
              <w:tab/>
            </w:r>
            <w:r w:rsidRPr="00E80D3A">
              <w:rPr>
                <w:b w:val="0"/>
                <w:color w:val="000000"/>
                <w:sz w:val="18"/>
                <w:szCs w:val="24"/>
              </w:rPr>
              <w:t>Oxford Immunotec T-SPOT®.TB;</w:t>
            </w:r>
          </w:p>
          <w:p w14:paraId="0300E337" w14:textId="0F16A614" w:rsidR="00366CB9" w:rsidRDefault="009D0C1D" w:rsidP="00654075">
            <w:pPr>
              <w:pStyle w:val="a6"/>
              <w:shd w:val="clear" w:color="auto" w:fill="auto"/>
              <w:tabs>
                <w:tab w:val="left" w:pos="129"/>
              </w:tabs>
              <w:spacing w:after="160" w:line="324" w:lineRule="auto"/>
              <w:jc w:val="both"/>
              <w:rPr>
                <w:sz w:val="20"/>
                <w:szCs w:val="20"/>
              </w:rPr>
            </w:pPr>
            <w:r w:rsidRPr="00E80D3A">
              <w:rPr>
                <w:b w:val="0"/>
                <w:color w:val="019648"/>
                <w:sz w:val="18"/>
                <w:szCs w:val="24"/>
              </w:rPr>
              <w:t>•</w:t>
            </w:r>
            <w:r w:rsidR="00654075" w:rsidRPr="00E80D3A">
              <w:rPr>
                <w:sz w:val="24"/>
                <w:szCs w:val="24"/>
              </w:rPr>
              <w:tab/>
            </w:r>
            <w:r w:rsidRPr="00E80D3A">
              <w:rPr>
                <w:b w:val="0"/>
                <w:color w:val="000000"/>
                <w:sz w:val="18"/>
                <w:szCs w:val="24"/>
              </w:rPr>
              <w:t>Beijing Wantai’s TB-IGRA;</w:t>
            </w:r>
          </w:p>
        </w:tc>
      </w:tr>
      <w:tr w:rsidR="00366CB9" w14:paraId="43173847" w14:textId="77777777" w:rsidTr="00654075">
        <w:trPr>
          <w:trHeight w:hRule="exact" w:val="700"/>
        </w:trPr>
        <w:tc>
          <w:tcPr>
            <w:tcW w:w="993" w:type="dxa"/>
            <w:shd w:val="clear" w:color="auto" w:fill="FFFFFF"/>
          </w:tcPr>
          <w:p w14:paraId="6C986FE2" w14:textId="58E6764A" w:rsidR="00366CB9" w:rsidRDefault="00D4401E" w:rsidP="00C670F3">
            <w:pPr>
              <w:rPr>
                <w:sz w:val="2"/>
                <w:szCs w:val="2"/>
              </w:rPr>
            </w:pPr>
            <w:r>
              <w:rPr>
                <w:noProof/>
              </w:rPr>
              <mc:AlternateContent>
                <mc:Choice Requires="wpg">
                  <w:drawing>
                    <wp:inline distT="0" distB="0" distL="0" distR="0" wp14:anchorId="1C54CEA6" wp14:editId="09319AA7">
                      <wp:extent cx="592667" cy="338667"/>
                      <wp:effectExtent l="0" t="0" r="0" b="0"/>
                      <wp:docPr id="374355373" name="Групувати 12"/>
                      <wp:cNvGraphicFramePr/>
                      <a:graphic xmlns:a="http://schemas.openxmlformats.org/drawingml/2006/main">
                        <a:graphicData uri="http://schemas.microsoft.com/office/word/2010/wordprocessingGroup">
                          <wpg:wgp>
                            <wpg:cNvGrpSpPr/>
                            <wpg:grpSpPr>
                              <a:xfrm>
                                <a:off x="0" y="0"/>
                                <a:ext cx="592667" cy="338667"/>
                                <a:chOff x="0" y="0"/>
                                <a:chExt cx="515620" cy="338667"/>
                              </a:xfrm>
                            </wpg:grpSpPr>
                            <wps:wsp>
                              <wps:cNvPr id="2048386307" name="object 6"/>
                              <wps:cNvSpPr/>
                              <wps:spPr>
                                <a:xfrm>
                                  <a:off x="0" y="0"/>
                                  <a:ext cx="515620" cy="245745"/>
                                </a:xfrm>
                                <a:custGeom>
                                  <a:avLst/>
                                  <a:gdLst/>
                                  <a:ahLst/>
                                  <a:cxnLst/>
                                  <a:rect l="l" t="t" r="r" b="b"/>
                                  <a:pathLst>
                                    <a:path w="515620" h="245744">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wps:wsp>
                            <wps:wsp>
                              <wps:cNvPr id="1475454892" name="object 7"/>
                              <wps:cNvSpPr txBox="1"/>
                              <wps:spPr>
                                <a:xfrm>
                                  <a:off x="94798" y="33867"/>
                                  <a:ext cx="323215" cy="304800"/>
                                </a:xfrm>
                                <a:prstGeom prst="rect">
                                  <a:avLst/>
                                </a:prstGeom>
                              </wps:spPr>
                              <wps:txbx>
                                <w:txbxContent>
                                  <w:p w14:paraId="3D4C243A" w14:textId="77777777" w:rsidR="009D0C1D" w:rsidRPr="0061381C" w:rsidRDefault="009D0C1D" w:rsidP="00D4401E">
                                    <w:pPr>
                                      <w:ind w:left="14"/>
                                      <w:rPr>
                                        <w:color w:val="FFFFFF"/>
                                        <w:spacing w:val="-5"/>
                                        <w:sz w:val="20"/>
                                        <w:szCs w:val="20"/>
                                      </w:rPr>
                                    </w:pPr>
                                    <w:r>
                                      <w:rPr>
                                        <w:color w:val="FFFFFF"/>
                                        <w:sz w:val="20"/>
                                      </w:rPr>
                                      <w:t>НОВЕ</w:t>
                                    </w:r>
                                  </w:p>
                                </w:txbxContent>
                              </wps:txbx>
                              <wps:bodyPr vert="horz" wrap="square" lIns="0" tIns="12700" rIns="0" bIns="0" rtlCol="0">
                                <a:noAutofit/>
                              </wps:bodyPr>
                            </wps:wsp>
                          </wpg:wgp>
                        </a:graphicData>
                      </a:graphic>
                    </wp:inline>
                  </w:drawing>
                </mc:Choice>
                <mc:Fallback>
                  <w:pict>
                    <v:group w14:anchorId="1C54CEA6" id="_x0000_s1139" style="width:46.65pt;height:26.65pt;mso-position-horizontal-relative:char;mso-position-vertical-relative:line" coordsize="515620,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">
                      <v:shape id="object 6" o:spid="_x0000_s1140" style="position:absolute;width:515620;height:245745;visibility:visible;mso-wrap-style:square;v-text-anchor:top" coordsize="515620,24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" path="m515543,l,,,122796r9650,47797l35966,209626r39032,26316l122796,245592r269951,l440545,235942r39032,-26316l505893,170593r9650,-47797l515543,xe" fillcolor="#0c8140" stroked="f">
                        <v:path arrowok="t"/>
                      </v:shape>
                      <v:shape id="object 7" o:spid="_x0000_s1141" type="#_x0000_t202" style="position:absolute;left:94798;top:33867;width:323215;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" filled="f" stroked="f">
                        <v:textbox inset="0,1pt,0,0">
                          <w:txbxContent>
                            <w:p w14:paraId="3D4C243A" w14:textId="77777777" w:rsidR="009D0C1D" w:rsidRPr="0061381C" w:rsidRDefault="009D0C1D" w:rsidP="00D4401E">
                              <w:pPr>
                                <w:ind w:left="14"/>
                                <w:rPr>
                                  <w:color w:val="FFFFFF"/>
                                  <w:spacing w:val="-5"/>
                                  <w:sz w:val="20"/>
                                  <w:szCs w:val="20"/>
                                </w:rPr>
                              </w:pPr>
                              <w:r>
                                <w:rPr>
                                  <w:color w:val="FFFFFF"/>
                                  <w:sz w:val="20"/>
                                </w:rPr>
                                <w:t>НОВЕ</w:t>
                              </w:r>
                            </w:p>
                          </w:txbxContent>
                        </v:textbox>
                      </v:shape>
                      <w10:anchorlock/>
                    </v:group>
                  </w:pict>
                </mc:Fallback>
              </mc:AlternateContent>
            </w:r>
          </w:p>
        </w:tc>
        <w:tc>
          <w:tcPr>
            <w:tcW w:w="8113" w:type="dxa"/>
            <w:shd w:val="clear" w:color="auto" w:fill="FFFFFF"/>
          </w:tcPr>
          <w:p w14:paraId="2F093055" w14:textId="4DBC1C7A" w:rsidR="00366CB9" w:rsidRPr="00E80D3A" w:rsidRDefault="009D0C1D" w:rsidP="00654075">
            <w:pPr>
              <w:pStyle w:val="a6"/>
              <w:shd w:val="clear" w:color="auto" w:fill="auto"/>
              <w:tabs>
                <w:tab w:val="left" w:pos="134"/>
              </w:tabs>
              <w:spacing w:after="40"/>
              <w:rPr>
                <w:sz w:val="18"/>
                <w:szCs w:val="18"/>
              </w:rPr>
            </w:pPr>
            <w:r>
              <w:rPr>
                <w:b w:val="0"/>
                <w:color w:val="019648"/>
                <w:sz w:val="20"/>
              </w:rPr>
              <w:t>•</w:t>
            </w:r>
            <w:r w:rsidR="00654075">
              <w:tab/>
            </w:r>
            <w:r w:rsidRPr="00E80D3A">
              <w:rPr>
                <w:b w:val="0"/>
                <w:color w:val="000000"/>
                <w:sz w:val="18"/>
                <w:szCs w:val="24"/>
              </w:rPr>
              <w:t>SD Biosensor’s STANDARD E TB-Feron ELISA; та</w:t>
            </w:r>
          </w:p>
          <w:p w14:paraId="0E8FF0D8" w14:textId="3E0DF5FF" w:rsidR="00366CB9" w:rsidRDefault="009D0C1D" w:rsidP="00654075">
            <w:pPr>
              <w:pStyle w:val="a6"/>
              <w:shd w:val="clear" w:color="auto" w:fill="auto"/>
              <w:tabs>
                <w:tab w:val="left" w:pos="134"/>
              </w:tabs>
              <w:rPr>
                <w:sz w:val="20"/>
                <w:szCs w:val="20"/>
              </w:rPr>
            </w:pPr>
            <w:r w:rsidRPr="00E80D3A">
              <w:rPr>
                <w:b w:val="0"/>
                <w:color w:val="019648"/>
                <w:sz w:val="18"/>
                <w:szCs w:val="24"/>
              </w:rPr>
              <w:t>•</w:t>
            </w:r>
            <w:r w:rsidR="00654075" w:rsidRPr="00E80D3A">
              <w:rPr>
                <w:sz w:val="24"/>
                <w:szCs w:val="24"/>
              </w:rPr>
              <w:tab/>
            </w:r>
            <w:r w:rsidRPr="00E80D3A">
              <w:rPr>
                <w:b w:val="0"/>
                <w:color w:val="000000"/>
                <w:sz w:val="18"/>
                <w:szCs w:val="24"/>
              </w:rPr>
              <w:t>Diasorin’s LIAISON QFT-Plus (CLIA).</w:t>
            </w:r>
          </w:p>
        </w:tc>
      </w:tr>
      <w:tr w:rsidR="00366CB9" w14:paraId="0AD9A1FD" w14:textId="77777777">
        <w:trPr>
          <w:trHeight w:hRule="exact" w:val="902"/>
        </w:trPr>
        <w:tc>
          <w:tcPr>
            <w:tcW w:w="9106" w:type="dxa"/>
            <w:gridSpan w:val="2"/>
            <w:shd w:val="clear" w:color="auto" w:fill="FFFFFF"/>
          </w:tcPr>
          <w:p w14:paraId="6CD6E344" w14:textId="77777777" w:rsidR="00366CB9" w:rsidRDefault="009D0C1D" w:rsidP="00C670F3">
            <w:pPr>
              <w:pStyle w:val="a6"/>
              <w:shd w:val="clear" w:color="auto" w:fill="auto"/>
              <w:spacing w:line="326" w:lineRule="auto"/>
              <w:jc w:val="both"/>
              <w:rPr>
                <w:sz w:val="20"/>
                <w:szCs w:val="20"/>
              </w:rPr>
            </w:pPr>
            <w:bookmarkStart w:id="69" w:name="bookmark66"/>
            <w:r w:rsidRPr="00E80D3A">
              <w:rPr>
                <w:b w:val="0"/>
                <w:color w:val="000000"/>
                <w:sz w:val="18"/>
                <w:szCs w:val="24"/>
              </w:rPr>
              <w:t>До цього ВООЗ рекомендувала QuantiFERON Gold та QuantiFERON Gold In-Tube; однак виробник припинив їхнє виробництво.</w:t>
            </w:r>
            <w:bookmarkEnd w:id="69"/>
          </w:p>
        </w:tc>
      </w:tr>
      <w:tr w:rsidR="00366CB9" w14:paraId="520CFCAB" w14:textId="77777777">
        <w:trPr>
          <w:trHeight w:hRule="exact" w:val="8026"/>
        </w:trPr>
        <w:tc>
          <w:tcPr>
            <w:tcW w:w="9106" w:type="dxa"/>
            <w:gridSpan w:val="2"/>
            <w:shd w:val="clear" w:color="auto" w:fill="FFFFFF"/>
          </w:tcPr>
          <w:p w14:paraId="5A282B2B" w14:textId="02D1A1A5" w:rsidR="00366CB9" w:rsidRDefault="00654075" w:rsidP="00C670F3">
            <w:pPr>
              <w:rPr>
                <w:sz w:val="2"/>
                <w:szCs w:val="2"/>
              </w:rPr>
            </w:pPr>
            <w:r>
              <w:rPr>
                <w:noProof/>
              </w:rPr>
              <mc:AlternateContent>
                <mc:Choice Requires="wps">
                  <w:drawing>
                    <wp:anchor distT="0" distB="0" distL="114300" distR="114300" simplePos="0" relativeHeight="251516928" behindDoc="0" locked="0" layoutInCell="1" allowOverlap="1" wp14:anchorId="096287C7" wp14:editId="5E91196B">
                      <wp:simplePos x="0" y="0"/>
                      <wp:positionH relativeFrom="column">
                        <wp:posOffset>113030</wp:posOffset>
                      </wp:positionH>
                      <wp:positionV relativeFrom="paragraph">
                        <wp:posOffset>212090</wp:posOffset>
                      </wp:positionV>
                      <wp:extent cx="3224212" cy="262467"/>
                      <wp:effectExtent l="0" t="0" r="0" b="4445"/>
                      <wp:wrapNone/>
                      <wp:docPr id="396450443" name="Прямокутник 2"/>
                      <wp:cNvGraphicFramePr/>
                      <a:graphic xmlns:a="http://schemas.openxmlformats.org/drawingml/2006/main">
                        <a:graphicData uri="http://schemas.microsoft.com/office/word/2010/wordprocessingShape">
                          <wps:wsp>
                            <wps:cNvSpPr/>
                            <wps:spPr>
                              <a:xfrm>
                                <a:off x="0" y="0"/>
                                <a:ext cx="3224212" cy="262467"/>
                              </a:xfrm>
                              <a:prstGeom prst="rect">
                                <a:avLst/>
                              </a:prstGeom>
                              <a:solidFill>
                                <a:srgbClr val="009649"/>
                              </a:solidFill>
                            </wps:spPr>
                            <wps:txbx>
                              <w:txbxContent>
                                <w:p w14:paraId="7565BA17" w14:textId="77777777" w:rsidR="009D0C1D" w:rsidRPr="00785005" w:rsidRDefault="009D0C1D" w:rsidP="00D4401E">
                                  <w:pPr>
                                    <w:rPr>
                                      <w:rFonts w:eastAsia="+mn-ea" w:cs="+mn-cs"/>
                                      <w:b/>
                                      <w:bCs/>
                                      <w:color w:val="FFFFFF"/>
                                      <w:kern w:val="24"/>
                                      <w:sz w:val="20"/>
                                      <w:szCs w:val="20"/>
                                    </w:rPr>
                                  </w:pPr>
                                  <w:r>
                                    <w:rPr>
                                      <w:b/>
                                      <w:color w:val="FFFFFF"/>
                                      <w:sz w:val="20"/>
                                    </w:rPr>
                                    <w:t>Вставка 2.14. Програмна заява ВОО щодо IGRA, 2025 рік</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96287C7" id="_x0000_s1142" style="position:absolute;margin-left:8.9pt;margin-top:16.7pt;width:253.85pt;height:20.6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" fillcolor="#009649" stroked="f">
                      <v:textbox inset="0,0,0,0">
                        <w:txbxContent>
                          <w:p w14:paraId="7565BA17" w14:textId="77777777" w:rsidR="009D0C1D" w:rsidRPr="00785005" w:rsidRDefault="009D0C1D" w:rsidP="00D4401E">
                            <w:pPr>
                              <w:rPr>
                                <w:rFonts w:eastAsia="+mn-ea" w:cs="+mn-cs"/>
                                <w:b/>
                                <w:bCs/>
                                <w:color w:val="FFFFFF"/>
                                <w:kern w:val="24"/>
                                <w:sz w:val="20"/>
                                <w:szCs w:val="20"/>
                              </w:rPr>
                            </w:pPr>
                            <w:r>
                              <w:rPr>
                                <w:b/>
                                <w:color w:val="FFFFFF"/>
                                <w:sz w:val="20"/>
                              </w:rPr>
                              <w:t>Вставка 2.14. Програмна заява ВОО щодо IGRA, 2025 рік</w:t>
                            </w:r>
                          </w:p>
                        </w:txbxContent>
                      </v:textbox>
                    </v:rect>
                  </w:pict>
                </mc:Fallback>
              </mc:AlternateContent>
            </w:r>
            <w:r>
              <w:rPr>
                <w:noProof/>
              </w:rPr>
              <mc:AlternateContent>
                <mc:Choice Requires="wps">
                  <w:drawing>
                    <wp:anchor distT="0" distB="0" distL="114300" distR="114300" simplePos="0" relativeHeight="251517952" behindDoc="0" locked="0" layoutInCell="1" allowOverlap="1" wp14:anchorId="2041B1A5" wp14:editId="1F0FE807">
                      <wp:simplePos x="0" y="0"/>
                      <wp:positionH relativeFrom="column">
                        <wp:posOffset>307763</wp:posOffset>
                      </wp:positionH>
                      <wp:positionV relativeFrom="paragraph">
                        <wp:posOffset>626957</wp:posOffset>
                      </wp:positionV>
                      <wp:extent cx="5229860" cy="4318000"/>
                      <wp:effectExtent l="0" t="0" r="8890" b="6350"/>
                      <wp:wrapNone/>
                      <wp:docPr id="1433221206" name="Прямокутник 3"/>
                      <wp:cNvGraphicFramePr/>
                      <a:graphic xmlns:a="http://schemas.openxmlformats.org/drawingml/2006/main">
                        <a:graphicData uri="http://schemas.microsoft.com/office/word/2010/wordprocessingShape">
                          <wps:wsp>
                            <wps:cNvSpPr/>
                            <wps:spPr>
                              <a:xfrm>
                                <a:off x="0" y="0"/>
                                <a:ext cx="5229860" cy="4318000"/>
                              </a:xfrm>
                              <a:prstGeom prst="rect">
                                <a:avLst/>
                              </a:prstGeom>
                              <a:solidFill>
                                <a:srgbClr val="C6E0CE"/>
                              </a:solidFill>
                            </wps:spPr>
                            <wps:txbx>
                              <w:txbxContent>
                                <w:p w14:paraId="6F0A8A2D" w14:textId="77777777" w:rsidR="009D0C1D" w:rsidRDefault="009D0C1D" w:rsidP="00D4401E">
                                  <w:pPr>
                                    <w:spacing w:after="56" w:line="312" w:lineRule="auto"/>
                                    <w:jc w:val="both"/>
                                    <w:rPr>
                                      <w:rFonts w:eastAsia="+mn-ea" w:cs="+mn-cs"/>
                                      <w:kern w:val="24"/>
                                      <w:sz w:val="20"/>
                                      <w:szCs w:val="20"/>
                                    </w:rPr>
                                  </w:pPr>
                                  <w:r>
                                    <w:rPr>
                                      <w:sz w:val="20"/>
                                    </w:rPr>
                                    <w:t>Нещодавно було розроблено нові та оновлені рішення в рамках IGRA для тестування на виявлення туберкульозної інфекції. ВООЗ запросила інформацію про ці технології безпосередньо у виробників та зробила публічний запит на отримання інформації у 2024 році. Вказані нижче IGRA мають достатньо незалежних доказів:</w:t>
                                  </w:r>
                                </w:p>
                                <w:p w14:paraId="0263E62C" w14:textId="6D8890E9" w:rsidR="009D0C1D" w:rsidRDefault="009D0C1D" w:rsidP="00654075">
                                  <w:pPr>
                                    <w:tabs>
                                      <w:tab w:val="left" w:pos="284"/>
                                    </w:tabs>
                                    <w:spacing w:line="314" w:lineRule="auto"/>
                                    <w:jc w:val="both"/>
                                    <w:rPr>
                                      <w:rFonts w:eastAsia="+mn-ea" w:cs="+mn-cs"/>
                                      <w:color w:val="019648"/>
                                      <w:kern w:val="24"/>
                                      <w:sz w:val="20"/>
                                      <w:szCs w:val="20"/>
                                    </w:rPr>
                                  </w:pPr>
                                  <w:r>
                                    <w:rPr>
                                      <w:rFonts w:ascii="Wingdings" w:hAnsi="Wingdings"/>
                                      <w:color w:val="019648"/>
                                    </w:rPr>
                                    <w:t></w:t>
                                  </w:r>
                                  <w:r>
                                    <w:tab/>
                                  </w:r>
                                  <w:r>
                                    <w:rPr>
                                      <w:sz w:val="20"/>
                                    </w:rPr>
                                    <w:t>STANDARD E TB-Feron (ELISA) – SD Biosensor;</w:t>
                                  </w:r>
                                </w:p>
                                <w:p w14:paraId="4D81E958" w14:textId="6D0C8D56" w:rsidR="009D0C1D" w:rsidRDefault="009D0C1D" w:rsidP="00654075">
                                  <w:pPr>
                                    <w:tabs>
                                      <w:tab w:val="left" w:pos="284"/>
                                    </w:tabs>
                                    <w:spacing w:line="314" w:lineRule="auto"/>
                                    <w:jc w:val="both"/>
                                    <w:rPr>
                                      <w:rFonts w:eastAsia="+mn-ea" w:cs="+mn-cs"/>
                                      <w:color w:val="019648"/>
                                      <w:kern w:val="24"/>
                                      <w:sz w:val="20"/>
                                      <w:szCs w:val="20"/>
                                    </w:rPr>
                                  </w:pPr>
                                  <w:r>
                                    <w:rPr>
                                      <w:rFonts w:ascii="Wingdings" w:hAnsi="Wingdings"/>
                                      <w:color w:val="019648"/>
                                    </w:rPr>
                                    <w:t></w:t>
                                  </w:r>
                                  <w:r>
                                    <w:tab/>
                                  </w:r>
                                  <w:r>
                                    <w:rPr>
                                      <w:sz w:val="20"/>
                                    </w:rPr>
                                    <w:t>ASACIR.TB (ELISA) – Біологічний інститут у Хайкоу;</w:t>
                                  </w:r>
                                </w:p>
                                <w:p w14:paraId="0BE1BA21" w14:textId="35C3471E" w:rsidR="009D0C1D" w:rsidRDefault="009D0C1D" w:rsidP="00654075">
                                  <w:pPr>
                                    <w:tabs>
                                      <w:tab w:val="left" w:pos="284"/>
                                    </w:tabs>
                                    <w:spacing w:line="314" w:lineRule="auto"/>
                                    <w:jc w:val="both"/>
                                    <w:rPr>
                                      <w:rFonts w:eastAsia="+mn-ea" w:cs="+mn-cs"/>
                                      <w:color w:val="019648"/>
                                      <w:kern w:val="24"/>
                                      <w:sz w:val="20"/>
                                      <w:szCs w:val="20"/>
                                    </w:rPr>
                                  </w:pPr>
                                  <w:r>
                                    <w:rPr>
                                      <w:rFonts w:ascii="Wingdings" w:hAnsi="Wingdings"/>
                                      <w:color w:val="019648"/>
                                    </w:rPr>
                                    <w:t></w:t>
                                  </w:r>
                                  <w:r>
                                    <w:tab/>
                                  </w:r>
                                  <w:r>
                                    <w:rPr>
                                      <w:sz w:val="20"/>
                                    </w:rPr>
                                    <w:t>ichroma IGRA-TB (FIA) – Boditech Med Inc.;</w:t>
                                  </w:r>
                                </w:p>
                                <w:p w14:paraId="6DAE3058" w14:textId="49CF9A4A" w:rsidR="009D0C1D" w:rsidRPr="00D4401E" w:rsidRDefault="009D0C1D" w:rsidP="00654075">
                                  <w:pPr>
                                    <w:tabs>
                                      <w:tab w:val="left" w:pos="284"/>
                                    </w:tabs>
                                    <w:spacing w:line="314" w:lineRule="auto"/>
                                    <w:jc w:val="both"/>
                                    <w:rPr>
                                      <w:rFonts w:eastAsia="+mn-ea" w:cs="+mn-cs"/>
                                      <w:color w:val="019648"/>
                                      <w:kern w:val="24"/>
                                      <w:sz w:val="20"/>
                                      <w:szCs w:val="20"/>
                                    </w:rPr>
                                  </w:pPr>
                                  <w:r>
                                    <w:rPr>
                                      <w:rFonts w:ascii="Wingdings" w:hAnsi="Wingdings"/>
                                      <w:color w:val="019648"/>
                                    </w:rPr>
                                    <w:t></w:t>
                                  </w:r>
                                  <w:r>
                                    <w:tab/>
                                  </w:r>
                                  <w:r>
                                    <w:rPr>
                                      <w:sz w:val="20"/>
                                    </w:rPr>
                                    <w:t>LIAISON QuantiFERON Gold PLUS (QFT-Plus; CLIA) – Diasorin;</w:t>
                                  </w:r>
                                </w:p>
                                <w:p w14:paraId="4E818E30" w14:textId="4E755A09" w:rsidR="009D0C1D" w:rsidRDefault="009D0C1D" w:rsidP="00654075">
                                  <w:pPr>
                                    <w:tabs>
                                      <w:tab w:val="left" w:pos="284"/>
                                    </w:tabs>
                                    <w:spacing w:line="314" w:lineRule="auto"/>
                                    <w:jc w:val="both"/>
                                    <w:rPr>
                                      <w:rFonts w:eastAsia="+mn-ea" w:cs="+mn-cs"/>
                                      <w:color w:val="019648"/>
                                      <w:kern w:val="24"/>
                                      <w:sz w:val="20"/>
                                      <w:szCs w:val="20"/>
                                    </w:rPr>
                                  </w:pPr>
                                  <w:r>
                                    <w:rPr>
                                      <w:rFonts w:ascii="Wingdings" w:hAnsi="Wingdings"/>
                                      <w:color w:val="019648"/>
                                    </w:rPr>
                                    <w:t></w:t>
                                  </w:r>
                                  <w:r>
                                    <w:tab/>
                                  </w:r>
                                  <w:r>
                                    <w:rPr>
                                      <w:sz w:val="20"/>
                                    </w:rPr>
                                    <w:t>Wantai TB-IGRA CLIA – Wantai Biological Pharmacy Enterprise Co; та</w:t>
                                  </w:r>
                                </w:p>
                                <w:p w14:paraId="5B38A8C5" w14:textId="60E3D5A2" w:rsidR="009D0C1D" w:rsidRDefault="009D0C1D" w:rsidP="00654075">
                                  <w:pPr>
                                    <w:tabs>
                                      <w:tab w:val="left" w:pos="284"/>
                                    </w:tabs>
                                    <w:spacing w:after="56" w:line="314" w:lineRule="auto"/>
                                    <w:jc w:val="both"/>
                                    <w:rPr>
                                      <w:rFonts w:eastAsia="+mn-ea" w:cs="+mn-cs"/>
                                      <w:color w:val="019648"/>
                                      <w:kern w:val="24"/>
                                      <w:sz w:val="20"/>
                                      <w:szCs w:val="20"/>
                                    </w:rPr>
                                  </w:pPr>
                                  <w:r>
                                    <w:rPr>
                                      <w:rFonts w:ascii="Wingdings" w:hAnsi="Wingdings"/>
                                      <w:color w:val="019648"/>
                                    </w:rPr>
                                    <w:t></w:t>
                                  </w:r>
                                  <w:r>
                                    <w:tab/>
                                  </w:r>
                                  <w:r>
                                    <w:rPr>
                                      <w:sz w:val="20"/>
                                    </w:rPr>
                                    <w:t>AdvanSure i3 TB-IGRA (CLIA) – Invitros (попередній власник LG Chem Ltd.).</w:t>
                                  </w:r>
                                </w:p>
                                <w:p w14:paraId="27AF6589" w14:textId="77777777" w:rsidR="009D0C1D" w:rsidRDefault="009D0C1D" w:rsidP="00654075">
                                  <w:pPr>
                                    <w:spacing w:before="120" w:after="56" w:line="314" w:lineRule="auto"/>
                                    <w:jc w:val="both"/>
                                    <w:rPr>
                                      <w:rFonts w:eastAsia="+mn-ea" w:cs="+mn-cs"/>
                                      <w:kern w:val="24"/>
                                      <w:sz w:val="20"/>
                                      <w:szCs w:val="20"/>
                                    </w:rPr>
                                  </w:pPr>
                                  <w:r>
                                    <w:rPr>
                                      <w:sz w:val="20"/>
                                    </w:rPr>
                                    <w:t>Щоб оцінити ці тести та визначити можливість включення одного або декількох з них до чинних рекомендацій ВООЗ щодо IGRA, ВООЗ скликала зустріч ТКГ з діагностики ТБ та зміцнення лабораторій, що відбулась 20-24 січня 2025 року у м. Женева, Швейцарія.</w:t>
                                  </w:r>
                                </w:p>
                                <w:p w14:paraId="0ED6F5B1" w14:textId="77777777" w:rsidR="009D0C1D" w:rsidRDefault="009D0C1D" w:rsidP="00654075">
                                  <w:pPr>
                                    <w:spacing w:before="120" w:after="56" w:line="312" w:lineRule="auto"/>
                                    <w:jc w:val="both"/>
                                    <w:rPr>
                                      <w:rFonts w:eastAsia="+mn-ea" w:cs="+mn-cs"/>
                                      <w:kern w:val="24"/>
                                      <w:sz w:val="20"/>
                                      <w:szCs w:val="20"/>
                                    </w:rPr>
                                  </w:pPr>
                                  <w:r>
                                    <w:rPr>
                                      <w:sz w:val="20"/>
                                    </w:rPr>
                                    <w:t>Після перевірки наявних доказів та надання рекомендацій ТКГ, ВООЗ робить такі програмні заяви:</w:t>
                                  </w:r>
                                </w:p>
                                <w:p w14:paraId="679C2E43" w14:textId="2920FCED" w:rsidR="009D0C1D" w:rsidRDefault="009D0C1D" w:rsidP="00654075">
                                  <w:pPr>
                                    <w:spacing w:before="120" w:line="314" w:lineRule="auto"/>
                                    <w:ind w:left="403" w:hanging="403"/>
                                    <w:jc w:val="both"/>
                                    <w:rPr>
                                      <w:rFonts w:eastAsia="+mn-ea" w:cs="+mn-cs"/>
                                      <w:kern w:val="24"/>
                                      <w:sz w:val="20"/>
                                      <w:szCs w:val="20"/>
                                    </w:rPr>
                                  </w:pPr>
                                  <w:r>
                                    <w:rPr>
                                      <w:sz w:val="20"/>
                                    </w:rPr>
                                    <w:t>1.</w:t>
                                  </w:r>
                                  <w:r w:rsidRPr="00654075">
                                    <w:t xml:space="preserve"> </w:t>
                                  </w:r>
                                  <w:r>
                                    <w:tab/>
                                  </w:r>
                                  <w:r>
                                    <w:rPr>
                                      <w:sz w:val="20"/>
                                    </w:rPr>
                                    <w:t>Ефективність STANDARD E TB-Feron ELISA та LIAISON QFT-PLUS (CLIA) є порівнянною з ефективністю IGRA, рекомендованих ВООЗ, для виявлення туберкульозної інфекції. Поточні рекомендації ВООЗ щодо застосування IGRA також дійсні для TB-IGRA (ELISA) від компанії Beijing Wantai та Qiagen QuantiFERON-TB Gold Plus.</w:t>
                                  </w:r>
                                </w:p>
                              </w:txbxContent>
                            </wps:txbx>
                            <wps:bodyPr lIns="0" tIns="0" rIns="0" bIns="0">
                              <a:noAutofit/>
                            </wps:bodyPr>
                          </wps:wsp>
                        </a:graphicData>
                      </a:graphic>
                      <wp14:sizeRelV relativeFrom="margin">
                        <wp14:pctHeight>0</wp14:pctHeight>
                      </wp14:sizeRelV>
                    </wp:anchor>
                  </w:drawing>
                </mc:Choice>
                <mc:Fallback>
                  <w:pict>
                    <v:rect w14:anchorId="2041B1A5" id="_x0000_s1143" style="position:absolute;margin-left:24.25pt;margin-top:49.35pt;width:411.8pt;height:340pt;z-index:25151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" fillcolor="#c6e0ce" stroked="f">
                      <v:textbox inset="0,0,0,0">
                        <w:txbxContent>
                          <w:p w14:paraId="6F0A8A2D" w14:textId="77777777" w:rsidR="009D0C1D" w:rsidRDefault="009D0C1D" w:rsidP="00D4401E">
                            <w:pPr>
                              <w:spacing w:after="56" w:line="312" w:lineRule="auto"/>
                              <w:jc w:val="both"/>
                              <w:rPr>
                                <w:rFonts w:eastAsia="+mn-ea" w:cs="+mn-cs"/>
                                <w:kern w:val="24"/>
                                <w:sz w:val="20"/>
                                <w:szCs w:val="20"/>
                              </w:rPr>
                            </w:pPr>
                            <w:r>
                              <w:rPr>
                                <w:sz w:val="20"/>
                              </w:rPr>
                              <w:t>Нещодавно було розроблено нові та оновлені рішення в рамках IGRA для тестування на виявлення туберкульозної інфекції. ВООЗ запросила інформацію про ці технології безпосередньо у виробників та зробила публічний запит на отримання інформації у 2024 році. Вказані нижче IGRA мають достатньо незалежних доказів:</w:t>
                            </w:r>
                          </w:p>
                          <w:p w14:paraId="0263E62C" w14:textId="6D8890E9" w:rsidR="009D0C1D" w:rsidRDefault="009D0C1D" w:rsidP="00654075">
                            <w:pPr>
                              <w:tabs>
                                <w:tab w:val="left" w:pos="284"/>
                              </w:tabs>
                              <w:spacing w:line="314" w:lineRule="auto"/>
                              <w:jc w:val="both"/>
                              <w:rPr>
                                <w:rFonts w:eastAsia="+mn-ea" w:cs="+mn-cs"/>
                                <w:color w:val="019648"/>
                                <w:kern w:val="24"/>
                                <w:sz w:val="20"/>
                                <w:szCs w:val="20"/>
                              </w:rPr>
                            </w:pPr>
                            <w:r>
                              <w:rPr>
                                <w:rFonts w:ascii="Wingdings" w:hAnsi="Wingdings"/>
                                <w:color w:val="019648"/>
                              </w:rPr>
                              <w:t></w:t>
                            </w:r>
                            <w:r>
                              <w:tab/>
                            </w:r>
                            <w:r>
                              <w:rPr>
                                <w:sz w:val="20"/>
                              </w:rPr>
                              <w:t>STANDARD E TB-Feron (ELISA) – SD Biosensor;</w:t>
                            </w:r>
                          </w:p>
                          <w:p w14:paraId="4D81E958" w14:textId="6D0C8D56" w:rsidR="009D0C1D" w:rsidRDefault="009D0C1D" w:rsidP="00654075">
                            <w:pPr>
                              <w:tabs>
                                <w:tab w:val="left" w:pos="284"/>
                              </w:tabs>
                              <w:spacing w:line="314" w:lineRule="auto"/>
                              <w:jc w:val="both"/>
                              <w:rPr>
                                <w:rFonts w:eastAsia="+mn-ea" w:cs="+mn-cs"/>
                                <w:color w:val="019648"/>
                                <w:kern w:val="24"/>
                                <w:sz w:val="20"/>
                                <w:szCs w:val="20"/>
                              </w:rPr>
                            </w:pPr>
                            <w:r>
                              <w:rPr>
                                <w:rFonts w:ascii="Wingdings" w:hAnsi="Wingdings"/>
                                <w:color w:val="019648"/>
                              </w:rPr>
                              <w:t></w:t>
                            </w:r>
                            <w:r>
                              <w:tab/>
                            </w:r>
                            <w:r>
                              <w:rPr>
                                <w:sz w:val="20"/>
                              </w:rPr>
                              <w:t>ASACIR.TB (ELISA) – Біологічний інститут у Хайкоу;</w:t>
                            </w:r>
                          </w:p>
                          <w:p w14:paraId="0BE1BA21" w14:textId="35C3471E" w:rsidR="009D0C1D" w:rsidRDefault="009D0C1D" w:rsidP="00654075">
                            <w:pPr>
                              <w:tabs>
                                <w:tab w:val="left" w:pos="284"/>
                              </w:tabs>
                              <w:spacing w:line="314" w:lineRule="auto"/>
                              <w:jc w:val="both"/>
                              <w:rPr>
                                <w:rFonts w:eastAsia="+mn-ea" w:cs="+mn-cs"/>
                                <w:color w:val="019648"/>
                                <w:kern w:val="24"/>
                                <w:sz w:val="20"/>
                                <w:szCs w:val="20"/>
                              </w:rPr>
                            </w:pPr>
                            <w:r>
                              <w:rPr>
                                <w:rFonts w:ascii="Wingdings" w:hAnsi="Wingdings"/>
                                <w:color w:val="019648"/>
                              </w:rPr>
                              <w:t></w:t>
                            </w:r>
                            <w:r>
                              <w:tab/>
                            </w:r>
                            <w:r>
                              <w:rPr>
                                <w:sz w:val="20"/>
                              </w:rPr>
                              <w:t>ichroma IGRA-TB (FIA) – Boditech Med Inc.;</w:t>
                            </w:r>
                          </w:p>
                          <w:p w14:paraId="6DAE3058" w14:textId="49CF9A4A" w:rsidR="009D0C1D" w:rsidRPr="00D4401E" w:rsidRDefault="009D0C1D" w:rsidP="00654075">
                            <w:pPr>
                              <w:tabs>
                                <w:tab w:val="left" w:pos="284"/>
                              </w:tabs>
                              <w:spacing w:line="314" w:lineRule="auto"/>
                              <w:jc w:val="both"/>
                              <w:rPr>
                                <w:rFonts w:eastAsia="+mn-ea" w:cs="+mn-cs"/>
                                <w:color w:val="019648"/>
                                <w:kern w:val="24"/>
                                <w:sz w:val="20"/>
                                <w:szCs w:val="20"/>
                              </w:rPr>
                            </w:pPr>
                            <w:r>
                              <w:rPr>
                                <w:rFonts w:ascii="Wingdings" w:hAnsi="Wingdings"/>
                                <w:color w:val="019648"/>
                              </w:rPr>
                              <w:t></w:t>
                            </w:r>
                            <w:r>
                              <w:tab/>
                            </w:r>
                            <w:r>
                              <w:rPr>
                                <w:sz w:val="20"/>
                              </w:rPr>
                              <w:t>LIAISON QuantiFERON Gold PLUS (QFT-Plus; CLIA) – Diasorin;</w:t>
                            </w:r>
                          </w:p>
                          <w:p w14:paraId="4E818E30" w14:textId="4E755A09" w:rsidR="009D0C1D" w:rsidRDefault="009D0C1D" w:rsidP="00654075">
                            <w:pPr>
                              <w:tabs>
                                <w:tab w:val="left" w:pos="284"/>
                              </w:tabs>
                              <w:spacing w:line="314" w:lineRule="auto"/>
                              <w:jc w:val="both"/>
                              <w:rPr>
                                <w:rFonts w:eastAsia="+mn-ea" w:cs="+mn-cs"/>
                                <w:color w:val="019648"/>
                                <w:kern w:val="24"/>
                                <w:sz w:val="20"/>
                                <w:szCs w:val="20"/>
                              </w:rPr>
                            </w:pPr>
                            <w:r>
                              <w:rPr>
                                <w:rFonts w:ascii="Wingdings" w:hAnsi="Wingdings"/>
                                <w:color w:val="019648"/>
                              </w:rPr>
                              <w:t></w:t>
                            </w:r>
                            <w:r>
                              <w:tab/>
                            </w:r>
                            <w:r>
                              <w:rPr>
                                <w:sz w:val="20"/>
                              </w:rPr>
                              <w:t>Wantai TB-IGRA CLIA – Wantai Biological Pharmacy Enterprise Co; та</w:t>
                            </w:r>
                          </w:p>
                          <w:p w14:paraId="5B38A8C5" w14:textId="60E3D5A2" w:rsidR="009D0C1D" w:rsidRDefault="009D0C1D" w:rsidP="00654075">
                            <w:pPr>
                              <w:tabs>
                                <w:tab w:val="left" w:pos="284"/>
                              </w:tabs>
                              <w:spacing w:after="56" w:line="314" w:lineRule="auto"/>
                              <w:jc w:val="both"/>
                              <w:rPr>
                                <w:rFonts w:eastAsia="+mn-ea" w:cs="+mn-cs"/>
                                <w:color w:val="019648"/>
                                <w:kern w:val="24"/>
                                <w:sz w:val="20"/>
                                <w:szCs w:val="20"/>
                              </w:rPr>
                            </w:pPr>
                            <w:r>
                              <w:rPr>
                                <w:rFonts w:ascii="Wingdings" w:hAnsi="Wingdings"/>
                                <w:color w:val="019648"/>
                              </w:rPr>
                              <w:t></w:t>
                            </w:r>
                            <w:r>
                              <w:tab/>
                            </w:r>
                            <w:r>
                              <w:rPr>
                                <w:sz w:val="20"/>
                              </w:rPr>
                              <w:t>AdvanSure i3 TB-IGRA (CLIA) – Invitros (попередній власник LG Chem Ltd.).</w:t>
                            </w:r>
                          </w:p>
                          <w:p w14:paraId="27AF6589" w14:textId="77777777" w:rsidR="009D0C1D" w:rsidRDefault="009D0C1D" w:rsidP="00654075">
                            <w:pPr>
                              <w:spacing w:before="120" w:after="56" w:line="314" w:lineRule="auto"/>
                              <w:jc w:val="both"/>
                              <w:rPr>
                                <w:rFonts w:eastAsia="+mn-ea" w:cs="+mn-cs"/>
                                <w:kern w:val="24"/>
                                <w:sz w:val="20"/>
                                <w:szCs w:val="20"/>
                              </w:rPr>
                            </w:pPr>
                            <w:r>
                              <w:rPr>
                                <w:sz w:val="20"/>
                              </w:rPr>
                              <w:t>Щоб оцінити ці тести та визначити можливість включення одного або декількох з них до чинних рекомендацій ВООЗ щодо IGRA, ВООЗ скликала зустріч ТКГ з діагностики ТБ та зміцнення лабораторій, що відбулась 20-24 січня 2025 року у м. Женева, Швейцарія.</w:t>
                            </w:r>
                          </w:p>
                          <w:p w14:paraId="0ED6F5B1" w14:textId="77777777" w:rsidR="009D0C1D" w:rsidRDefault="009D0C1D" w:rsidP="00654075">
                            <w:pPr>
                              <w:spacing w:before="120" w:after="56" w:line="312" w:lineRule="auto"/>
                              <w:jc w:val="both"/>
                              <w:rPr>
                                <w:rFonts w:eastAsia="+mn-ea" w:cs="+mn-cs"/>
                                <w:kern w:val="24"/>
                                <w:sz w:val="20"/>
                                <w:szCs w:val="20"/>
                              </w:rPr>
                            </w:pPr>
                            <w:r>
                              <w:rPr>
                                <w:sz w:val="20"/>
                              </w:rPr>
                              <w:t>Після перевірки наявних доказів та надання рекомендацій ТКГ, ВООЗ робить такі програмні заяви:</w:t>
                            </w:r>
                          </w:p>
                          <w:p w14:paraId="679C2E43" w14:textId="2920FCED" w:rsidR="009D0C1D" w:rsidRDefault="009D0C1D" w:rsidP="00654075">
                            <w:pPr>
                              <w:spacing w:before="120" w:line="314" w:lineRule="auto"/>
                              <w:ind w:left="403" w:hanging="403"/>
                              <w:jc w:val="both"/>
                              <w:rPr>
                                <w:rFonts w:eastAsia="+mn-ea" w:cs="+mn-cs"/>
                                <w:kern w:val="24"/>
                                <w:sz w:val="20"/>
                                <w:szCs w:val="20"/>
                              </w:rPr>
                            </w:pPr>
                            <w:r>
                              <w:rPr>
                                <w:sz w:val="20"/>
                              </w:rPr>
                              <w:t>1.</w:t>
                            </w:r>
                            <w:r w:rsidRPr="00654075">
                              <w:t xml:space="preserve"> </w:t>
                            </w:r>
                            <w:r>
                              <w:tab/>
                            </w:r>
                            <w:r>
                              <w:rPr>
                                <w:sz w:val="20"/>
                              </w:rPr>
                              <w:t>Ефективність STANDARD E TB-Feron ELISA та LIAISON QFT-PLUS (CLIA) є порівнянною з ефективністю IGRA, рекомендованих ВООЗ, для виявлення туберкульозної інфекції. Поточні рекомендації ВООЗ щодо застосування IGRA також дійсні для TB-IGRA (ELISA) від компанії Beijing Wantai та Qiagen QuantiFERON-TB Gold Plus.</w:t>
                            </w:r>
                          </w:p>
                        </w:txbxContent>
                      </v:textbox>
                    </v:rect>
                  </w:pict>
                </mc:Fallback>
              </mc:AlternateContent>
            </w:r>
            <w:r w:rsidR="00D4401E">
              <w:rPr>
                <w:noProof/>
              </w:rPr>
              <w:drawing>
                <wp:inline distT="0" distB="0" distL="0" distR="0" wp14:anchorId="6B64F0EE" wp14:editId="561A572B">
                  <wp:extent cx="5782310" cy="509651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1"/>
                          <a:stretch/>
                        </pic:blipFill>
                        <pic:spPr>
                          <a:xfrm>
                            <a:off x="0" y="0"/>
                            <a:ext cx="5782310" cy="5096510"/>
                          </a:xfrm>
                          <a:prstGeom prst="rect">
                            <a:avLst/>
                          </a:prstGeom>
                        </pic:spPr>
                      </pic:pic>
                    </a:graphicData>
                  </a:graphic>
                </wp:inline>
              </w:drawing>
            </w:r>
          </w:p>
        </w:tc>
      </w:tr>
    </w:tbl>
    <w:p w14:paraId="5746031D" w14:textId="519A3411" w:rsidR="00366CB9" w:rsidRDefault="00366CB9" w:rsidP="00425523">
      <w:pPr>
        <w:spacing w:line="1" w:lineRule="exact"/>
        <w:sectPr w:rsidR="00366CB9" w:rsidSect="00E80D3A">
          <w:pgSz w:w="11913" w:h="16840"/>
          <w:pgMar w:top="1469" w:right="1378" w:bottom="142" w:left="1372" w:header="0" w:footer="6" w:gutter="0"/>
          <w:paperSrc w:first="15" w:other="15"/>
          <w:cols w:space="720"/>
          <w:noEndnote/>
          <w:docGrid w:linePitch="360"/>
        </w:sectPr>
      </w:pPr>
    </w:p>
    <w:p w14:paraId="33F244F4" w14:textId="35AA82F7" w:rsidR="00366CB9" w:rsidRDefault="00366CB9" w:rsidP="00425523">
      <w:pPr>
        <w:spacing w:line="1" w:lineRule="exact"/>
      </w:pPr>
    </w:p>
    <w:p w14:paraId="704C212D" w14:textId="696F1971" w:rsidR="00366CB9" w:rsidRDefault="00D4401E" w:rsidP="00C670F3">
      <w:pPr>
        <w:sectPr w:rsidR="00366CB9" w:rsidSect="00E80D3A">
          <w:footerReference w:type="even" r:id="rId92"/>
          <w:type w:val="nextColumn"/>
          <w:pgSz w:w="11913" w:h="16840"/>
          <w:pgMar w:top="1469" w:right="1378" w:bottom="568" w:left="1372" w:header="0" w:footer="6" w:gutter="0"/>
          <w:paperSrc w:first="15" w:other="15"/>
          <w:cols w:space="720"/>
          <w:noEndnote/>
          <w:docGrid w:linePitch="360"/>
        </w:sectPr>
      </w:pPr>
      <w:r>
        <w:rPr>
          <w:noProof/>
        </w:rPr>
        <mc:AlternateContent>
          <mc:Choice Requires="wps">
            <w:drawing>
              <wp:anchor distT="0" distB="0" distL="114300" distR="114300" simplePos="0" relativeHeight="251518976" behindDoc="0" locked="0" layoutInCell="1" allowOverlap="1" wp14:anchorId="684D9D5B" wp14:editId="6829253A">
                <wp:simplePos x="0" y="0"/>
                <wp:positionH relativeFrom="column">
                  <wp:posOffset>339513</wp:posOffset>
                </wp:positionH>
                <wp:positionV relativeFrom="paragraph">
                  <wp:posOffset>133984</wp:posOffset>
                </wp:positionV>
                <wp:extent cx="5233416" cy="9059333"/>
                <wp:effectExtent l="0" t="0" r="5715" b="8890"/>
                <wp:wrapNone/>
                <wp:docPr id="849942871" name="Прямокутник 2"/>
                <wp:cNvGraphicFramePr/>
                <a:graphic xmlns:a="http://schemas.openxmlformats.org/drawingml/2006/main">
                  <a:graphicData uri="http://schemas.microsoft.com/office/word/2010/wordprocessingShape">
                    <wps:wsp>
                      <wps:cNvSpPr/>
                      <wps:spPr>
                        <a:xfrm>
                          <a:off x="0" y="0"/>
                          <a:ext cx="5233416" cy="9059333"/>
                        </a:xfrm>
                        <a:prstGeom prst="rect">
                          <a:avLst/>
                        </a:prstGeom>
                        <a:solidFill>
                          <a:srgbClr val="C6E0CE"/>
                        </a:solidFill>
                      </wps:spPr>
                      <wps:txbx>
                        <w:txbxContent>
                          <w:p w14:paraId="1262B4FB" w14:textId="4E8B3A5D" w:rsidR="009D0C1D" w:rsidRDefault="009D0C1D" w:rsidP="00D4401E">
                            <w:pPr>
                              <w:spacing w:line="314" w:lineRule="auto"/>
                              <w:ind w:left="403" w:hanging="403"/>
                              <w:rPr>
                                <w:rFonts w:eastAsia="+mn-ea" w:cs="+mn-cs"/>
                                <w:kern w:val="24"/>
                                <w:sz w:val="20"/>
                                <w:szCs w:val="20"/>
                              </w:rPr>
                            </w:pPr>
                            <w:r>
                              <w:rPr>
                                <w:sz w:val="20"/>
                              </w:rPr>
                              <w:t>2.</w:t>
                            </w:r>
                            <w:r w:rsidRPr="00654075">
                              <w:t xml:space="preserve"> </w:t>
                            </w:r>
                            <w:r>
                              <w:tab/>
                            </w:r>
                            <w:r>
                              <w:rPr>
                                <w:sz w:val="20"/>
                              </w:rPr>
                              <w:t>Ефективність ASACIR.TB, ichroma IGRA-TB (FIA), Wantai TB-IGRA (CLIA) та AvanSureI3 TB-IGRA (CLIA) не можна належним чином порівняти з ефективністю IGRA, рекомендованих ВООЗ, для виявлення туберкульозної інфекції.</w:t>
                            </w:r>
                          </w:p>
                          <w:p w14:paraId="6FC5CDD5" w14:textId="0B2B7D32" w:rsidR="009D0C1D" w:rsidRDefault="009D0C1D" w:rsidP="00D4401E">
                            <w:pPr>
                              <w:spacing w:after="56" w:line="316" w:lineRule="auto"/>
                              <w:ind w:left="403" w:hanging="403"/>
                              <w:rPr>
                                <w:rFonts w:eastAsia="+mn-ea" w:cs="+mn-cs"/>
                                <w:kern w:val="24"/>
                                <w:sz w:val="20"/>
                                <w:szCs w:val="20"/>
                              </w:rPr>
                            </w:pPr>
                            <w:r>
                              <w:rPr>
                                <w:sz w:val="20"/>
                              </w:rPr>
                              <w:t>3.</w:t>
                            </w:r>
                            <w:r w:rsidRPr="00654075">
                              <w:t xml:space="preserve"> </w:t>
                            </w:r>
                            <w:r>
                              <w:tab/>
                            </w:r>
                            <w:r>
                              <w:rPr>
                                <w:sz w:val="20"/>
                              </w:rPr>
                              <w:t>Поточні рекомендації ВООЗ щодо застосування IGRA також дійсні для ELISA STANDARD E TB-Feron від компанії SD Biosensor та LIAISON QFT-PLUS (CLIA) від компанії Diasorin.</w:t>
                            </w:r>
                          </w:p>
                          <w:p w14:paraId="12765D9E" w14:textId="77777777" w:rsidR="009D0C1D" w:rsidRDefault="009D0C1D" w:rsidP="00D4401E">
                            <w:pPr>
                              <w:spacing w:after="56" w:line="314" w:lineRule="auto"/>
                              <w:jc w:val="both"/>
                              <w:rPr>
                                <w:rFonts w:eastAsia="+mn-ea" w:cs="+mn-cs"/>
                                <w:kern w:val="24"/>
                                <w:sz w:val="20"/>
                                <w:szCs w:val="20"/>
                              </w:rPr>
                            </w:pPr>
                            <w:r>
                              <w:rPr>
                                <w:sz w:val="20"/>
                              </w:rPr>
                              <w:t xml:space="preserve">Крім міркувань щодо впровадження, що ГРК висловило у 2011 році при рекомендації IGRA </w:t>
                            </w:r>
                            <w:r>
                              <w:rPr>
                                <w:i/>
                                <w:iCs/>
                                <w:sz w:val="20"/>
                              </w:rPr>
                              <w:t>(5)</w:t>
                            </w:r>
                            <w:r>
                              <w:rPr>
                                <w:sz w:val="20"/>
                              </w:rPr>
                              <w:t>, ТКГ зазначила додаткові фактори під час зустрічі у січні 2025 року, як описано нижче.</w:t>
                            </w:r>
                          </w:p>
                          <w:p w14:paraId="61F225FA" w14:textId="77777777" w:rsidR="009D0C1D" w:rsidRDefault="009D0C1D" w:rsidP="00D4401E">
                            <w:pPr>
                              <w:spacing w:after="56" w:line="314" w:lineRule="auto"/>
                              <w:jc w:val="both"/>
                              <w:rPr>
                                <w:rFonts w:eastAsia="+mn-ea" w:cs="+mn-cs"/>
                                <w:kern w:val="24"/>
                                <w:sz w:val="20"/>
                                <w:szCs w:val="20"/>
                              </w:rPr>
                            </w:pPr>
                            <w:r>
                              <w:rPr>
                                <w:sz w:val="20"/>
                              </w:rPr>
                              <w:t>Примітки:</w:t>
                            </w:r>
                          </w:p>
                          <w:p w14:paraId="21A7CEC6" w14:textId="01051644" w:rsidR="009D0C1D" w:rsidRDefault="009D0C1D" w:rsidP="00D4401E">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Через відсутність достатньої кількості даних для чотирьох тестів: Щодо ASACIR.TB (ELISA), ichroma IGRA-TB (FIA), AdvanSure i3 TB-IGRA (CLIA) та Wantai TB-IGRA (CLIA), ТКГ не змогла належним чином порівняти їхню ефективність з поточними IGRA, рекомендованими ВООЗ; це не передбачає занепокоєнь щодо самих тестів, а враховує відсутність достатньої кількості незалежних даних для надання рекомендацій. ВООЗ очікуватиме від виробників подання додаткових незалежних даних.</w:t>
                            </w:r>
                          </w:p>
                          <w:p w14:paraId="3DB44B6F" w14:textId="66C7794F" w:rsidR="009D0C1D" w:rsidRDefault="009D0C1D" w:rsidP="00D4401E">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В рамках первинного аналізу порівнювались парні результати досліджуваного діагностичного тесту з еталонним тестом; він включав відмінність у чутливості та специфічності, що вважалась ефективною для цієї порівняльної оцінки, особливо коли поширеність туберкульозної інфекції варіювалась залежно від досліджуваної популяції.</w:t>
                            </w:r>
                          </w:p>
                          <w:p w14:paraId="48BEC26E" w14:textId="546610DF" w:rsidR="009D0C1D" w:rsidRDefault="009D0C1D" w:rsidP="00D4401E">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В рамках порівняльних оцінок не оцінювалась ефективність тестування в підгрупах (наприклад, люди, які живуть з ВІЛ, діти та інші популяції з ослабленим імунітетом); однак дані з цих груп було включено, за можливості.</w:t>
                            </w:r>
                          </w:p>
                          <w:p w14:paraId="5935DF62" w14:textId="0A9213CA" w:rsidR="009D0C1D" w:rsidRDefault="009D0C1D" w:rsidP="00D4401E">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Дослідження для LIAISON QFT-PLUS проводились у країнах з низьким тягарем епідемії ТБ; дані порівняльної оцінки у країнах з високим тягарем епідемії було включено як бажані для урізноманітнення доказів щодо ефективності тесту та повідомлення про впровадження нових технологій тестування.</w:t>
                            </w:r>
                          </w:p>
                          <w:p w14:paraId="02C7A240" w14:textId="0883AA72" w:rsidR="009D0C1D" w:rsidRDefault="009D0C1D" w:rsidP="00D4401E">
                            <w:pPr>
                              <w:spacing w:line="316" w:lineRule="auto"/>
                              <w:ind w:left="403" w:hanging="403"/>
                              <w:jc w:val="both"/>
                              <w:rPr>
                                <w:rFonts w:eastAsia="+mn-ea" w:cs="+mn-cs"/>
                                <w:color w:val="019648"/>
                                <w:kern w:val="24"/>
                                <w:sz w:val="20"/>
                                <w:szCs w:val="20"/>
                              </w:rPr>
                            </w:pPr>
                            <w:r>
                              <w:rPr>
                                <w:rFonts w:ascii="Wingdings" w:hAnsi="Wingdings"/>
                                <w:color w:val="019648"/>
                              </w:rPr>
                              <w:t></w:t>
                            </w:r>
                            <w:r>
                              <w:tab/>
                            </w:r>
                            <w:r>
                              <w:rPr>
                                <w:sz w:val="20"/>
                              </w:rPr>
                              <w:t>Дослідження для Wantai TB-IGRA (CLIA) проводилось в одній країні з високим тягарем епідемії (Китай).</w:t>
                            </w:r>
                          </w:p>
                          <w:p w14:paraId="3FA81717" w14:textId="5C7440F8" w:rsidR="009D0C1D" w:rsidRDefault="009D0C1D" w:rsidP="00D4401E">
                            <w:pPr>
                              <w:spacing w:line="316" w:lineRule="auto"/>
                              <w:ind w:left="403" w:hanging="403"/>
                              <w:jc w:val="both"/>
                              <w:rPr>
                                <w:rFonts w:eastAsia="+mn-ea" w:cs="+mn-cs"/>
                                <w:color w:val="019648"/>
                                <w:kern w:val="24"/>
                                <w:sz w:val="20"/>
                                <w:szCs w:val="20"/>
                              </w:rPr>
                            </w:pPr>
                            <w:r>
                              <w:rPr>
                                <w:rFonts w:ascii="Wingdings" w:hAnsi="Wingdings"/>
                                <w:color w:val="019648"/>
                              </w:rPr>
                              <w:t></w:t>
                            </w:r>
                            <w:r>
                              <w:tab/>
                            </w:r>
                            <w:r>
                              <w:rPr>
                                <w:sz w:val="20"/>
                              </w:rPr>
                              <w:t>Дані щодо прогностичної точності розвитку активної форми ТБ для жодного з тестів не були представлені, що свідчить про тривалу прогалину в дослідженнях.</w:t>
                            </w:r>
                          </w:p>
                          <w:p w14:paraId="2E8A9CC8" w14:textId="11915831" w:rsidR="009D0C1D" w:rsidRDefault="009D0C1D" w:rsidP="00D4401E">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Високий ризик систематичної помилки спостерігався в усіх дослідженнях, незалежно від досліджуваного діагностичного тесту.</w:t>
                            </w:r>
                          </w:p>
                          <w:p w14:paraId="16AD83D1" w14:textId="3610FACC" w:rsidR="009D0C1D" w:rsidRDefault="009D0C1D" w:rsidP="00D4401E">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Переваги та недоліки IGRA на основі крові порівняно з шкірними тестами на виявлення туберкульозної інфекції застосовуються до всіх досліджуваних діагностичних тестів.</w:t>
                            </w:r>
                          </w:p>
                          <w:p w14:paraId="19A6B6A1" w14:textId="6DE776EE" w:rsidR="009D0C1D" w:rsidRDefault="009D0C1D" w:rsidP="00D4401E">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Необхідно враховувати невизначені результати, оскільки вони впливають на витрати пацієнтів та видатки на охорону здоров’я.</w:t>
                            </w:r>
                          </w:p>
                          <w:p w14:paraId="2BB8FFD4" w14:textId="77777777" w:rsidR="009D0C1D" w:rsidRPr="00785005" w:rsidRDefault="009D0C1D" w:rsidP="00D4401E">
                            <w:pPr>
                              <w:spacing w:after="56" w:line="314" w:lineRule="auto"/>
                              <w:jc w:val="both"/>
                              <w:rPr>
                                <w:rFonts w:eastAsia="+mn-ea" w:cs="+mn-cs"/>
                                <w:b/>
                                <w:bCs/>
                                <w:kern w:val="24"/>
                                <w:sz w:val="20"/>
                                <w:szCs w:val="20"/>
                              </w:rPr>
                            </w:pPr>
                            <w:r>
                              <w:rPr>
                                <w:b/>
                                <w:sz w:val="20"/>
                              </w:rPr>
                              <w:t>Міркування щодо впровадження</w:t>
                            </w:r>
                          </w:p>
                          <w:p w14:paraId="733B2A79" w14:textId="6BA5181E" w:rsidR="009D0C1D" w:rsidRDefault="009D0C1D" w:rsidP="00D4401E">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Вимоги до виробничих потужностей, обладнання, кваліфікації та підготовки персоналу централізованої лабораторії, а також часу отримання результатів протягом кількох днів будуть подібними для аналізів QFT-Plus, LIAISON та STANDARD E TB-Feron.</w:t>
                            </w:r>
                          </w:p>
                        </w:txbxContent>
                      </wps:txbx>
                      <wps:bodyPr lIns="0" tIns="0" rIns="0" bIns="0">
                        <a:noAutofit/>
                      </wps:bodyPr>
                    </wps:wsp>
                  </a:graphicData>
                </a:graphic>
                <wp14:sizeRelV relativeFrom="margin">
                  <wp14:pctHeight>0</wp14:pctHeight>
                </wp14:sizeRelV>
              </wp:anchor>
            </w:drawing>
          </mc:Choice>
          <mc:Fallback>
            <w:pict>
              <v:rect w14:anchorId="684D9D5B" id="_x0000_s1144" style="position:absolute;margin-left:26.75pt;margin-top:10.55pt;width:412.1pt;height:713.35pt;z-index:25151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" fillcolor="#c6e0ce" stroked="f">
                <v:textbox inset="0,0,0,0">
                  <w:txbxContent>
                    <w:p w14:paraId="1262B4FB" w14:textId="4E8B3A5D" w:rsidR="009D0C1D" w:rsidRDefault="009D0C1D" w:rsidP="00D4401E">
                      <w:pPr>
                        <w:spacing w:line="314" w:lineRule="auto"/>
                        <w:ind w:left="403" w:hanging="403"/>
                        <w:rPr>
                          <w:rFonts w:eastAsia="+mn-ea" w:cs="+mn-cs"/>
                          <w:kern w:val="24"/>
                          <w:sz w:val="20"/>
                          <w:szCs w:val="20"/>
                        </w:rPr>
                      </w:pPr>
                      <w:r>
                        <w:rPr>
                          <w:sz w:val="20"/>
                        </w:rPr>
                        <w:t>2.</w:t>
                      </w:r>
                      <w:r w:rsidRPr="00654075">
                        <w:t xml:space="preserve"> </w:t>
                      </w:r>
                      <w:r>
                        <w:tab/>
                      </w:r>
                      <w:r>
                        <w:rPr>
                          <w:sz w:val="20"/>
                        </w:rPr>
                        <w:t>Ефективність ASACIR.TB, ichroma IGRA-TB (FIA), Wantai TB-IGRA (CLIA) та AvanSureI3 TB-IGRA (CLIA) не можна належним чином порівняти з ефективністю IGRA, рекомендованих ВООЗ, для виявлення туберкульозної інфекції.</w:t>
                      </w:r>
                    </w:p>
                    <w:p w14:paraId="6FC5CDD5" w14:textId="0B2B7D32" w:rsidR="009D0C1D" w:rsidRDefault="009D0C1D" w:rsidP="00D4401E">
                      <w:pPr>
                        <w:spacing w:after="56" w:line="316" w:lineRule="auto"/>
                        <w:ind w:left="403" w:hanging="403"/>
                        <w:rPr>
                          <w:rFonts w:eastAsia="+mn-ea" w:cs="+mn-cs"/>
                          <w:kern w:val="24"/>
                          <w:sz w:val="20"/>
                          <w:szCs w:val="20"/>
                        </w:rPr>
                      </w:pPr>
                      <w:r>
                        <w:rPr>
                          <w:sz w:val="20"/>
                        </w:rPr>
                        <w:t>3.</w:t>
                      </w:r>
                      <w:r w:rsidRPr="00654075">
                        <w:t xml:space="preserve"> </w:t>
                      </w:r>
                      <w:r>
                        <w:tab/>
                      </w:r>
                      <w:r>
                        <w:rPr>
                          <w:sz w:val="20"/>
                        </w:rPr>
                        <w:t>Поточні рекомендації ВООЗ щодо застосування IGRA також дійсні для ELISA STANDARD E TB-Feron від компанії SD Biosensor та LIAISON QFT-PLUS (CLIA) від компанії Diasorin.</w:t>
                      </w:r>
                    </w:p>
                    <w:p w14:paraId="12765D9E" w14:textId="77777777" w:rsidR="009D0C1D" w:rsidRDefault="009D0C1D" w:rsidP="00D4401E">
                      <w:pPr>
                        <w:spacing w:after="56" w:line="314" w:lineRule="auto"/>
                        <w:jc w:val="both"/>
                        <w:rPr>
                          <w:rFonts w:eastAsia="+mn-ea" w:cs="+mn-cs"/>
                          <w:kern w:val="24"/>
                          <w:sz w:val="20"/>
                          <w:szCs w:val="20"/>
                        </w:rPr>
                      </w:pPr>
                      <w:r>
                        <w:rPr>
                          <w:sz w:val="20"/>
                        </w:rPr>
                        <w:t xml:space="preserve">Крім міркувань щодо впровадження, що ГРК висловило у 2011 році при рекомендації IGRA </w:t>
                      </w:r>
                      <w:r>
                        <w:rPr>
                          <w:i/>
                          <w:iCs/>
                          <w:sz w:val="20"/>
                        </w:rPr>
                        <w:t>(5)</w:t>
                      </w:r>
                      <w:r>
                        <w:rPr>
                          <w:sz w:val="20"/>
                        </w:rPr>
                        <w:t>, ТКГ зазначила додаткові фактори під час зустрічі у січні 2025 року, як описано нижче.</w:t>
                      </w:r>
                    </w:p>
                    <w:p w14:paraId="61F225FA" w14:textId="77777777" w:rsidR="009D0C1D" w:rsidRDefault="009D0C1D" w:rsidP="00D4401E">
                      <w:pPr>
                        <w:spacing w:after="56" w:line="314" w:lineRule="auto"/>
                        <w:jc w:val="both"/>
                        <w:rPr>
                          <w:rFonts w:eastAsia="+mn-ea" w:cs="+mn-cs"/>
                          <w:kern w:val="24"/>
                          <w:sz w:val="20"/>
                          <w:szCs w:val="20"/>
                        </w:rPr>
                      </w:pPr>
                      <w:r>
                        <w:rPr>
                          <w:sz w:val="20"/>
                        </w:rPr>
                        <w:t>Примітки:</w:t>
                      </w:r>
                    </w:p>
                    <w:p w14:paraId="21A7CEC6" w14:textId="01051644" w:rsidR="009D0C1D" w:rsidRDefault="009D0C1D" w:rsidP="00D4401E">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Через відсутність достатньої кількості даних для чотирьох тестів: Щодо ASACIR.TB (ELISA), ichroma IGRA-TB (FIA), AdvanSure i3 TB-IGRA (CLIA) та Wantai TB-IGRA (CLIA), ТКГ не змогла належним чином порівняти їхню ефективність з поточними IGRA, рекомендованими ВООЗ; це не передбачає занепокоєнь щодо самих тестів, а враховує відсутність достатньої кількості незалежних даних для надання рекомендацій. ВООЗ очікуватиме від виробників подання додаткових незалежних даних.</w:t>
                      </w:r>
                    </w:p>
                    <w:p w14:paraId="3DB44B6F" w14:textId="66C7794F" w:rsidR="009D0C1D" w:rsidRDefault="009D0C1D" w:rsidP="00D4401E">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В рамках первинного аналізу порівнювались парні результати досліджуваного діагностичного тесту з еталонним тестом; він включав відмінність у чутливості та специфічності, що вважалась ефективною для цієї порівняльної оцінки, особливо коли поширеність туберкульозної інфекції варіювалась залежно від досліджуваної популяції.</w:t>
                      </w:r>
                    </w:p>
                    <w:p w14:paraId="48BEC26E" w14:textId="546610DF" w:rsidR="009D0C1D" w:rsidRDefault="009D0C1D" w:rsidP="00D4401E">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В рамках порівняльних оцінок не оцінювалась ефективність тестування в підгрупах (наприклад, люди, які живуть з ВІЛ, діти та інші популяції з ослабленим імунітетом); однак дані з цих груп було включено, за можливості.</w:t>
                      </w:r>
                    </w:p>
                    <w:p w14:paraId="5935DF62" w14:textId="0A9213CA" w:rsidR="009D0C1D" w:rsidRDefault="009D0C1D" w:rsidP="00D4401E">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Дослідження для LIAISON QFT-PLUS проводились у країнах з низьким тягарем епідемії ТБ; дані порівняльної оцінки у країнах з високим тягарем епідемії було включено як бажані для урізноманітнення доказів щодо ефективності тесту та повідомлення про впровадження нових технологій тестування.</w:t>
                      </w:r>
                    </w:p>
                    <w:p w14:paraId="02C7A240" w14:textId="0883AA72" w:rsidR="009D0C1D" w:rsidRDefault="009D0C1D" w:rsidP="00D4401E">
                      <w:pPr>
                        <w:spacing w:line="316" w:lineRule="auto"/>
                        <w:ind w:left="403" w:hanging="403"/>
                        <w:jc w:val="both"/>
                        <w:rPr>
                          <w:rFonts w:eastAsia="+mn-ea" w:cs="+mn-cs"/>
                          <w:color w:val="019648"/>
                          <w:kern w:val="24"/>
                          <w:sz w:val="20"/>
                          <w:szCs w:val="20"/>
                        </w:rPr>
                      </w:pPr>
                      <w:r>
                        <w:rPr>
                          <w:rFonts w:ascii="Wingdings" w:hAnsi="Wingdings"/>
                          <w:color w:val="019648"/>
                        </w:rPr>
                        <w:t></w:t>
                      </w:r>
                      <w:r>
                        <w:tab/>
                      </w:r>
                      <w:r>
                        <w:rPr>
                          <w:sz w:val="20"/>
                        </w:rPr>
                        <w:t>Дослідження для Wantai TB-IGRA (CLIA) проводилось в одній країні з високим тягарем епідемії (Китай).</w:t>
                      </w:r>
                    </w:p>
                    <w:p w14:paraId="3FA81717" w14:textId="5C7440F8" w:rsidR="009D0C1D" w:rsidRDefault="009D0C1D" w:rsidP="00D4401E">
                      <w:pPr>
                        <w:spacing w:line="316" w:lineRule="auto"/>
                        <w:ind w:left="403" w:hanging="403"/>
                        <w:jc w:val="both"/>
                        <w:rPr>
                          <w:rFonts w:eastAsia="+mn-ea" w:cs="+mn-cs"/>
                          <w:color w:val="019648"/>
                          <w:kern w:val="24"/>
                          <w:sz w:val="20"/>
                          <w:szCs w:val="20"/>
                        </w:rPr>
                      </w:pPr>
                      <w:r>
                        <w:rPr>
                          <w:rFonts w:ascii="Wingdings" w:hAnsi="Wingdings"/>
                          <w:color w:val="019648"/>
                        </w:rPr>
                        <w:t></w:t>
                      </w:r>
                      <w:r>
                        <w:tab/>
                      </w:r>
                      <w:r>
                        <w:rPr>
                          <w:sz w:val="20"/>
                        </w:rPr>
                        <w:t>Дані щодо прогностичної точності розвитку активної форми ТБ для жодного з тестів не були представлені, що свідчить про тривалу прогалину в дослідженнях.</w:t>
                      </w:r>
                    </w:p>
                    <w:p w14:paraId="2E8A9CC8" w14:textId="11915831" w:rsidR="009D0C1D" w:rsidRDefault="009D0C1D" w:rsidP="00D4401E">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Високий ризик систематичної помилки спостерігався в усіх дослідженнях, незалежно від досліджуваного діагностичного тесту.</w:t>
                      </w:r>
                    </w:p>
                    <w:p w14:paraId="16AD83D1" w14:textId="3610FACC" w:rsidR="009D0C1D" w:rsidRDefault="009D0C1D" w:rsidP="00D4401E">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Переваги та недоліки IGRA на основі крові порівняно з шкірними тестами на виявлення туберкульозної інфекції застосовуються до всіх досліджуваних діагностичних тестів.</w:t>
                      </w:r>
                    </w:p>
                    <w:p w14:paraId="19A6B6A1" w14:textId="6DE776EE" w:rsidR="009D0C1D" w:rsidRDefault="009D0C1D" w:rsidP="00D4401E">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Необхідно враховувати невизначені результати, оскільки вони впливають на витрати пацієнтів та видатки на охорону здоров’я.</w:t>
                      </w:r>
                    </w:p>
                    <w:p w14:paraId="2BB8FFD4" w14:textId="77777777" w:rsidR="009D0C1D" w:rsidRPr="00785005" w:rsidRDefault="009D0C1D" w:rsidP="00D4401E">
                      <w:pPr>
                        <w:spacing w:after="56" w:line="314" w:lineRule="auto"/>
                        <w:jc w:val="both"/>
                        <w:rPr>
                          <w:rFonts w:eastAsia="+mn-ea" w:cs="+mn-cs"/>
                          <w:b/>
                          <w:bCs/>
                          <w:kern w:val="24"/>
                          <w:sz w:val="20"/>
                          <w:szCs w:val="20"/>
                        </w:rPr>
                      </w:pPr>
                      <w:r>
                        <w:rPr>
                          <w:b/>
                          <w:sz w:val="20"/>
                        </w:rPr>
                        <w:t>Міркування щодо впровадження</w:t>
                      </w:r>
                    </w:p>
                    <w:p w14:paraId="733B2A79" w14:textId="6BA5181E" w:rsidR="009D0C1D" w:rsidRDefault="009D0C1D" w:rsidP="00D4401E">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Вимоги до виробничих потужностей, обладнання, кваліфікації та підготовки персоналу централізованої лабораторії, а також часу отримання результатів протягом кількох днів будуть подібними для аналізів QFT-Plus, LIAISON та STANDARD E TB-Feron.</w:t>
                      </w:r>
                    </w:p>
                  </w:txbxContent>
                </v:textbox>
              </v:rect>
            </w:pict>
          </mc:Fallback>
        </mc:AlternateContent>
      </w:r>
      <w:r>
        <w:rPr>
          <w:noProof/>
        </w:rPr>
        <w:drawing>
          <wp:inline distT="0" distB="0" distL="0" distR="0" wp14:anchorId="17677839" wp14:editId="780AB133">
            <wp:extent cx="5782310" cy="9271000"/>
            <wp:effectExtent l="0" t="0" r="8890" b="6350"/>
            <wp:docPr id="93" name="Shape 93"/>
            <wp:cNvGraphicFramePr/>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93" cstate="print">
                      <a:extLst>
                        <a:ext uri="{28A0092B-C50C-407E-A947-70E740481C1C}">
                          <a14:useLocalDpi xmlns:a14="http://schemas.microsoft.com/office/drawing/2010/main" val="0"/>
                        </a:ext>
                      </a:extLst>
                    </a:blip>
                    <a:stretch/>
                  </pic:blipFill>
                  <pic:spPr>
                    <a:xfrm>
                      <a:off x="0" y="0"/>
                      <a:ext cx="5784604" cy="9274678"/>
                    </a:xfrm>
                    <a:prstGeom prst="rect">
                      <a:avLst/>
                    </a:prstGeom>
                  </pic:spPr>
                </pic:pic>
              </a:graphicData>
            </a:graphic>
          </wp:inline>
        </w:drawing>
      </w:r>
    </w:p>
    <w:p w14:paraId="33A1A1B3" w14:textId="7A97A221" w:rsidR="00366CB9" w:rsidRDefault="00366CB9" w:rsidP="00425523">
      <w:pPr>
        <w:spacing w:line="1" w:lineRule="exact"/>
      </w:pPr>
    </w:p>
    <w:p w14:paraId="5AC52EA9" w14:textId="56D44D03" w:rsidR="00366CB9" w:rsidRDefault="002F0816" w:rsidP="00C670F3">
      <w:pPr>
        <w:sectPr w:rsidR="00366CB9" w:rsidSect="00F03360">
          <w:type w:val="nextColumn"/>
          <w:pgSz w:w="11913" w:h="16840"/>
          <w:pgMar w:top="1469" w:right="1378" w:bottom="851" w:left="1372" w:header="0" w:footer="6" w:gutter="0"/>
          <w:paperSrc w:first="15" w:other="15"/>
          <w:cols w:space="720"/>
          <w:noEndnote/>
          <w:docGrid w:linePitch="360"/>
        </w:sectPr>
      </w:pPr>
      <w:r>
        <w:rPr>
          <w:noProof/>
        </w:rPr>
        <mc:AlternateContent>
          <mc:Choice Requires="wps">
            <w:drawing>
              <wp:anchor distT="0" distB="0" distL="114300" distR="114300" simplePos="0" relativeHeight="251521024" behindDoc="0" locked="0" layoutInCell="1" allowOverlap="1" wp14:anchorId="17BBB655" wp14:editId="39D7B06E">
                <wp:simplePos x="0" y="0"/>
                <wp:positionH relativeFrom="column">
                  <wp:posOffset>915247</wp:posOffset>
                </wp:positionH>
                <wp:positionV relativeFrom="paragraph">
                  <wp:posOffset>8346016</wp:posOffset>
                </wp:positionV>
                <wp:extent cx="4653915" cy="448733"/>
                <wp:effectExtent l="0" t="0" r="0" b="8890"/>
                <wp:wrapNone/>
                <wp:docPr id="811178045" name="Прямокутник 3"/>
                <wp:cNvGraphicFramePr/>
                <a:graphic xmlns:a="http://schemas.openxmlformats.org/drawingml/2006/main">
                  <a:graphicData uri="http://schemas.microsoft.com/office/word/2010/wordprocessingShape">
                    <wps:wsp>
                      <wps:cNvSpPr/>
                      <wps:spPr>
                        <a:xfrm>
                          <a:off x="0" y="0"/>
                          <a:ext cx="4653915" cy="448733"/>
                        </a:xfrm>
                        <a:prstGeom prst="rect">
                          <a:avLst/>
                        </a:prstGeom>
                        <a:solidFill>
                          <a:srgbClr val="C6E0CE"/>
                        </a:solidFill>
                      </wps:spPr>
                      <wps:txbx>
                        <w:txbxContent>
                          <w:p w14:paraId="7B89E934" w14:textId="77777777" w:rsidR="009D0C1D" w:rsidRDefault="009D0C1D" w:rsidP="00D4401E">
                            <w:pPr>
                              <w:spacing w:line="316" w:lineRule="auto"/>
                              <w:rPr>
                                <w:rFonts w:eastAsia="+mn-ea" w:cs="+mn-cs"/>
                                <w:kern w:val="24"/>
                                <w:sz w:val="20"/>
                                <w:szCs w:val="20"/>
                              </w:rPr>
                            </w:pPr>
                            <w:r>
                              <w:rPr>
                                <w:sz w:val="20"/>
                              </w:rPr>
                              <w:t>У звіті ТКГ міститься оновлена інформація щодо генерування доказів для подальших оцінок ТКГ IGRA «у межах класу».</w:t>
                            </w:r>
                          </w:p>
                        </w:txbxContent>
                      </wps:txbx>
                      <wps:bodyPr lIns="0" tIns="0" rIns="0" bIns="0">
                        <a:noAutofit/>
                      </wps:bodyPr>
                    </wps:wsp>
                  </a:graphicData>
                </a:graphic>
                <wp14:sizeRelV relativeFrom="margin">
                  <wp14:pctHeight>0</wp14:pctHeight>
                </wp14:sizeRelV>
              </wp:anchor>
            </w:drawing>
          </mc:Choice>
          <mc:Fallback>
            <w:pict>
              <v:rect w14:anchorId="17BBB655" id="_x0000_s1145" style="position:absolute;margin-left:72.05pt;margin-top:657.15pt;width:366.45pt;height:35.35pt;z-index:25152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" fillcolor="#c6e0ce" stroked="f">
                <v:textbox inset="0,0,0,0">
                  <w:txbxContent>
                    <w:p w14:paraId="7B89E934" w14:textId="77777777" w:rsidR="009D0C1D" w:rsidRDefault="009D0C1D" w:rsidP="00D4401E">
                      <w:pPr>
                        <w:spacing w:line="316" w:lineRule="auto"/>
                        <w:rPr>
                          <w:rFonts w:eastAsia="+mn-ea" w:cs="+mn-cs"/>
                          <w:kern w:val="24"/>
                          <w:sz w:val="20"/>
                          <w:szCs w:val="20"/>
                        </w:rPr>
                      </w:pPr>
                      <w:r>
                        <w:rPr>
                          <w:sz w:val="20"/>
                        </w:rPr>
                        <w:t>У звіті ТКГ міститься оновлена інформація щодо генерування доказів для подальших оцінок ТКГ IGRA «у межах класу».</w:t>
                      </w:r>
                    </w:p>
                  </w:txbxContent>
                </v:textbox>
              </v:rect>
            </w:pict>
          </mc:Fallback>
        </mc:AlternateContent>
      </w:r>
      <w:r>
        <w:rPr>
          <w:noProof/>
        </w:rPr>
        <mc:AlternateContent>
          <mc:Choice Requires="wps">
            <w:drawing>
              <wp:anchor distT="0" distB="0" distL="114300" distR="114300" simplePos="0" relativeHeight="251520000" behindDoc="0" locked="0" layoutInCell="1" allowOverlap="1" wp14:anchorId="1196420D" wp14:editId="36EFE052">
                <wp:simplePos x="0" y="0"/>
                <wp:positionH relativeFrom="column">
                  <wp:posOffset>322580</wp:posOffset>
                </wp:positionH>
                <wp:positionV relativeFrom="paragraph">
                  <wp:posOffset>234949</wp:posOffset>
                </wp:positionV>
                <wp:extent cx="5248275" cy="8060267"/>
                <wp:effectExtent l="0" t="0" r="9525" b="0"/>
                <wp:wrapNone/>
                <wp:docPr id="1298971162" name="Прямокутник 2"/>
                <wp:cNvGraphicFramePr/>
                <a:graphic xmlns:a="http://schemas.openxmlformats.org/drawingml/2006/main">
                  <a:graphicData uri="http://schemas.microsoft.com/office/word/2010/wordprocessingShape">
                    <wps:wsp>
                      <wps:cNvSpPr/>
                      <wps:spPr>
                        <a:xfrm>
                          <a:off x="0" y="0"/>
                          <a:ext cx="5248275" cy="8060267"/>
                        </a:xfrm>
                        <a:prstGeom prst="rect">
                          <a:avLst/>
                        </a:prstGeom>
                        <a:solidFill>
                          <a:srgbClr val="C6E0CE"/>
                        </a:solidFill>
                      </wps:spPr>
                      <wps:txbx>
                        <w:txbxContent>
                          <w:p w14:paraId="6CE249BB" w14:textId="6A069554" w:rsidR="009D0C1D" w:rsidRDefault="009D0C1D" w:rsidP="00D4401E">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Процедура тестування LIAISON є більш автоматизованою, ніж інші IGRA, та передбачає застосування того ж аналізатора для тестування на виявлення інших захворювань; однак програми мають враховувати витрати, пов’язані з приладами, обладнанням та реактивами. Витрати, зазначені виробником, можуть залежати від тесту та умов. Для стандартизованого ціноутворення та каталожного переліку для кожного досліджуваного діагностичного тесту необхідні рекомендації в рамках Глобального механізму із забезпечення лікарськими засобами.</w:t>
                            </w:r>
                          </w:p>
                          <w:p w14:paraId="403377BB" w14:textId="2F562BD2" w:rsidR="009D0C1D" w:rsidRDefault="009D0C1D" w:rsidP="00D4401E">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Рекомендації ВООЗ щодо діагностики засновані на результатах клінічних досліджень; вони не включають оцінку якості продуктів, коливання між серіями або процесу виробництва. До попередньої кваліфікації ВООЗ для IGRA необхідно забезпечити відповідність нових продуктів місцевим або міжнародно визнаним регуляторним вимогам перед впровадженням, таким як вимоги Управління з санітарного нагляду за якістю харчових продуктів та медикаментів США.</w:t>
                            </w:r>
                          </w:p>
                          <w:p w14:paraId="118510E3" w14:textId="65DE9520" w:rsidR="009D0C1D" w:rsidRDefault="009D0C1D" w:rsidP="00D4401E">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Застосовуються процеси впровадження нових тестів – нижче наведено приклади областей, що необхідно враховувати у процесі оновлення: реєстрація, ланцюжок поставок, лабораторна та клінічна підготовка, діагностичні алгоритми, СОП, програми ЗЯ, програми обслуговування та технічного обслуговування, моніторинг та оцінка, звітування про результати та інформаційні системи.</w:t>
                            </w:r>
                          </w:p>
                          <w:p w14:paraId="38E580AC" w14:textId="6D0AEAF3" w:rsidR="009D0C1D" w:rsidRDefault="009D0C1D" w:rsidP="00D4401E">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Для всіх тестів на виявлення туберкульозної інфекції, включаючи IGRA, програми повинні контролювати вплив на ПЛТ.</w:t>
                            </w:r>
                          </w:p>
                          <w:p w14:paraId="578626C4" w14:textId="77777777" w:rsidR="009D0C1D" w:rsidRPr="00785005" w:rsidRDefault="009D0C1D" w:rsidP="00D4401E">
                            <w:pPr>
                              <w:spacing w:after="56" w:line="312" w:lineRule="auto"/>
                              <w:rPr>
                                <w:rFonts w:eastAsia="+mn-ea" w:cs="+mn-cs"/>
                                <w:b/>
                                <w:bCs/>
                                <w:kern w:val="24"/>
                                <w:sz w:val="20"/>
                                <w:szCs w:val="20"/>
                              </w:rPr>
                            </w:pPr>
                            <w:r>
                              <w:rPr>
                                <w:b/>
                                <w:sz w:val="20"/>
                              </w:rPr>
                              <w:t>Подальші дослідження</w:t>
                            </w:r>
                          </w:p>
                          <w:p w14:paraId="508A16B4" w14:textId="77777777" w:rsidR="009D0C1D" w:rsidRDefault="009D0C1D" w:rsidP="00D4401E">
                            <w:pPr>
                              <w:spacing w:after="56" w:line="314" w:lineRule="auto"/>
                              <w:jc w:val="both"/>
                              <w:rPr>
                                <w:rFonts w:eastAsia="+mn-ea" w:cs="+mn-cs"/>
                                <w:kern w:val="24"/>
                                <w:sz w:val="20"/>
                                <w:szCs w:val="20"/>
                              </w:rPr>
                            </w:pPr>
                            <w:r>
                              <w:rPr>
                                <w:sz w:val="20"/>
                              </w:rPr>
                              <w:t>Дизайн дослідження має передбачати обмеження ризику систематичної помилки та занепокоєнь щодо застосування, відповідно до QUADAS-2, переглянутого інструменту для оцінки якості діагностичних тестів (51). Існує необхідність такого:</w:t>
                            </w:r>
                          </w:p>
                          <w:p w14:paraId="5C95C7A3" w14:textId="7F25EA9B" w:rsidR="009D0C1D" w:rsidRDefault="009D0C1D" w:rsidP="002F0816">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оцінка рекомендованих тестів у різних географічних та епідеміологічних умовах, включаючи регіони з високим тягарем епідемії;</w:t>
                            </w:r>
                          </w:p>
                          <w:p w14:paraId="7918A6A8" w14:textId="1073B06E" w:rsidR="009D0C1D" w:rsidRDefault="009D0C1D" w:rsidP="002F0816">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оцінка рекомендованих тестів у субпопуляціях, куди їх спочатку не було включено (наприклад, люди, які живуть з ВІЛ, діти та інші особи з ослабленим імунітетом);</w:t>
                            </w:r>
                          </w:p>
                          <w:p w14:paraId="41BE7132" w14:textId="4F37FD01" w:rsidR="009D0C1D" w:rsidRDefault="009D0C1D" w:rsidP="002F0816">
                            <w:pPr>
                              <w:spacing w:line="312" w:lineRule="auto"/>
                              <w:ind w:left="403" w:hanging="403"/>
                              <w:rPr>
                                <w:rFonts w:eastAsia="+mn-ea" w:cs="+mn-cs"/>
                                <w:color w:val="019648"/>
                                <w:kern w:val="24"/>
                                <w:sz w:val="20"/>
                                <w:szCs w:val="20"/>
                              </w:rPr>
                            </w:pPr>
                            <w:r>
                              <w:rPr>
                                <w:rFonts w:ascii="Wingdings" w:hAnsi="Wingdings"/>
                                <w:color w:val="019648"/>
                              </w:rPr>
                              <w:t></w:t>
                            </w:r>
                            <w:r>
                              <w:tab/>
                            </w:r>
                            <w:r>
                              <w:rPr>
                                <w:sz w:val="20"/>
                              </w:rPr>
                              <w:t>оцінка відтворюваності тестування на виявлення туберкульозної інфекції;</w:t>
                            </w:r>
                          </w:p>
                          <w:p w14:paraId="42094FE0" w14:textId="709A3EE4" w:rsidR="009D0C1D" w:rsidRDefault="009D0C1D" w:rsidP="002F0816">
                            <w:pPr>
                              <w:spacing w:line="316" w:lineRule="auto"/>
                              <w:ind w:left="403" w:hanging="403"/>
                              <w:jc w:val="both"/>
                              <w:rPr>
                                <w:rFonts w:eastAsia="+mn-ea" w:cs="+mn-cs"/>
                                <w:color w:val="019648"/>
                                <w:kern w:val="24"/>
                                <w:sz w:val="20"/>
                                <w:szCs w:val="20"/>
                              </w:rPr>
                            </w:pPr>
                            <w:r>
                              <w:rPr>
                                <w:rFonts w:ascii="Wingdings" w:hAnsi="Wingdings"/>
                                <w:color w:val="019648"/>
                              </w:rPr>
                              <w:t></w:t>
                            </w:r>
                            <w:r>
                              <w:tab/>
                            </w:r>
                            <w:r>
                              <w:rPr>
                                <w:sz w:val="20"/>
                              </w:rPr>
                              <w:t>більш точна кількісна оцінка прямих та непрямих витрат для всіх досліджуваних діагностичних тестів, в ідеалі за допомогою аналізів часових затрат та трудових рухів;</w:t>
                            </w:r>
                          </w:p>
                          <w:p w14:paraId="7A4A0D80" w14:textId="3BBE37EB" w:rsidR="009D0C1D" w:rsidRDefault="009D0C1D" w:rsidP="002F0816">
                            <w:pPr>
                              <w:spacing w:line="312" w:lineRule="auto"/>
                              <w:ind w:left="403" w:hanging="403"/>
                              <w:rPr>
                                <w:rFonts w:eastAsia="+mn-ea" w:cs="+mn-cs"/>
                                <w:color w:val="019648"/>
                                <w:kern w:val="24"/>
                                <w:sz w:val="20"/>
                                <w:szCs w:val="20"/>
                              </w:rPr>
                            </w:pPr>
                            <w:r>
                              <w:rPr>
                                <w:rFonts w:ascii="Wingdings" w:hAnsi="Wingdings"/>
                                <w:color w:val="019648"/>
                              </w:rPr>
                              <w:t></w:t>
                            </w:r>
                            <w:r>
                              <w:tab/>
                            </w:r>
                            <w:r>
                              <w:rPr>
                                <w:sz w:val="20"/>
                              </w:rPr>
                              <w:t>оцінка витрат та ефективності витрат для всіх досліджуваних діагностичних тестів; та</w:t>
                            </w:r>
                          </w:p>
                          <w:p w14:paraId="05F4F27F" w14:textId="15E245FD" w:rsidR="009D0C1D" w:rsidRDefault="009D0C1D" w:rsidP="002F0816">
                            <w:pPr>
                              <w:spacing w:after="56" w:line="316" w:lineRule="auto"/>
                              <w:ind w:left="403" w:hanging="403"/>
                              <w:jc w:val="both"/>
                              <w:rPr>
                                <w:rFonts w:eastAsia="+mn-ea" w:cs="+mn-cs"/>
                                <w:color w:val="019648"/>
                                <w:kern w:val="24"/>
                                <w:sz w:val="20"/>
                                <w:szCs w:val="20"/>
                              </w:rPr>
                            </w:pPr>
                            <w:r>
                              <w:rPr>
                                <w:rFonts w:ascii="Wingdings" w:hAnsi="Wingdings"/>
                                <w:color w:val="019648"/>
                              </w:rPr>
                              <w:t></w:t>
                            </w:r>
                            <w:r>
                              <w:tab/>
                            </w:r>
                            <w:r>
                              <w:rPr>
                                <w:sz w:val="20"/>
                              </w:rPr>
                              <w:t>оцінка доцільності, застосування, рівності, а також цінностей та уподобань кінцевого користувача для всіх досліджуваних діагностичних тестів.</w:t>
                            </w:r>
                          </w:p>
                          <w:p w14:paraId="2107A384" w14:textId="77777777" w:rsidR="009D0C1D" w:rsidRDefault="009D0C1D" w:rsidP="00D4401E">
                            <w:pPr>
                              <w:spacing w:line="312" w:lineRule="auto"/>
                              <w:jc w:val="both"/>
                              <w:rPr>
                                <w:rFonts w:eastAsia="+mn-ea" w:cs="+mn-cs"/>
                                <w:kern w:val="24"/>
                                <w:sz w:val="20"/>
                                <w:szCs w:val="20"/>
                              </w:rPr>
                            </w:pPr>
                            <w:r>
                              <w:rPr>
                                <w:sz w:val="20"/>
                              </w:rPr>
                              <w:t xml:space="preserve">Див. подальші аспекти впровадження та досліджень IGRA у керівних принципах ВООЗ </w:t>
                            </w:r>
                            <w:r>
                              <w:rPr>
                                <w:i/>
                                <w:iCs/>
                                <w:sz w:val="20"/>
                              </w:rPr>
                              <w:t>(5).</w:t>
                            </w:r>
                            <w:r>
                              <w:rPr>
                                <w:sz w:val="20"/>
                              </w:rPr>
                              <w:t xml:space="preserve"> Див. повні звіти ТКГ та звіти про результати у </w:t>
                            </w:r>
                            <w:hyperlink r:id="rId94" w:history="1">
                              <w:r>
                                <w:rPr>
                                  <w:rStyle w:val="af4"/>
                                  <w:b/>
                                  <w:color w:val="000000"/>
                                  <w:sz w:val="20"/>
                                  <w:u w:val="none"/>
                                </w:rPr>
                                <w:t>Вебдодатку D</w:t>
                              </w:r>
                            </w:hyperlink>
                            <w:r>
                              <w:rPr>
                                <w:sz w:val="20"/>
                              </w:rPr>
                              <w:t>.</w:t>
                            </w:r>
                          </w:p>
                        </w:txbxContent>
                      </wps:txbx>
                      <wps:bodyPr lIns="0" tIns="0" rIns="0" bIns="0">
                        <a:noAutofit/>
                      </wps:bodyPr>
                    </wps:wsp>
                  </a:graphicData>
                </a:graphic>
                <wp14:sizeRelV relativeFrom="margin">
                  <wp14:pctHeight>0</wp14:pctHeight>
                </wp14:sizeRelV>
              </wp:anchor>
            </w:drawing>
          </mc:Choice>
          <mc:Fallback>
            <w:pict>
              <v:rect w14:anchorId="1196420D" id="_x0000_s1146" style="position:absolute;margin-left:25.4pt;margin-top:18.5pt;width:413.25pt;height:634.65pt;z-index:25152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" fillcolor="#c6e0ce" stroked="f">
                <v:textbox inset="0,0,0,0">
                  <w:txbxContent>
                    <w:p w14:paraId="6CE249BB" w14:textId="6A069554" w:rsidR="009D0C1D" w:rsidRDefault="009D0C1D" w:rsidP="00D4401E">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Процедура тестування LIAISON є більш автоматизованою, ніж інші IGRA, та передбачає застосування того ж аналізатора для тестування на виявлення інших захворювань; однак програми мають враховувати витрати, пов’язані з приладами, обладнанням та реактивами. Витрати, зазначені виробником, можуть залежати від тесту та умов. Для стандартизованого ціноутворення та каталожного переліку для кожного досліджуваного діагностичного тесту необхідні рекомендації в рамках Глобального механізму із забезпечення лікарськими засобами.</w:t>
                      </w:r>
                    </w:p>
                    <w:p w14:paraId="403377BB" w14:textId="2F562BD2" w:rsidR="009D0C1D" w:rsidRDefault="009D0C1D" w:rsidP="00D4401E">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Рекомендації ВООЗ щодо діагностики засновані на результатах клінічних досліджень; вони не включають оцінку якості продуктів, коливання між серіями або процесу виробництва. До попередньої кваліфікації ВООЗ для IGRA необхідно забезпечити відповідність нових продуктів місцевим або міжнародно визнаним регуляторним вимогам перед впровадженням, таким як вимоги Управління з санітарного нагляду за якістю харчових продуктів та медикаментів США.</w:t>
                      </w:r>
                    </w:p>
                    <w:p w14:paraId="118510E3" w14:textId="65DE9520" w:rsidR="009D0C1D" w:rsidRDefault="009D0C1D" w:rsidP="00D4401E">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Застосовуються процеси впровадження нових тестів – нижче наведено приклади областей, що необхідно враховувати у процесі оновлення: реєстрація, ланцюжок поставок, лабораторна та клінічна підготовка, діагностичні алгоритми, СОП, програми ЗЯ, програми обслуговування та технічного обслуговування, моніторинг та оцінка, звітування про результати та інформаційні системи.</w:t>
                      </w:r>
                    </w:p>
                    <w:p w14:paraId="38E580AC" w14:textId="6D0AEAF3" w:rsidR="009D0C1D" w:rsidRDefault="009D0C1D" w:rsidP="00D4401E">
                      <w:pPr>
                        <w:spacing w:after="56"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Для всіх тестів на виявлення туберкульозної інфекції, включаючи IGRA, програми повинні контролювати вплив на ПЛТ.</w:t>
                      </w:r>
                    </w:p>
                    <w:p w14:paraId="578626C4" w14:textId="77777777" w:rsidR="009D0C1D" w:rsidRPr="00785005" w:rsidRDefault="009D0C1D" w:rsidP="00D4401E">
                      <w:pPr>
                        <w:spacing w:after="56" w:line="312" w:lineRule="auto"/>
                        <w:rPr>
                          <w:rFonts w:eastAsia="+mn-ea" w:cs="+mn-cs"/>
                          <w:b/>
                          <w:bCs/>
                          <w:kern w:val="24"/>
                          <w:sz w:val="20"/>
                          <w:szCs w:val="20"/>
                        </w:rPr>
                      </w:pPr>
                      <w:r>
                        <w:rPr>
                          <w:b/>
                          <w:sz w:val="20"/>
                        </w:rPr>
                        <w:t>Подальші дослідження</w:t>
                      </w:r>
                    </w:p>
                    <w:p w14:paraId="508A16B4" w14:textId="77777777" w:rsidR="009D0C1D" w:rsidRDefault="009D0C1D" w:rsidP="00D4401E">
                      <w:pPr>
                        <w:spacing w:after="56" w:line="314" w:lineRule="auto"/>
                        <w:jc w:val="both"/>
                        <w:rPr>
                          <w:rFonts w:eastAsia="+mn-ea" w:cs="+mn-cs"/>
                          <w:kern w:val="24"/>
                          <w:sz w:val="20"/>
                          <w:szCs w:val="20"/>
                        </w:rPr>
                      </w:pPr>
                      <w:r>
                        <w:rPr>
                          <w:sz w:val="20"/>
                        </w:rPr>
                        <w:t>Дизайн дослідження має передбачати обмеження ризику систематичної помилки та занепокоєнь щодо застосування, відповідно до QUADAS-2, переглянутого інструменту для оцінки якості діагностичних тестів (51). Існує необхідність такого:</w:t>
                      </w:r>
                    </w:p>
                    <w:p w14:paraId="5C95C7A3" w14:textId="7F25EA9B" w:rsidR="009D0C1D" w:rsidRDefault="009D0C1D" w:rsidP="002F0816">
                      <w:pPr>
                        <w:spacing w:line="312" w:lineRule="auto"/>
                        <w:ind w:left="403" w:hanging="403"/>
                        <w:jc w:val="both"/>
                        <w:rPr>
                          <w:rFonts w:eastAsia="+mn-ea" w:cs="+mn-cs"/>
                          <w:color w:val="019648"/>
                          <w:kern w:val="24"/>
                          <w:sz w:val="20"/>
                          <w:szCs w:val="20"/>
                        </w:rPr>
                      </w:pPr>
                      <w:r>
                        <w:rPr>
                          <w:rFonts w:ascii="Wingdings" w:hAnsi="Wingdings"/>
                          <w:color w:val="019648"/>
                        </w:rPr>
                        <w:t></w:t>
                      </w:r>
                      <w:r>
                        <w:tab/>
                      </w:r>
                      <w:r>
                        <w:rPr>
                          <w:sz w:val="20"/>
                        </w:rPr>
                        <w:t>оцінка рекомендованих тестів у різних географічних та епідеміологічних умовах, включаючи регіони з високим тягарем епідемії;</w:t>
                      </w:r>
                    </w:p>
                    <w:p w14:paraId="7918A6A8" w14:textId="1073B06E" w:rsidR="009D0C1D" w:rsidRDefault="009D0C1D" w:rsidP="002F0816">
                      <w:pPr>
                        <w:spacing w:line="314" w:lineRule="auto"/>
                        <w:ind w:left="403" w:hanging="403"/>
                        <w:jc w:val="both"/>
                        <w:rPr>
                          <w:rFonts w:eastAsia="+mn-ea" w:cs="+mn-cs"/>
                          <w:color w:val="019648"/>
                          <w:kern w:val="24"/>
                          <w:sz w:val="20"/>
                          <w:szCs w:val="20"/>
                        </w:rPr>
                      </w:pPr>
                      <w:r>
                        <w:rPr>
                          <w:rFonts w:ascii="Wingdings" w:hAnsi="Wingdings"/>
                          <w:color w:val="019648"/>
                        </w:rPr>
                        <w:t></w:t>
                      </w:r>
                      <w:r>
                        <w:tab/>
                      </w:r>
                      <w:r>
                        <w:rPr>
                          <w:sz w:val="20"/>
                        </w:rPr>
                        <w:t>оцінка рекомендованих тестів у субпопуляціях, куди їх спочатку не було включено (наприклад, люди, які живуть з ВІЛ, діти та інші особи з ослабленим імунітетом);</w:t>
                      </w:r>
                    </w:p>
                    <w:p w14:paraId="41BE7132" w14:textId="4F37FD01" w:rsidR="009D0C1D" w:rsidRDefault="009D0C1D" w:rsidP="002F0816">
                      <w:pPr>
                        <w:spacing w:line="312" w:lineRule="auto"/>
                        <w:ind w:left="403" w:hanging="403"/>
                        <w:rPr>
                          <w:rFonts w:eastAsia="+mn-ea" w:cs="+mn-cs"/>
                          <w:color w:val="019648"/>
                          <w:kern w:val="24"/>
                          <w:sz w:val="20"/>
                          <w:szCs w:val="20"/>
                        </w:rPr>
                      </w:pPr>
                      <w:r>
                        <w:rPr>
                          <w:rFonts w:ascii="Wingdings" w:hAnsi="Wingdings"/>
                          <w:color w:val="019648"/>
                        </w:rPr>
                        <w:t></w:t>
                      </w:r>
                      <w:r>
                        <w:tab/>
                      </w:r>
                      <w:r>
                        <w:rPr>
                          <w:sz w:val="20"/>
                        </w:rPr>
                        <w:t>оцінка відтворюваності тестування на виявлення туберкульозної інфекції;</w:t>
                      </w:r>
                    </w:p>
                    <w:p w14:paraId="42094FE0" w14:textId="709A3EE4" w:rsidR="009D0C1D" w:rsidRDefault="009D0C1D" w:rsidP="002F0816">
                      <w:pPr>
                        <w:spacing w:line="316" w:lineRule="auto"/>
                        <w:ind w:left="403" w:hanging="403"/>
                        <w:jc w:val="both"/>
                        <w:rPr>
                          <w:rFonts w:eastAsia="+mn-ea" w:cs="+mn-cs"/>
                          <w:color w:val="019648"/>
                          <w:kern w:val="24"/>
                          <w:sz w:val="20"/>
                          <w:szCs w:val="20"/>
                        </w:rPr>
                      </w:pPr>
                      <w:r>
                        <w:rPr>
                          <w:rFonts w:ascii="Wingdings" w:hAnsi="Wingdings"/>
                          <w:color w:val="019648"/>
                        </w:rPr>
                        <w:t></w:t>
                      </w:r>
                      <w:r>
                        <w:tab/>
                      </w:r>
                      <w:r>
                        <w:rPr>
                          <w:sz w:val="20"/>
                        </w:rPr>
                        <w:t>більш точна кількісна оцінка прямих та непрямих витрат для всіх досліджуваних діагностичних тестів, в ідеалі за допомогою аналізів часових затрат та трудових рухів;</w:t>
                      </w:r>
                    </w:p>
                    <w:p w14:paraId="7A4A0D80" w14:textId="3BBE37EB" w:rsidR="009D0C1D" w:rsidRDefault="009D0C1D" w:rsidP="002F0816">
                      <w:pPr>
                        <w:spacing w:line="312" w:lineRule="auto"/>
                        <w:ind w:left="403" w:hanging="403"/>
                        <w:rPr>
                          <w:rFonts w:eastAsia="+mn-ea" w:cs="+mn-cs"/>
                          <w:color w:val="019648"/>
                          <w:kern w:val="24"/>
                          <w:sz w:val="20"/>
                          <w:szCs w:val="20"/>
                        </w:rPr>
                      </w:pPr>
                      <w:r>
                        <w:rPr>
                          <w:rFonts w:ascii="Wingdings" w:hAnsi="Wingdings"/>
                          <w:color w:val="019648"/>
                        </w:rPr>
                        <w:t></w:t>
                      </w:r>
                      <w:r>
                        <w:tab/>
                      </w:r>
                      <w:r>
                        <w:rPr>
                          <w:sz w:val="20"/>
                        </w:rPr>
                        <w:t>оцінка витрат та ефективності витрат для всіх досліджуваних діагностичних тестів; та</w:t>
                      </w:r>
                    </w:p>
                    <w:p w14:paraId="05F4F27F" w14:textId="15E245FD" w:rsidR="009D0C1D" w:rsidRDefault="009D0C1D" w:rsidP="002F0816">
                      <w:pPr>
                        <w:spacing w:after="56" w:line="316" w:lineRule="auto"/>
                        <w:ind w:left="403" w:hanging="403"/>
                        <w:jc w:val="both"/>
                        <w:rPr>
                          <w:rFonts w:eastAsia="+mn-ea" w:cs="+mn-cs"/>
                          <w:color w:val="019648"/>
                          <w:kern w:val="24"/>
                          <w:sz w:val="20"/>
                          <w:szCs w:val="20"/>
                        </w:rPr>
                      </w:pPr>
                      <w:r>
                        <w:rPr>
                          <w:rFonts w:ascii="Wingdings" w:hAnsi="Wingdings"/>
                          <w:color w:val="019648"/>
                        </w:rPr>
                        <w:t></w:t>
                      </w:r>
                      <w:r>
                        <w:tab/>
                      </w:r>
                      <w:r>
                        <w:rPr>
                          <w:sz w:val="20"/>
                        </w:rPr>
                        <w:t>оцінка доцільності, застосування, рівності, а також цінностей та уподобань кінцевого користувача для всіх досліджуваних діагностичних тестів.</w:t>
                      </w:r>
                    </w:p>
                    <w:p w14:paraId="2107A384" w14:textId="77777777" w:rsidR="009D0C1D" w:rsidRDefault="009D0C1D" w:rsidP="00D4401E">
                      <w:pPr>
                        <w:spacing w:line="312" w:lineRule="auto"/>
                        <w:jc w:val="both"/>
                        <w:rPr>
                          <w:rFonts w:eastAsia="+mn-ea" w:cs="+mn-cs"/>
                          <w:kern w:val="24"/>
                          <w:sz w:val="20"/>
                          <w:szCs w:val="20"/>
                        </w:rPr>
                      </w:pPr>
                      <w:r>
                        <w:rPr>
                          <w:sz w:val="20"/>
                        </w:rPr>
                        <w:t xml:space="preserve">Див. подальші аспекти впровадження та досліджень IGRA у керівних принципах ВООЗ </w:t>
                      </w:r>
                      <w:r>
                        <w:rPr>
                          <w:i/>
                          <w:iCs/>
                          <w:sz w:val="20"/>
                        </w:rPr>
                        <w:t>(5).</w:t>
                      </w:r>
                      <w:r>
                        <w:rPr>
                          <w:sz w:val="20"/>
                        </w:rPr>
                        <w:t xml:space="preserve"> Див. повні звіти ТКГ та звіти про результати у </w:t>
                      </w:r>
                      <w:hyperlink r:id="rId95" w:history="1">
                        <w:r>
                          <w:rPr>
                            <w:rStyle w:val="af4"/>
                            <w:b/>
                            <w:color w:val="000000"/>
                            <w:sz w:val="20"/>
                            <w:u w:val="none"/>
                          </w:rPr>
                          <w:t>Вебдодатку D</w:t>
                        </w:r>
                      </w:hyperlink>
                      <w:r>
                        <w:rPr>
                          <w:sz w:val="20"/>
                        </w:rPr>
                        <w:t>.</w:t>
                      </w:r>
                    </w:p>
                  </w:txbxContent>
                </v:textbox>
              </v:rect>
            </w:pict>
          </mc:Fallback>
        </mc:AlternateContent>
      </w:r>
      <w:r>
        <w:rPr>
          <w:noProof/>
        </w:rPr>
        <mc:AlternateContent>
          <mc:Choice Requires="wpg">
            <w:drawing>
              <wp:anchor distT="0" distB="0" distL="114300" distR="114300" simplePos="0" relativeHeight="251522048" behindDoc="0" locked="0" layoutInCell="1" allowOverlap="1" wp14:anchorId="7D83DBBE" wp14:editId="6F4E97C4">
                <wp:simplePos x="0" y="0"/>
                <wp:positionH relativeFrom="column">
                  <wp:posOffset>271780</wp:posOffset>
                </wp:positionH>
                <wp:positionV relativeFrom="paragraph">
                  <wp:posOffset>8346017</wp:posOffset>
                </wp:positionV>
                <wp:extent cx="592667" cy="406400"/>
                <wp:effectExtent l="0" t="0" r="0" b="0"/>
                <wp:wrapNone/>
                <wp:docPr id="376895489" name="Групувати 12"/>
                <wp:cNvGraphicFramePr/>
                <a:graphic xmlns:a="http://schemas.openxmlformats.org/drawingml/2006/main">
                  <a:graphicData uri="http://schemas.microsoft.com/office/word/2010/wordprocessingGroup">
                    <wpg:wgp>
                      <wpg:cNvGrpSpPr/>
                      <wpg:grpSpPr>
                        <a:xfrm>
                          <a:off x="0" y="0"/>
                          <a:ext cx="592667" cy="406400"/>
                          <a:chOff x="0" y="0"/>
                          <a:chExt cx="515620" cy="338667"/>
                        </a:xfrm>
                      </wpg:grpSpPr>
                      <wps:wsp>
                        <wps:cNvPr id="1730417015" name="object 6"/>
                        <wps:cNvSpPr/>
                        <wps:spPr>
                          <a:xfrm>
                            <a:off x="0" y="0"/>
                            <a:ext cx="515620" cy="245745"/>
                          </a:xfrm>
                          <a:custGeom>
                            <a:avLst/>
                            <a:gdLst/>
                            <a:ahLst/>
                            <a:cxnLst/>
                            <a:rect l="l" t="t" r="r" b="b"/>
                            <a:pathLst>
                              <a:path w="515620" h="245744">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wps:wsp>
                      <wps:wsp>
                        <wps:cNvPr id="1587127323" name="object 7"/>
                        <wps:cNvSpPr txBox="1"/>
                        <wps:spPr>
                          <a:xfrm>
                            <a:off x="94798" y="33867"/>
                            <a:ext cx="323215" cy="304800"/>
                          </a:xfrm>
                          <a:prstGeom prst="rect">
                            <a:avLst/>
                          </a:prstGeom>
                        </wps:spPr>
                        <wps:txbx>
                          <w:txbxContent>
                            <w:p w14:paraId="107D0982" w14:textId="77777777" w:rsidR="009D0C1D" w:rsidRPr="0061381C" w:rsidRDefault="009D0C1D" w:rsidP="00D4401E">
                              <w:pPr>
                                <w:ind w:left="14"/>
                                <w:rPr>
                                  <w:color w:val="FFFFFF"/>
                                  <w:spacing w:val="-5"/>
                                  <w:sz w:val="20"/>
                                  <w:szCs w:val="20"/>
                                </w:rPr>
                              </w:pPr>
                              <w:r>
                                <w:rPr>
                                  <w:color w:val="FFFFFF"/>
                                  <w:sz w:val="20"/>
                                </w:rPr>
                                <w:t>НОВЕ</w:t>
                              </w: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83DBBE" id="_x0000_s1147" style="position:absolute;margin-left:21.4pt;margin-top:657.15pt;width:46.65pt;height:32pt;z-index:251522048;mso-position-horizontal-relative:text;mso-position-vertical-relative:text;mso-width-relative:margin;mso-height-relative:margin" coordsize="515620,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">
                <v:shape id="object 6" o:spid="_x0000_s1148" style="position:absolute;width:515620;height:245745;visibility:visible;mso-wrap-style:square;v-text-anchor:top" coordsize="515620,24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" path="m515543,l,,,122796r9650,47797l35966,209626r39032,26316l122796,245592r269951,l440545,235942r39032,-26316l505893,170593r9650,-47797l515543,xe" fillcolor="#0c8140" stroked="f">
                  <v:path arrowok="t"/>
                </v:shape>
                <v:shape id="object 7" o:spid="_x0000_s1149" type="#_x0000_t202" style="position:absolute;left:94798;top:33867;width:323215;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" filled="f" stroked="f">
                  <v:textbox inset="0,1pt,0,0">
                    <w:txbxContent>
                      <w:p w14:paraId="107D0982" w14:textId="77777777" w:rsidR="009D0C1D" w:rsidRPr="0061381C" w:rsidRDefault="009D0C1D" w:rsidP="00D4401E">
                        <w:pPr>
                          <w:ind w:left="14"/>
                          <w:rPr>
                            <w:color w:val="FFFFFF"/>
                            <w:spacing w:val="-5"/>
                            <w:sz w:val="20"/>
                            <w:szCs w:val="20"/>
                          </w:rPr>
                        </w:pPr>
                        <w:r>
                          <w:rPr>
                            <w:color w:val="FFFFFF"/>
                            <w:sz w:val="20"/>
                          </w:rPr>
                          <w:t>НОВЕ</w:t>
                        </w:r>
                      </w:p>
                    </w:txbxContent>
                  </v:textbox>
                </v:shape>
              </v:group>
            </w:pict>
          </mc:Fallback>
        </mc:AlternateContent>
      </w:r>
      <w:r w:rsidR="00D4401E">
        <w:rPr>
          <w:noProof/>
        </w:rPr>
        <w:drawing>
          <wp:inline distT="0" distB="0" distL="0" distR="0" wp14:anchorId="647B7EC1" wp14:editId="144D643A">
            <wp:extent cx="5782310" cy="8932334"/>
            <wp:effectExtent l="0" t="0" r="8890" b="2540"/>
            <wp:docPr id="95" name="Shape 95"/>
            <wp:cNvGraphicFramePr/>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96" cstate="print">
                      <a:extLst>
                        <a:ext uri="{28A0092B-C50C-407E-A947-70E740481C1C}">
                          <a14:useLocalDpi xmlns:a14="http://schemas.microsoft.com/office/drawing/2010/main" val="0"/>
                        </a:ext>
                      </a:extLst>
                    </a:blip>
                    <a:stretch/>
                  </pic:blipFill>
                  <pic:spPr>
                    <a:xfrm>
                      <a:off x="0" y="0"/>
                      <a:ext cx="5784285" cy="8935385"/>
                    </a:xfrm>
                    <a:prstGeom prst="rect">
                      <a:avLst/>
                    </a:prstGeom>
                  </pic:spPr>
                </pic:pic>
              </a:graphicData>
            </a:graphic>
          </wp:inline>
        </w:drawing>
      </w:r>
    </w:p>
    <w:p w14:paraId="599BF30B" w14:textId="77777777" w:rsidR="00366CB9" w:rsidRDefault="00366CB9" w:rsidP="00425523">
      <w:pPr>
        <w:spacing w:line="1" w:lineRule="exact"/>
      </w:pPr>
    </w:p>
    <w:p w14:paraId="4EC7CB2E" w14:textId="77777777" w:rsidR="00366CB9" w:rsidRPr="00E80D3A" w:rsidRDefault="009D0C1D" w:rsidP="00C670F3">
      <w:pPr>
        <w:pStyle w:val="1"/>
        <w:shd w:val="clear" w:color="auto" w:fill="auto"/>
        <w:spacing w:after="140" w:line="324" w:lineRule="auto"/>
        <w:jc w:val="both"/>
        <w:rPr>
          <w:sz w:val="18"/>
          <w:szCs w:val="18"/>
        </w:rPr>
      </w:pPr>
      <w:r w:rsidRPr="00E80D3A">
        <w:rPr>
          <w:sz w:val="18"/>
          <w:szCs w:val="18"/>
        </w:rPr>
        <w:t>П’ять тестів можна згрупувати у три типи методів виявлення IGRA:</w:t>
      </w:r>
    </w:p>
    <w:p w14:paraId="61CA89E9" w14:textId="47E0DB3A" w:rsidR="00366CB9" w:rsidRPr="00E80D3A" w:rsidRDefault="009D0C1D" w:rsidP="002F0816">
      <w:pPr>
        <w:pStyle w:val="1"/>
        <w:shd w:val="clear" w:color="auto" w:fill="auto"/>
        <w:tabs>
          <w:tab w:val="left" w:pos="284"/>
        </w:tabs>
        <w:spacing w:line="324" w:lineRule="auto"/>
        <w:jc w:val="both"/>
        <w:rPr>
          <w:sz w:val="18"/>
          <w:szCs w:val="18"/>
        </w:rPr>
      </w:pPr>
      <w:r w:rsidRPr="00E80D3A">
        <w:rPr>
          <w:color w:val="019648"/>
          <w:sz w:val="18"/>
          <w:szCs w:val="18"/>
        </w:rPr>
        <w:t xml:space="preserve">• </w:t>
      </w:r>
      <w:r w:rsidR="002F0816" w:rsidRPr="00E80D3A">
        <w:rPr>
          <w:sz w:val="18"/>
          <w:szCs w:val="18"/>
        </w:rPr>
        <w:tab/>
      </w:r>
      <w:r w:rsidRPr="00E80D3A">
        <w:rPr>
          <w:sz w:val="18"/>
          <w:szCs w:val="18"/>
        </w:rPr>
        <w:t>ELISA (QFT-Plus, Wantai TB-IGRA, STANDARD E TB-Feron)</w:t>
      </w:r>
    </w:p>
    <w:p w14:paraId="3219A68F" w14:textId="3C0A368B" w:rsidR="00366CB9" w:rsidRPr="00E80D3A" w:rsidRDefault="009D0C1D" w:rsidP="002F0816">
      <w:pPr>
        <w:pStyle w:val="1"/>
        <w:shd w:val="clear" w:color="auto" w:fill="auto"/>
        <w:tabs>
          <w:tab w:val="left" w:pos="284"/>
        </w:tabs>
        <w:spacing w:line="324" w:lineRule="auto"/>
        <w:jc w:val="both"/>
        <w:rPr>
          <w:sz w:val="18"/>
          <w:szCs w:val="18"/>
        </w:rPr>
      </w:pPr>
      <w:r w:rsidRPr="00E80D3A">
        <w:rPr>
          <w:color w:val="019648"/>
          <w:sz w:val="18"/>
          <w:szCs w:val="18"/>
        </w:rPr>
        <w:t xml:space="preserve">• </w:t>
      </w:r>
      <w:r w:rsidR="002F0816" w:rsidRPr="00E80D3A">
        <w:rPr>
          <w:sz w:val="18"/>
          <w:szCs w:val="18"/>
        </w:rPr>
        <w:tab/>
      </w:r>
      <w:r w:rsidRPr="00E80D3A">
        <w:rPr>
          <w:sz w:val="18"/>
          <w:szCs w:val="18"/>
        </w:rPr>
        <w:t>ELISPOT (T-SPOT.TB) (52)</w:t>
      </w:r>
    </w:p>
    <w:p w14:paraId="1D17798B" w14:textId="3BFB7F46" w:rsidR="00366CB9" w:rsidRPr="00E80D3A" w:rsidRDefault="009D0C1D" w:rsidP="002F0816">
      <w:pPr>
        <w:pStyle w:val="1"/>
        <w:shd w:val="clear" w:color="auto" w:fill="auto"/>
        <w:tabs>
          <w:tab w:val="left" w:pos="284"/>
        </w:tabs>
        <w:spacing w:after="140" w:line="324" w:lineRule="auto"/>
        <w:jc w:val="both"/>
        <w:rPr>
          <w:sz w:val="18"/>
          <w:szCs w:val="18"/>
        </w:rPr>
      </w:pPr>
      <w:r w:rsidRPr="00E80D3A">
        <w:rPr>
          <w:color w:val="019648"/>
          <w:sz w:val="18"/>
          <w:szCs w:val="18"/>
        </w:rPr>
        <w:t xml:space="preserve">• </w:t>
      </w:r>
      <w:r w:rsidR="002F0816" w:rsidRPr="00E80D3A">
        <w:rPr>
          <w:sz w:val="18"/>
          <w:szCs w:val="18"/>
        </w:rPr>
        <w:tab/>
      </w:r>
      <w:r w:rsidRPr="00E80D3A">
        <w:rPr>
          <w:sz w:val="18"/>
          <w:szCs w:val="18"/>
        </w:rPr>
        <w:t>CLIA (LIAISON QFT-PLUS)</w:t>
      </w:r>
    </w:p>
    <w:p w14:paraId="289E88D0" w14:textId="77777777" w:rsidR="00366CB9" w:rsidRPr="00E80D3A" w:rsidRDefault="009D0C1D" w:rsidP="00C670F3">
      <w:pPr>
        <w:pStyle w:val="1"/>
        <w:shd w:val="clear" w:color="auto" w:fill="auto"/>
        <w:spacing w:after="140" w:line="324" w:lineRule="auto"/>
        <w:jc w:val="both"/>
        <w:rPr>
          <w:sz w:val="18"/>
          <w:szCs w:val="18"/>
        </w:rPr>
      </w:pPr>
      <w:r w:rsidRPr="00E80D3A">
        <w:rPr>
          <w:sz w:val="18"/>
          <w:szCs w:val="18"/>
        </w:rPr>
        <w:t xml:space="preserve">На відміну від TST та TBST, IGRA, рекомендовані ВООЗ, вимагають добре обладнаної лабораторії та кваліфікованих лаборантів. Подібно до рекомендованих TBST, IGRA засновані на реакції лімфоцитів на </w:t>
      </w:r>
      <w:r w:rsidRPr="00E80D3A">
        <w:rPr>
          <w:i/>
          <w:sz w:val="18"/>
          <w:szCs w:val="18"/>
        </w:rPr>
        <w:t>Mtb</w:t>
      </w:r>
      <w:r w:rsidRPr="00E80D3A">
        <w:rPr>
          <w:sz w:val="18"/>
          <w:szCs w:val="18"/>
        </w:rPr>
        <w:t xml:space="preserve">-специфічні антигени (ESAT-6 та CFP-10), що вказує на те, що результати не залежать від попередньої вакцинації БЦЖ. Однак флеботомія у маленьких дітей обмежує застосування IGRA, а альтернативою є шкірні тести. Порівняння різних тестів IGRA узагальнено у </w:t>
      </w:r>
      <w:hyperlink w:anchor="bookmark67" w:tooltip="Поточний документ">
        <w:r w:rsidR="00366CB9" w:rsidRPr="00E80D3A">
          <w:rPr>
            <w:b/>
            <w:sz w:val="18"/>
            <w:szCs w:val="18"/>
          </w:rPr>
          <w:t>Таблиці 2.1</w:t>
        </w:r>
        <w:r w:rsidR="00366CB9" w:rsidRPr="00E80D3A">
          <w:rPr>
            <w:sz w:val="18"/>
            <w:szCs w:val="18"/>
          </w:rPr>
          <w:t>3</w:t>
        </w:r>
      </w:hyperlink>
      <w:r w:rsidRPr="00E80D3A">
        <w:rPr>
          <w:sz w:val="18"/>
          <w:szCs w:val="18"/>
        </w:rPr>
        <w:t xml:space="preserve"> (що охоплює всі тести) та у </w:t>
      </w:r>
      <w:r w:rsidRPr="00E80D3A">
        <w:rPr>
          <w:b/>
          <w:bCs/>
          <w:sz w:val="18"/>
          <w:szCs w:val="18"/>
        </w:rPr>
        <w:t>Вебдодатку D</w:t>
      </w:r>
      <w:r w:rsidRPr="00E80D3A">
        <w:rPr>
          <w:sz w:val="18"/>
          <w:szCs w:val="18"/>
        </w:rPr>
        <w:t xml:space="preserve"> (що охоплює лише нові продукти «у межах класу»). Надані вказівки сприяють процесу закупівлі та впровадження рекомендованих технологій та покращують догляд за пацієнтами.</w:t>
      </w:r>
    </w:p>
    <w:p w14:paraId="64F359B2" w14:textId="77777777" w:rsidR="00366CB9" w:rsidRPr="00E80D3A" w:rsidRDefault="009D0C1D" w:rsidP="00C670F3">
      <w:pPr>
        <w:pStyle w:val="1"/>
        <w:shd w:val="clear" w:color="auto" w:fill="auto"/>
        <w:spacing w:line="324" w:lineRule="auto"/>
        <w:jc w:val="both"/>
        <w:rPr>
          <w:sz w:val="18"/>
          <w:szCs w:val="18"/>
        </w:rPr>
      </w:pPr>
      <w:r w:rsidRPr="00E80D3A">
        <w:rPr>
          <w:sz w:val="18"/>
          <w:szCs w:val="18"/>
        </w:rPr>
        <w:t>Усі продукти, рекомендовані ВООЗ, має бути автоматично включено до переліку основних діагностичних засобів ВООЗ. Рекомендації ВООЗ щодо діагностики засновані на результатах клінічних досліджень; вони не включають оцінку якості продуктів або процесу виробництва. Перед впровадженням будь-яких нових продуктів необхідно переконатись, що ці продукти відповідають місцевим або міжнародним регуляторним вимогам.</w:t>
      </w:r>
    </w:p>
    <w:p w14:paraId="66C4DC1A"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293CB481"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2184"/>
        <w:gridCol w:w="1752"/>
        <w:gridCol w:w="1891"/>
        <w:gridCol w:w="1824"/>
        <w:gridCol w:w="1373"/>
        <w:gridCol w:w="2664"/>
        <w:gridCol w:w="2357"/>
      </w:tblGrid>
      <w:tr w:rsidR="00366CB9" w:rsidRPr="00785005" w14:paraId="3537CEBE" w14:textId="77777777" w:rsidTr="007751D5">
        <w:trPr>
          <w:trHeight w:hRule="exact" w:val="538"/>
        </w:trPr>
        <w:tc>
          <w:tcPr>
            <w:tcW w:w="14045" w:type="dxa"/>
            <w:gridSpan w:val="7"/>
            <w:tcBorders>
              <w:bottom w:val="single" w:sz="8" w:space="0" w:color="00B050"/>
            </w:tcBorders>
            <w:shd w:val="clear" w:color="auto" w:fill="FFFFFF"/>
          </w:tcPr>
          <w:p w14:paraId="18E57149" w14:textId="77777777" w:rsidR="00366CB9" w:rsidRPr="00785005" w:rsidRDefault="009D0C1D" w:rsidP="00C670F3">
            <w:pPr>
              <w:pStyle w:val="a6"/>
              <w:shd w:val="clear" w:color="auto" w:fill="auto"/>
              <w:rPr>
                <w:sz w:val="24"/>
                <w:szCs w:val="24"/>
              </w:rPr>
            </w:pPr>
            <w:bookmarkStart w:id="70" w:name="bookmark67"/>
            <w:r>
              <w:rPr>
                <w:color w:val="636466"/>
                <w:sz w:val="24"/>
              </w:rPr>
              <w:t>Таблиця 2.13. Порівняння тестів IGRA</w:t>
            </w:r>
            <w:bookmarkEnd w:id="70"/>
          </w:p>
        </w:tc>
      </w:tr>
      <w:tr w:rsidR="00366CB9" w:rsidRPr="00785005" w14:paraId="151F9A89" w14:textId="77777777" w:rsidTr="007751D5">
        <w:trPr>
          <w:trHeight w:hRule="exact" w:val="888"/>
        </w:trPr>
        <w:tc>
          <w:tcPr>
            <w:tcW w:w="2184" w:type="dxa"/>
            <w:tcBorders>
              <w:top w:val="single" w:sz="8" w:space="0" w:color="00B050"/>
              <w:left w:val="single" w:sz="8" w:space="0" w:color="00B050"/>
              <w:bottom w:val="single" w:sz="8" w:space="0" w:color="00B050"/>
              <w:right w:val="single" w:sz="8" w:space="0" w:color="00B050"/>
            </w:tcBorders>
            <w:shd w:val="clear" w:color="auto" w:fill="62A86A"/>
          </w:tcPr>
          <w:p w14:paraId="390324F8" w14:textId="77777777" w:rsidR="00366CB9" w:rsidRPr="00E80D3A" w:rsidRDefault="00366CB9" w:rsidP="00C670F3">
            <w:pPr>
              <w:rPr>
                <w:b/>
                <w:bCs/>
                <w:sz w:val="18"/>
              </w:rPr>
            </w:pPr>
          </w:p>
        </w:tc>
        <w:tc>
          <w:tcPr>
            <w:tcW w:w="175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48ADFEAF" w14:textId="77777777" w:rsidR="00366CB9" w:rsidRPr="00E80D3A" w:rsidRDefault="009D0C1D" w:rsidP="002F0816">
            <w:pPr>
              <w:pStyle w:val="a6"/>
              <w:shd w:val="clear" w:color="auto" w:fill="auto"/>
              <w:rPr>
                <w:sz w:val="18"/>
                <w:szCs w:val="24"/>
              </w:rPr>
            </w:pPr>
            <w:r w:rsidRPr="00E80D3A">
              <w:rPr>
                <w:color w:val="FFFFFF"/>
                <w:sz w:val="18"/>
                <w:szCs w:val="24"/>
              </w:rPr>
              <w:t>Виробник</w:t>
            </w:r>
          </w:p>
        </w:tc>
        <w:tc>
          <w:tcPr>
            <w:tcW w:w="1891"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6104914" w14:textId="77777777" w:rsidR="00366CB9" w:rsidRPr="00E80D3A" w:rsidRDefault="009D0C1D" w:rsidP="002F0816">
            <w:pPr>
              <w:pStyle w:val="a6"/>
              <w:shd w:val="clear" w:color="auto" w:fill="auto"/>
              <w:ind w:left="140"/>
              <w:rPr>
                <w:sz w:val="18"/>
                <w:szCs w:val="24"/>
              </w:rPr>
            </w:pPr>
            <w:r w:rsidRPr="00E80D3A">
              <w:rPr>
                <w:color w:val="FFFFFF"/>
                <w:sz w:val="18"/>
                <w:szCs w:val="24"/>
              </w:rPr>
              <w:t>Антиген</w:t>
            </w:r>
          </w:p>
        </w:tc>
        <w:tc>
          <w:tcPr>
            <w:tcW w:w="182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49D0655F" w14:textId="77777777" w:rsidR="00366CB9" w:rsidRPr="00E80D3A" w:rsidRDefault="009D0C1D" w:rsidP="002F0816">
            <w:pPr>
              <w:pStyle w:val="a6"/>
              <w:shd w:val="clear" w:color="auto" w:fill="auto"/>
              <w:spacing w:line="271" w:lineRule="auto"/>
              <w:ind w:left="140"/>
              <w:rPr>
                <w:sz w:val="18"/>
                <w:szCs w:val="24"/>
              </w:rPr>
            </w:pPr>
            <w:r w:rsidRPr="00E80D3A">
              <w:rPr>
                <w:color w:val="FFFFFF"/>
                <w:sz w:val="18"/>
                <w:szCs w:val="24"/>
              </w:rPr>
              <w:t>Ключове робоче міркування</w:t>
            </w:r>
          </w:p>
        </w:tc>
        <w:tc>
          <w:tcPr>
            <w:tcW w:w="1373"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ACDD6EF" w14:textId="77777777" w:rsidR="00366CB9" w:rsidRPr="00E80D3A" w:rsidRDefault="009D0C1D" w:rsidP="002F0816">
            <w:pPr>
              <w:pStyle w:val="a6"/>
              <w:shd w:val="clear" w:color="auto" w:fill="auto"/>
              <w:spacing w:line="271" w:lineRule="auto"/>
              <w:rPr>
                <w:sz w:val="18"/>
                <w:szCs w:val="24"/>
              </w:rPr>
            </w:pPr>
            <w:r w:rsidRPr="00E80D3A">
              <w:rPr>
                <w:color w:val="FFFFFF"/>
                <w:sz w:val="18"/>
                <w:szCs w:val="24"/>
              </w:rPr>
              <w:t>Інкубаційний період</w:t>
            </w:r>
          </w:p>
        </w:tc>
        <w:tc>
          <w:tcPr>
            <w:tcW w:w="266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5BB7E78" w14:textId="77777777" w:rsidR="00366CB9" w:rsidRPr="00E80D3A" w:rsidRDefault="009D0C1D" w:rsidP="002F0816">
            <w:pPr>
              <w:pStyle w:val="a6"/>
              <w:shd w:val="clear" w:color="auto" w:fill="auto"/>
              <w:rPr>
                <w:sz w:val="18"/>
                <w:szCs w:val="24"/>
              </w:rPr>
            </w:pPr>
            <w:r w:rsidRPr="00E80D3A">
              <w:rPr>
                <w:color w:val="FFFFFF"/>
                <w:sz w:val="18"/>
                <w:szCs w:val="24"/>
              </w:rPr>
              <w:t>Необхідне обладнання</w:t>
            </w:r>
          </w:p>
        </w:tc>
        <w:tc>
          <w:tcPr>
            <w:tcW w:w="235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4EF8DCC" w14:textId="77777777" w:rsidR="00366CB9" w:rsidRPr="00E80D3A" w:rsidRDefault="009D0C1D" w:rsidP="002F0816">
            <w:pPr>
              <w:pStyle w:val="a6"/>
              <w:shd w:val="clear" w:color="auto" w:fill="auto"/>
              <w:ind w:firstLine="140"/>
              <w:rPr>
                <w:sz w:val="18"/>
                <w:szCs w:val="24"/>
              </w:rPr>
            </w:pPr>
            <w:r w:rsidRPr="00E80D3A">
              <w:rPr>
                <w:color w:val="FFFFFF"/>
                <w:sz w:val="18"/>
                <w:szCs w:val="24"/>
              </w:rPr>
              <w:t>Вимоги до персоналу</w:t>
            </w:r>
          </w:p>
        </w:tc>
      </w:tr>
      <w:tr w:rsidR="00366CB9" w14:paraId="3B4B1001" w14:textId="77777777" w:rsidTr="007751D5">
        <w:trPr>
          <w:trHeight w:hRule="exact" w:val="1267"/>
        </w:trPr>
        <w:tc>
          <w:tcPr>
            <w:tcW w:w="2184" w:type="dxa"/>
            <w:tcBorders>
              <w:top w:val="single" w:sz="8" w:space="0" w:color="00B050"/>
              <w:bottom w:val="single" w:sz="8" w:space="0" w:color="00B050"/>
            </w:tcBorders>
            <w:shd w:val="clear" w:color="auto" w:fill="FFFFFF"/>
          </w:tcPr>
          <w:p w14:paraId="787841EC" w14:textId="77777777" w:rsidR="00366CB9" w:rsidRPr="002F0816" w:rsidRDefault="009D0C1D" w:rsidP="00C670F3">
            <w:pPr>
              <w:pStyle w:val="a6"/>
              <w:shd w:val="clear" w:color="auto" w:fill="auto"/>
              <w:spacing w:before="100"/>
              <w:rPr>
                <w:sz w:val="18"/>
                <w:szCs w:val="24"/>
              </w:rPr>
            </w:pPr>
            <w:r w:rsidRPr="002F0816">
              <w:rPr>
                <w:color w:val="000000"/>
                <w:sz w:val="18"/>
                <w:szCs w:val="24"/>
              </w:rPr>
              <w:t>QuantiFERON® -TB</w:t>
            </w:r>
          </w:p>
          <w:p w14:paraId="3885F7DE" w14:textId="77777777" w:rsidR="00366CB9" w:rsidRPr="002F0816" w:rsidRDefault="009D0C1D" w:rsidP="00C670F3">
            <w:pPr>
              <w:pStyle w:val="a6"/>
              <w:shd w:val="clear" w:color="auto" w:fill="auto"/>
              <w:rPr>
                <w:sz w:val="18"/>
                <w:szCs w:val="24"/>
              </w:rPr>
            </w:pPr>
            <w:r w:rsidRPr="002F0816">
              <w:rPr>
                <w:color w:val="000000"/>
                <w:sz w:val="18"/>
                <w:szCs w:val="24"/>
              </w:rPr>
              <w:t>Gold Plus</w:t>
            </w:r>
          </w:p>
          <w:p w14:paraId="0682C051" w14:textId="77777777" w:rsidR="00366CB9" w:rsidRPr="002F0816" w:rsidRDefault="009D0C1D" w:rsidP="00C670F3">
            <w:pPr>
              <w:pStyle w:val="a6"/>
              <w:shd w:val="clear" w:color="auto" w:fill="auto"/>
              <w:rPr>
                <w:sz w:val="18"/>
                <w:szCs w:val="24"/>
              </w:rPr>
            </w:pPr>
            <w:r w:rsidRPr="002F0816">
              <w:rPr>
                <w:color w:val="000000"/>
                <w:sz w:val="18"/>
                <w:szCs w:val="24"/>
              </w:rPr>
              <w:t>(ELISA)</w:t>
            </w:r>
          </w:p>
        </w:tc>
        <w:tc>
          <w:tcPr>
            <w:tcW w:w="1752" w:type="dxa"/>
            <w:tcBorders>
              <w:top w:val="single" w:sz="8" w:space="0" w:color="00B050"/>
              <w:bottom w:val="single" w:sz="8" w:space="0" w:color="00B050"/>
            </w:tcBorders>
            <w:shd w:val="clear" w:color="auto" w:fill="FFFFFF"/>
          </w:tcPr>
          <w:p w14:paraId="61188D89" w14:textId="77777777" w:rsidR="00366CB9" w:rsidRPr="002F0816" w:rsidRDefault="009D0C1D" w:rsidP="00C670F3">
            <w:pPr>
              <w:pStyle w:val="a6"/>
              <w:shd w:val="clear" w:color="auto" w:fill="auto"/>
              <w:spacing w:before="100"/>
              <w:rPr>
                <w:sz w:val="18"/>
                <w:szCs w:val="24"/>
              </w:rPr>
            </w:pPr>
            <w:r w:rsidRPr="002F0816">
              <w:rPr>
                <w:b w:val="0"/>
                <w:color w:val="000000"/>
                <w:sz w:val="18"/>
                <w:szCs w:val="24"/>
              </w:rPr>
              <w:t>QIAGEN</w:t>
            </w:r>
          </w:p>
        </w:tc>
        <w:tc>
          <w:tcPr>
            <w:tcW w:w="1891" w:type="dxa"/>
            <w:tcBorders>
              <w:top w:val="single" w:sz="8" w:space="0" w:color="00B050"/>
              <w:bottom w:val="single" w:sz="8" w:space="0" w:color="00B050"/>
            </w:tcBorders>
            <w:shd w:val="clear" w:color="auto" w:fill="FFFFFF"/>
          </w:tcPr>
          <w:p w14:paraId="05FA9DC2" w14:textId="77777777" w:rsidR="00366CB9" w:rsidRPr="002F0816" w:rsidRDefault="009D0C1D" w:rsidP="00C670F3">
            <w:pPr>
              <w:pStyle w:val="a6"/>
              <w:shd w:val="clear" w:color="auto" w:fill="auto"/>
              <w:spacing w:before="100" w:line="276" w:lineRule="auto"/>
              <w:ind w:left="140"/>
              <w:rPr>
                <w:sz w:val="18"/>
                <w:szCs w:val="24"/>
              </w:rPr>
            </w:pPr>
            <w:r w:rsidRPr="002F0816">
              <w:rPr>
                <w:b w:val="0"/>
                <w:color w:val="000000"/>
                <w:sz w:val="18"/>
                <w:szCs w:val="24"/>
              </w:rPr>
              <w:t>ESAT-6 та CFP-10,</w:t>
            </w:r>
          </w:p>
          <w:p w14:paraId="7A82DEE9" w14:textId="77777777" w:rsidR="00366CB9" w:rsidRPr="002F0816" w:rsidRDefault="009D0C1D" w:rsidP="00C670F3">
            <w:pPr>
              <w:pStyle w:val="a6"/>
              <w:shd w:val="clear" w:color="auto" w:fill="auto"/>
              <w:spacing w:line="276" w:lineRule="auto"/>
              <w:ind w:left="140"/>
              <w:rPr>
                <w:sz w:val="18"/>
                <w:szCs w:val="24"/>
              </w:rPr>
            </w:pPr>
            <w:r w:rsidRPr="002F0816">
              <w:rPr>
                <w:b w:val="0"/>
                <w:color w:val="000000"/>
                <w:sz w:val="18"/>
                <w:szCs w:val="24"/>
              </w:rPr>
              <w:t>що моделюють пептиди</w:t>
            </w:r>
          </w:p>
        </w:tc>
        <w:tc>
          <w:tcPr>
            <w:tcW w:w="1824" w:type="dxa"/>
            <w:tcBorders>
              <w:top w:val="single" w:sz="8" w:space="0" w:color="00B050"/>
              <w:bottom w:val="single" w:sz="8" w:space="0" w:color="00B050"/>
            </w:tcBorders>
            <w:shd w:val="clear" w:color="auto" w:fill="FFFFFF"/>
          </w:tcPr>
          <w:p w14:paraId="09AE7CC5" w14:textId="77777777" w:rsidR="00366CB9" w:rsidRPr="002F0816" w:rsidRDefault="009D0C1D" w:rsidP="00C670F3">
            <w:pPr>
              <w:pStyle w:val="a6"/>
              <w:shd w:val="clear" w:color="auto" w:fill="auto"/>
              <w:spacing w:before="100" w:line="276" w:lineRule="auto"/>
              <w:ind w:left="140"/>
              <w:rPr>
                <w:sz w:val="18"/>
                <w:szCs w:val="24"/>
              </w:rPr>
            </w:pPr>
            <w:r w:rsidRPr="002F0816">
              <w:rPr>
                <w:b w:val="0"/>
                <w:color w:val="000000"/>
                <w:sz w:val="18"/>
                <w:szCs w:val="24"/>
              </w:rPr>
              <w:t>Сторонній</w:t>
            </w:r>
          </w:p>
          <w:p w14:paraId="05F5493E" w14:textId="77777777" w:rsidR="00366CB9" w:rsidRPr="002F0816" w:rsidRDefault="009D0C1D" w:rsidP="00C670F3">
            <w:pPr>
              <w:pStyle w:val="a6"/>
              <w:shd w:val="clear" w:color="auto" w:fill="auto"/>
              <w:spacing w:line="276" w:lineRule="auto"/>
              <w:ind w:left="140"/>
              <w:rPr>
                <w:sz w:val="18"/>
                <w:szCs w:val="24"/>
              </w:rPr>
            </w:pPr>
            <w:r w:rsidRPr="002F0816">
              <w:rPr>
                <w:b w:val="0"/>
                <w:color w:val="000000"/>
                <w:sz w:val="18"/>
                <w:szCs w:val="24"/>
              </w:rPr>
              <w:t>Потрібен зчитувач ELISA</w:t>
            </w:r>
          </w:p>
        </w:tc>
        <w:tc>
          <w:tcPr>
            <w:tcW w:w="1373" w:type="dxa"/>
            <w:tcBorders>
              <w:top w:val="single" w:sz="8" w:space="0" w:color="00B050"/>
              <w:bottom w:val="single" w:sz="8" w:space="0" w:color="00B050"/>
            </w:tcBorders>
            <w:shd w:val="clear" w:color="auto" w:fill="FFFFFF"/>
          </w:tcPr>
          <w:p w14:paraId="2E07816D" w14:textId="77777777" w:rsidR="00366CB9" w:rsidRPr="002F0816" w:rsidRDefault="009D0C1D" w:rsidP="00C670F3">
            <w:pPr>
              <w:pStyle w:val="a6"/>
              <w:shd w:val="clear" w:color="auto" w:fill="auto"/>
              <w:spacing w:before="100" w:line="271" w:lineRule="auto"/>
              <w:rPr>
                <w:sz w:val="18"/>
                <w:szCs w:val="24"/>
              </w:rPr>
            </w:pPr>
            <w:r w:rsidRPr="002F0816">
              <w:rPr>
                <w:b w:val="0"/>
                <w:color w:val="000000"/>
                <w:sz w:val="18"/>
                <w:szCs w:val="24"/>
              </w:rPr>
              <w:t>16-24 години</w:t>
            </w:r>
          </w:p>
        </w:tc>
        <w:tc>
          <w:tcPr>
            <w:tcW w:w="2664" w:type="dxa"/>
            <w:tcBorders>
              <w:top w:val="single" w:sz="8" w:space="0" w:color="00B050"/>
              <w:bottom w:val="single" w:sz="8" w:space="0" w:color="00B050"/>
            </w:tcBorders>
            <w:shd w:val="clear" w:color="auto" w:fill="FFFFFF"/>
          </w:tcPr>
          <w:p w14:paraId="70FD0B63"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Термостат</w:t>
            </w:r>
          </w:p>
          <w:p w14:paraId="36AAB82C"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Центрифуга</w:t>
            </w:r>
          </w:p>
          <w:p w14:paraId="4E683657"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Промивач і перемішувач планшетів</w:t>
            </w:r>
          </w:p>
          <w:p w14:paraId="0EF996F4"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Зчитувач ELISA</w:t>
            </w:r>
          </w:p>
        </w:tc>
        <w:tc>
          <w:tcPr>
            <w:tcW w:w="2357" w:type="dxa"/>
            <w:tcBorders>
              <w:top w:val="single" w:sz="8" w:space="0" w:color="00B050"/>
              <w:bottom w:val="single" w:sz="8" w:space="0" w:color="00B050"/>
            </w:tcBorders>
            <w:shd w:val="clear" w:color="auto" w:fill="FFFFFF"/>
          </w:tcPr>
          <w:p w14:paraId="1820BEF9" w14:textId="77777777" w:rsidR="00366CB9" w:rsidRPr="002F0816" w:rsidRDefault="009D0C1D" w:rsidP="00C670F3">
            <w:pPr>
              <w:pStyle w:val="a6"/>
              <w:shd w:val="clear" w:color="auto" w:fill="auto"/>
              <w:spacing w:before="100" w:line="276" w:lineRule="auto"/>
              <w:ind w:left="140"/>
              <w:rPr>
                <w:sz w:val="18"/>
                <w:szCs w:val="24"/>
              </w:rPr>
            </w:pPr>
            <w:r w:rsidRPr="002F0816">
              <w:rPr>
                <w:b w:val="0"/>
                <w:color w:val="000000"/>
                <w:sz w:val="18"/>
                <w:szCs w:val="24"/>
              </w:rPr>
              <w:t>Флеботоміст, технік, який має досвід роботи з ELISA</w:t>
            </w:r>
          </w:p>
        </w:tc>
      </w:tr>
      <w:tr w:rsidR="00366CB9" w14:paraId="42A3A254" w14:textId="77777777" w:rsidTr="007751D5">
        <w:trPr>
          <w:trHeight w:hRule="exact" w:val="1280"/>
        </w:trPr>
        <w:tc>
          <w:tcPr>
            <w:tcW w:w="2184" w:type="dxa"/>
            <w:tcBorders>
              <w:top w:val="single" w:sz="8" w:space="0" w:color="00B050"/>
              <w:bottom w:val="single" w:sz="8" w:space="0" w:color="00B050"/>
            </w:tcBorders>
            <w:shd w:val="clear" w:color="auto" w:fill="FFFFFF"/>
          </w:tcPr>
          <w:p w14:paraId="49B1BD05" w14:textId="77777777" w:rsidR="00366CB9" w:rsidRPr="002F0816" w:rsidRDefault="009D0C1D" w:rsidP="00C670F3">
            <w:pPr>
              <w:pStyle w:val="a6"/>
              <w:shd w:val="clear" w:color="auto" w:fill="auto"/>
              <w:spacing w:before="100"/>
              <w:rPr>
                <w:sz w:val="18"/>
                <w:szCs w:val="24"/>
              </w:rPr>
            </w:pPr>
            <w:r w:rsidRPr="002F0816">
              <w:rPr>
                <w:color w:val="000000"/>
                <w:sz w:val="18"/>
                <w:szCs w:val="24"/>
              </w:rPr>
              <w:t>Wantai TB-IGRA</w:t>
            </w:r>
          </w:p>
          <w:p w14:paraId="42AD4DAC" w14:textId="77777777" w:rsidR="00366CB9" w:rsidRPr="002F0816" w:rsidRDefault="009D0C1D" w:rsidP="00C670F3">
            <w:pPr>
              <w:pStyle w:val="a6"/>
              <w:shd w:val="clear" w:color="auto" w:fill="auto"/>
              <w:rPr>
                <w:sz w:val="18"/>
                <w:szCs w:val="24"/>
              </w:rPr>
            </w:pPr>
            <w:r w:rsidRPr="002F0816">
              <w:rPr>
                <w:color w:val="000000"/>
                <w:sz w:val="18"/>
                <w:szCs w:val="24"/>
              </w:rPr>
              <w:t>(ELISA)</w:t>
            </w:r>
          </w:p>
        </w:tc>
        <w:tc>
          <w:tcPr>
            <w:tcW w:w="1752" w:type="dxa"/>
            <w:tcBorders>
              <w:top w:val="single" w:sz="8" w:space="0" w:color="00B050"/>
              <w:bottom w:val="single" w:sz="8" w:space="0" w:color="00B050"/>
            </w:tcBorders>
            <w:shd w:val="clear" w:color="auto" w:fill="FFFFFF"/>
          </w:tcPr>
          <w:p w14:paraId="0D8985B2" w14:textId="77777777" w:rsidR="00366CB9" w:rsidRPr="002F0816" w:rsidRDefault="009D0C1D" w:rsidP="00C670F3">
            <w:pPr>
              <w:pStyle w:val="a6"/>
              <w:shd w:val="clear" w:color="auto" w:fill="auto"/>
              <w:spacing w:line="276" w:lineRule="auto"/>
              <w:rPr>
                <w:sz w:val="18"/>
                <w:szCs w:val="24"/>
              </w:rPr>
            </w:pPr>
            <w:r w:rsidRPr="002F0816">
              <w:rPr>
                <w:b w:val="0"/>
                <w:color w:val="000000"/>
                <w:sz w:val="18"/>
                <w:szCs w:val="24"/>
              </w:rPr>
              <w:t>Beijing Wantai</w:t>
            </w:r>
          </w:p>
          <w:p w14:paraId="6FDAB8B4" w14:textId="77777777" w:rsidR="00366CB9" w:rsidRPr="002F0816" w:rsidRDefault="009D0C1D" w:rsidP="00C670F3">
            <w:pPr>
              <w:pStyle w:val="a6"/>
              <w:shd w:val="clear" w:color="auto" w:fill="auto"/>
              <w:spacing w:line="276" w:lineRule="auto"/>
              <w:rPr>
                <w:sz w:val="18"/>
                <w:szCs w:val="24"/>
              </w:rPr>
            </w:pPr>
            <w:r w:rsidRPr="002F0816">
              <w:rPr>
                <w:b w:val="0"/>
                <w:color w:val="000000"/>
                <w:sz w:val="18"/>
                <w:szCs w:val="24"/>
              </w:rPr>
              <w:t>Biological Pharmacy Enterprise Co Ltd</w:t>
            </w:r>
          </w:p>
        </w:tc>
        <w:tc>
          <w:tcPr>
            <w:tcW w:w="1891" w:type="dxa"/>
            <w:tcBorders>
              <w:top w:val="single" w:sz="8" w:space="0" w:color="00B050"/>
              <w:bottom w:val="single" w:sz="8" w:space="0" w:color="00B050"/>
            </w:tcBorders>
            <w:shd w:val="clear" w:color="auto" w:fill="FFFFFF"/>
          </w:tcPr>
          <w:p w14:paraId="34ECD6B0" w14:textId="77777777" w:rsidR="00366CB9" w:rsidRPr="002F0816" w:rsidRDefault="009D0C1D" w:rsidP="00C670F3">
            <w:pPr>
              <w:pStyle w:val="a6"/>
              <w:shd w:val="clear" w:color="auto" w:fill="auto"/>
              <w:spacing w:line="276" w:lineRule="auto"/>
              <w:ind w:left="140"/>
              <w:rPr>
                <w:sz w:val="18"/>
                <w:szCs w:val="24"/>
              </w:rPr>
            </w:pPr>
            <w:r w:rsidRPr="002F0816">
              <w:rPr>
                <w:b w:val="0"/>
                <w:color w:val="000000"/>
                <w:sz w:val="18"/>
                <w:szCs w:val="24"/>
              </w:rPr>
              <w:t>Рекомбінантний білок злиття CFP-10 та ESAT-6</w:t>
            </w:r>
          </w:p>
        </w:tc>
        <w:tc>
          <w:tcPr>
            <w:tcW w:w="1824" w:type="dxa"/>
            <w:tcBorders>
              <w:top w:val="single" w:sz="8" w:space="0" w:color="00B050"/>
              <w:bottom w:val="single" w:sz="8" w:space="0" w:color="00B050"/>
            </w:tcBorders>
            <w:shd w:val="clear" w:color="auto" w:fill="FFFFFF"/>
          </w:tcPr>
          <w:p w14:paraId="7CF4FD2B" w14:textId="77777777" w:rsidR="00366CB9" w:rsidRPr="002F0816" w:rsidRDefault="009D0C1D" w:rsidP="00C670F3">
            <w:pPr>
              <w:pStyle w:val="a6"/>
              <w:shd w:val="clear" w:color="auto" w:fill="auto"/>
              <w:spacing w:before="100" w:line="276" w:lineRule="auto"/>
              <w:ind w:left="140"/>
              <w:rPr>
                <w:sz w:val="18"/>
                <w:szCs w:val="24"/>
              </w:rPr>
            </w:pPr>
            <w:r w:rsidRPr="002F0816">
              <w:rPr>
                <w:b w:val="0"/>
                <w:color w:val="000000"/>
                <w:sz w:val="18"/>
                <w:szCs w:val="24"/>
              </w:rPr>
              <w:t>Сторонній</w:t>
            </w:r>
          </w:p>
          <w:p w14:paraId="5DA155A7" w14:textId="77777777" w:rsidR="00366CB9" w:rsidRPr="002F0816" w:rsidRDefault="009D0C1D" w:rsidP="00C670F3">
            <w:pPr>
              <w:pStyle w:val="a6"/>
              <w:shd w:val="clear" w:color="auto" w:fill="auto"/>
              <w:spacing w:line="276" w:lineRule="auto"/>
              <w:ind w:left="140"/>
              <w:rPr>
                <w:sz w:val="18"/>
                <w:szCs w:val="24"/>
              </w:rPr>
            </w:pPr>
            <w:r w:rsidRPr="002F0816">
              <w:rPr>
                <w:b w:val="0"/>
                <w:color w:val="000000"/>
                <w:sz w:val="18"/>
                <w:szCs w:val="24"/>
              </w:rPr>
              <w:t>Потрібен зчитувач ELISA</w:t>
            </w:r>
          </w:p>
        </w:tc>
        <w:tc>
          <w:tcPr>
            <w:tcW w:w="1373" w:type="dxa"/>
            <w:tcBorders>
              <w:top w:val="single" w:sz="8" w:space="0" w:color="00B050"/>
              <w:bottom w:val="single" w:sz="8" w:space="0" w:color="00B050"/>
            </w:tcBorders>
            <w:shd w:val="clear" w:color="auto" w:fill="FFFFFF"/>
          </w:tcPr>
          <w:p w14:paraId="115FCB67" w14:textId="77777777" w:rsidR="00366CB9" w:rsidRPr="002F0816" w:rsidRDefault="009D0C1D" w:rsidP="00C670F3">
            <w:pPr>
              <w:pStyle w:val="a6"/>
              <w:shd w:val="clear" w:color="auto" w:fill="auto"/>
              <w:spacing w:before="100" w:line="271" w:lineRule="auto"/>
              <w:rPr>
                <w:sz w:val="18"/>
                <w:szCs w:val="24"/>
              </w:rPr>
            </w:pPr>
            <w:r w:rsidRPr="002F0816">
              <w:rPr>
                <w:b w:val="0"/>
                <w:color w:val="000000"/>
                <w:sz w:val="18"/>
                <w:szCs w:val="24"/>
              </w:rPr>
              <w:t>20-24 години</w:t>
            </w:r>
          </w:p>
        </w:tc>
        <w:tc>
          <w:tcPr>
            <w:tcW w:w="2664" w:type="dxa"/>
            <w:tcBorders>
              <w:top w:val="single" w:sz="8" w:space="0" w:color="00B050"/>
              <w:bottom w:val="single" w:sz="8" w:space="0" w:color="00B050"/>
            </w:tcBorders>
            <w:shd w:val="clear" w:color="auto" w:fill="FFFFFF"/>
          </w:tcPr>
          <w:p w14:paraId="230AD8D4"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Термостат</w:t>
            </w:r>
          </w:p>
          <w:p w14:paraId="722D0F82"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Центрифуга</w:t>
            </w:r>
          </w:p>
          <w:p w14:paraId="45B8EDE8"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Промивач і перемішувач планшетів</w:t>
            </w:r>
          </w:p>
          <w:p w14:paraId="628BA489"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Зчитувач ELISA</w:t>
            </w:r>
          </w:p>
        </w:tc>
        <w:tc>
          <w:tcPr>
            <w:tcW w:w="2357" w:type="dxa"/>
            <w:tcBorders>
              <w:top w:val="single" w:sz="8" w:space="0" w:color="00B050"/>
              <w:bottom w:val="single" w:sz="8" w:space="0" w:color="00B050"/>
            </w:tcBorders>
            <w:shd w:val="clear" w:color="auto" w:fill="FFFFFF"/>
          </w:tcPr>
          <w:p w14:paraId="22341202" w14:textId="77777777" w:rsidR="00366CB9" w:rsidRPr="002F0816" w:rsidRDefault="009D0C1D" w:rsidP="00C670F3">
            <w:pPr>
              <w:pStyle w:val="a6"/>
              <w:shd w:val="clear" w:color="auto" w:fill="auto"/>
              <w:spacing w:before="100" w:line="276" w:lineRule="auto"/>
              <w:ind w:left="140"/>
              <w:rPr>
                <w:sz w:val="18"/>
                <w:szCs w:val="24"/>
              </w:rPr>
            </w:pPr>
            <w:r w:rsidRPr="002F0816">
              <w:rPr>
                <w:b w:val="0"/>
                <w:color w:val="000000"/>
                <w:sz w:val="18"/>
                <w:szCs w:val="24"/>
              </w:rPr>
              <w:t>Флеботоміст, технік, який має досвід роботи з ELISA</w:t>
            </w:r>
          </w:p>
        </w:tc>
      </w:tr>
      <w:tr w:rsidR="00366CB9" w14:paraId="21B6929F" w14:textId="77777777" w:rsidTr="007751D5">
        <w:trPr>
          <w:trHeight w:hRule="exact" w:val="1710"/>
        </w:trPr>
        <w:tc>
          <w:tcPr>
            <w:tcW w:w="2184" w:type="dxa"/>
            <w:tcBorders>
              <w:top w:val="single" w:sz="8" w:space="0" w:color="00B050"/>
              <w:bottom w:val="single" w:sz="8" w:space="0" w:color="00B050"/>
            </w:tcBorders>
            <w:shd w:val="clear" w:color="auto" w:fill="FFFFFF"/>
          </w:tcPr>
          <w:p w14:paraId="1A9754EC" w14:textId="77777777" w:rsidR="00366CB9" w:rsidRPr="002F0816" w:rsidRDefault="009D0C1D" w:rsidP="00C670F3">
            <w:pPr>
              <w:pStyle w:val="a6"/>
              <w:shd w:val="clear" w:color="auto" w:fill="auto"/>
              <w:spacing w:before="100" w:line="276" w:lineRule="auto"/>
              <w:rPr>
                <w:sz w:val="18"/>
                <w:szCs w:val="24"/>
              </w:rPr>
            </w:pPr>
            <w:r w:rsidRPr="002F0816">
              <w:rPr>
                <w:color w:val="000000"/>
                <w:sz w:val="18"/>
                <w:szCs w:val="24"/>
              </w:rPr>
              <w:t>T-SPOT.TB (ELISPOT)</w:t>
            </w:r>
          </w:p>
        </w:tc>
        <w:tc>
          <w:tcPr>
            <w:tcW w:w="1752" w:type="dxa"/>
            <w:tcBorders>
              <w:top w:val="single" w:sz="8" w:space="0" w:color="00B050"/>
              <w:bottom w:val="single" w:sz="8" w:space="0" w:color="00B050"/>
            </w:tcBorders>
            <w:shd w:val="clear" w:color="auto" w:fill="FFFFFF"/>
          </w:tcPr>
          <w:p w14:paraId="3AA1A47F" w14:textId="77777777" w:rsidR="00366CB9" w:rsidRPr="002F0816" w:rsidRDefault="009D0C1D" w:rsidP="00C670F3">
            <w:pPr>
              <w:pStyle w:val="a6"/>
              <w:shd w:val="clear" w:color="auto" w:fill="auto"/>
              <w:spacing w:before="100"/>
              <w:rPr>
                <w:sz w:val="18"/>
                <w:szCs w:val="24"/>
              </w:rPr>
            </w:pPr>
            <w:r w:rsidRPr="002F0816">
              <w:rPr>
                <w:b w:val="0"/>
                <w:color w:val="000000"/>
                <w:sz w:val="18"/>
                <w:szCs w:val="24"/>
              </w:rPr>
              <w:t>Oxford</w:t>
            </w:r>
          </w:p>
          <w:p w14:paraId="66306FE8" w14:textId="77777777" w:rsidR="00366CB9" w:rsidRPr="002F0816" w:rsidRDefault="009D0C1D" w:rsidP="00C670F3">
            <w:pPr>
              <w:pStyle w:val="a6"/>
              <w:shd w:val="clear" w:color="auto" w:fill="auto"/>
              <w:rPr>
                <w:sz w:val="18"/>
                <w:szCs w:val="24"/>
              </w:rPr>
            </w:pPr>
            <w:r w:rsidRPr="002F0816">
              <w:rPr>
                <w:b w:val="0"/>
                <w:color w:val="000000"/>
                <w:sz w:val="18"/>
                <w:szCs w:val="24"/>
              </w:rPr>
              <w:t>Immunotec</w:t>
            </w:r>
          </w:p>
        </w:tc>
        <w:tc>
          <w:tcPr>
            <w:tcW w:w="1891" w:type="dxa"/>
            <w:tcBorders>
              <w:top w:val="single" w:sz="8" w:space="0" w:color="00B050"/>
              <w:bottom w:val="single" w:sz="8" w:space="0" w:color="00B050"/>
            </w:tcBorders>
            <w:shd w:val="clear" w:color="auto" w:fill="FFFFFF"/>
          </w:tcPr>
          <w:p w14:paraId="6B41F3F7" w14:textId="77777777" w:rsidR="00366CB9" w:rsidRPr="002F0816" w:rsidRDefault="009D0C1D" w:rsidP="00C670F3">
            <w:pPr>
              <w:pStyle w:val="a6"/>
              <w:shd w:val="clear" w:color="auto" w:fill="auto"/>
              <w:spacing w:before="100" w:line="271" w:lineRule="auto"/>
              <w:ind w:left="140"/>
              <w:rPr>
                <w:sz w:val="18"/>
                <w:szCs w:val="24"/>
              </w:rPr>
            </w:pPr>
            <w:r w:rsidRPr="002F0816">
              <w:rPr>
                <w:b w:val="0"/>
                <w:color w:val="000000"/>
                <w:sz w:val="18"/>
                <w:szCs w:val="24"/>
              </w:rPr>
              <w:t>ESAT-6 та CFP-10,</w:t>
            </w:r>
          </w:p>
          <w:p w14:paraId="5C393F05" w14:textId="77777777" w:rsidR="00366CB9" w:rsidRPr="002F0816" w:rsidRDefault="009D0C1D" w:rsidP="00C670F3">
            <w:pPr>
              <w:pStyle w:val="a6"/>
              <w:shd w:val="clear" w:color="auto" w:fill="auto"/>
              <w:spacing w:line="271" w:lineRule="auto"/>
              <w:ind w:left="140"/>
              <w:rPr>
                <w:sz w:val="18"/>
                <w:szCs w:val="24"/>
              </w:rPr>
            </w:pPr>
            <w:r w:rsidRPr="002F0816">
              <w:rPr>
                <w:b w:val="0"/>
                <w:color w:val="000000"/>
                <w:sz w:val="18"/>
                <w:szCs w:val="24"/>
              </w:rPr>
              <w:t>що моделюють пептиди</w:t>
            </w:r>
          </w:p>
        </w:tc>
        <w:tc>
          <w:tcPr>
            <w:tcW w:w="1824" w:type="dxa"/>
            <w:tcBorders>
              <w:top w:val="single" w:sz="8" w:space="0" w:color="00B050"/>
              <w:bottom w:val="single" w:sz="8" w:space="0" w:color="00B050"/>
            </w:tcBorders>
            <w:shd w:val="clear" w:color="auto" w:fill="FFFFFF"/>
          </w:tcPr>
          <w:p w14:paraId="1B337910" w14:textId="77777777" w:rsidR="00366CB9" w:rsidRPr="002F0816" w:rsidRDefault="009D0C1D" w:rsidP="00C670F3">
            <w:pPr>
              <w:pStyle w:val="a6"/>
              <w:shd w:val="clear" w:color="auto" w:fill="auto"/>
              <w:spacing w:line="271" w:lineRule="auto"/>
              <w:ind w:left="140"/>
              <w:rPr>
                <w:sz w:val="18"/>
                <w:szCs w:val="24"/>
              </w:rPr>
            </w:pPr>
            <w:r w:rsidRPr="002F0816">
              <w:rPr>
                <w:b w:val="0"/>
                <w:color w:val="000000"/>
                <w:sz w:val="18"/>
                <w:szCs w:val="24"/>
              </w:rPr>
              <w:t>Клітини крові необхідно відділяти у боксі бокс біологічної безпеки II рівня</w:t>
            </w:r>
          </w:p>
        </w:tc>
        <w:tc>
          <w:tcPr>
            <w:tcW w:w="1373" w:type="dxa"/>
            <w:tcBorders>
              <w:top w:val="single" w:sz="8" w:space="0" w:color="00B050"/>
              <w:bottom w:val="single" w:sz="8" w:space="0" w:color="00B050"/>
            </w:tcBorders>
            <w:shd w:val="clear" w:color="auto" w:fill="FFFFFF"/>
          </w:tcPr>
          <w:p w14:paraId="20B810EA" w14:textId="77777777" w:rsidR="00366CB9" w:rsidRPr="002F0816" w:rsidRDefault="009D0C1D" w:rsidP="00C670F3">
            <w:pPr>
              <w:pStyle w:val="a6"/>
              <w:shd w:val="clear" w:color="auto" w:fill="auto"/>
              <w:spacing w:before="100" w:line="276" w:lineRule="auto"/>
              <w:rPr>
                <w:sz w:val="18"/>
                <w:szCs w:val="24"/>
              </w:rPr>
            </w:pPr>
            <w:r w:rsidRPr="002F0816">
              <w:rPr>
                <w:b w:val="0"/>
                <w:color w:val="000000"/>
                <w:sz w:val="18"/>
                <w:szCs w:val="24"/>
              </w:rPr>
              <w:t>16-20 години</w:t>
            </w:r>
          </w:p>
        </w:tc>
        <w:tc>
          <w:tcPr>
            <w:tcW w:w="2664" w:type="dxa"/>
            <w:tcBorders>
              <w:top w:val="single" w:sz="8" w:space="0" w:color="00B050"/>
              <w:bottom w:val="single" w:sz="8" w:space="0" w:color="00B050"/>
            </w:tcBorders>
            <w:shd w:val="clear" w:color="auto" w:fill="FFFFFF"/>
          </w:tcPr>
          <w:p w14:paraId="506D9A07"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Лімфоцитарний лічильник</w:t>
            </w:r>
          </w:p>
          <w:p w14:paraId="17BAE127"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Волога камера з 5 % CO</w:t>
            </w:r>
            <w:r w:rsidRPr="002F0816">
              <w:rPr>
                <w:b w:val="0"/>
                <w:color w:val="000000"/>
                <w:sz w:val="18"/>
                <w:szCs w:val="24"/>
                <w:vertAlign w:val="subscript"/>
              </w:rPr>
              <w:t xml:space="preserve">2 </w:t>
            </w:r>
            <w:r w:rsidRPr="002F0816">
              <w:rPr>
                <w:b w:val="0"/>
                <w:color w:val="000000"/>
                <w:sz w:val="18"/>
                <w:szCs w:val="24"/>
              </w:rPr>
              <w:t>Центрифуга</w:t>
            </w:r>
          </w:p>
          <w:p w14:paraId="775C4A24"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Промивач і перемішувач планшетів</w:t>
            </w:r>
          </w:p>
          <w:p w14:paraId="2A953107"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Зчитувач ELISPOT</w:t>
            </w:r>
          </w:p>
        </w:tc>
        <w:tc>
          <w:tcPr>
            <w:tcW w:w="2357" w:type="dxa"/>
            <w:tcBorders>
              <w:top w:val="single" w:sz="8" w:space="0" w:color="00B050"/>
              <w:bottom w:val="single" w:sz="8" w:space="0" w:color="00B050"/>
            </w:tcBorders>
            <w:shd w:val="clear" w:color="auto" w:fill="FFFFFF"/>
          </w:tcPr>
          <w:p w14:paraId="3886AD63" w14:textId="77777777" w:rsidR="00366CB9" w:rsidRPr="002F0816" w:rsidRDefault="009D0C1D" w:rsidP="00C670F3">
            <w:pPr>
              <w:pStyle w:val="a6"/>
              <w:shd w:val="clear" w:color="auto" w:fill="auto"/>
              <w:spacing w:before="100" w:line="276" w:lineRule="auto"/>
              <w:ind w:left="140"/>
              <w:rPr>
                <w:sz w:val="18"/>
                <w:szCs w:val="24"/>
              </w:rPr>
            </w:pPr>
            <w:r w:rsidRPr="002F0816">
              <w:rPr>
                <w:b w:val="0"/>
                <w:color w:val="000000"/>
                <w:sz w:val="18"/>
                <w:szCs w:val="24"/>
              </w:rPr>
              <w:t>Флеботоміст, технік, який має досвід роботи з ELISPOT</w:t>
            </w:r>
          </w:p>
        </w:tc>
      </w:tr>
      <w:tr w:rsidR="00366CB9" w14:paraId="1B2BD7E1" w14:textId="77777777" w:rsidTr="007751D5">
        <w:trPr>
          <w:trHeight w:hRule="exact" w:val="1488"/>
        </w:trPr>
        <w:tc>
          <w:tcPr>
            <w:tcW w:w="2184" w:type="dxa"/>
            <w:tcBorders>
              <w:top w:val="single" w:sz="8" w:space="0" w:color="00B050"/>
              <w:bottom w:val="single" w:sz="8" w:space="0" w:color="00B050"/>
            </w:tcBorders>
            <w:shd w:val="clear" w:color="auto" w:fill="FFFFFF"/>
          </w:tcPr>
          <w:p w14:paraId="7423A790" w14:textId="77777777" w:rsidR="00366CB9" w:rsidRPr="002F0816" w:rsidRDefault="009D0C1D" w:rsidP="00C670F3">
            <w:pPr>
              <w:pStyle w:val="a6"/>
              <w:shd w:val="clear" w:color="auto" w:fill="auto"/>
              <w:spacing w:before="100"/>
              <w:rPr>
                <w:sz w:val="18"/>
                <w:szCs w:val="24"/>
              </w:rPr>
            </w:pPr>
            <w:r w:rsidRPr="002F0816">
              <w:rPr>
                <w:color w:val="000000"/>
                <w:sz w:val="18"/>
                <w:szCs w:val="24"/>
              </w:rPr>
              <w:t>STANDARD E</w:t>
            </w:r>
          </w:p>
          <w:p w14:paraId="16E03C4C" w14:textId="77777777" w:rsidR="00366CB9" w:rsidRPr="002F0816" w:rsidRDefault="009D0C1D" w:rsidP="00C670F3">
            <w:pPr>
              <w:pStyle w:val="a6"/>
              <w:shd w:val="clear" w:color="auto" w:fill="auto"/>
              <w:rPr>
                <w:sz w:val="18"/>
                <w:szCs w:val="24"/>
              </w:rPr>
            </w:pPr>
            <w:r w:rsidRPr="002F0816">
              <w:rPr>
                <w:color w:val="000000"/>
                <w:sz w:val="18"/>
                <w:szCs w:val="24"/>
              </w:rPr>
              <w:t>TB-Feron</w:t>
            </w:r>
          </w:p>
          <w:p w14:paraId="3375E230" w14:textId="77777777" w:rsidR="00366CB9" w:rsidRPr="002F0816" w:rsidRDefault="009D0C1D" w:rsidP="00C670F3">
            <w:pPr>
              <w:pStyle w:val="a6"/>
              <w:shd w:val="clear" w:color="auto" w:fill="auto"/>
              <w:rPr>
                <w:sz w:val="18"/>
                <w:szCs w:val="24"/>
              </w:rPr>
            </w:pPr>
            <w:r w:rsidRPr="002F0816">
              <w:rPr>
                <w:color w:val="000000"/>
                <w:sz w:val="18"/>
                <w:szCs w:val="24"/>
              </w:rPr>
              <w:t>(ELISA)</w:t>
            </w:r>
          </w:p>
        </w:tc>
        <w:tc>
          <w:tcPr>
            <w:tcW w:w="1752" w:type="dxa"/>
            <w:tcBorders>
              <w:top w:val="single" w:sz="8" w:space="0" w:color="00B050"/>
              <w:bottom w:val="single" w:sz="8" w:space="0" w:color="00B050"/>
            </w:tcBorders>
            <w:shd w:val="clear" w:color="auto" w:fill="FFFFFF"/>
          </w:tcPr>
          <w:p w14:paraId="4C731637" w14:textId="77777777" w:rsidR="00366CB9" w:rsidRPr="002F0816" w:rsidRDefault="009D0C1D" w:rsidP="00C670F3">
            <w:pPr>
              <w:pStyle w:val="a6"/>
              <w:shd w:val="clear" w:color="auto" w:fill="auto"/>
              <w:spacing w:before="100"/>
              <w:rPr>
                <w:sz w:val="18"/>
                <w:szCs w:val="24"/>
              </w:rPr>
            </w:pPr>
            <w:r w:rsidRPr="002F0816">
              <w:rPr>
                <w:b w:val="0"/>
                <w:color w:val="000000"/>
                <w:sz w:val="18"/>
                <w:szCs w:val="24"/>
              </w:rPr>
              <w:t>SD Biosensor</w:t>
            </w:r>
          </w:p>
        </w:tc>
        <w:tc>
          <w:tcPr>
            <w:tcW w:w="1891" w:type="dxa"/>
            <w:tcBorders>
              <w:top w:val="single" w:sz="8" w:space="0" w:color="00B050"/>
              <w:bottom w:val="single" w:sz="8" w:space="0" w:color="00B050"/>
            </w:tcBorders>
            <w:shd w:val="clear" w:color="auto" w:fill="FFFFFF"/>
          </w:tcPr>
          <w:p w14:paraId="76282075" w14:textId="77777777" w:rsidR="00366CB9" w:rsidRPr="002F0816" w:rsidRDefault="009D0C1D" w:rsidP="00C670F3">
            <w:pPr>
              <w:pStyle w:val="a6"/>
              <w:shd w:val="clear" w:color="auto" w:fill="auto"/>
              <w:spacing w:line="271" w:lineRule="auto"/>
              <w:ind w:left="140"/>
              <w:rPr>
                <w:sz w:val="18"/>
                <w:szCs w:val="24"/>
              </w:rPr>
            </w:pPr>
            <w:r w:rsidRPr="002F0816">
              <w:rPr>
                <w:b w:val="0"/>
                <w:color w:val="000000"/>
                <w:sz w:val="18"/>
                <w:szCs w:val="24"/>
              </w:rPr>
              <w:t>Рекомбінантні білки ESAT-6, CFP-10 та TB7.7</w:t>
            </w:r>
          </w:p>
        </w:tc>
        <w:tc>
          <w:tcPr>
            <w:tcW w:w="1824" w:type="dxa"/>
            <w:tcBorders>
              <w:top w:val="single" w:sz="8" w:space="0" w:color="00B050"/>
              <w:bottom w:val="single" w:sz="8" w:space="0" w:color="00B050"/>
            </w:tcBorders>
            <w:shd w:val="clear" w:color="auto" w:fill="FFFFFF"/>
          </w:tcPr>
          <w:p w14:paraId="7C721898" w14:textId="77777777" w:rsidR="00366CB9" w:rsidRPr="002F0816" w:rsidRDefault="009D0C1D" w:rsidP="00C670F3">
            <w:pPr>
              <w:pStyle w:val="a6"/>
              <w:shd w:val="clear" w:color="auto" w:fill="auto"/>
              <w:spacing w:before="100" w:line="271" w:lineRule="auto"/>
              <w:ind w:left="140"/>
              <w:rPr>
                <w:sz w:val="18"/>
                <w:szCs w:val="24"/>
              </w:rPr>
            </w:pPr>
            <w:r w:rsidRPr="002F0816">
              <w:rPr>
                <w:b w:val="0"/>
                <w:color w:val="000000"/>
                <w:sz w:val="18"/>
                <w:szCs w:val="24"/>
              </w:rPr>
              <w:t>Сторонній</w:t>
            </w:r>
          </w:p>
          <w:p w14:paraId="4026753B" w14:textId="77777777" w:rsidR="00366CB9" w:rsidRPr="002F0816" w:rsidRDefault="009D0C1D" w:rsidP="00C670F3">
            <w:pPr>
              <w:pStyle w:val="a6"/>
              <w:shd w:val="clear" w:color="auto" w:fill="auto"/>
              <w:spacing w:line="271" w:lineRule="auto"/>
              <w:ind w:left="140"/>
              <w:rPr>
                <w:sz w:val="18"/>
                <w:szCs w:val="24"/>
              </w:rPr>
            </w:pPr>
            <w:r w:rsidRPr="002F0816">
              <w:rPr>
                <w:b w:val="0"/>
                <w:color w:val="000000"/>
                <w:sz w:val="18"/>
                <w:szCs w:val="24"/>
              </w:rPr>
              <w:t>Потрібен зчитувач ELISA</w:t>
            </w:r>
          </w:p>
        </w:tc>
        <w:tc>
          <w:tcPr>
            <w:tcW w:w="1373" w:type="dxa"/>
            <w:tcBorders>
              <w:top w:val="single" w:sz="8" w:space="0" w:color="00B050"/>
              <w:bottom w:val="single" w:sz="8" w:space="0" w:color="00B050"/>
            </w:tcBorders>
            <w:shd w:val="clear" w:color="auto" w:fill="FFFFFF"/>
          </w:tcPr>
          <w:p w14:paraId="1E6C3592" w14:textId="77777777" w:rsidR="00366CB9" w:rsidRPr="002F0816" w:rsidRDefault="009D0C1D" w:rsidP="00C670F3">
            <w:pPr>
              <w:pStyle w:val="a6"/>
              <w:shd w:val="clear" w:color="auto" w:fill="auto"/>
              <w:spacing w:before="100" w:line="271" w:lineRule="auto"/>
              <w:rPr>
                <w:sz w:val="18"/>
                <w:szCs w:val="24"/>
              </w:rPr>
            </w:pPr>
            <w:r w:rsidRPr="002F0816">
              <w:rPr>
                <w:b w:val="0"/>
                <w:color w:val="000000"/>
                <w:sz w:val="18"/>
                <w:szCs w:val="24"/>
              </w:rPr>
              <w:t>16-20 години</w:t>
            </w:r>
          </w:p>
        </w:tc>
        <w:tc>
          <w:tcPr>
            <w:tcW w:w="2664" w:type="dxa"/>
            <w:tcBorders>
              <w:top w:val="single" w:sz="8" w:space="0" w:color="00B050"/>
              <w:bottom w:val="single" w:sz="8" w:space="0" w:color="00B050"/>
            </w:tcBorders>
            <w:shd w:val="clear" w:color="auto" w:fill="FFFFFF"/>
          </w:tcPr>
          <w:p w14:paraId="384FF369"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Термостат</w:t>
            </w:r>
          </w:p>
          <w:p w14:paraId="6E39E705"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Центрифуга</w:t>
            </w:r>
          </w:p>
          <w:p w14:paraId="3E60AFE4"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Промивач і перемішувач планшетів</w:t>
            </w:r>
          </w:p>
          <w:p w14:paraId="1E488816" w14:textId="77777777" w:rsidR="00366CB9" w:rsidRPr="002F0816" w:rsidRDefault="009D0C1D" w:rsidP="00C670F3">
            <w:pPr>
              <w:pStyle w:val="a6"/>
              <w:shd w:val="clear" w:color="auto" w:fill="auto"/>
              <w:spacing w:line="271" w:lineRule="auto"/>
              <w:rPr>
                <w:sz w:val="18"/>
                <w:szCs w:val="24"/>
              </w:rPr>
            </w:pPr>
            <w:r w:rsidRPr="002F0816">
              <w:rPr>
                <w:b w:val="0"/>
                <w:color w:val="000000"/>
                <w:sz w:val="18"/>
                <w:szCs w:val="24"/>
              </w:rPr>
              <w:t>Зчитувач ELISA</w:t>
            </w:r>
          </w:p>
        </w:tc>
        <w:tc>
          <w:tcPr>
            <w:tcW w:w="2357" w:type="dxa"/>
            <w:tcBorders>
              <w:top w:val="single" w:sz="8" w:space="0" w:color="00B050"/>
              <w:bottom w:val="single" w:sz="8" w:space="0" w:color="00B050"/>
            </w:tcBorders>
            <w:shd w:val="clear" w:color="auto" w:fill="FFFFFF"/>
          </w:tcPr>
          <w:p w14:paraId="5F9967B1" w14:textId="77777777" w:rsidR="00366CB9" w:rsidRPr="002F0816" w:rsidRDefault="009D0C1D" w:rsidP="00C670F3">
            <w:pPr>
              <w:pStyle w:val="a6"/>
              <w:shd w:val="clear" w:color="auto" w:fill="auto"/>
              <w:spacing w:before="100" w:line="271" w:lineRule="auto"/>
              <w:ind w:left="140"/>
              <w:rPr>
                <w:sz w:val="18"/>
                <w:szCs w:val="24"/>
              </w:rPr>
            </w:pPr>
            <w:r w:rsidRPr="002F0816">
              <w:rPr>
                <w:b w:val="0"/>
                <w:color w:val="000000"/>
                <w:sz w:val="18"/>
                <w:szCs w:val="24"/>
              </w:rPr>
              <w:t>Флеботоміст, технік, який має досвід роботи з ELISA</w:t>
            </w:r>
          </w:p>
        </w:tc>
      </w:tr>
      <w:tr w:rsidR="00366CB9" w14:paraId="6A7BAF68" w14:textId="77777777" w:rsidTr="007751D5">
        <w:trPr>
          <w:trHeight w:hRule="exact" w:val="1486"/>
        </w:trPr>
        <w:tc>
          <w:tcPr>
            <w:tcW w:w="2184" w:type="dxa"/>
            <w:tcBorders>
              <w:top w:val="single" w:sz="8" w:space="0" w:color="00B050"/>
              <w:bottom w:val="single" w:sz="8" w:space="0" w:color="00B050"/>
            </w:tcBorders>
            <w:shd w:val="clear" w:color="auto" w:fill="FFFFFF"/>
          </w:tcPr>
          <w:p w14:paraId="7C059FC3" w14:textId="77777777" w:rsidR="00366CB9" w:rsidRPr="002F0816" w:rsidRDefault="009D0C1D" w:rsidP="00C670F3">
            <w:pPr>
              <w:pStyle w:val="a6"/>
              <w:shd w:val="clear" w:color="auto" w:fill="auto"/>
              <w:rPr>
                <w:sz w:val="18"/>
                <w:szCs w:val="24"/>
              </w:rPr>
            </w:pPr>
            <w:r w:rsidRPr="002F0816">
              <w:rPr>
                <w:color w:val="000000"/>
                <w:sz w:val="18"/>
                <w:szCs w:val="24"/>
              </w:rPr>
              <w:t>LIAISON QFT-</w:t>
            </w:r>
          </w:p>
          <w:p w14:paraId="7ECEF18C" w14:textId="77777777" w:rsidR="00366CB9" w:rsidRPr="002F0816" w:rsidRDefault="009D0C1D" w:rsidP="00C670F3">
            <w:pPr>
              <w:pStyle w:val="a6"/>
              <w:shd w:val="clear" w:color="auto" w:fill="auto"/>
              <w:rPr>
                <w:sz w:val="18"/>
                <w:szCs w:val="24"/>
              </w:rPr>
            </w:pPr>
            <w:r w:rsidRPr="002F0816">
              <w:rPr>
                <w:color w:val="000000"/>
                <w:sz w:val="18"/>
                <w:szCs w:val="24"/>
              </w:rPr>
              <w:t>PLUS</w:t>
            </w:r>
          </w:p>
          <w:p w14:paraId="641595D9" w14:textId="77777777" w:rsidR="00366CB9" w:rsidRPr="002F0816" w:rsidRDefault="009D0C1D" w:rsidP="00C670F3">
            <w:pPr>
              <w:pStyle w:val="a6"/>
              <w:shd w:val="clear" w:color="auto" w:fill="auto"/>
              <w:rPr>
                <w:sz w:val="18"/>
                <w:szCs w:val="24"/>
              </w:rPr>
            </w:pPr>
            <w:r w:rsidRPr="002F0816">
              <w:rPr>
                <w:color w:val="000000"/>
                <w:sz w:val="18"/>
                <w:szCs w:val="24"/>
              </w:rPr>
              <w:t>(CLIA)</w:t>
            </w:r>
          </w:p>
        </w:tc>
        <w:tc>
          <w:tcPr>
            <w:tcW w:w="1752" w:type="dxa"/>
            <w:tcBorders>
              <w:top w:val="single" w:sz="8" w:space="0" w:color="00B050"/>
              <w:bottom w:val="single" w:sz="8" w:space="0" w:color="00B050"/>
            </w:tcBorders>
            <w:shd w:val="clear" w:color="auto" w:fill="FFFFFF"/>
          </w:tcPr>
          <w:p w14:paraId="2B2287C4" w14:textId="77777777" w:rsidR="00366CB9" w:rsidRPr="002F0816" w:rsidRDefault="009D0C1D" w:rsidP="00C670F3">
            <w:pPr>
              <w:pStyle w:val="a6"/>
              <w:shd w:val="clear" w:color="auto" w:fill="auto"/>
              <w:spacing w:before="100"/>
              <w:rPr>
                <w:sz w:val="18"/>
                <w:szCs w:val="24"/>
              </w:rPr>
            </w:pPr>
            <w:r w:rsidRPr="002F0816">
              <w:rPr>
                <w:b w:val="0"/>
                <w:color w:val="000000"/>
                <w:sz w:val="18"/>
                <w:szCs w:val="24"/>
              </w:rPr>
              <w:t>Diasorin та</w:t>
            </w:r>
          </w:p>
          <w:p w14:paraId="66BF2D30" w14:textId="77777777" w:rsidR="00366CB9" w:rsidRPr="002F0816" w:rsidRDefault="009D0C1D" w:rsidP="00C670F3">
            <w:pPr>
              <w:pStyle w:val="a6"/>
              <w:shd w:val="clear" w:color="auto" w:fill="auto"/>
              <w:rPr>
                <w:sz w:val="18"/>
                <w:szCs w:val="24"/>
              </w:rPr>
            </w:pPr>
            <w:r w:rsidRPr="002F0816">
              <w:rPr>
                <w:b w:val="0"/>
                <w:color w:val="000000"/>
                <w:sz w:val="18"/>
                <w:szCs w:val="24"/>
              </w:rPr>
              <w:t>Qiagen</w:t>
            </w:r>
          </w:p>
        </w:tc>
        <w:tc>
          <w:tcPr>
            <w:tcW w:w="1891" w:type="dxa"/>
            <w:tcBorders>
              <w:top w:val="single" w:sz="8" w:space="0" w:color="00B050"/>
              <w:bottom w:val="single" w:sz="8" w:space="0" w:color="00B050"/>
            </w:tcBorders>
            <w:shd w:val="clear" w:color="auto" w:fill="FFFFFF"/>
          </w:tcPr>
          <w:p w14:paraId="4F35731D" w14:textId="77777777" w:rsidR="00366CB9" w:rsidRPr="002F0816" w:rsidRDefault="009D0C1D" w:rsidP="00C670F3">
            <w:pPr>
              <w:pStyle w:val="a6"/>
              <w:shd w:val="clear" w:color="auto" w:fill="auto"/>
              <w:spacing w:line="271" w:lineRule="auto"/>
              <w:ind w:left="140"/>
              <w:rPr>
                <w:sz w:val="18"/>
                <w:szCs w:val="24"/>
              </w:rPr>
            </w:pPr>
            <w:r w:rsidRPr="002F0816">
              <w:rPr>
                <w:b w:val="0"/>
                <w:color w:val="000000"/>
                <w:sz w:val="18"/>
                <w:szCs w:val="24"/>
              </w:rPr>
              <w:t>Суміш пептидів ESAT-6 та CFP-10</w:t>
            </w:r>
          </w:p>
        </w:tc>
        <w:tc>
          <w:tcPr>
            <w:tcW w:w="1824" w:type="dxa"/>
            <w:tcBorders>
              <w:top w:val="single" w:sz="8" w:space="0" w:color="00B050"/>
              <w:bottom w:val="single" w:sz="8" w:space="0" w:color="00B050"/>
            </w:tcBorders>
            <w:shd w:val="clear" w:color="auto" w:fill="FFFFFF"/>
          </w:tcPr>
          <w:p w14:paraId="508DEFDC" w14:textId="77777777" w:rsidR="00366CB9" w:rsidRPr="002F0816" w:rsidRDefault="009D0C1D" w:rsidP="00C670F3">
            <w:pPr>
              <w:pStyle w:val="a6"/>
              <w:shd w:val="clear" w:color="auto" w:fill="auto"/>
              <w:spacing w:line="271" w:lineRule="auto"/>
              <w:ind w:left="140"/>
              <w:rPr>
                <w:sz w:val="18"/>
                <w:szCs w:val="24"/>
              </w:rPr>
            </w:pPr>
            <w:r w:rsidRPr="002F0816">
              <w:rPr>
                <w:b w:val="0"/>
                <w:color w:val="000000"/>
                <w:sz w:val="18"/>
                <w:szCs w:val="24"/>
              </w:rPr>
              <w:t>Аналізатор LIAISON CLIA можна використовувати і при інших захворюваннях</w:t>
            </w:r>
          </w:p>
        </w:tc>
        <w:tc>
          <w:tcPr>
            <w:tcW w:w="1373" w:type="dxa"/>
            <w:tcBorders>
              <w:top w:val="single" w:sz="8" w:space="0" w:color="00B050"/>
              <w:bottom w:val="single" w:sz="8" w:space="0" w:color="00B050"/>
            </w:tcBorders>
            <w:shd w:val="clear" w:color="auto" w:fill="FFFFFF"/>
          </w:tcPr>
          <w:p w14:paraId="703799F8" w14:textId="77777777" w:rsidR="00366CB9" w:rsidRPr="002F0816" w:rsidRDefault="009D0C1D" w:rsidP="00C670F3">
            <w:pPr>
              <w:pStyle w:val="a6"/>
              <w:shd w:val="clear" w:color="auto" w:fill="auto"/>
              <w:spacing w:before="100" w:line="271" w:lineRule="auto"/>
              <w:rPr>
                <w:sz w:val="18"/>
                <w:szCs w:val="24"/>
              </w:rPr>
            </w:pPr>
            <w:r w:rsidRPr="002F0816">
              <w:rPr>
                <w:b w:val="0"/>
                <w:color w:val="000000"/>
                <w:sz w:val="18"/>
                <w:szCs w:val="24"/>
              </w:rPr>
              <w:t>16-20 години</w:t>
            </w:r>
          </w:p>
        </w:tc>
        <w:tc>
          <w:tcPr>
            <w:tcW w:w="2664" w:type="dxa"/>
            <w:tcBorders>
              <w:top w:val="single" w:sz="8" w:space="0" w:color="00B050"/>
              <w:bottom w:val="single" w:sz="8" w:space="0" w:color="00B050"/>
            </w:tcBorders>
            <w:shd w:val="clear" w:color="auto" w:fill="FFFFFF"/>
          </w:tcPr>
          <w:p w14:paraId="201AB123" w14:textId="77777777" w:rsidR="00366CB9" w:rsidRPr="002F0816" w:rsidRDefault="009D0C1D" w:rsidP="00C670F3">
            <w:pPr>
              <w:pStyle w:val="a6"/>
              <w:shd w:val="clear" w:color="auto" w:fill="auto"/>
              <w:rPr>
                <w:sz w:val="18"/>
                <w:szCs w:val="24"/>
              </w:rPr>
            </w:pPr>
            <w:r w:rsidRPr="002F0816">
              <w:rPr>
                <w:b w:val="0"/>
                <w:color w:val="000000"/>
                <w:sz w:val="18"/>
                <w:szCs w:val="24"/>
              </w:rPr>
              <w:t>Термостат</w:t>
            </w:r>
          </w:p>
          <w:p w14:paraId="3B0A50E0" w14:textId="77777777" w:rsidR="00366CB9" w:rsidRPr="002F0816" w:rsidRDefault="009D0C1D" w:rsidP="00C670F3">
            <w:pPr>
              <w:pStyle w:val="a6"/>
              <w:shd w:val="clear" w:color="auto" w:fill="auto"/>
              <w:rPr>
                <w:sz w:val="18"/>
                <w:szCs w:val="24"/>
              </w:rPr>
            </w:pPr>
            <w:r w:rsidRPr="002F0816">
              <w:rPr>
                <w:b w:val="0"/>
                <w:color w:val="000000"/>
                <w:sz w:val="18"/>
                <w:szCs w:val="24"/>
              </w:rPr>
              <w:t>Центрифуга</w:t>
            </w:r>
          </w:p>
          <w:p w14:paraId="15CD6DF4" w14:textId="77777777" w:rsidR="00366CB9" w:rsidRPr="002F0816" w:rsidRDefault="009D0C1D" w:rsidP="00C670F3">
            <w:pPr>
              <w:pStyle w:val="a6"/>
              <w:shd w:val="clear" w:color="auto" w:fill="auto"/>
              <w:rPr>
                <w:sz w:val="18"/>
                <w:szCs w:val="24"/>
              </w:rPr>
            </w:pPr>
            <w:r w:rsidRPr="002F0816">
              <w:rPr>
                <w:b w:val="0"/>
                <w:color w:val="000000"/>
                <w:sz w:val="18"/>
                <w:szCs w:val="24"/>
              </w:rPr>
              <w:t>Аналізатор LIAISON CLIA</w:t>
            </w:r>
          </w:p>
        </w:tc>
        <w:tc>
          <w:tcPr>
            <w:tcW w:w="2357" w:type="dxa"/>
            <w:tcBorders>
              <w:top w:val="single" w:sz="8" w:space="0" w:color="00B050"/>
              <w:bottom w:val="single" w:sz="8" w:space="0" w:color="00B050"/>
            </w:tcBorders>
            <w:shd w:val="clear" w:color="auto" w:fill="FFFFFF"/>
          </w:tcPr>
          <w:p w14:paraId="04FFF58C" w14:textId="77777777" w:rsidR="00366CB9" w:rsidRPr="002F0816" w:rsidRDefault="009D0C1D" w:rsidP="00C670F3">
            <w:pPr>
              <w:pStyle w:val="a6"/>
              <w:shd w:val="clear" w:color="auto" w:fill="auto"/>
              <w:spacing w:line="271" w:lineRule="auto"/>
              <w:ind w:left="140"/>
              <w:rPr>
                <w:sz w:val="18"/>
                <w:szCs w:val="24"/>
              </w:rPr>
            </w:pPr>
            <w:r w:rsidRPr="002F0816">
              <w:rPr>
                <w:b w:val="0"/>
                <w:color w:val="000000"/>
                <w:sz w:val="18"/>
                <w:szCs w:val="24"/>
              </w:rPr>
              <w:t>Флеботоміст, технік, який має досвід роботи з CLIA</w:t>
            </w:r>
          </w:p>
        </w:tc>
      </w:tr>
      <w:tr w:rsidR="00366CB9" w14:paraId="1AC1287C" w14:textId="77777777" w:rsidTr="007751D5">
        <w:trPr>
          <w:trHeight w:hRule="exact" w:val="713"/>
        </w:trPr>
        <w:tc>
          <w:tcPr>
            <w:tcW w:w="14045" w:type="dxa"/>
            <w:gridSpan w:val="7"/>
            <w:tcBorders>
              <w:top w:val="single" w:sz="8" w:space="0" w:color="00B050"/>
            </w:tcBorders>
            <w:shd w:val="clear" w:color="auto" w:fill="FFFFFF"/>
            <w:vAlign w:val="center"/>
          </w:tcPr>
          <w:p w14:paraId="260527C9" w14:textId="77777777" w:rsidR="00366CB9" w:rsidRDefault="009D0C1D" w:rsidP="002F0816">
            <w:pPr>
              <w:pStyle w:val="a6"/>
              <w:shd w:val="clear" w:color="auto" w:fill="auto"/>
              <w:rPr>
                <w:sz w:val="17"/>
                <w:szCs w:val="17"/>
              </w:rPr>
            </w:pPr>
            <w:r>
              <w:rPr>
                <w:b w:val="0"/>
                <w:color w:val="000000"/>
                <w:sz w:val="17"/>
              </w:rPr>
              <w:t>CFP-10: білок культурального фільтрату 10; CLIA: імунохемілюмінесцентний аналіз; ELISA: імуноферментний аналіз; ELISPOT: модифікований імуноферментний аналіз;</w:t>
            </w:r>
          </w:p>
          <w:p w14:paraId="2ED41F4A" w14:textId="77777777" w:rsidR="00366CB9" w:rsidRDefault="009D0C1D" w:rsidP="002F0816">
            <w:pPr>
              <w:pStyle w:val="a6"/>
              <w:shd w:val="clear" w:color="auto" w:fill="auto"/>
              <w:rPr>
                <w:sz w:val="17"/>
                <w:szCs w:val="17"/>
              </w:rPr>
            </w:pPr>
            <w:r>
              <w:rPr>
                <w:b w:val="0"/>
                <w:color w:val="000000"/>
                <w:sz w:val="17"/>
              </w:rPr>
              <w:t>ESAT-6: рання секреторна антигенна мішень 6 кДа; IGRA: аналіз на вивільнення гамма-інтерферону.</w:t>
            </w:r>
          </w:p>
        </w:tc>
      </w:tr>
    </w:tbl>
    <w:tbl>
      <w:tblPr>
        <w:tblOverlap w:val="never"/>
        <w:tblW w:w="0" w:type="auto"/>
        <w:tblLayout w:type="fixed"/>
        <w:tblCellMar>
          <w:left w:w="10" w:type="dxa"/>
          <w:right w:w="10" w:type="dxa"/>
        </w:tblCellMar>
        <w:tblLook w:val="0000" w:firstRow="0" w:lastRow="0" w:firstColumn="0" w:lastColumn="0" w:noHBand="0" w:noVBand="0"/>
      </w:tblPr>
      <w:tblGrid>
        <w:gridCol w:w="182"/>
      </w:tblGrid>
      <w:tr w:rsidR="00366CB9" w14:paraId="117AB288" w14:textId="77777777">
        <w:trPr>
          <w:trHeight w:hRule="exact" w:val="2885"/>
        </w:trPr>
        <w:tc>
          <w:tcPr>
            <w:tcW w:w="182" w:type="dxa"/>
            <w:shd w:val="clear" w:color="auto" w:fill="FFFFFF"/>
            <w:textDirection w:val="tbRl"/>
          </w:tcPr>
          <w:p w14:paraId="7F3AE546" w14:textId="77777777" w:rsidR="00366CB9" w:rsidRDefault="009D0C1D" w:rsidP="00425523">
            <w:pPr>
              <w:pStyle w:val="a6"/>
              <w:framePr w:w="182" w:h="3538" w:wrap="none" w:vAnchor="page" w:hAnchor="page" w:x="700" w:y="7626"/>
              <w:shd w:val="clear" w:color="auto" w:fill="auto"/>
              <w:rPr>
                <w:sz w:val="15"/>
                <w:szCs w:val="15"/>
              </w:rPr>
            </w:pPr>
            <w:r>
              <w:rPr>
                <w:b w:val="0"/>
                <w:color w:val="019648"/>
                <w:sz w:val="15"/>
              </w:rPr>
              <w:t>2. Тести на ТБ з рекомендаціями ВООЗ</w:t>
            </w:r>
          </w:p>
        </w:tc>
      </w:tr>
      <w:tr w:rsidR="00366CB9" w14:paraId="7D43A640" w14:textId="77777777">
        <w:trPr>
          <w:trHeight w:hRule="exact" w:val="653"/>
        </w:trPr>
        <w:tc>
          <w:tcPr>
            <w:tcW w:w="182" w:type="dxa"/>
            <w:shd w:val="clear" w:color="auto" w:fill="FFFFFF"/>
            <w:textDirection w:val="tbRl"/>
          </w:tcPr>
          <w:p w14:paraId="2B1FC7E0" w14:textId="77777777" w:rsidR="00366CB9" w:rsidRDefault="009D0C1D" w:rsidP="00425523">
            <w:pPr>
              <w:pStyle w:val="a6"/>
              <w:framePr w:w="182" w:h="3538" w:wrap="none" w:vAnchor="page" w:hAnchor="page" w:x="700" w:y="7626"/>
              <w:shd w:val="clear" w:color="auto" w:fill="auto"/>
              <w:jc w:val="right"/>
              <w:rPr>
                <w:sz w:val="15"/>
                <w:szCs w:val="15"/>
              </w:rPr>
            </w:pPr>
            <w:r>
              <w:rPr>
                <w:b w:val="0"/>
                <w:color w:val="019648"/>
                <w:sz w:val="15"/>
              </w:rPr>
              <w:t>65</w:t>
            </w:r>
          </w:p>
        </w:tc>
      </w:tr>
    </w:tbl>
    <w:p w14:paraId="274DE933" w14:textId="77777777" w:rsidR="00366CB9" w:rsidRDefault="00366CB9" w:rsidP="00425523">
      <w:pPr>
        <w:spacing w:line="1" w:lineRule="exact"/>
        <w:sectPr w:rsidR="00366CB9" w:rsidSect="00C670F3">
          <w:footerReference w:type="default" r:id="rId97"/>
          <w:pgSz w:w="16840" w:h="11913" w:orient="landscape"/>
          <w:pgMar w:top="1399" w:right="1290" w:bottom="727" w:left="1505" w:header="0" w:footer="6" w:gutter="0"/>
          <w:paperSrc w:first="15" w:other="15"/>
          <w:cols w:space="720"/>
          <w:noEndnote/>
          <w:docGrid w:linePitch="360"/>
        </w:sectPr>
      </w:pPr>
    </w:p>
    <w:p w14:paraId="72F81E6B" w14:textId="69F4D8A1"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14:paraId="44947B34" w14:textId="77777777" w:rsidTr="00E80D3A">
        <w:trPr>
          <w:trHeight w:hRule="exact" w:val="5443"/>
        </w:trPr>
        <w:tc>
          <w:tcPr>
            <w:tcW w:w="9106" w:type="dxa"/>
            <w:shd w:val="clear" w:color="auto" w:fill="FFFFFF"/>
          </w:tcPr>
          <w:p w14:paraId="33B3E75B" w14:textId="77777777" w:rsidR="00366CB9" w:rsidRDefault="009D0C1D" w:rsidP="00C670F3">
            <w:pPr>
              <w:pStyle w:val="a6"/>
              <w:shd w:val="clear" w:color="auto" w:fill="auto"/>
              <w:spacing w:after="140" w:line="264" w:lineRule="auto"/>
              <w:rPr>
                <w:sz w:val="36"/>
                <w:szCs w:val="36"/>
              </w:rPr>
            </w:pPr>
            <w:bookmarkStart w:id="71" w:name="bookmark69"/>
            <w:bookmarkStart w:id="72" w:name="bookmark68"/>
            <w:r>
              <w:rPr>
                <w:b w:val="0"/>
                <w:color w:val="019648"/>
                <w:sz w:val="36"/>
              </w:rPr>
              <w:t>2.7 Тести, що ВООЗ рекомендує не застосовувати або рекомендує обмежити їхнє застосування</w:t>
            </w:r>
            <w:bookmarkEnd w:id="71"/>
            <w:bookmarkEnd w:id="72"/>
          </w:p>
          <w:p w14:paraId="17BF6AE6" w14:textId="77777777" w:rsidR="00366CB9" w:rsidRPr="00E80D3A" w:rsidRDefault="009D0C1D" w:rsidP="00C670F3">
            <w:pPr>
              <w:pStyle w:val="a6"/>
              <w:shd w:val="clear" w:color="auto" w:fill="auto"/>
              <w:spacing w:after="140" w:line="324" w:lineRule="auto"/>
              <w:jc w:val="both"/>
              <w:rPr>
                <w:sz w:val="18"/>
                <w:szCs w:val="18"/>
              </w:rPr>
            </w:pPr>
            <w:r w:rsidRPr="00E80D3A">
              <w:rPr>
                <w:b w:val="0"/>
                <w:color w:val="000000"/>
                <w:sz w:val="18"/>
                <w:szCs w:val="24"/>
              </w:rPr>
              <w:t>Відповідно до перевірки наявних даних, ВООЗ рекомендувала не застосовувати тести, що не надають надійної інформації для діагностики ТБ. У 2011 році ВООЗ рекомендувала не застосовувати доступні у продажу серологічні тести для діагностики ТБ легень та позалегеневого ТБ, оскільки наразі доступні у продажу серодіагностичні тести давали суперечливі та неточні результати, не спостерігалось доказів того, що ці доступні у продажу серологічні аналізи покращують результати пацієнтів, а тести давали високу частку хибнопозитивних та хибнонегативних результатів, що можуть мати негативний вплив на здоров’я людей (</w:t>
            </w:r>
            <w:hyperlink w:anchor="bookmark198" w:tooltip="Поточний документ">
              <w:r w:rsidR="00366CB9" w:rsidRPr="00E80D3A">
                <w:rPr>
                  <w:b w:val="0"/>
                  <w:color w:val="000000"/>
                  <w:sz w:val="18"/>
                  <w:szCs w:val="24"/>
                </w:rPr>
                <w:t>53</w:t>
              </w:r>
            </w:hyperlink>
            <w:r w:rsidRPr="00E80D3A">
              <w:rPr>
                <w:b w:val="0"/>
                <w:color w:val="000000"/>
                <w:sz w:val="18"/>
                <w:szCs w:val="24"/>
              </w:rPr>
              <w:t>).</w:t>
            </w:r>
          </w:p>
          <w:p w14:paraId="2574AF0E" w14:textId="77777777" w:rsidR="00366CB9" w:rsidRPr="00E80D3A" w:rsidRDefault="009D0C1D" w:rsidP="00C670F3">
            <w:pPr>
              <w:pStyle w:val="a6"/>
              <w:shd w:val="clear" w:color="auto" w:fill="auto"/>
              <w:spacing w:after="140" w:line="324" w:lineRule="auto"/>
              <w:jc w:val="both"/>
              <w:rPr>
                <w:sz w:val="18"/>
                <w:szCs w:val="18"/>
              </w:rPr>
            </w:pPr>
            <w:r w:rsidRPr="00E80D3A">
              <w:rPr>
                <w:b w:val="0"/>
                <w:color w:val="000000"/>
                <w:sz w:val="18"/>
                <w:szCs w:val="24"/>
              </w:rPr>
              <w:t>Рекомендації ВООЗ стосуються лише цільового призначення; іноді навіть рекомендований тест не рекомендується застосовувати для конкретної мети. Наприклад, різні класи NAAT (LC-aNAAT, LC-mNAAT та MC-aNAAT) не рекомендуються для контролю відповіді на лікування.</w:t>
            </w:r>
          </w:p>
          <w:p w14:paraId="086C7A17" w14:textId="77777777" w:rsidR="00366CB9" w:rsidRDefault="009D0C1D" w:rsidP="00C670F3">
            <w:pPr>
              <w:pStyle w:val="a6"/>
              <w:shd w:val="clear" w:color="auto" w:fill="auto"/>
              <w:spacing w:after="140" w:line="324" w:lineRule="auto"/>
              <w:jc w:val="both"/>
              <w:rPr>
                <w:sz w:val="20"/>
                <w:szCs w:val="20"/>
              </w:rPr>
            </w:pPr>
            <w:r w:rsidRPr="00E80D3A">
              <w:rPr>
                <w:b w:val="0"/>
                <w:color w:val="000000"/>
                <w:sz w:val="18"/>
                <w:szCs w:val="24"/>
              </w:rPr>
              <w:t>Рекомендація ВООЗ передбачає, що тести на виявлення туберкульозної інфекції можна застосовувати у країнах з низьким та середнім рівнем доходу (КНСД) для виявлення туберкульозної інфекції. Однак такі тести не потрібно застосовувати для діагностики ТБ легень або позалегеневого ТБ (</w:t>
            </w:r>
            <w:r w:rsidRPr="00E80D3A">
              <w:rPr>
                <w:color w:val="000000"/>
                <w:sz w:val="18"/>
                <w:szCs w:val="24"/>
              </w:rPr>
              <w:t>Вставка 2.1</w:t>
            </w:r>
            <w:r w:rsidRPr="00E80D3A">
              <w:rPr>
                <w:b w:val="0"/>
                <w:color w:val="000000"/>
                <w:sz w:val="18"/>
                <w:szCs w:val="24"/>
              </w:rPr>
              <w:t>5) або для діагностики</w:t>
            </w:r>
            <w:r w:rsidRPr="00E80D3A">
              <w:rPr>
                <w:b w:val="0"/>
                <w:color w:val="000000"/>
                <w:sz w:val="18"/>
                <w:szCs w:val="24"/>
                <w:vertAlign w:val="superscript"/>
              </w:rPr>
              <w:t>5</w:t>
            </w:r>
            <w:r w:rsidRPr="00E80D3A">
              <w:rPr>
                <w:b w:val="0"/>
                <w:color w:val="000000"/>
                <w:sz w:val="18"/>
                <w:szCs w:val="24"/>
              </w:rPr>
              <w:t xml:space="preserve"> дорослих (включаючи ВІЛ-позитивних осіб) з підозрою на активну форму ТБ.</w:t>
            </w:r>
          </w:p>
        </w:tc>
      </w:tr>
      <w:tr w:rsidR="00366CB9" w14:paraId="3E2A8131" w14:textId="77777777">
        <w:trPr>
          <w:trHeight w:hRule="exact" w:val="3226"/>
        </w:trPr>
        <w:tc>
          <w:tcPr>
            <w:tcW w:w="9106" w:type="dxa"/>
            <w:shd w:val="clear" w:color="auto" w:fill="FFFFFF"/>
          </w:tcPr>
          <w:p w14:paraId="0F47523C" w14:textId="028BF314" w:rsidR="00366CB9" w:rsidRDefault="002F0816" w:rsidP="00C670F3">
            <w:pPr>
              <w:rPr>
                <w:sz w:val="2"/>
                <w:szCs w:val="2"/>
              </w:rPr>
            </w:pPr>
            <w:r>
              <w:rPr>
                <w:noProof/>
              </w:rPr>
              <mc:AlternateContent>
                <mc:Choice Requires="wps">
                  <w:drawing>
                    <wp:anchor distT="0" distB="0" distL="114300" distR="114300" simplePos="0" relativeHeight="251524096" behindDoc="0" locked="0" layoutInCell="1" allowOverlap="1" wp14:anchorId="1DF5ED58" wp14:editId="14D39E10">
                      <wp:simplePos x="0" y="0"/>
                      <wp:positionH relativeFrom="column">
                        <wp:posOffset>341630</wp:posOffset>
                      </wp:positionH>
                      <wp:positionV relativeFrom="paragraph">
                        <wp:posOffset>844127</wp:posOffset>
                      </wp:positionV>
                      <wp:extent cx="5242560" cy="1109133"/>
                      <wp:effectExtent l="0" t="0" r="0" b="0"/>
                      <wp:wrapNone/>
                      <wp:docPr id="1559594562" name="Прямокутник 4"/>
                      <wp:cNvGraphicFramePr/>
                      <a:graphic xmlns:a="http://schemas.openxmlformats.org/drawingml/2006/main">
                        <a:graphicData uri="http://schemas.microsoft.com/office/word/2010/wordprocessingShape">
                          <wps:wsp>
                            <wps:cNvSpPr/>
                            <wps:spPr>
                              <a:xfrm>
                                <a:off x="0" y="0"/>
                                <a:ext cx="5242560" cy="1109133"/>
                              </a:xfrm>
                              <a:prstGeom prst="rect">
                                <a:avLst/>
                              </a:prstGeom>
                              <a:solidFill>
                                <a:srgbClr val="C6E0CE"/>
                              </a:solidFill>
                            </wps:spPr>
                            <wps:txbx>
                              <w:txbxContent>
                                <w:p w14:paraId="63AD6A49" w14:textId="77777777" w:rsidR="009D0C1D" w:rsidRDefault="009D0C1D" w:rsidP="00D4401E">
                                  <w:pPr>
                                    <w:spacing w:after="56" w:line="314" w:lineRule="auto"/>
                                    <w:jc w:val="both"/>
                                    <w:rPr>
                                      <w:rFonts w:eastAsia="+mn-ea" w:cs="+mn-cs"/>
                                      <w:kern w:val="24"/>
                                      <w:sz w:val="20"/>
                                      <w:szCs w:val="20"/>
                                    </w:rPr>
                                  </w:pPr>
                                  <w:r>
                                    <w:rPr>
                                      <w:sz w:val="20"/>
                                    </w:rPr>
                                    <w:t>Аналізи на вивільнення гамма-інтерферону (IGRA) та туберкулінові шкірні проби (TST) не слід застосовувати у країнах з низьким та середнім рівнем доходу для діагностики ТБ легень або позалегеневого ТБ або для діагностики дорослих (включаючи людей, які живуть з ВІЛ) з підозрою на активну форму ТБ.</w:t>
                                  </w:r>
                                </w:p>
                                <w:p w14:paraId="0ED34F6F" w14:textId="77777777" w:rsidR="009D0C1D" w:rsidRPr="00384EE0" w:rsidRDefault="009D0C1D" w:rsidP="00D4401E">
                                  <w:pPr>
                                    <w:spacing w:line="314" w:lineRule="auto"/>
                                    <w:jc w:val="both"/>
                                    <w:rPr>
                                      <w:rFonts w:eastAsia="+mn-ea" w:cs="+mn-cs"/>
                                      <w:i/>
                                      <w:iCs/>
                                      <w:kern w:val="24"/>
                                      <w:sz w:val="20"/>
                                      <w:szCs w:val="20"/>
                                    </w:rPr>
                                  </w:pPr>
                                  <w:r>
                                    <w:rPr>
                                      <w:i/>
                                      <w:sz w:val="20"/>
                                    </w:rPr>
                                    <w:t>(Сильна рекомендація)</w:t>
                                  </w:r>
                                </w:p>
                              </w:txbxContent>
                            </wps:txbx>
                            <wps:bodyPr lIns="0" tIns="0" rIns="0" bIns="0">
                              <a:noAutofit/>
                            </wps:bodyPr>
                          </wps:wsp>
                        </a:graphicData>
                      </a:graphic>
                      <wp14:sizeRelV relativeFrom="margin">
                        <wp14:pctHeight>0</wp14:pctHeight>
                      </wp14:sizeRelV>
                    </wp:anchor>
                  </w:drawing>
                </mc:Choice>
                <mc:Fallback>
                  <w:pict>
                    <v:rect w14:anchorId="1DF5ED58" id="_x0000_s1150" style="position:absolute;margin-left:26.9pt;margin-top:66.45pt;width:412.8pt;height:87.35pt;z-index:25152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" fillcolor="#c6e0ce" stroked="f">
                      <v:textbox inset="0,0,0,0">
                        <w:txbxContent>
                          <w:p w14:paraId="63AD6A49" w14:textId="77777777" w:rsidR="009D0C1D" w:rsidRDefault="009D0C1D" w:rsidP="00D4401E">
                            <w:pPr>
                              <w:spacing w:after="56" w:line="314" w:lineRule="auto"/>
                              <w:jc w:val="both"/>
                              <w:rPr>
                                <w:rFonts w:eastAsia="+mn-ea" w:cs="+mn-cs"/>
                                <w:kern w:val="24"/>
                                <w:sz w:val="20"/>
                                <w:szCs w:val="20"/>
                              </w:rPr>
                            </w:pPr>
                            <w:r>
                              <w:rPr>
                                <w:sz w:val="20"/>
                              </w:rPr>
                              <w:t>Аналізи на вивільнення гамма-інтерферону (IGRA) та туберкулінові шкірні проби (TST) не слід застосовувати у країнах з низьким та середнім рівнем доходу для діагностики ТБ легень або позалегеневого ТБ або для діагностики дорослих (включаючи людей, які живуть з ВІЛ) з підозрою на активну форму ТБ.</w:t>
                            </w:r>
                          </w:p>
                          <w:p w14:paraId="0ED34F6F" w14:textId="77777777" w:rsidR="009D0C1D" w:rsidRPr="00384EE0" w:rsidRDefault="009D0C1D" w:rsidP="00D4401E">
                            <w:pPr>
                              <w:spacing w:line="314" w:lineRule="auto"/>
                              <w:jc w:val="both"/>
                              <w:rPr>
                                <w:rFonts w:eastAsia="+mn-ea" w:cs="+mn-cs"/>
                                <w:i/>
                                <w:iCs/>
                                <w:kern w:val="24"/>
                                <w:sz w:val="20"/>
                                <w:szCs w:val="20"/>
                              </w:rPr>
                            </w:pPr>
                            <w:r>
                              <w:rPr>
                                <w:i/>
                                <w:sz w:val="20"/>
                              </w:rPr>
                              <w:t>(Сильна рекомендація)</w:t>
                            </w:r>
                          </w:p>
                        </w:txbxContent>
                      </v:textbox>
                    </v:rect>
                  </w:pict>
                </mc:Fallback>
              </mc:AlternateContent>
            </w:r>
            <w:r w:rsidR="00D4401E">
              <w:rPr>
                <w:noProof/>
              </w:rPr>
              <mc:AlternateContent>
                <mc:Choice Requires="wps">
                  <w:drawing>
                    <wp:anchor distT="0" distB="0" distL="114300" distR="114300" simplePos="0" relativeHeight="251523072" behindDoc="0" locked="0" layoutInCell="1" allowOverlap="1" wp14:anchorId="7B0271B5" wp14:editId="748BD0E5">
                      <wp:simplePos x="0" y="0"/>
                      <wp:positionH relativeFrom="column">
                        <wp:posOffset>116840</wp:posOffset>
                      </wp:positionH>
                      <wp:positionV relativeFrom="paragraph">
                        <wp:posOffset>285115</wp:posOffset>
                      </wp:positionV>
                      <wp:extent cx="4922520" cy="365760"/>
                      <wp:effectExtent l="0" t="0" r="0" b="0"/>
                      <wp:wrapNone/>
                      <wp:docPr id="239685444" name="Прямокутник 3"/>
                      <wp:cNvGraphicFramePr/>
                      <a:graphic xmlns:a="http://schemas.openxmlformats.org/drawingml/2006/main">
                        <a:graphicData uri="http://schemas.microsoft.com/office/word/2010/wordprocessingShape">
                          <wps:wsp>
                            <wps:cNvSpPr/>
                            <wps:spPr>
                              <a:xfrm>
                                <a:off x="0" y="0"/>
                                <a:ext cx="4922520" cy="365760"/>
                              </a:xfrm>
                              <a:prstGeom prst="rect">
                                <a:avLst/>
                              </a:prstGeom>
                              <a:solidFill>
                                <a:srgbClr val="009649"/>
                              </a:solidFill>
                            </wps:spPr>
                            <wps:txbx>
                              <w:txbxContent>
                                <w:p w14:paraId="3F7FC127" w14:textId="77777777" w:rsidR="009D0C1D" w:rsidRPr="00785005" w:rsidRDefault="009D0C1D" w:rsidP="00D4401E">
                                  <w:pPr>
                                    <w:spacing w:line="321" w:lineRule="auto"/>
                                    <w:rPr>
                                      <w:rFonts w:eastAsia="+mn-ea" w:cs="+mn-cs"/>
                                      <w:b/>
                                      <w:bCs/>
                                      <w:color w:val="FFFFFF"/>
                                      <w:kern w:val="24"/>
                                      <w:sz w:val="20"/>
                                      <w:szCs w:val="20"/>
                                    </w:rPr>
                                  </w:pPr>
                                  <w:r>
                                    <w:rPr>
                                      <w:b/>
                                      <w:color w:val="FFFFFF"/>
                                      <w:sz w:val="20"/>
                                    </w:rPr>
                                    <w:t xml:space="preserve">Вставка 2.15. Рекомендації ВООЗ щодо застосування TST та IGRA для діагностики ТБ </w:t>
                                  </w:r>
                                  <w:r>
                                    <w:rPr>
                                      <w:b/>
                                      <w:i/>
                                      <w:color w:val="FFFFFF"/>
                                      <w:sz w:val="20"/>
                                    </w:rPr>
                                    <w:t>(6)</w:t>
                                  </w:r>
                                </w:p>
                              </w:txbxContent>
                            </wps:txbx>
                            <wps:bodyPr lIns="0" tIns="0" rIns="0" bIns="0">
                              <a:noAutofit/>
                            </wps:bodyPr>
                          </wps:wsp>
                        </a:graphicData>
                      </a:graphic>
                    </wp:anchor>
                  </w:drawing>
                </mc:Choice>
                <mc:Fallback>
                  <w:pict>
                    <v:rect w14:anchorId="7B0271B5" id="_x0000_s1151" style="position:absolute;margin-left:9.2pt;margin-top:22.45pt;width:387.6pt;height:28.8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" fillcolor="#009649" stroked="f">
                      <v:textbox inset="0,0,0,0">
                        <w:txbxContent>
                          <w:p w14:paraId="3F7FC127" w14:textId="77777777" w:rsidR="009D0C1D" w:rsidRPr="00785005" w:rsidRDefault="009D0C1D" w:rsidP="00D4401E">
                            <w:pPr>
                              <w:spacing w:line="321" w:lineRule="auto"/>
                              <w:rPr>
                                <w:rFonts w:eastAsia="+mn-ea" w:cs="+mn-cs"/>
                                <w:b/>
                                <w:bCs/>
                                <w:color w:val="FFFFFF"/>
                                <w:kern w:val="24"/>
                                <w:sz w:val="20"/>
                                <w:szCs w:val="20"/>
                              </w:rPr>
                            </w:pPr>
                            <w:r>
                              <w:rPr>
                                <w:b/>
                                <w:color w:val="FFFFFF"/>
                                <w:sz w:val="20"/>
                              </w:rPr>
                              <w:t xml:space="preserve">Вставка 2.15. Рекомендації ВООЗ щодо застосування TST та IGRA для діагностики ТБ </w:t>
                            </w:r>
                            <w:r>
                              <w:rPr>
                                <w:b/>
                                <w:i/>
                                <w:color w:val="FFFFFF"/>
                                <w:sz w:val="20"/>
                              </w:rPr>
                              <w:t>(6)</w:t>
                            </w:r>
                          </w:p>
                        </w:txbxContent>
                      </v:textbox>
                    </v:rect>
                  </w:pict>
                </mc:Fallback>
              </mc:AlternateContent>
            </w:r>
            <w:r w:rsidR="00D4401E">
              <w:rPr>
                <w:noProof/>
              </w:rPr>
              <w:drawing>
                <wp:inline distT="0" distB="0" distL="0" distR="0" wp14:anchorId="416F4C1A" wp14:editId="2B9F8F20">
                  <wp:extent cx="5782310" cy="204851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8"/>
                          <a:stretch/>
                        </pic:blipFill>
                        <pic:spPr>
                          <a:xfrm>
                            <a:off x="0" y="0"/>
                            <a:ext cx="5782310" cy="2048510"/>
                          </a:xfrm>
                          <a:prstGeom prst="rect">
                            <a:avLst/>
                          </a:prstGeom>
                        </pic:spPr>
                      </pic:pic>
                    </a:graphicData>
                  </a:graphic>
                </wp:inline>
              </w:drawing>
            </w:r>
          </w:p>
        </w:tc>
      </w:tr>
    </w:tbl>
    <w:p w14:paraId="71A92575" w14:textId="49178059" w:rsidR="002F0816" w:rsidRDefault="002F0816" w:rsidP="002F0816">
      <w:pPr>
        <w:pStyle w:val="ab"/>
        <w:framePr w:wrap="none" w:vAnchor="page" w:hAnchor="page" w:x="1382" w:y="15340"/>
        <w:shd w:val="clear" w:color="auto" w:fill="auto"/>
        <w:tabs>
          <w:tab w:val="left" w:pos="284"/>
        </w:tabs>
        <w:rPr>
          <w:color w:val="000000"/>
          <w:vertAlign w:val="superscript"/>
        </w:rPr>
      </w:pPr>
      <w:r>
        <w:rPr>
          <w:color w:val="000000"/>
          <w:vertAlign w:val="superscript"/>
        </w:rPr>
        <w:t>____________________________________</w:t>
      </w:r>
    </w:p>
    <w:p w14:paraId="7FAB13E2" w14:textId="4F00EDA1" w:rsidR="00366CB9" w:rsidRDefault="009D0C1D" w:rsidP="002F0816">
      <w:pPr>
        <w:pStyle w:val="ab"/>
        <w:framePr w:wrap="none" w:vAnchor="page" w:hAnchor="page" w:x="1382" w:y="15340"/>
        <w:shd w:val="clear" w:color="auto" w:fill="auto"/>
        <w:tabs>
          <w:tab w:val="left" w:pos="284"/>
        </w:tabs>
      </w:pPr>
      <w:r>
        <w:rPr>
          <w:color w:val="000000"/>
          <w:vertAlign w:val="superscript"/>
        </w:rPr>
        <w:t>5</w:t>
      </w:r>
      <w:r w:rsidR="002F0816">
        <w:tab/>
      </w:r>
      <w:r>
        <w:rPr>
          <w:color w:val="000000"/>
        </w:rPr>
        <w:t>Діагностика передбачає збір інформації про здоров’я людини, проведення тестів та встановлення діагнозу.</w:t>
      </w:r>
    </w:p>
    <w:p w14:paraId="6126B232" w14:textId="7C5DF04D" w:rsidR="00366CB9" w:rsidRDefault="00366CB9" w:rsidP="00425523">
      <w:pPr>
        <w:spacing w:line="1" w:lineRule="exact"/>
        <w:sectPr w:rsidR="00366CB9" w:rsidSect="00C670F3">
          <w:pgSz w:w="11913" w:h="16840"/>
          <w:pgMar w:top="1469" w:right="1378" w:bottom="851" w:left="1372" w:header="0" w:footer="6" w:gutter="0"/>
          <w:paperSrc w:first="15" w:other="15"/>
          <w:cols w:space="720"/>
          <w:noEndnote/>
          <w:docGrid w:linePitch="360"/>
        </w:sectPr>
      </w:pPr>
    </w:p>
    <w:p w14:paraId="248F13FD" w14:textId="77777777" w:rsidR="00366CB9" w:rsidRDefault="00366CB9" w:rsidP="00425523">
      <w:pPr>
        <w:spacing w:line="1" w:lineRule="exact"/>
      </w:pPr>
    </w:p>
    <w:p w14:paraId="1FFE9300" w14:textId="77777777" w:rsidR="00366CB9" w:rsidRDefault="009D0C1D" w:rsidP="00C670F3">
      <w:pPr>
        <w:pStyle w:val="11"/>
        <w:numPr>
          <w:ilvl w:val="0"/>
          <w:numId w:val="9"/>
        </w:numPr>
        <w:shd w:val="clear" w:color="auto" w:fill="auto"/>
        <w:tabs>
          <w:tab w:val="left" w:pos="704"/>
        </w:tabs>
        <w:spacing w:before="0" w:after="820" w:line="259" w:lineRule="auto"/>
        <w:jc w:val="both"/>
      </w:pPr>
      <w:bookmarkStart w:id="73" w:name="bookmark72"/>
      <w:bookmarkStart w:id="74" w:name="bookmark73"/>
      <w:bookmarkStart w:id="75" w:name="bookmark70"/>
      <w:bookmarkStart w:id="76" w:name="bookmark71"/>
      <w:r>
        <w:t>Стратегії та міркування щодо діагностичного тестування</w:t>
      </w:r>
      <w:bookmarkEnd w:id="73"/>
      <w:bookmarkEnd w:id="74"/>
      <w:bookmarkEnd w:id="75"/>
      <w:bookmarkEnd w:id="76"/>
    </w:p>
    <w:p w14:paraId="045A226C" w14:textId="77777777" w:rsidR="00366CB9" w:rsidRDefault="009D0C1D" w:rsidP="00C670F3">
      <w:pPr>
        <w:pStyle w:val="22"/>
        <w:numPr>
          <w:ilvl w:val="1"/>
          <w:numId w:val="9"/>
        </w:numPr>
        <w:shd w:val="clear" w:color="auto" w:fill="auto"/>
        <w:tabs>
          <w:tab w:val="left" w:pos="704"/>
        </w:tabs>
        <w:spacing w:after="140" w:line="262" w:lineRule="auto"/>
      </w:pPr>
      <w:bookmarkStart w:id="77" w:name="bookmark74"/>
      <w:bookmarkStart w:id="78" w:name="bookmark75"/>
      <w:r>
        <w:t>Епідеміологічні міркування</w:t>
      </w:r>
      <w:bookmarkEnd w:id="77"/>
      <w:bookmarkEnd w:id="78"/>
    </w:p>
    <w:p w14:paraId="10E73E49" w14:textId="77777777" w:rsidR="00366CB9" w:rsidRPr="00E80D3A" w:rsidRDefault="009D0C1D" w:rsidP="00C670F3">
      <w:pPr>
        <w:pStyle w:val="1"/>
        <w:shd w:val="clear" w:color="auto" w:fill="auto"/>
        <w:spacing w:after="140" w:line="324" w:lineRule="auto"/>
        <w:jc w:val="both"/>
        <w:rPr>
          <w:sz w:val="18"/>
          <w:szCs w:val="18"/>
        </w:rPr>
      </w:pPr>
      <w:r w:rsidRPr="00E80D3A">
        <w:rPr>
          <w:sz w:val="18"/>
          <w:szCs w:val="18"/>
        </w:rPr>
        <w:t>Обираючи діагностичний тест, слід враховувати характеристики (тобто фактори ризику) досліджуваної популяції. Ці характеристики необхідно отримати з популяційних досліджень та мають включати частку таких осіб:</w:t>
      </w:r>
    </w:p>
    <w:p w14:paraId="124D4114" w14:textId="25A3B99D" w:rsidR="00366CB9" w:rsidRPr="00E80D3A" w:rsidRDefault="009D0C1D" w:rsidP="002F0816">
      <w:pPr>
        <w:pStyle w:val="1"/>
        <w:shd w:val="clear" w:color="auto" w:fill="auto"/>
        <w:tabs>
          <w:tab w:val="left" w:pos="284"/>
        </w:tabs>
        <w:spacing w:line="324" w:lineRule="auto"/>
        <w:jc w:val="both"/>
        <w:rPr>
          <w:sz w:val="18"/>
          <w:szCs w:val="18"/>
        </w:rPr>
      </w:pPr>
      <w:r w:rsidRPr="00E80D3A">
        <w:rPr>
          <w:color w:val="019648"/>
          <w:sz w:val="18"/>
          <w:szCs w:val="18"/>
        </w:rPr>
        <w:t xml:space="preserve">• </w:t>
      </w:r>
      <w:r w:rsidR="002F0816" w:rsidRPr="00E80D3A">
        <w:rPr>
          <w:sz w:val="18"/>
          <w:szCs w:val="18"/>
        </w:rPr>
        <w:tab/>
      </w:r>
      <w:r w:rsidRPr="00E80D3A">
        <w:rPr>
          <w:sz w:val="18"/>
          <w:szCs w:val="18"/>
        </w:rPr>
        <w:t>особи з ТБ з резистентністю до RIF, INH та FQ;</w:t>
      </w:r>
    </w:p>
    <w:p w14:paraId="38C6457A" w14:textId="6625FEF0" w:rsidR="00366CB9" w:rsidRPr="00E80D3A" w:rsidRDefault="009D0C1D" w:rsidP="002F0816">
      <w:pPr>
        <w:pStyle w:val="1"/>
        <w:shd w:val="clear" w:color="auto" w:fill="auto"/>
        <w:tabs>
          <w:tab w:val="left" w:pos="284"/>
        </w:tabs>
        <w:spacing w:line="324" w:lineRule="auto"/>
        <w:jc w:val="both"/>
        <w:rPr>
          <w:sz w:val="18"/>
          <w:szCs w:val="18"/>
        </w:rPr>
      </w:pPr>
      <w:r w:rsidRPr="00E80D3A">
        <w:rPr>
          <w:color w:val="019648"/>
          <w:sz w:val="18"/>
          <w:szCs w:val="18"/>
        </w:rPr>
        <w:t xml:space="preserve">• </w:t>
      </w:r>
      <w:r w:rsidR="002F0816" w:rsidRPr="00E80D3A">
        <w:rPr>
          <w:sz w:val="18"/>
          <w:szCs w:val="18"/>
        </w:rPr>
        <w:tab/>
      </w:r>
      <w:r w:rsidRPr="00E80D3A">
        <w:rPr>
          <w:sz w:val="18"/>
          <w:szCs w:val="18"/>
        </w:rPr>
        <w:t>люди, які живуть з ВІЛ;</w:t>
      </w:r>
    </w:p>
    <w:p w14:paraId="29642F6A" w14:textId="6F31667E" w:rsidR="00366CB9" w:rsidRPr="00E80D3A" w:rsidRDefault="009D0C1D" w:rsidP="002F0816">
      <w:pPr>
        <w:pStyle w:val="1"/>
        <w:shd w:val="clear" w:color="auto" w:fill="auto"/>
        <w:tabs>
          <w:tab w:val="left" w:pos="284"/>
        </w:tabs>
        <w:spacing w:line="324" w:lineRule="auto"/>
        <w:jc w:val="both"/>
        <w:rPr>
          <w:sz w:val="18"/>
          <w:szCs w:val="18"/>
        </w:rPr>
      </w:pPr>
      <w:r w:rsidRPr="00E80D3A">
        <w:rPr>
          <w:color w:val="019648"/>
          <w:sz w:val="18"/>
          <w:szCs w:val="18"/>
        </w:rPr>
        <w:t xml:space="preserve">• </w:t>
      </w:r>
      <w:r w:rsidR="002F0816" w:rsidRPr="00E80D3A">
        <w:rPr>
          <w:sz w:val="18"/>
          <w:szCs w:val="18"/>
        </w:rPr>
        <w:tab/>
      </w:r>
      <w:r w:rsidRPr="00E80D3A">
        <w:rPr>
          <w:sz w:val="18"/>
          <w:szCs w:val="18"/>
        </w:rPr>
        <w:t>люди з позалегеневим ТБ;</w:t>
      </w:r>
    </w:p>
    <w:p w14:paraId="037BC409" w14:textId="71455FEA" w:rsidR="00366CB9" w:rsidRPr="00E80D3A" w:rsidRDefault="009D0C1D" w:rsidP="002F0816">
      <w:pPr>
        <w:pStyle w:val="1"/>
        <w:shd w:val="clear" w:color="auto" w:fill="auto"/>
        <w:tabs>
          <w:tab w:val="left" w:pos="284"/>
        </w:tabs>
        <w:spacing w:line="324" w:lineRule="auto"/>
        <w:jc w:val="both"/>
        <w:rPr>
          <w:sz w:val="18"/>
          <w:szCs w:val="18"/>
        </w:rPr>
      </w:pPr>
      <w:r w:rsidRPr="00E80D3A">
        <w:rPr>
          <w:color w:val="019648"/>
          <w:sz w:val="18"/>
          <w:szCs w:val="18"/>
        </w:rPr>
        <w:t xml:space="preserve">• </w:t>
      </w:r>
      <w:r w:rsidR="002F0816" w:rsidRPr="00E80D3A">
        <w:rPr>
          <w:sz w:val="18"/>
          <w:szCs w:val="18"/>
        </w:rPr>
        <w:tab/>
      </w:r>
      <w:r w:rsidRPr="00E80D3A">
        <w:rPr>
          <w:sz w:val="18"/>
          <w:szCs w:val="18"/>
        </w:rPr>
        <w:t>діти з ТБ;</w:t>
      </w:r>
    </w:p>
    <w:p w14:paraId="3E1C4E88" w14:textId="4011C255" w:rsidR="00366CB9" w:rsidRPr="00E80D3A" w:rsidRDefault="009D0C1D" w:rsidP="002F0816">
      <w:pPr>
        <w:pStyle w:val="1"/>
        <w:shd w:val="clear" w:color="auto" w:fill="auto"/>
        <w:tabs>
          <w:tab w:val="left" w:pos="284"/>
        </w:tabs>
        <w:spacing w:line="324" w:lineRule="auto"/>
        <w:jc w:val="both"/>
        <w:rPr>
          <w:sz w:val="18"/>
          <w:szCs w:val="18"/>
        </w:rPr>
      </w:pPr>
      <w:r w:rsidRPr="00E80D3A">
        <w:rPr>
          <w:color w:val="019648"/>
          <w:sz w:val="18"/>
          <w:szCs w:val="18"/>
        </w:rPr>
        <w:t>•</w:t>
      </w:r>
      <w:r w:rsidR="002F0816" w:rsidRPr="00E80D3A">
        <w:rPr>
          <w:sz w:val="18"/>
          <w:szCs w:val="18"/>
        </w:rPr>
        <w:tab/>
      </w:r>
      <w:r w:rsidRPr="00E80D3A">
        <w:rPr>
          <w:sz w:val="18"/>
          <w:szCs w:val="18"/>
        </w:rPr>
        <w:t>особи з гострим захворюванням, які вимагають ранньої діагностики; та</w:t>
      </w:r>
    </w:p>
    <w:p w14:paraId="5EFD9943" w14:textId="5EC75999" w:rsidR="00366CB9" w:rsidRPr="00E80D3A" w:rsidRDefault="009D0C1D" w:rsidP="002F0816">
      <w:pPr>
        <w:pStyle w:val="1"/>
        <w:shd w:val="clear" w:color="auto" w:fill="auto"/>
        <w:tabs>
          <w:tab w:val="left" w:pos="284"/>
        </w:tabs>
        <w:spacing w:after="140" w:line="324" w:lineRule="auto"/>
        <w:jc w:val="both"/>
        <w:rPr>
          <w:sz w:val="18"/>
          <w:szCs w:val="18"/>
        </w:rPr>
      </w:pPr>
      <w:r w:rsidRPr="00E80D3A">
        <w:rPr>
          <w:color w:val="019648"/>
          <w:sz w:val="18"/>
          <w:szCs w:val="18"/>
        </w:rPr>
        <w:t xml:space="preserve">• </w:t>
      </w:r>
      <w:r w:rsidR="002F0816" w:rsidRPr="00E80D3A">
        <w:rPr>
          <w:sz w:val="18"/>
          <w:szCs w:val="18"/>
        </w:rPr>
        <w:tab/>
      </w:r>
      <w:r w:rsidRPr="00E80D3A">
        <w:rPr>
          <w:sz w:val="18"/>
          <w:szCs w:val="18"/>
        </w:rPr>
        <w:t>госпіталізовані та амбулаторні пацієнти.</w:t>
      </w:r>
    </w:p>
    <w:p w14:paraId="41ED81B9" w14:textId="77777777" w:rsidR="00366CB9" w:rsidRPr="00E80D3A" w:rsidRDefault="009D0C1D" w:rsidP="00C670F3">
      <w:pPr>
        <w:pStyle w:val="1"/>
        <w:shd w:val="clear" w:color="auto" w:fill="auto"/>
        <w:spacing w:after="240" w:line="326" w:lineRule="auto"/>
        <w:jc w:val="both"/>
        <w:rPr>
          <w:sz w:val="18"/>
          <w:szCs w:val="18"/>
        </w:rPr>
      </w:pPr>
      <w:r w:rsidRPr="00E80D3A">
        <w:rPr>
          <w:sz w:val="18"/>
          <w:szCs w:val="18"/>
        </w:rPr>
        <w:t>Розуміння частки захворювань, стійкої до нещодавно введеного препарату (наприклад, BDQ), є особливо важливим на початкових етапах використання препарату, коли здатність до лікування може розширюватися швидше, ніж кількість ТМЧ.</w:t>
      </w:r>
    </w:p>
    <w:p w14:paraId="4F965CA4" w14:textId="77777777" w:rsidR="00366CB9" w:rsidRDefault="009D0C1D" w:rsidP="00C670F3">
      <w:pPr>
        <w:pStyle w:val="22"/>
        <w:numPr>
          <w:ilvl w:val="1"/>
          <w:numId w:val="9"/>
        </w:numPr>
        <w:shd w:val="clear" w:color="auto" w:fill="auto"/>
        <w:tabs>
          <w:tab w:val="left" w:pos="752"/>
        </w:tabs>
        <w:spacing w:after="140" w:line="262" w:lineRule="auto"/>
      </w:pPr>
      <w:bookmarkStart w:id="79" w:name="bookmark76"/>
      <w:bookmarkStart w:id="80" w:name="bookmark77"/>
      <w:r>
        <w:t>Міркування щодо клінічної передбачуваності результатів та точності тесту</w:t>
      </w:r>
      <w:bookmarkEnd w:id="79"/>
      <w:bookmarkEnd w:id="80"/>
    </w:p>
    <w:p w14:paraId="566CCF87" w14:textId="77777777" w:rsidR="00366CB9" w:rsidRPr="00E80D3A" w:rsidRDefault="009D0C1D" w:rsidP="00C670F3">
      <w:pPr>
        <w:pStyle w:val="1"/>
        <w:shd w:val="clear" w:color="auto" w:fill="auto"/>
        <w:spacing w:after="140" w:line="324" w:lineRule="auto"/>
        <w:jc w:val="both"/>
        <w:rPr>
          <w:sz w:val="18"/>
          <w:szCs w:val="18"/>
        </w:rPr>
      </w:pPr>
      <w:r w:rsidRPr="00E80D3A">
        <w:rPr>
          <w:sz w:val="18"/>
          <w:szCs w:val="18"/>
        </w:rPr>
        <w:t>Прогностична цінність тесту залежить від поширеності ТБ у досліджуваній популяції. Поширеність ТБ у країні ефективно оцінюється в рамках національного дослідження поширеності ТБ. Дослідження поширеності необхідно проводити принаймні раз на 10 років. Якщо нещодавно не проводилось дослідження, ВООЗ вказує показники поширеності у річному глобальному звіті про ТБ (</w:t>
      </w:r>
      <w:hyperlink w:anchor="bookmark193" w:tooltip="Поточний документ">
        <w:r w:rsidR="00366CB9" w:rsidRPr="00E80D3A">
          <w:rPr>
            <w:sz w:val="18"/>
            <w:szCs w:val="18"/>
          </w:rPr>
          <w:t>2</w:t>
        </w:r>
      </w:hyperlink>
      <w:r w:rsidRPr="00E80D3A">
        <w:rPr>
          <w:sz w:val="18"/>
          <w:szCs w:val="18"/>
        </w:rPr>
        <w:t>). Ці показники засновані на кількості випадків ТБ, що щороку реєструються у державах-членах. Однак кількість зареєстрованих випадків не є надійним показником фактичної кількості осіб з ТБ. Як недостатнє звітування про діагностований ТБ (особливо у приватному секторі), так і недостатня діагностика (особливо у країнах з географічними або фінансовими перешкодами в отриманні доступу до медичних послуг) впливатимуть на зареєстровані випадки та на показники. Крім того, дані, надані ВООЗ, є національними, а регіональні відхилення у поширеності можуть вимагати застосування різних тестів у різних регіонах.</w:t>
      </w:r>
    </w:p>
    <w:p w14:paraId="2762409E" w14:textId="77777777" w:rsidR="00366CB9" w:rsidRPr="00E80D3A" w:rsidRDefault="00366CB9" w:rsidP="00C670F3">
      <w:pPr>
        <w:pStyle w:val="1"/>
        <w:shd w:val="clear" w:color="auto" w:fill="auto"/>
        <w:spacing w:line="324" w:lineRule="auto"/>
        <w:jc w:val="both"/>
        <w:rPr>
          <w:sz w:val="18"/>
          <w:szCs w:val="18"/>
        </w:rPr>
      </w:pPr>
      <w:r w:rsidRPr="00E80D3A">
        <w:rPr>
          <w:sz w:val="18"/>
          <w:szCs w:val="18"/>
        </w:rPr>
        <w:t xml:space="preserve">У </w:t>
      </w:r>
      <w:hyperlink w:anchor="bookmark78" w:tooltip="Поточний документ">
        <w:r w:rsidRPr="00E80D3A">
          <w:rPr>
            <w:b/>
            <w:sz w:val="18"/>
            <w:szCs w:val="18"/>
          </w:rPr>
          <w:t>Таблиці 3.1</w:t>
        </w:r>
      </w:hyperlink>
      <w:r w:rsidRPr="00E80D3A">
        <w:rPr>
          <w:sz w:val="18"/>
          <w:szCs w:val="18"/>
        </w:rPr>
        <w:t xml:space="preserve"> надано приклади орієнтованих результатів тестування на рівні популяції з автоматизованими NAAT (низької та середньої складності) та ручними NAAT (низької складності) в умовах з різним рівнем поширеності ТБ, на основі об’єднаних показників чутливості та специфічності, отриманих з публікації </w:t>
      </w:r>
      <w:r w:rsidRPr="00E80D3A">
        <w:rPr>
          <w:i/>
          <w:sz w:val="18"/>
          <w:szCs w:val="18"/>
        </w:rPr>
        <w:t>«Консолідовані настанови ВООЗ з туберкульозу:</w:t>
      </w:r>
    </w:p>
    <w:p w14:paraId="7F55A751" w14:textId="77777777" w:rsidR="00366CB9" w:rsidRPr="00E80D3A" w:rsidRDefault="009D0C1D" w:rsidP="00425523">
      <w:pPr>
        <w:spacing w:line="1" w:lineRule="exact"/>
        <w:rPr>
          <w:sz w:val="22"/>
          <w:szCs w:val="22"/>
        </w:rPr>
        <w:sectPr w:rsidR="00366CB9" w:rsidRPr="00E80D3A" w:rsidSect="00C670F3">
          <w:footerReference w:type="default" r:id="rId99"/>
          <w:type w:val="nextColumn"/>
          <w:pgSz w:w="11913" w:h="16840"/>
          <w:pgMar w:top="2325" w:right="1378" w:bottom="851" w:left="1372" w:header="0" w:footer="6" w:gutter="0"/>
          <w:paperSrc w:first="15" w:other="15"/>
          <w:cols w:space="720"/>
          <w:noEndnote/>
          <w:docGrid w:linePitch="360"/>
        </w:sectPr>
      </w:pPr>
      <w:r w:rsidRPr="00E80D3A">
        <w:rPr>
          <w:noProof/>
          <w:sz w:val="22"/>
          <w:szCs w:val="22"/>
        </w:rPr>
        <w:drawing>
          <wp:anchor distT="0" distB="0" distL="0" distR="0" simplePos="0" relativeHeight="251423744" behindDoc="1" locked="0" layoutInCell="1" allowOverlap="1" wp14:anchorId="2E2DB85D" wp14:editId="75BC56C7">
            <wp:simplePos x="0" y="0"/>
            <wp:positionH relativeFrom="page">
              <wp:align>left</wp:align>
            </wp:positionH>
            <wp:positionV relativeFrom="page">
              <wp:align>top</wp:align>
            </wp:positionV>
            <wp:extent cx="7560000" cy="1472400"/>
            <wp:effectExtent l="0" t="0" r="3175" b="0"/>
            <wp:wrapNone/>
            <wp:docPr id="98" name="Shape 98"/>
            <wp:cNvGraphicFramePr/>
            <a:graphic xmlns:a="http://schemas.openxmlformats.org/drawingml/2006/main">
              <a:graphicData uri="http://schemas.openxmlformats.org/drawingml/2006/picture">
                <pic:pic xmlns:pic="http://schemas.openxmlformats.org/drawingml/2006/picture">
                  <pic:nvPicPr>
                    <pic:cNvPr id="99" name="Picture box 99"/>
                    <pic:cNvPicPr/>
                  </pic:nvPicPr>
                  <pic:blipFill>
                    <a:blip r:embed="rId100"/>
                    <a:stretch/>
                  </pic:blipFill>
                  <pic:spPr>
                    <a:xfrm>
                      <a:off x="0" y="0"/>
                      <a:ext cx="7560000" cy="1472400"/>
                    </a:xfrm>
                    <a:prstGeom prst="rect">
                      <a:avLst/>
                    </a:prstGeom>
                  </pic:spPr>
                </pic:pic>
              </a:graphicData>
            </a:graphic>
            <wp14:sizeRelH relativeFrom="margin">
              <wp14:pctWidth>0</wp14:pctWidth>
            </wp14:sizeRelH>
            <wp14:sizeRelV relativeFrom="margin">
              <wp14:pctHeight>0</wp14:pctHeight>
            </wp14:sizeRelV>
          </wp:anchor>
        </w:drawing>
      </w:r>
    </w:p>
    <w:p w14:paraId="1400B7EE" w14:textId="77777777" w:rsidR="00366CB9" w:rsidRDefault="00366CB9" w:rsidP="00425523">
      <w:pPr>
        <w:spacing w:line="1" w:lineRule="exact"/>
      </w:pPr>
    </w:p>
    <w:tbl>
      <w:tblPr>
        <w:tblOverlap w:val="never"/>
        <w:tblW w:w="9241" w:type="dxa"/>
        <w:tblLayout w:type="fixed"/>
        <w:tblCellMar>
          <w:left w:w="10" w:type="dxa"/>
          <w:right w:w="10" w:type="dxa"/>
        </w:tblCellMar>
        <w:tblLook w:val="0000" w:firstRow="0" w:lastRow="0" w:firstColumn="0" w:lastColumn="0" w:noHBand="0" w:noVBand="0"/>
      </w:tblPr>
      <w:tblGrid>
        <w:gridCol w:w="9241"/>
      </w:tblGrid>
      <w:tr w:rsidR="00366CB9" w14:paraId="4EFF1F75" w14:textId="77777777" w:rsidTr="00E80D3A">
        <w:trPr>
          <w:trHeight w:hRule="exact" w:val="6066"/>
        </w:trPr>
        <w:tc>
          <w:tcPr>
            <w:tcW w:w="9241" w:type="dxa"/>
            <w:shd w:val="clear" w:color="auto" w:fill="FFFFFF"/>
          </w:tcPr>
          <w:p w14:paraId="7A9CCF58" w14:textId="77777777" w:rsidR="00366CB9" w:rsidRPr="00E80D3A" w:rsidRDefault="009D0C1D" w:rsidP="00C670F3">
            <w:pPr>
              <w:pStyle w:val="a6"/>
              <w:shd w:val="clear" w:color="auto" w:fill="auto"/>
              <w:spacing w:after="140" w:line="324" w:lineRule="auto"/>
              <w:jc w:val="both"/>
              <w:rPr>
                <w:sz w:val="18"/>
                <w:szCs w:val="24"/>
              </w:rPr>
            </w:pPr>
            <w:r w:rsidRPr="00E80D3A">
              <w:rPr>
                <w:b w:val="0"/>
                <w:i/>
                <w:color w:val="000000"/>
                <w:sz w:val="18"/>
                <w:szCs w:val="24"/>
              </w:rPr>
              <w:t>модуль 3: діагностика» (</w:t>
            </w:r>
            <w:hyperlink w:anchor="bookmark193" w:tooltip="Поточний документ">
              <w:r w:rsidR="00366CB9" w:rsidRPr="00E80D3A">
                <w:rPr>
                  <w:b w:val="0"/>
                  <w:i/>
                  <w:color w:val="000000"/>
                  <w:sz w:val="18"/>
                  <w:szCs w:val="24"/>
                </w:rPr>
                <w:t>5</w:t>
              </w:r>
            </w:hyperlink>
            <w:r w:rsidRPr="00E80D3A">
              <w:rPr>
                <w:b w:val="0"/>
                <w:i/>
                <w:color w:val="000000"/>
                <w:sz w:val="18"/>
                <w:szCs w:val="24"/>
              </w:rPr>
              <w:t>).</w:t>
            </w:r>
            <w:r w:rsidRPr="00E80D3A">
              <w:rPr>
                <w:b w:val="0"/>
                <w:color w:val="000000"/>
                <w:sz w:val="18"/>
                <w:szCs w:val="24"/>
              </w:rPr>
              <w:t xml:space="preserve"> </w:t>
            </w:r>
            <w:r w:rsidRPr="00E80D3A">
              <w:rPr>
                <w:color w:val="000000"/>
                <w:sz w:val="18"/>
                <w:szCs w:val="24"/>
              </w:rPr>
              <w:t>У Таблицях 3.2</w:t>
            </w:r>
            <w:r w:rsidRPr="00E80D3A">
              <w:rPr>
                <w:b w:val="0"/>
                <w:color w:val="000000"/>
                <w:sz w:val="18"/>
                <w:szCs w:val="24"/>
              </w:rPr>
              <w:t xml:space="preserve">, </w:t>
            </w:r>
            <w:r w:rsidRPr="00E80D3A">
              <w:rPr>
                <w:color w:val="000000"/>
                <w:sz w:val="18"/>
                <w:szCs w:val="24"/>
              </w:rPr>
              <w:t>3.3</w:t>
            </w:r>
            <w:r w:rsidRPr="00E80D3A">
              <w:rPr>
                <w:b w:val="0"/>
                <w:color w:val="000000"/>
                <w:sz w:val="18"/>
                <w:szCs w:val="24"/>
              </w:rPr>
              <w:t xml:space="preserve"> та </w:t>
            </w:r>
            <w:r w:rsidRPr="00E80D3A">
              <w:rPr>
                <w:color w:val="000000"/>
                <w:sz w:val="18"/>
                <w:szCs w:val="24"/>
              </w:rPr>
              <w:t>3.4</w:t>
            </w:r>
            <w:r w:rsidRPr="00E80D3A">
              <w:rPr>
                <w:b w:val="0"/>
                <w:color w:val="000000"/>
                <w:sz w:val="18"/>
                <w:szCs w:val="24"/>
              </w:rPr>
              <w:t xml:space="preserve"> вказано ті ж параметри для виявлення резистентності до RIF, INH та FQ відповідно. </w:t>
            </w:r>
            <w:r w:rsidRPr="00E80D3A">
              <w:rPr>
                <w:color w:val="000000"/>
                <w:sz w:val="18"/>
                <w:szCs w:val="24"/>
              </w:rPr>
              <w:t>У Таблицях 3.5</w:t>
            </w:r>
            <w:r w:rsidRPr="00E80D3A">
              <w:rPr>
                <w:b w:val="0"/>
                <w:color w:val="000000"/>
                <w:sz w:val="18"/>
                <w:szCs w:val="24"/>
              </w:rPr>
              <w:t xml:space="preserve"> та </w:t>
            </w:r>
            <w:r w:rsidRPr="00E80D3A">
              <w:rPr>
                <w:color w:val="000000"/>
                <w:sz w:val="18"/>
                <w:szCs w:val="24"/>
              </w:rPr>
              <w:t>3.6</w:t>
            </w:r>
            <w:r w:rsidRPr="00E80D3A">
              <w:rPr>
                <w:b w:val="0"/>
                <w:color w:val="000000"/>
                <w:sz w:val="18"/>
                <w:szCs w:val="24"/>
              </w:rPr>
              <w:t xml:space="preserve"> вказано параметри для виявлення резистентності до протитуберкульозних препаратів першої та другої лінії з використанням комплексних рішень та тестів в рамках цільового СНП. Чутливість тесту може бути нижчою для активного епідеміологічного обстеження в контексті скринінгу популяції, оскільки у таких осіб захворюваність та бацилярне навантаження нижче. Обираючи тест, необхідно враховувати можливі компроміси між вищою або нижчою чутливістю та вищою або нижчою специфічністю, залежно від поширеності ТБ у конкретній країні (</w:t>
            </w:r>
            <w:r w:rsidRPr="00E80D3A">
              <w:rPr>
                <w:color w:val="000000"/>
                <w:sz w:val="18"/>
                <w:szCs w:val="24"/>
              </w:rPr>
              <w:t>Вставка 3.1</w:t>
            </w:r>
            <w:r w:rsidRPr="00E80D3A">
              <w:rPr>
                <w:b w:val="0"/>
                <w:color w:val="000000"/>
                <w:sz w:val="18"/>
                <w:szCs w:val="24"/>
              </w:rPr>
              <w:t>). Хибнонегативні результати можуть затримати лікування ТБ, тоді як хибнопозитивні результати можуть призвести до надмірного лікування осіб без ТБ. У деяких умовах країнам, можливо, доведеться проводити додаткову роботу з моделювання для підтримки прийняття рішень щодо стратегій імплементації, зважаючи на компроміси між чутливістю та специфічністю в їхніх умовах.</w:t>
            </w:r>
          </w:p>
          <w:p w14:paraId="6CCB5169" w14:textId="77777777" w:rsidR="00366CB9" w:rsidRPr="00E80D3A" w:rsidRDefault="009D0C1D" w:rsidP="00C670F3">
            <w:pPr>
              <w:pStyle w:val="a6"/>
              <w:shd w:val="clear" w:color="auto" w:fill="auto"/>
              <w:spacing w:line="324" w:lineRule="auto"/>
              <w:jc w:val="both"/>
              <w:rPr>
                <w:sz w:val="18"/>
                <w:szCs w:val="24"/>
              </w:rPr>
            </w:pPr>
            <w:r w:rsidRPr="00E80D3A">
              <w:rPr>
                <w:b w:val="0"/>
                <w:color w:val="000000"/>
                <w:sz w:val="18"/>
                <w:szCs w:val="24"/>
              </w:rPr>
              <w:t>Крім географічної мінливості, відмінності у підходах до скринінгу на ТБ також можуть впливати на прогностичну цінність тестування на виявлення ТБ. Як правило, рішення про діагностику пацієнта з ТБ приймається відповідно до результатів оцінки симптомів та ознак ТБ. Однак у багатьох осіб з позитивним результатом посіву мокротиння на ТБ може не спостерігатись симптомів або спостерігатись надто незначні симптоми для того, щоб повідомляти про них, що призводить до затримки діагностики. Для покращення процесу виявлення випадків ТБ та виявлення осіб, які мають право на ПЛТ, ВООЗ оновила керівні принципи щодо скринінгу на ТБ (</w:t>
            </w:r>
            <w:hyperlink w:anchor="bookmark198" w:tooltip="Поточний документ">
              <w:r w:rsidR="00366CB9" w:rsidRPr="00E80D3A">
                <w:rPr>
                  <w:b w:val="0"/>
                  <w:color w:val="000000"/>
                  <w:sz w:val="18"/>
                  <w:szCs w:val="24"/>
                </w:rPr>
                <w:t>54</w:t>
              </w:r>
            </w:hyperlink>
            <w:r w:rsidRPr="00E80D3A">
              <w:rPr>
                <w:b w:val="0"/>
                <w:color w:val="000000"/>
                <w:sz w:val="18"/>
                <w:szCs w:val="24"/>
              </w:rPr>
              <w:t>). Для скринінгу на ТБ рекомендується кілька методів, включаючи скринінг за чотирма симптомами, РОГК (</w:t>
            </w:r>
            <w:r w:rsidRPr="00E80D3A">
              <w:rPr>
                <w:color w:val="000000"/>
                <w:sz w:val="18"/>
                <w:szCs w:val="24"/>
              </w:rPr>
              <w:t>Вставка 3.2</w:t>
            </w:r>
            <w:r w:rsidRPr="00E80D3A">
              <w:rPr>
                <w:b w:val="0"/>
                <w:color w:val="000000"/>
                <w:sz w:val="18"/>
                <w:szCs w:val="24"/>
              </w:rPr>
              <w:t>) та mWRD; для скринінгу людей, які живуть з ВІЛ, можна розглянути додаткове тестування у разі позитивного результату аналізу на С-реактивний білок (&gt; 5 мг/л).</w:t>
            </w:r>
          </w:p>
        </w:tc>
      </w:tr>
      <w:tr w:rsidR="002F0816" w14:paraId="77CDFF0E" w14:textId="77777777" w:rsidTr="00D74C3C">
        <w:trPr>
          <w:trHeight w:val="7519"/>
        </w:trPr>
        <w:tc>
          <w:tcPr>
            <w:tcW w:w="9241" w:type="dxa"/>
            <w:shd w:val="clear" w:color="auto" w:fill="FFFFFF"/>
          </w:tcPr>
          <w:p w14:paraId="2C669E27" w14:textId="74D34F3D" w:rsidR="002F0816" w:rsidRDefault="00D74C3C" w:rsidP="00C670F3">
            <w:pPr>
              <w:rPr>
                <w:sz w:val="2"/>
                <w:szCs w:val="2"/>
              </w:rPr>
            </w:pPr>
            <w:r>
              <w:rPr>
                <w:noProof/>
              </w:rPr>
              <mc:AlternateContent>
                <mc:Choice Requires="wps">
                  <w:drawing>
                    <wp:anchor distT="0" distB="0" distL="114300" distR="114300" simplePos="0" relativeHeight="251900928" behindDoc="0" locked="0" layoutInCell="1" allowOverlap="1" wp14:anchorId="78164BFF" wp14:editId="4294651E">
                      <wp:simplePos x="0" y="0"/>
                      <wp:positionH relativeFrom="column">
                        <wp:posOffset>256752</wp:posOffset>
                      </wp:positionH>
                      <wp:positionV relativeFrom="paragraph">
                        <wp:posOffset>1439545</wp:posOffset>
                      </wp:positionV>
                      <wp:extent cx="5430308" cy="3191933"/>
                      <wp:effectExtent l="0" t="0" r="0" b="8890"/>
                      <wp:wrapNone/>
                      <wp:docPr id="121780525" name="Прямокутник 3"/>
                      <wp:cNvGraphicFramePr/>
                      <a:graphic xmlns:a="http://schemas.openxmlformats.org/drawingml/2006/main">
                        <a:graphicData uri="http://schemas.microsoft.com/office/word/2010/wordprocessingShape">
                          <wps:wsp>
                            <wps:cNvSpPr/>
                            <wps:spPr>
                              <a:xfrm>
                                <a:off x="0" y="0"/>
                                <a:ext cx="5430308" cy="3191933"/>
                              </a:xfrm>
                              <a:prstGeom prst="rect">
                                <a:avLst/>
                              </a:prstGeom>
                              <a:solidFill>
                                <a:srgbClr val="C6E0CE"/>
                              </a:solidFill>
                            </wps:spPr>
                            <wps:txbx>
                              <w:txbxContent>
                                <w:tbl>
                                  <w:tblPr>
                                    <w:tblW w:w="8240" w:type="dxa"/>
                                    <w:tblCellMar>
                                      <w:left w:w="0" w:type="dxa"/>
                                      <w:right w:w="0" w:type="dxa"/>
                                    </w:tblCellMar>
                                    <w:tblLook w:val="0600" w:firstRow="0" w:lastRow="0" w:firstColumn="0" w:lastColumn="0" w:noHBand="1" w:noVBand="1"/>
                                  </w:tblPr>
                                  <w:tblGrid>
                                    <w:gridCol w:w="1347"/>
                                    <w:gridCol w:w="1139"/>
                                    <w:gridCol w:w="1885"/>
                                    <w:gridCol w:w="1860"/>
                                    <w:gridCol w:w="2009"/>
                                  </w:tblGrid>
                                  <w:tr w:rsidR="009D0C1D" w:rsidRPr="00E80D3A" w14:paraId="141F2D04" w14:textId="77777777" w:rsidTr="00D5595B">
                                    <w:trPr>
                                      <w:trHeight w:val="451"/>
                                    </w:trPr>
                                    <w:tc>
                                      <w:tcPr>
                                        <w:tcW w:w="2040" w:type="dxa"/>
                                        <w:gridSpan w:val="2"/>
                                        <w:vMerge w:val="restart"/>
                                        <w:tcBorders>
                                          <w:bottom w:val="single" w:sz="8" w:space="0" w:color="019648"/>
                                          <w:right w:val="single" w:sz="8" w:space="0" w:color="019648"/>
                                        </w:tcBorders>
                                        <w:shd w:val="clear" w:color="auto" w:fill="C5E0CD"/>
                                        <w:tcMar>
                                          <w:top w:w="15" w:type="dxa"/>
                                          <w:left w:w="15" w:type="dxa"/>
                                          <w:bottom w:w="0" w:type="dxa"/>
                                          <w:right w:w="15" w:type="dxa"/>
                                        </w:tcMar>
                                        <w:hideMark/>
                                      </w:tcPr>
                                      <w:p w14:paraId="414565F5" w14:textId="77777777" w:rsidR="009D0C1D" w:rsidRPr="00E80D3A" w:rsidRDefault="009D0C1D" w:rsidP="00D5595B">
                                        <w:pPr>
                                          <w:widowControl/>
                                          <w:rPr>
                                            <w:rFonts w:ascii="Times New Roman" w:eastAsia="Times New Roman" w:hAnsi="Times New Roman" w:cs="Times New Roman"/>
                                            <w:color w:val="auto"/>
                                            <w:sz w:val="22"/>
                                            <w:szCs w:val="22"/>
                                            <w:lang w:eastAsia="zh-CN" w:bidi="ar-SA"/>
                                          </w:rPr>
                                        </w:pPr>
                                      </w:p>
                                    </w:tc>
                                    <w:tc>
                                      <w:tcPr>
                                        <w:tcW w:w="3940" w:type="dxa"/>
                                        <w:gridSpan w:val="2"/>
                                        <w:tcBorders>
                                          <w:top w:val="single" w:sz="8" w:space="0" w:color="019648"/>
                                          <w:left w:val="single" w:sz="8" w:space="0" w:color="019648"/>
                                          <w:bottom w:val="single" w:sz="8" w:space="0" w:color="019648"/>
                                          <w:right w:val="single" w:sz="8" w:space="0" w:color="019648"/>
                                        </w:tcBorders>
                                        <w:shd w:val="clear" w:color="auto" w:fill="62A86A"/>
                                        <w:tcMar>
                                          <w:top w:w="15" w:type="dxa"/>
                                          <w:left w:w="15" w:type="dxa"/>
                                          <w:bottom w:w="0" w:type="dxa"/>
                                          <w:right w:w="15" w:type="dxa"/>
                                        </w:tcMar>
                                        <w:hideMark/>
                                      </w:tcPr>
                                      <w:p w14:paraId="1E653CAD" w14:textId="77777777" w:rsidR="009D0C1D" w:rsidRPr="00E80D3A" w:rsidRDefault="009D0C1D" w:rsidP="00D5595B">
                                        <w:pPr>
                                          <w:widowControl/>
                                          <w:spacing w:before="70"/>
                                          <w:jc w:val="center"/>
                                          <w:rPr>
                                            <w:rFonts w:eastAsia="Times New Roman"/>
                                            <w:b/>
                                            <w:bCs/>
                                            <w:color w:val="auto"/>
                                            <w:sz w:val="32"/>
                                            <w:szCs w:val="32"/>
                                          </w:rPr>
                                        </w:pPr>
                                        <w:r w:rsidRPr="00E80D3A">
                                          <w:rPr>
                                            <w:b/>
                                            <w:color w:val="FFFFFF"/>
                                            <w:sz w:val="18"/>
                                            <w:szCs w:val="22"/>
                                          </w:rPr>
                                          <w:t>Результат еталонного тесту</w:t>
                                        </w:r>
                                      </w:p>
                                    </w:tc>
                                    <w:tc>
                                      <w:tcPr>
                                        <w:tcW w:w="2260" w:type="dxa"/>
                                        <w:vMerge w:val="restart"/>
                                        <w:tcBorders>
                                          <w:left w:val="single" w:sz="8" w:space="0" w:color="019648"/>
                                          <w:bottom w:val="single" w:sz="8" w:space="0" w:color="019648"/>
                                        </w:tcBorders>
                                        <w:shd w:val="clear" w:color="auto" w:fill="C5E0CD"/>
                                        <w:tcMar>
                                          <w:top w:w="15" w:type="dxa"/>
                                          <w:left w:w="15" w:type="dxa"/>
                                          <w:bottom w:w="0" w:type="dxa"/>
                                          <w:right w:w="15" w:type="dxa"/>
                                        </w:tcMar>
                                        <w:hideMark/>
                                      </w:tcPr>
                                      <w:p w14:paraId="2CD57611" w14:textId="77777777" w:rsidR="009D0C1D" w:rsidRPr="00E80D3A" w:rsidRDefault="009D0C1D" w:rsidP="00D5595B">
                                        <w:pPr>
                                          <w:widowControl/>
                                          <w:rPr>
                                            <w:rFonts w:eastAsia="Times New Roman"/>
                                            <w:color w:val="auto"/>
                                            <w:sz w:val="32"/>
                                            <w:szCs w:val="32"/>
                                            <w:lang w:eastAsia="zh-CN" w:bidi="ar-SA"/>
                                          </w:rPr>
                                        </w:pPr>
                                      </w:p>
                                    </w:tc>
                                  </w:tr>
                                  <w:tr w:rsidR="009D0C1D" w:rsidRPr="00E80D3A" w14:paraId="6056A06E" w14:textId="77777777" w:rsidTr="00D5595B">
                                    <w:trPr>
                                      <w:trHeight w:val="456"/>
                                    </w:trPr>
                                    <w:tc>
                                      <w:tcPr>
                                        <w:tcW w:w="0" w:type="auto"/>
                                        <w:gridSpan w:val="2"/>
                                        <w:vMerge/>
                                        <w:tcBorders>
                                          <w:top w:val="single" w:sz="8" w:space="0" w:color="019648"/>
                                          <w:bottom w:val="single" w:sz="8" w:space="0" w:color="019648"/>
                                          <w:right w:val="single" w:sz="8" w:space="0" w:color="019648"/>
                                        </w:tcBorders>
                                        <w:vAlign w:val="center"/>
                                        <w:hideMark/>
                                      </w:tcPr>
                                      <w:p w14:paraId="0B0EA6D5" w14:textId="77777777" w:rsidR="009D0C1D" w:rsidRPr="00E80D3A" w:rsidRDefault="009D0C1D" w:rsidP="00D5595B">
                                        <w:pPr>
                                          <w:widowControl/>
                                          <w:rPr>
                                            <w:rFonts w:ascii="Times New Roman" w:eastAsia="Times New Roman" w:hAnsi="Times New Roman" w:cs="Times New Roman"/>
                                            <w:color w:val="auto"/>
                                            <w:sz w:val="22"/>
                                            <w:szCs w:val="22"/>
                                            <w:lang w:eastAsia="zh-CN" w:bidi="ar-SA"/>
                                          </w:rPr>
                                        </w:pPr>
                                      </w:p>
                                    </w:tc>
                                    <w:tc>
                                      <w:tcPr>
                                        <w:tcW w:w="1960" w:type="dxa"/>
                                        <w:tcBorders>
                                          <w:top w:val="single" w:sz="8" w:space="0" w:color="019648"/>
                                          <w:left w:val="single" w:sz="8" w:space="0" w:color="019648"/>
                                          <w:bottom w:val="single" w:sz="8" w:space="0" w:color="019648"/>
                                          <w:right w:val="single" w:sz="8" w:space="0" w:color="019648"/>
                                        </w:tcBorders>
                                        <w:shd w:val="clear" w:color="auto" w:fill="9FC39D"/>
                                        <w:tcMar>
                                          <w:top w:w="15" w:type="dxa"/>
                                          <w:left w:w="15" w:type="dxa"/>
                                          <w:bottom w:w="0" w:type="dxa"/>
                                          <w:right w:w="15" w:type="dxa"/>
                                        </w:tcMar>
                                        <w:hideMark/>
                                      </w:tcPr>
                                      <w:p w14:paraId="4C22EB95" w14:textId="77777777" w:rsidR="009D0C1D" w:rsidRPr="00E80D3A" w:rsidRDefault="009D0C1D" w:rsidP="00D5595B">
                                        <w:pPr>
                                          <w:widowControl/>
                                          <w:spacing w:before="70"/>
                                          <w:jc w:val="center"/>
                                          <w:rPr>
                                            <w:rFonts w:eastAsia="Times New Roman"/>
                                            <w:color w:val="auto"/>
                                            <w:sz w:val="32"/>
                                            <w:szCs w:val="32"/>
                                          </w:rPr>
                                        </w:pPr>
                                        <w:r w:rsidRPr="00E80D3A">
                                          <w:rPr>
                                            <w:sz w:val="20"/>
                                            <w:szCs w:val="22"/>
                                          </w:rPr>
                                          <w:t>Позитивний</w:t>
                                        </w:r>
                                      </w:p>
                                    </w:tc>
                                    <w:tc>
                                      <w:tcPr>
                                        <w:tcW w:w="1960" w:type="dxa"/>
                                        <w:tcBorders>
                                          <w:top w:val="single" w:sz="8" w:space="0" w:color="019648"/>
                                          <w:left w:val="single" w:sz="8" w:space="0" w:color="019648"/>
                                          <w:bottom w:val="single" w:sz="8" w:space="0" w:color="019648"/>
                                          <w:right w:val="single" w:sz="8" w:space="0" w:color="019648"/>
                                        </w:tcBorders>
                                        <w:shd w:val="clear" w:color="auto" w:fill="9FC39D"/>
                                        <w:tcMar>
                                          <w:top w:w="15" w:type="dxa"/>
                                          <w:left w:w="15" w:type="dxa"/>
                                          <w:bottom w:w="0" w:type="dxa"/>
                                          <w:right w:w="15" w:type="dxa"/>
                                        </w:tcMar>
                                        <w:hideMark/>
                                      </w:tcPr>
                                      <w:p w14:paraId="72B4816D" w14:textId="77777777" w:rsidR="009D0C1D" w:rsidRPr="00E80D3A" w:rsidRDefault="009D0C1D" w:rsidP="00D5595B">
                                        <w:pPr>
                                          <w:widowControl/>
                                          <w:spacing w:before="70"/>
                                          <w:jc w:val="center"/>
                                          <w:rPr>
                                            <w:rFonts w:eastAsia="Times New Roman"/>
                                            <w:color w:val="auto"/>
                                            <w:sz w:val="32"/>
                                            <w:szCs w:val="32"/>
                                          </w:rPr>
                                        </w:pPr>
                                        <w:r w:rsidRPr="00E80D3A">
                                          <w:rPr>
                                            <w:sz w:val="20"/>
                                            <w:szCs w:val="22"/>
                                          </w:rPr>
                                          <w:t>Негативний</w:t>
                                        </w:r>
                                      </w:p>
                                    </w:tc>
                                    <w:tc>
                                      <w:tcPr>
                                        <w:tcW w:w="0" w:type="auto"/>
                                        <w:vMerge/>
                                        <w:tcBorders>
                                          <w:top w:val="single" w:sz="8" w:space="0" w:color="019648"/>
                                          <w:left w:val="single" w:sz="8" w:space="0" w:color="019648"/>
                                          <w:bottom w:val="single" w:sz="8" w:space="0" w:color="019648"/>
                                        </w:tcBorders>
                                        <w:vAlign w:val="center"/>
                                        <w:hideMark/>
                                      </w:tcPr>
                                      <w:p w14:paraId="11D62BAF" w14:textId="77777777" w:rsidR="009D0C1D" w:rsidRPr="00E80D3A" w:rsidRDefault="009D0C1D" w:rsidP="00D5595B">
                                        <w:pPr>
                                          <w:widowControl/>
                                          <w:rPr>
                                            <w:rFonts w:eastAsia="Times New Roman"/>
                                            <w:color w:val="auto"/>
                                            <w:sz w:val="32"/>
                                            <w:szCs w:val="32"/>
                                            <w:lang w:eastAsia="zh-CN" w:bidi="ar-SA"/>
                                          </w:rPr>
                                        </w:pPr>
                                      </w:p>
                                    </w:tc>
                                  </w:tr>
                                  <w:tr w:rsidR="009D0C1D" w:rsidRPr="00E80D3A" w14:paraId="4E2ABFBB" w14:textId="77777777" w:rsidTr="00D74C3C">
                                    <w:trPr>
                                      <w:trHeight w:val="970"/>
                                    </w:trPr>
                                    <w:tc>
                                      <w:tcPr>
                                        <w:tcW w:w="860" w:type="dxa"/>
                                        <w:vMerge w:val="restart"/>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76557D37" w14:textId="77777777" w:rsidR="009D0C1D" w:rsidRPr="00E80D3A" w:rsidRDefault="009D0C1D" w:rsidP="00D5595B">
                                        <w:pPr>
                                          <w:widowControl/>
                                          <w:spacing w:before="70" w:line="271" w:lineRule="auto"/>
                                          <w:jc w:val="center"/>
                                          <w:rPr>
                                            <w:rFonts w:eastAsia="Times New Roman"/>
                                            <w:color w:val="auto"/>
                                            <w:sz w:val="32"/>
                                            <w:szCs w:val="32"/>
                                          </w:rPr>
                                        </w:pPr>
                                        <w:r w:rsidRPr="00E80D3A">
                                          <w:rPr>
                                            <w:sz w:val="18"/>
                                            <w:szCs w:val="22"/>
                                          </w:rPr>
                                          <w:t>Результат досліджуваного діагностичного тесту</w:t>
                                        </w:r>
                                      </w:p>
                                    </w:tc>
                                    <w:tc>
                                      <w:tcPr>
                                        <w:tcW w:w="118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48B19E57" w14:textId="77777777" w:rsidR="009D0C1D" w:rsidRPr="00E80D3A" w:rsidRDefault="009D0C1D" w:rsidP="00D74C3C">
                                        <w:pPr>
                                          <w:widowControl/>
                                          <w:spacing w:before="70"/>
                                          <w:rPr>
                                            <w:rFonts w:eastAsia="Times New Roman"/>
                                            <w:color w:val="auto"/>
                                            <w:sz w:val="32"/>
                                            <w:szCs w:val="32"/>
                                          </w:rPr>
                                        </w:pPr>
                                        <w:r w:rsidRPr="00E80D3A">
                                          <w:rPr>
                                            <w:sz w:val="18"/>
                                            <w:szCs w:val="22"/>
                                          </w:rPr>
                                          <w:t>Позитивний</w:t>
                                        </w:r>
                                      </w:p>
                                    </w:tc>
                                    <w:tc>
                                      <w:tcPr>
                                        <w:tcW w:w="19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61145714" w14:textId="77777777" w:rsidR="009D0C1D" w:rsidRPr="00E80D3A" w:rsidRDefault="009D0C1D" w:rsidP="00D74C3C">
                                        <w:pPr>
                                          <w:widowControl/>
                                          <w:spacing w:before="70"/>
                                          <w:ind w:right="214"/>
                                          <w:rPr>
                                            <w:rFonts w:eastAsia="Times New Roman"/>
                                            <w:color w:val="auto"/>
                                            <w:sz w:val="32"/>
                                            <w:szCs w:val="32"/>
                                          </w:rPr>
                                        </w:pPr>
                                        <w:r w:rsidRPr="00E80D3A">
                                          <w:rPr>
                                            <w:sz w:val="18"/>
                                            <w:szCs w:val="22"/>
                                          </w:rPr>
                                          <w:t>Істинно позитивний (ІП)</w:t>
                                        </w:r>
                                      </w:p>
                                    </w:tc>
                                    <w:tc>
                                      <w:tcPr>
                                        <w:tcW w:w="19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645D948C" w14:textId="77777777" w:rsidR="009D0C1D" w:rsidRPr="00E80D3A" w:rsidRDefault="009D0C1D" w:rsidP="00D74C3C">
                                        <w:pPr>
                                          <w:widowControl/>
                                          <w:spacing w:before="70"/>
                                          <w:rPr>
                                            <w:rFonts w:eastAsia="Times New Roman"/>
                                            <w:color w:val="auto"/>
                                            <w:sz w:val="32"/>
                                            <w:szCs w:val="32"/>
                                          </w:rPr>
                                        </w:pPr>
                                        <w:r w:rsidRPr="00E80D3A">
                                          <w:rPr>
                                            <w:sz w:val="18"/>
                                            <w:szCs w:val="22"/>
                                          </w:rPr>
                                          <w:t>Хибнопозитивний (ХП)</w:t>
                                        </w:r>
                                      </w:p>
                                    </w:tc>
                                    <w:tc>
                                      <w:tcPr>
                                        <w:tcW w:w="22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7518A97B" w14:textId="77777777" w:rsidR="009D0C1D" w:rsidRPr="00E80D3A" w:rsidRDefault="009D0C1D" w:rsidP="00D5595B">
                                        <w:pPr>
                                          <w:widowControl/>
                                          <w:spacing w:before="70" w:line="276" w:lineRule="auto"/>
                                          <w:jc w:val="center"/>
                                          <w:rPr>
                                            <w:rFonts w:eastAsia="Times New Roman"/>
                                            <w:color w:val="auto"/>
                                            <w:sz w:val="32"/>
                                            <w:szCs w:val="32"/>
                                          </w:rPr>
                                        </w:pPr>
                                        <w:r w:rsidRPr="00E80D3A">
                                          <w:rPr>
                                            <w:b/>
                                            <w:sz w:val="18"/>
                                            <w:szCs w:val="22"/>
                                          </w:rPr>
                                          <w:t>Прогностична цінність позитивного результату</w:t>
                                        </w:r>
                                        <w:r w:rsidRPr="00E80D3A">
                                          <w:rPr>
                                            <w:sz w:val="18"/>
                                            <w:szCs w:val="22"/>
                                          </w:rPr>
                                          <w:t xml:space="preserve"> = ІП/(ІП + ХП)</w:t>
                                        </w:r>
                                      </w:p>
                                    </w:tc>
                                  </w:tr>
                                  <w:tr w:rsidR="009D0C1D" w:rsidRPr="00E80D3A" w14:paraId="3D5E3D81" w14:textId="77777777" w:rsidTr="00D74C3C">
                                    <w:trPr>
                                      <w:trHeight w:val="970"/>
                                    </w:trPr>
                                    <w:tc>
                                      <w:tcPr>
                                        <w:tcW w:w="0" w:type="auto"/>
                                        <w:vMerge/>
                                        <w:tcBorders>
                                          <w:top w:val="single" w:sz="8" w:space="0" w:color="019648"/>
                                          <w:left w:val="single" w:sz="8" w:space="0" w:color="019648"/>
                                          <w:bottom w:val="single" w:sz="8" w:space="0" w:color="019648"/>
                                          <w:right w:val="single" w:sz="8" w:space="0" w:color="019648"/>
                                        </w:tcBorders>
                                        <w:vAlign w:val="center"/>
                                        <w:hideMark/>
                                      </w:tcPr>
                                      <w:p w14:paraId="590A4013" w14:textId="77777777" w:rsidR="009D0C1D" w:rsidRPr="00E80D3A" w:rsidRDefault="009D0C1D" w:rsidP="00D5595B">
                                        <w:pPr>
                                          <w:widowControl/>
                                          <w:rPr>
                                            <w:rFonts w:eastAsia="Times New Roman"/>
                                            <w:color w:val="auto"/>
                                            <w:sz w:val="32"/>
                                            <w:szCs w:val="32"/>
                                            <w:lang w:eastAsia="zh-CN" w:bidi="ar-SA"/>
                                          </w:rPr>
                                        </w:pPr>
                                      </w:p>
                                    </w:tc>
                                    <w:tc>
                                      <w:tcPr>
                                        <w:tcW w:w="118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7948FC41" w14:textId="77777777" w:rsidR="009D0C1D" w:rsidRPr="00E80D3A" w:rsidRDefault="009D0C1D" w:rsidP="00D74C3C">
                                        <w:pPr>
                                          <w:widowControl/>
                                          <w:spacing w:before="70"/>
                                          <w:rPr>
                                            <w:rFonts w:eastAsia="Times New Roman"/>
                                            <w:color w:val="auto"/>
                                            <w:sz w:val="32"/>
                                            <w:szCs w:val="32"/>
                                          </w:rPr>
                                        </w:pPr>
                                        <w:r w:rsidRPr="00E80D3A">
                                          <w:rPr>
                                            <w:sz w:val="18"/>
                                            <w:szCs w:val="22"/>
                                          </w:rPr>
                                          <w:t>Негативний</w:t>
                                        </w:r>
                                      </w:p>
                                    </w:tc>
                                    <w:tc>
                                      <w:tcPr>
                                        <w:tcW w:w="19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00024446" w14:textId="77777777" w:rsidR="009D0C1D" w:rsidRPr="00E80D3A" w:rsidRDefault="009D0C1D" w:rsidP="00D74C3C">
                                        <w:pPr>
                                          <w:widowControl/>
                                          <w:spacing w:before="70"/>
                                          <w:ind w:left="170"/>
                                          <w:rPr>
                                            <w:rFonts w:eastAsia="Times New Roman"/>
                                            <w:color w:val="auto"/>
                                            <w:sz w:val="32"/>
                                            <w:szCs w:val="32"/>
                                          </w:rPr>
                                        </w:pPr>
                                        <w:r w:rsidRPr="00E80D3A">
                                          <w:rPr>
                                            <w:sz w:val="18"/>
                                            <w:szCs w:val="22"/>
                                          </w:rPr>
                                          <w:t>Хибнонегативний (ХН)</w:t>
                                        </w:r>
                                      </w:p>
                                    </w:tc>
                                    <w:tc>
                                      <w:tcPr>
                                        <w:tcW w:w="19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7201F23D" w14:textId="77777777" w:rsidR="009D0C1D" w:rsidRPr="00E80D3A" w:rsidRDefault="009D0C1D" w:rsidP="00D74C3C">
                                        <w:pPr>
                                          <w:widowControl/>
                                          <w:spacing w:before="70"/>
                                          <w:rPr>
                                            <w:rFonts w:eastAsia="Times New Roman"/>
                                            <w:color w:val="auto"/>
                                            <w:sz w:val="32"/>
                                            <w:szCs w:val="32"/>
                                          </w:rPr>
                                        </w:pPr>
                                        <w:r w:rsidRPr="00E80D3A">
                                          <w:rPr>
                                            <w:sz w:val="18"/>
                                            <w:szCs w:val="22"/>
                                          </w:rPr>
                                          <w:t>Істинно негативний (ІН)</w:t>
                                        </w:r>
                                      </w:p>
                                    </w:tc>
                                    <w:tc>
                                      <w:tcPr>
                                        <w:tcW w:w="22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4FB712EF" w14:textId="77777777" w:rsidR="009D0C1D" w:rsidRPr="00E80D3A" w:rsidRDefault="009D0C1D" w:rsidP="00D5595B">
                                        <w:pPr>
                                          <w:widowControl/>
                                          <w:spacing w:before="70" w:line="271" w:lineRule="auto"/>
                                          <w:jc w:val="center"/>
                                          <w:rPr>
                                            <w:rFonts w:eastAsia="Times New Roman"/>
                                            <w:color w:val="auto"/>
                                            <w:sz w:val="32"/>
                                            <w:szCs w:val="32"/>
                                          </w:rPr>
                                        </w:pPr>
                                        <w:r w:rsidRPr="00E80D3A">
                                          <w:rPr>
                                            <w:b/>
                                            <w:sz w:val="18"/>
                                            <w:szCs w:val="22"/>
                                          </w:rPr>
                                          <w:t>Прогностична цінність негативного результату</w:t>
                                        </w:r>
                                        <w:r w:rsidRPr="00E80D3A">
                                          <w:rPr>
                                            <w:sz w:val="18"/>
                                            <w:szCs w:val="22"/>
                                          </w:rPr>
                                          <w:t xml:space="preserve"> = ІН/(ХН + ІН)</w:t>
                                        </w:r>
                                      </w:p>
                                    </w:tc>
                                  </w:tr>
                                  <w:tr w:rsidR="009D0C1D" w:rsidRPr="00E80D3A" w14:paraId="30EE7C58" w14:textId="77777777" w:rsidTr="00D5595B">
                                    <w:trPr>
                                      <w:trHeight w:val="710"/>
                                    </w:trPr>
                                    <w:tc>
                                      <w:tcPr>
                                        <w:tcW w:w="2040" w:type="dxa"/>
                                        <w:gridSpan w:val="2"/>
                                        <w:tcBorders>
                                          <w:top w:val="single" w:sz="8" w:space="0" w:color="019648"/>
                                          <w:right w:val="single" w:sz="8" w:space="0" w:color="019648"/>
                                        </w:tcBorders>
                                        <w:shd w:val="clear" w:color="auto" w:fill="C5E0CD"/>
                                        <w:tcMar>
                                          <w:top w:w="15" w:type="dxa"/>
                                          <w:left w:w="15" w:type="dxa"/>
                                          <w:bottom w:w="0" w:type="dxa"/>
                                          <w:right w:w="15" w:type="dxa"/>
                                        </w:tcMar>
                                        <w:hideMark/>
                                      </w:tcPr>
                                      <w:p w14:paraId="636A602B" w14:textId="77777777" w:rsidR="009D0C1D" w:rsidRPr="00E80D3A" w:rsidRDefault="009D0C1D" w:rsidP="00D5595B">
                                        <w:pPr>
                                          <w:widowControl/>
                                          <w:rPr>
                                            <w:rFonts w:eastAsia="Times New Roman"/>
                                            <w:color w:val="auto"/>
                                            <w:sz w:val="32"/>
                                            <w:szCs w:val="32"/>
                                            <w:lang w:eastAsia="zh-CN" w:bidi="ar-SA"/>
                                          </w:rPr>
                                        </w:pPr>
                                      </w:p>
                                    </w:tc>
                                    <w:tc>
                                      <w:tcPr>
                                        <w:tcW w:w="19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02F83774" w14:textId="77777777" w:rsidR="009D0C1D" w:rsidRPr="00E80D3A" w:rsidRDefault="009D0C1D" w:rsidP="00D74C3C">
                                        <w:pPr>
                                          <w:widowControl/>
                                          <w:spacing w:before="70" w:line="271" w:lineRule="auto"/>
                                          <w:jc w:val="center"/>
                                          <w:rPr>
                                            <w:rFonts w:eastAsia="Times New Roman"/>
                                            <w:color w:val="auto"/>
                                            <w:sz w:val="32"/>
                                            <w:szCs w:val="32"/>
                                          </w:rPr>
                                        </w:pPr>
                                        <w:r w:rsidRPr="00E80D3A">
                                          <w:rPr>
                                            <w:b/>
                                            <w:sz w:val="18"/>
                                            <w:szCs w:val="22"/>
                                          </w:rPr>
                                          <w:t xml:space="preserve">Чутливість </w:t>
                                        </w:r>
                                        <w:r w:rsidRPr="00E80D3A">
                                          <w:rPr>
                                            <w:sz w:val="18"/>
                                            <w:szCs w:val="22"/>
                                          </w:rPr>
                                          <w:t>= ІП/(ІП + ІН)</w:t>
                                        </w:r>
                                      </w:p>
                                    </w:tc>
                                    <w:tc>
                                      <w:tcPr>
                                        <w:tcW w:w="19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07740ADA" w14:textId="77777777" w:rsidR="009D0C1D" w:rsidRPr="00E80D3A" w:rsidRDefault="009D0C1D" w:rsidP="00D74C3C">
                                        <w:pPr>
                                          <w:widowControl/>
                                          <w:spacing w:before="70" w:line="266" w:lineRule="auto"/>
                                          <w:jc w:val="center"/>
                                          <w:rPr>
                                            <w:rFonts w:eastAsia="Times New Roman"/>
                                            <w:color w:val="auto"/>
                                            <w:sz w:val="32"/>
                                            <w:szCs w:val="32"/>
                                          </w:rPr>
                                        </w:pPr>
                                        <w:r w:rsidRPr="00E80D3A">
                                          <w:rPr>
                                            <w:b/>
                                            <w:sz w:val="18"/>
                                            <w:szCs w:val="22"/>
                                          </w:rPr>
                                          <w:t xml:space="preserve">Специфічність </w:t>
                                        </w:r>
                                        <w:r w:rsidRPr="00E80D3A">
                                          <w:rPr>
                                            <w:sz w:val="18"/>
                                            <w:szCs w:val="22"/>
                                          </w:rPr>
                                          <w:t>= ІН/(ХП + ІН)</w:t>
                                        </w:r>
                                      </w:p>
                                    </w:tc>
                                    <w:tc>
                                      <w:tcPr>
                                        <w:tcW w:w="2260" w:type="dxa"/>
                                        <w:tcBorders>
                                          <w:top w:val="single" w:sz="8" w:space="0" w:color="019648"/>
                                          <w:left w:val="single" w:sz="8" w:space="0" w:color="019648"/>
                                        </w:tcBorders>
                                        <w:shd w:val="clear" w:color="auto" w:fill="C5E0CD"/>
                                        <w:tcMar>
                                          <w:top w:w="15" w:type="dxa"/>
                                          <w:left w:w="15" w:type="dxa"/>
                                          <w:bottom w:w="0" w:type="dxa"/>
                                          <w:right w:w="15" w:type="dxa"/>
                                        </w:tcMar>
                                        <w:hideMark/>
                                      </w:tcPr>
                                      <w:p w14:paraId="09D0F909" w14:textId="77777777" w:rsidR="009D0C1D" w:rsidRPr="00E80D3A" w:rsidRDefault="009D0C1D" w:rsidP="00D5595B">
                                        <w:pPr>
                                          <w:widowControl/>
                                          <w:rPr>
                                            <w:rFonts w:eastAsia="Times New Roman"/>
                                            <w:color w:val="auto"/>
                                            <w:sz w:val="32"/>
                                            <w:szCs w:val="32"/>
                                            <w:lang w:eastAsia="zh-CN" w:bidi="ar-SA"/>
                                          </w:rPr>
                                        </w:pPr>
                                      </w:p>
                                    </w:tc>
                                  </w:tr>
                                </w:tbl>
                                <w:p w14:paraId="1D2CF13C" w14:textId="43FFA40D" w:rsidR="009D0C1D" w:rsidRPr="00E80D3A" w:rsidRDefault="009D0C1D" w:rsidP="00D5595B">
                                  <w:pPr>
                                    <w:spacing w:line="17" w:lineRule="auto"/>
                                    <w:rPr>
                                      <w:rFonts w:eastAsia="+mn-ea" w:cs="+mn-cs"/>
                                      <w:kern w:val="24"/>
                                      <w:sz w:val="18"/>
                                      <w:szCs w:val="18"/>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8164BFF" id="_x0000_s1152" style="position:absolute;margin-left:20.2pt;margin-top:113.35pt;width:427.6pt;height:251.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" fillcolor="#c6e0ce" stroked="f">
                      <v:textbox inset="0,0,0,0">
                        <w:txbxContent>
                          <w:tbl>
                            <w:tblPr>
                              <w:tblW w:w="8240" w:type="dxa"/>
                              <w:tblCellMar>
                                <w:left w:w="0" w:type="dxa"/>
                                <w:right w:w="0" w:type="dxa"/>
                              </w:tblCellMar>
                              <w:tblLook w:val="0600" w:firstRow="0" w:lastRow="0" w:firstColumn="0" w:lastColumn="0" w:noHBand="1" w:noVBand="1"/>
                            </w:tblPr>
                            <w:tblGrid>
                              <w:gridCol w:w="1347"/>
                              <w:gridCol w:w="1139"/>
                              <w:gridCol w:w="1885"/>
                              <w:gridCol w:w="1860"/>
                              <w:gridCol w:w="2009"/>
                            </w:tblGrid>
                            <w:tr w:rsidR="009D0C1D" w:rsidRPr="00E80D3A" w14:paraId="141F2D04" w14:textId="77777777" w:rsidTr="00D5595B">
                              <w:trPr>
                                <w:trHeight w:val="451"/>
                              </w:trPr>
                              <w:tc>
                                <w:tcPr>
                                  <w:tcW w:w="2040" w:type="dxa"/>
                                  <w:gridSpan w:val="2"/>
                                  <w:vMerge w:val="restart"/>
                                  <w:tcBorders>
                                    <w:bottom w:val="single" w:sz="8" w:space="0" w:color="019648"/>
                                    <w:right w:val="single" w:sz="8" w:space="0" w:color="019648"/>
                                  </w:tcBorders>
                                  <w:shd w:val="clear" w:color="auto" w:fill="C5E0CD"/>
                                  <w:tcMar>
                                    <w:top w:w="15" w:type="dxa"/>
                                    <w:left w:w="15" w:type="dxa"/>
                                    <w:bottom w:w="0" w:type="dxa"/>
                                    <w:right w:w="15" w:type="dxa"/>
                                  </w:tcMar>
                                  <w:hideMark/>
                                </w:tcPr>
                                <w:p w14:paraId="414565F5" w14:textId="77777777" w:rsidR="009D0C1D" w:rsidRPr="00E80D3A" w:rsidRDefault="009D0C1D" w:rsidP="00D5595B">
                                  <w:pPr>
                                    <w:widowControl/>
                                    <w:rPr>
                                      <w:rFonts w:ascii="Times New Roman" w:eastAsia="Times New Roman" w:hAnsi="Times New Roman" w:cs="Times New Roman"/>
                                      <w:color w:val="auto"/>
                                      <w:sz w:val="22"/>
                                      <w:szCs w:val="22"/>
                                      <w:lang w:eastAsia="zh-CN" w:bidi="ar-SA"/>
                                    </w:rPr>
                                  </w:pPr>
                                </w:p>
                              </w:tc>
                              <w:tc>
                                <w:tcPr>
                                  <w:tcW w:w="3940" w:type="dxa"/>
                                  <w:gridSpan w:val="2"/>
                                  <w:tcBorders>
                                    <w:top w:val="single" w:sz="8" w:space="0" w:color="019648"/>
                                    <w:left w:val="single" w:sz="8" w:space="0" w:color="019648"/>
                                    <w:bottom w:val="single" w:sz="8" w:space="0" w:color="019648"/>
                                    <w:right w:val="single" w:sz="8" w:space="0" w:color="019648"/>
                                  </w:tcBorders>
                                  <w:shd w:val="clear" w:color="auto" w:fill="62A86A"/>
                                  <w:tcMar>
                                    <w:top w:w="15" w:type="dxa"/>
                                    <w:left w:w="15" w:type="dxa"/>
                                    <w:bottom w:w="0" w:type="dxa"/>
                                    <w:right w:w="15" w:type="dxa"/>
                                  </w:tcMar>
                                  <w:hideMark/>
                                </w:tcPr>
                                <w:p w14:paraId="1E653CAD" w14:textId="77777777" w:rsidR="009D0C1D" w:rsidRPr="00E80D3A" w:rsidRDefault="009D0C1D" w:rsidP="00D5595B">
                                  <w:pPr>
                                    <w:widowControl/>
                                    <w:spacing w:before="70"/>
                                    <w:jc w:val="center"/>
                                    <w:rPr>
                                      <w:rFonts w:eastAsia="Times New Roman"/>
                                      <w:b/>
                                      <w:bCs/>
                                      <w:color w:val="auto"/>
                                      <w:sz w:val="32"/>
                                      <w:szCs w:val="32"/>
                                    </w:rPr>
                                  </w:pPr>
                                  <w:r w:rsidRPr="00E80D3A">
                                    <w:rPr>
                                      <w:b/>
                                      <w:color w:val="FFFFFF"/>
                                      <w:sz w:val="18"/>
                                      <w:szCs w:val="22"/>
                                    </w:rPr>
                                    <w:t>Результат еталонного тесту</w:t>
                                  </w:r>
                                </w:p>
                              </w:tc>
                              <w:tc>
                                <w:tcPr>
                                  <w:tcW w:w="2260" w:type="dxa"/>
                                  <w:vMerge w:val="restart"/>
                                  <w:tcBorders>
                                    <w:left w:val="single" w:sz="8" w:space="0" w:color="019648"/>
                                    <w:bottom w:val="single" w:sz="8" w:space="0" w:color="019648"/>
                                  </w:tcBorders>
                                  <w:shd w:val="clear" w:color="auto" w:fill="C5E0CD"/>
                                  <w:tcMar>
                                    <w:top w:w="15" w:type="dxa"/>
                                    <w:left w:w="15" w:type="dxa"/>
                                    <w:bottom w:w="0" w:type="dxa"/>
                                    <w:right w:w="15" w:type="dxa"/>
                                  </w:tcMar>
                                  <w:hideMark/>
                                </w:tcPr>
                                <w:p w14:paraId="2CD57611" w14:textId="77777777" w:rsidR="009D0C1D" w:rsidRPr="00E80D3A" w:rsidRDefault="009D0C1D" w:rsidP="00D5595B">
                                  <w:pPr>
                                    <w:widowControl/>
                                    <w:rPr>
                                      <w:rFonts w:eastAsia="Times New Roman"/>
                                      <w:color w:val="auto"/>
                                      <w:sz w:val="32"/>
                                      <w:szCs w:val="32"/>
                                      <w:lang w:eastAsia="zh-CN" w:bidi="ar-SA"/>
                                    </w:rPr>
                                  </w:pPr>
                                </w:p>
                              </w:tc>
                            </w:tr>
                            <w:tr w:rsidR="009D0C1D" w:rsidRPr="00E80D3A" w14:paraId="6056A06E" w14:textId="77777777" w:rsidTr="00D5595B">
                              <w:trPr>
                                <w:trHeight w:val="456"/>
                              </w:trPr>
                              <w:tc>
                                <w:tcPr>
                                  <w:tcW w:w="0" w:type="auto"/>
                                  <w:gridSpan w:val="2"/>
                                  <w:vMerge/>
                                  <w:tcBorders>
                                    <w:top w:val="single" w:sz="8" w:space="0" w:color="019648"/>
                                    <w:bottom w:val="single" w:sz="8" w:space="0" w:color="019648"/>
                                    <w:right w:val="single" w:sz="8" w:space="0" w:color="019648"/>
                                  </w:tcBorders>
                                  <w:vAlign w:val="center"/>
                                  <w:hideMark/>
                                </w:tcPr>
                                <w:p w14:paraId="0B0EA6D5" w14:textId="77777777" w:rsidR="009D0C1D" w:rsidRPr="00E80D3A" w:rsidRDefault="009D0C1D" w:rsidP="00D5595B">
                                  <w:pPr>
                                    <w:widowControl/>
                                    <w:rPr>
                                      <w:rFonts w:ascii="Times New Roman" w:eastAsia="Times New Roman" w:hAnsi="Times New Roman" w:cs="Times New Roman"/>
                                      <w:color w:val="auto"/>
                                      <w:sz w:val="22"/>
                                      <w:szCs w:val="22"/>
                                      <w:lang w:eastAsia="zh-CN" w:bidi="ar-SA"/>
                                    </w:rPr>
                                  </w:pPr>
                                </w:p>
                              </w:tc>
                              <w:tc>
                                <w:tcPr>
                                  <w:tcW w:w="1960" w:type="dxa"/>
                                  <w:tcBorders>
                                    <w:top w:val="single" w:sz="8" w:space="0" w:color="019648"/>
                                    <w:left w:val="single" w:sz="8" w:space="0" w:color="019648"/>
                                    <w:bottom w:val="single" w:sz="8" w:space="0" w:color="019648"/>
                                    <w:right w:val="single" w:sz="8" w:space="0" w:color="019648"/>
                                  </w:tcBorders>
                                  <w:shd w:val="clear" w:color="auto" w:fill="9FC39D"/>
                                  <w:tcMar>
                                    <w:top w:w="15" w:type="dxa"/>
                                    <w:left w:w="15" w:type="dxa"/>
                                    <w:bottom w:w="0" w:type="dxa"/>
                                    <w:right w:w="15" w:type="dxa"/>
                                  </w:tcMar>
                                  <w:hideMark/>
                                </w:tcPr>
                                <w:p w14:paraId="4C22EB95" w14:textId="77777777" w:rsidR="009D0C1D" w:rsidRPr="00E80D3A" w:rsidRDefault="009D0C1D" w:rsidP="00D5595B">
                                  <w:pPr>
                                    <w:widowControl/>
                                    <w:spacing w:before="70"/>
                                    <w:jc w:val="center"/>
                                    <w:rPr>
                                      <w:rFonts w:eastAsia="Times New Roman"/>
                                      <w:color w:val="auto"/>
                                      <w:sz w:val="32"/>
                                      <w:szCs w:val="32"/>
                                    </w:rPr>
                                  </w:pPr>
                                  <w:r w:rsidRPr="00E80D3A">
                                    <w:rPr>
                                      <w:sz w:val="20"/>
                                      <w:szCs w:val="22"/>
                                    </w:rPr>
                                    <w:t>Позитивний</w:t>
                                  </w:r>
                                </w:p>
                              </w:tc>
                              <w:tc>
                                <w:tcPr>
                                  <w:tcW w:w="1960" w:type="dxa"/>
                                  <w:tcBorders>
                                    <w:top w:val="single" w:sz="8" w:space="0" w:color="019648"/>
                                    <w:left w:val="single" w:sz="8" w:space="0" w:color="019648"/>
                                    <w:bottom w:val="single" w:sz="8" w:space="0" w:color="019648"/>
                                    <w:right w:val="single" w:sz="8" w:space="0" w:color="019648"/>
                                  </w:tcBorders>
                                  <w:shd w:val="clear" w:color="auto" w:fill="9FC39D"/>
                                  <w:tcMar>
                                    <w:top w:w="15" w:type="dxa"/>
                                    <w:left w:w="15" w:type="dxa"/>
                                    <w:bottom w:w="0" w:type="dxa"/>
                                    <w:right w:w="15" w:type="dxa"/>
                                  </w:tcMar>
                                  <w:hideMark/>
                                </w:tcPr>
                                <w:p w14:paraId="72B4816D" w14:textId="77777777" w:rsidR="009D0C1D" w:rsidRPr="00E80D3A" w:rsidRDefault="009D0C1D" w:rsidP="00D5595B">
                                  <w:pPr>
                                    <w:widowControl/>
                                    <w:spacing w:before="70"/>
                                    <w:jc w:val="center"/>
                                    <w:rPr>
                                      <w:rFonts w:eastAsia="Times New Roman"/>
                                      <w:color w:val="auto"/>
                                      <w:sz w:val="32"/>
                                      <w:szCs w:val="32"/>
                                    </w:rPr>
                                  </w:pPr>
                                  <w:r w:rsidRPr="00E80D3A">
                                    <w:rPr>
                                      <w:sz w:val="20"/>
                                      <w:szCs w:val="22"/>
                                    </w:rPr>
                                    <w:t>Негативний</w:t>
                                  </w:r>
                                </w:p>
                              </w:tc>
                              <w:tc>
                                <w:tcPr>
                                  <w:tcW w:w="0" w:type="auto"/>
                                  <w:vMerge/>
                                  <w:tcBorders>
                                    <w:top w:val="single" w:sz="8" w:space="0" w:color="019648"/>
                                    <w:left w:val="single" w:sz="8" w:space="0" w:color="019648"/>
                                    <w:bottom w:val="single" w:sz="8" w:space="0" w:color="019648"/>
                                  </w:tcBorders>
                                  <w:vAlign w:val="center"/>
                                  <w:hideMark/>
                                </w:tcPr>
                                <w:p w14:paraId="11D62BAF" w14:textId="77777777" w:rsidR="009D0C1D" w:rsidRPr="00E80D3A" w:rsidRDefault="009D0C1D" w:rsidP="00D5595B">
                                  <w:pPr>
                                    <w:widowControl/>
                                    <w:rPr>
                                      <w:rFonts w:eastAsia="Times New Roman"/>
                                      <w:color w:val="auto"/>
                                      <w:sz w:val="32"/>
                                      <w:szCs w:val="32"/>
                                      <w:lang w:eastAsia="zh-CN" w:bidi="ar-SA"/>
                                    </w:rPr>
                                  </w:pPr>
                                </w:p>
                              </w:tc>
                            </w:tr>
                            <w:tr w:rsidR="009D0C1D" w:rsidRPr="00E80D3A" w14:paraId="4E2ABFBB" w14:textId="77777777" w:rsidTr="00D74C3C">
                              <w:trPr>
                                <w:trHeight w:val="970"/>
                              </w:trPr>
                              <w:tc>
                                <w:tcPr>
                                  <w:tcW w:w="860" w:type="dxa"/>
                                  <w:vMerge w:val="restart"/>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76557D37" w14:textId="77777777" w:rsidR="009D0C1D" w:rsidRPr="00E80D3A" w:rsidRDefault="009D0C1D" w:rsidP="00D5595B">
                                  <w:pPr>
                                    <w:widowControl/>
                                    <w:spacing w:before="70" w:line="271" w:lineRule="auto"/>
                                    <w:jc w:val="center"/>
                                    <w:rPr>
                                      <w:rFonts w:eastAsia="Times New Roman"/>
                                      <w:color w:val="auto"/>
                                      <w:sz w:val="32"/>
                                      <w:szCs w:val="32"/>
                                    </w:rPr>
                                  </w:pPr>
                                  <w:r w:rsidRPr="00E80D3A">
                                    <w:rPr>
                                      <w:sz w:val="18"/>
                                      <w:szCs w:val="22"/>
                                    </w:rPr>
                                    <w:t>Результат досліджуваного діагностичного тесту</w:t>
                                  </w:r>
                                </w:p>
                              </w:tc>
                              <w:tc>
                                <w:tcPr>
                                  <w:tcW w:w="118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48B19E57" w14:textId="77777777" w:rsidR="009D0C1D" w:rsidRPr="00E80D3A" w:rsidRDefault="009D0C1D" w:rsidP="00D74C3C">
                                  <w:pPr>
                                    <w:widowControl/>
                                    <w:spacing w:before="70"/>
                                    <w:rPr>
                                      <w:rFonts w:eastAsia="Times New Roman"/>
                                      <w:color w:val="auto"/>
                                      <w:sz w:val="32"/>
                                      <w:szCs w:val="32"/>
                                    </w:rPr>
                                  </w:pPr>
                                  <w:r w:rsidRPr="00E80D3A">
                                    <w:rPr>
                                      <w:sz w:val="18"/>
                                      <w:szCs w:val="22"/>
                                    </w:rPr>
                                    <w:t>Позитивний</w:t>
                                  </w:r>
                                </w:p>
                              </w:tc>
                              <w:tc>
                                <w:tcPr>
                                  <w:tcW w:w="19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61145714" w14:textId="77777777" w:rsidR="009D0C1D" w:rsidRPr="00E80D3A" w:rsidRDefault="009D0C1D" w:rsidP="00D74C3C">
                                  <w:pPr>
                                    <w:widowControl/>
                                    <w:spacing w:before="70"/>
                                    <w:ind w:right="214"/>
                                    <w:rPr>
                                      <w:rFonts w:eastAsia="Times New Roman"/>
                                      <w:color w:val="auto"/>
                                      <w:sz w:val="32"/>
                                      <w:szCs w:val="32"/>
                                    </w:rPr>
                                  </w:pPr>
                                  <w:r w:rsidRPr="00E80D3A">
                                    <w:rPr>
                                      <w:sz w:val="18"/>
                                      <w:szCs w:val="22"/>
                                    </w:rPr>
                                    <w:t>Істинно позитивний (ІП)</w:t>
                                  </w:r>
                                </w:p>
                              </w:tc>
                              <w:tc>
                                <w:tcPr>
                                  <w:tcW w:w="19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645D948C" w14:textId="77777777" w:rsidR="009D0C1D" w:rsidRPr="00E80D3A" w:rsidRDefault="009D0C1D" w:rsidP="00D74C3C">
                                  <w:pPr>
                                    <w:widowControl/>
                                    <w:spacing w:before="70"/>
                                    <w:rPr>
                                      <w:rFonts w:eastAsia="Times New Roman"/>
                                      <w:color w:val="auto"/>
                                      <w:sz w:val="32"/>
                                      <w:szCs w:val="32"/>
                                    </w:rPr>
                                  </w:pPr>
                                  <w:r w:rsidRPr="00E80D3A">
                                    <w:rPr>
                                      <w:sz w:val="18"/>
                                      <w:szCs w:val="22"/>
                                    </w:rPr>
                                    <w:t>Хибнопозитивний (ХП)</w:t>
                                  </w:r>
                                </w:p>
                              </w:tc>
                              <w:tc>
                                <w:tcPr>
                                  <w:tcW w:w="22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7518A97B" w14:textId="77777777" w:rsidR="009D0C1D" w:rsidRPr="00E80D3A" w:rsidRDefault="009D0C1D" w:rsidP="00D5595B">
                                  <w:pPr>
                                    <w:widowControl/>
                                    <w:spacing w:before="70" w:line="276" w:lineRule="auto"/>
                                    <w:jc w:val="center"/>
                                    <w:rPr>
                                      <w:rFonts w:eastAsia="Times New Roman"/>
                                      <w:color w:val="auto"/>
                                      <w:sz w:val="32"/>
                                      <w:szCs w:val="32"/>
                                    </w:rPr>
                                  </w:pPr>
                                  <w:r w:rsidRPr="00E80D3A">
                                    <w:rPr>
                                      <w:b/>
                                      <w:sz w:val="18"/>
                                      <w:szCs w:val="22"/>
                                    </w:rPr>
                                    <w:t>Прогностична цінність позитивного результату</w:t>
                                  </w:r>
                                  <w:r w:rsidRPr="00E80D3A">
                                    <w:rPr>
                                      <w:sz w:val="18"/>
                                      <w:szCs w:val="22"/>
                                    </w:rPr>
                                    <w:t xml:space="preserve"> = ІП/(ІП + ХП)</w:t>
                                  </w:r>
                                </w:p>
                              </w:tc>
                            </w:tr>
                            <w:tr w:rsidR="009D0C1D" w:rsidRPr="00E80D3A" w14:paraId="3D5E3D81" w14:textId="77777777" w:rsidTr="00D74C3C">
                              <w:trPr>
                                <w:trHeight w:val="970"/>
                              </w:trPr>
                              <w:tc>
                                <w:tcPr>
                                  <w:tcW w:w="0" w:type="auto"/>
                                  <w:vMerge/>
                                  <w:tcBorders>
                                    <w:top w:val="single" w:sz="8" w:space="0" w:color="019648"/>
                                    <w:left w:val="single" w:sz="8" w:space="0" w:color="019648"/>
                                    <w:bottom w:val="single" w:sz="8" w:space="0" w:color="019648"/>
                                    <w:right w:val="single" w:sz="8" w:space="0" w:color="019648"/>
                                  </w:tcBorders>
                                  <w:vAlign w:val="center"/>
                                  <w:hideMark/>
                                </w:tcPr>
                                <w:p w14:paraId="590A4013" w14:textId="77777777" w:rsidR="009D0C1D" w:rsidRPr="00E80D3A" w:rsidRDefault="009D0C1D" w:rsidP="00D5595B">
                                  <w:pPr>
                                    <w:widowControl/>
                                    <w:rPr>
                                      <w:rFonts w:eastAsia="Times New Roman"/>
                                      <w:color w:val="auto"/>
                                      <w:sz w:val="32"/>
                                      <w:szCs w:val="32"/>
                                      <w:lang w:eastAsia="zh-CN" w:bidi="ar-SA"/>
                                    </w:rPr>
                                  </w:pPr>
                                </w:p>
                              </w:tc>
                              <w:tc>
                                <w:tcPr>
                                  <w:tcW w:w="118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7948FC41" w14:textId="77777777" w:rsidR="009D0C1D" w:rsidRPr="00E80D3A" w:rsidRDefault="009D0C1D" w:rsidP="00D74C3C">
                                  <w:pPr>
                                    <w:widowControl/>
                                    <w:spacing w:before="70"/>
                                    <w:rPr>
                                      <w:rFonts w:eastAsia="Times New Roman"/>
                                      <w:color w:val="auto"/>
                                      <w:sz w:val="32"/>
                                      <w:szCs w:val="32"/>
                                    </w:rPr>
                                  </w:pPr>
                                  <w:r w:rsidRPr="00E80D3A">
                                    <w:rPr>
                                      <w:sz w:val="18"/>
                                      <w:szCs w:val="22"/>
                                    </w:rPr>
                                    <w:t>Негативний</w:t>
                                  </w:r>
                                </w:p>
                              </w:tc>
                              <w:tc>
                                <w:tcPr>
                                  <w:tcW w:w="19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00024446" w14:textId="77777777" w:rsidR="009D0C1D" w:rsidRPr="00E80D3A" w:rsidRDefault="009D0C1D" w:rsidP="00D74C3C">
                                  <w:pPr>
                                    <w:widowControl/>
                                    <w:spacing w:before="70"/>
                                    <w:ind w:left="170"/>
                                    <w:rPr>
                                      <w:rFonts w:eastAsia="Times New Roman"/>
                                      <w:color w:val="auto"/>
                                      <w:sz w:val="32"/>
                                      <w:szCs w:val="32"/>
                                    </w:rPr>
                                  </w:pPr>
                                  <w:r w:rsidRPr="00E80D3A">
                                    <w:rPr>
                                      <w:sz w:val="18"/>
                                      <w:szCs w:val="22"/>
                                    </w:rPr>
                                    <w:t>Хибнонегативний (ХН)</w:t>
                                  </w:r>
                                </w:p>
                              </w:tc>
                              <w:tc>
                                <w:tcPr>
                                  <w:tcW w:w="19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7201F23D" w14:textId="77777777" w:rsidR="009D0C1D" w:rsidRPr="00E80D3A" w:rsidRDefault="009D0C1D" w:rsidP="00D74C3C">
                                  <w:pPr>
                                    <w:widowControl/>
                                    <w:spacing w:before="70"/>
                                    <w:rPr>
                                      <w:rFonts w:eastAsia="Times New Roman"/>
                                      <w:color w:val="auto"/>
                                      <w:sz w:val="32"/>
                                      <w:szCs w:val="32"/>
                                    </w:rPr>
                                  </w:pPr>
                                  <w:r w:rsidRPr="00E80D3A">
                                    <w:rPr>
                                      <w:sz w:val="18"/>
                                      <w:szCs w:val="22"/>
                                    </w:rPr>
                                    <w:t>Істинно негативний (ІН)</w:t>
                                  </w:r>
                                </w:p>
                              </w:tc>
                              <w:tc>
                                <w:tcPr>
                                  <w:tcW w:w="22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4FB712EF" w14:textId="77777777" w:rsidR="009D0C1D" w:rsidRPr="00E80D3A" w:rsidRDefault="009D0C1D" w:rsidP="00D5595B">
                                  <w:pPr>
                                    <w:widowControl/>
                                    <w:spacing w:before="70" w:line="271" w:lineRule="auto"/>
                                    <w:jc w:val="center"/>
                                    <w:rPr>
                                      <w:rFonts w:eastAsia="Times New Roman"/>
                                      <w:color w:val="auto"/>
                                      <w:sz w:val="32"/>
                                      <w:szCs w:val="32"/>
                                    </w:rPr>
                                  </w:pPr>
                                  <w:r w:rsidRPr="00E80D3A">
                                    <w:rPr>
                                      <w:b/>
                                      <w:sz w:val="18"/>
                                      <w:szCs w:val="22"/>
                                    </w:rPr>
                                    <w:t>Прогностична цінність негативного результату</w:t>
                                  </w:r>
                                  <w:r w:rsidRPr="00E80D3A">
                                    <w:rPr>
                                      <w:sz w:val="18"/>
                                      <w:szCs w:val="22"/>
                                    </w:rPr>
                                    <w:t xml:space="preserve"> = ІН/(ХН + ІН)</w:t>
                                  </w:r>
                                </w:p>
                              </w:tc>
                            </w:tr>
                            <w:tr w:rsidR="009D0C1D" w:rsidRPr="00E80D3A" w14:paraId="30EE7C58" w14:textId="77777777" w:rsidTr="00D5595B">
                              <w:trPr>
                                <w:trHeight w:val="710"/>
                              </w:trPr>
                              <w:tc>
                                <w:tcPr>
                                  <w:tcW w:w="2040" w:type="dxa"/>
                                  <w:gridSpan w:val="2"/>
                                  <w:tcBorders>
                                    <w:top w:val="single" w:sz="8" w:space="0" w:color="019648"/>
                                    <w:right w:val="single" w:sz="8" w:space="0" w:color="019648"/>
                                  </w:tcBorders>
                                  <w:shd w:val="clear" w:color="auto" w:fill="C5E0CD"/>
                                  <w:tcMar>
                                    <w:top w:w="15" w:type="dxa"/>
                                    <w:left w:w="15" w:type="dxa"/>
                                    <w:bottom w:w="0" w:type="dxa"/>
                                    <w:right w:w="15" w:type="dxa"/>
                                  </w:tcMar>
                                  <w:hideMark/>
                                </w:tcPr>
                                <w:p w14:paraId="636A602B" w14:textId="77777777" w:rsidR="009D0C1D" w:rsidRPr="00E80D3A" w:rsidRDefault="009D0C1D" w:rsidP="00D5595B">
                                  <w:pPr>
                                    <w:widowControl/>
                                    <w:rPr>
                                      <w:rFonts w:eastAsia="Times New Roman"/>
                                      <w:color w:val="auto"/>
                                      <w:sz w:val="32"/>
                                      <w:szCs w:val="32"/>
                                      <w:lang w:eastAsia="zh-CN" w:bidi="ar-SA"/>
                                    </w:rPr>
                                  </w:pPr>
                                </w:p>
                              </w:tc>
                              <w:tc>
                                <w:tcPr>
                                  <w:tcW w:w="19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02F83774" w14:textId="77777777" w:rsidR="009D0C1D" w:rsidRPr="00E80D3A" w:rsidRDefault="009D0C1D" w:rsidP="00D74C3C">
                                  <w:pPr>
                                    <w:widowControl/>
                                    <w:spacing w:before="70" w:line="271" w:lineRule="auto"/>
                                    <w:jc w:val="center"/>
                                    <w:rPr>
                                      <w:rFonts w:eastAsia="Times New Roman"/>
                                      <w:color w:val="auto"/>
                                      <w:sz w:val="32"/>
                                      <w:szCs w:val="32"/>
                                    </w:rPr>
                                  </w:pPr>
                                  <w:r w:rsidRPr="00E80D3A">
                                    <w:rPr>
                                      <w:b/>
                                      <w:sz w:val="18"/>
                                      <w:szCs w:val="22"/>
                                    </w:rPr>
                                    <w:t xml:space="preserve">Чутливість </w:t>
                                  </w:r>
                                  <w:r w:rsidRPr="00E80D3A">
                                    <w:rPr>
                                      <w:sz w:val="18"/>
                                      <w:szCs w:val="22"/>
                                    </w:rPr>
                                    <w:t>= ІП/(ІП + ІН)</w:t>
                                  </w:r>
                                </w:p>
                              </w:tc>
                              <w:tc>
                                <w:tcPr>
                                  <w:tcW w:w="1960" w:type="dxa"/>
                                  <w:tcBorders>
                                    <w:top w:val="single" w:sz="8" w:space="0" w:color="019648"/>
                                    <w:left w:val="single" w:sz="8" w:space="0" w:color="019648"/>
                                    <w:bottom w:val="single" w:sz="8" w:space="0" w:color="019648"/>
                                    <w:right w:val="single" w:sz="8" w:space="0" w:color="019648"/>
                                  </w:tcBorders>
                                  <w:shd w:val="clear" w:color="auto" w:fill="C5E0CD"/>
                                  <w:tcMar>
                                    <w:top w:w="15" w:type="dxa"/>
                                    <w:left w:w="15" w:type="dxa"/>
                                    <w:bottom w:w="0" w:type="dxa"/>
                                    <w:right w:w="15" w:type="dxa"/>
                                  </w:tcMar>
                                  <w:hideMark/>
                                </w:tcPr>
                                <w:p w14:paraId="07740ADA" w14:textId="77777777" w:rsidR="009D0C1D" w:rsidRPr="00E80D3A" w:rsidRDefault="009D0C1D" w:rsidP="00D74C3C">
                                  <w:pPr>
                                    <w:widowControl/>
                                    <w:spacing w:before="70" w:line="266" w:lineRule="auto"/>
                                    <w:jc w:val="center"/>
                                    <w:rPr>
                                      <w:rFonts w:eastAsia="Times New Roman"/>
                                      <w:color w:val="auto"/>
                                      <w:sz w:val="32"/>
                                      <w:szCs w:val="32"/>
                                    </w:rPr>
                                  </w:pPr>
                                  <w:r w:rsidRPr="00E80D3A">
                                    <w:rPr>
                                      <w:b/>
                                      <w:sz w:val="18"/>
                                      <w:szCs w:val="22"/>
                                    </w:rPr>
                                    <w:t xml:space="preserve">Специфічність </w:t>
                                  </w:r>
                                  <w:r w:rsidRPr="00E80D3A">
                                    <w:rPr>
                                      <w:sz w:val="18"/>
                                      <w:szCs w:val="22"/>
                                    </w:rPr>
                                    <w:t>= ІН/(ХП + ІН)</w:t>
                                  </w:r>
                                </w:p>
                              </w:tc>
                              <w:tc>
                                <w:tcPr>
                                  <w:tcW w:w="2260" w:type="dxa"/>
                                  <w:tcBorders>
                                    <w:top w:val="single" w:sz="8" w:space="0" w:color="019648"/>
                                    <w:left w:val="single" w:sz="8" w:space="0" w:color="019648"/>
                                  </w:tcBorders>
                                  <w:shd w:val="clear" w:color="auto" w:fill="C5E0CD"/>
                                  <w:tcMar>
                                    <w:top w:w="15" w:type="dxa"/>
                                    <w:left w:w="15" w:type="dxa"/>
                                    <w:bottom w:w="0" w:type="dxa"/>
                                    <w:right w:w="15" w:type="dxa"/>
                                  </w:tcMar>
                                  <w:hideMark/>
                                </w:tcPr>
                                <w:p w14:paraId="09D0F909" w14:textId="77777777" w:rsidR="009D0C1D" w:rsidRPr="00E80D3A" w:rsidRDefault="009D0C1D" w:rsidP="00D5595B">
                                  <w:pPr>
                                    <w:widowControl/>
                                    <w:rPr>
                                      <w:rFonts w:eastAsia="Times New Roman"/>
                                      <w:color w:val="auto"/>
                                      <w:sz w:val="32"/>
                                      <w:szCs w:val="32"/>
                                      <w:lang w:eastAsia="zh-CN" w:bidi="ar-SA"/>
                                    </w:rPr>
                                  </w:pPr>
                                </w:p>
                              </w:tc>
                            </w:tr>
                          </w:tbl>
                          <w:p w14:paraId="1D2CF13C" w14:textId="43FFA40D" w:rsidR="009D0C1D" w:rsidRPr="00E80D3A" w:rsidRDefault="009D0C1D" w:rsidP="00D5595B">
                            <w:pPr>
                              <w:spacing w:line="17" w:lineRule="auto"/>
                              <w:rPr>
                                <w:rFonts w:eastAsia="+mn-ea" w:cs="+mn-cs"/>
                                <w:kern w:val="24"/>
                                <w:sz w:val="18"/>
                                <w:szCs w:val="18"/>
                              </w:rPr>
                            </w:pPr>
                          </w:p>
                        </w:txbxContent>
                      </v:textbox>
                    </v:rect>
                  </w:pict>
                </mc:Fallback>
              </mc:AlternateContent>
            </w:r>
            <w:r>
              <w:rPr>
                <w:noProof/>
              </w:rPr>
              <mc:AlternateContent>
                <mc:Choice Requires="wps">
                  <w:drawing>
                    <wp:anchor distT="0" distB="0" distL="114300" distR="114300" simplePos="0" relativeHeight="251898880" behindDoc="0" locked="0" layoutInCell="1" allowOverlap="1" wp14:anchorId="494C5FF6" wp14:editId="28A65587">
                      <wp:simplePos x="0" y="0"/>
                      <wp:positionH relativeFrom="column">
                        <wp:posOffset>129963</wp:posOffset>
                      </wp:positionH>
                      <wp:positionV relativeFrom="paragraph">
                        <wp:posOffset>254212</wp:posOffset>
                      </wp:positionV>
                      <wp:extent cx="4902200" cy="295910"/>
                      <wp:effectExtent l="0" t="0" r="0" b="8890"/>
                      <wp:wrapNone/>
                      <wp:docPr id="1093113255" name="Прямокутник 2"/>
                      <wp:cNvGraphicFramePr/>
                      <a:graphic xmlns:a="http://schemas.openxmlformats.org/drawingml/2006/main">
                        <a:graphicData uri="http://schemas.microsoft.com/office/word/2010/wordprocessingShape">
                          <wps:wsp>
                            <wps:cNvSpPr/>
                            <wps:spPr>
                              <a:xfrm>
                                <a:off x="0" y="0"/>
                                <a:ext cx="4902200" cy="295910"/>
                              </a:xfrm>
                              <a:prstGeom prst="rect">
                                <a:avLst/>
                              </a:prstGeom>
                              <a:solidFill>
                                <a:srgbClr val="009649"/>
                              </a:solidFill>
                            </wps:spPr>
                            <wps:txbx>
                              <w:txbxContent>
                                <w:p w14:paraId="3D328644" w14:textId="77777777" w:rsidR="009D0C1D" w:rsidRPr="00785005" w:rsidRDefault="009D0C1D" w:rsidP="00D4401E">
                                  <w:pPr>
                                    <w:rPr>
                                      <w:rFonts w:eastAsia="+mn-ea" w:cs="+mn-cs"/>
                                      <w:b/>
                                      <w:bCs/>
                                      <w:color w:val="FFFFFF"/>
                                      <w:kern w:val="24"/>
                                      <w:sz w:val="20"/>
                                      <w:szCs w:val="20"/>
                                    </w:rPr>
                                  </w:pPr>
                                  <w:r>
                                    <w:rPr>
                                      <w:b/>
                                      <w:color w:val="FFFFFF"/>
                                      <w:sz w:val="20"/>
                                    </w:rPr>
                                    <w:t>Вставка 3.1. Вибір тестів на основі поширеності, чутливості та специфічності</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94C5FF6" id="_x0000_s1153" style="position:absolute;margin-left:10.25pt;margin-top:20pt;width:386pt;height:23.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" fillcolor="#009649" stroked="f">
                      <v:textbox inset="0,0,0,0">
                        <w:txbxContent>
                          <w:p w14:paraId="3D328644" w14:textId="77777777" w:rsidR="009D0C1D" w:rsidRPr="00785005" w:rsidRDefault="009D0C1D" w:rsidP="00D4401E">
                            <w:pPr>
                              <w:rPr>
                                <w:rFonts w:eastAsia="+mn-ea" w:cs="+mn-cs"/>
                                <w:b/>
                                <w:bCs/>
                                <w:color w:val="FFFFFF"/>
                                <w:kern w:val="24"/>
                                <w:sz w:val="20"/>
                                <w:szCs w:val="20"/>
                              </w:rPr>
                            </w:pPr>
                            <w:r>
                              <w:rPr>
                                <w:b/>
                                <w:color w:val="FFFFFF"/>
                                <w:sz w:val="20"/>
                              </w:rPr>
                              <w:t>Вставка 3.1. Вибір тестів на основі поширеності, чутливості та специфічності</w:t>
                            </w:r>
                          </w:p>
                        </w:txbxContent>
                      </v:textbox>
                    </v:rect>
                  </w:pict>
                </mc:Fallback>
              </mc:AlternateContent>
            </w:r>
            <w:r w:rsidR="002F0816">
              <w:rPr>
                <w:noProof/>
              </w:rPr>
              <mc:AlternateContent>
                <mc:Choice Requires="wps">
                  <w:drawing>
                    <wp:anchor distT="0" distB="0" distL="114300" distR="114300" simplePos="0" relativeHeight="251899904" behindDoc="0" locked="0" layoutInCell="1" allowOverlap="1" wp14:anchorId="2DFA8556" wp14:editId="4364DFB4">
                      <wp:simplePos x="0" y="0"/>
                      <wp:positionH relativeFrom="column">
                        <wp:posOffset>324697</wp:posOffset>
                      </wp:positionH>
                      <wp:positionV relativeFrom="paragraph">
                        <wp:posOffset>776817</wp:posOffset>
                      </wp:positionV>
                      <wp:extent cx="5303520" cy="762000"/>
                      <wp:effectExtent l="0" t="0" r="0" b="0"/>
                      <wp:wrapNone/>
                      <wp:docPr id="1541506367" name="Прямокутник 3"/>
                      <wp:cNvGraphicFramePr/>
                      <a:graphic xmlns:a="http://schemas.openxmlformats.org/drawingml/2006/main">
                        <a:graphicData uri="http://schemas.microsoft.com/office/word/2010/wordprocessingShape">
                          <wps:wsp>
                            <wps:cNvSpPr/>
                            <wps:spPr>
                              <a:xfrm>
                                <a:off x="0" y="0"/>
                                <a:ext cx="5303520" cy="762000"/>
                              </a:xfrm>
                              <a:prstGeom prst="rect">
                                <a:avLst/>
                              </a:prstGeom>
                              <a:solidFill>
                                <a:srgbClr val="C6E0CE"/>
                              </a:solidFill>
                            </wps:spPr>
                            <wps:txbx>
                              <w:txbxContent>
                                <w:p w14:paraId="33AC261D" w14:textId="77777777" w:rsidR="009D0C1D" w:rsidRPr="00E80D3A" w:rsidRDefault="009D0C1D" w:rsidP="00D4401E">
                                  <w:pPr>
                                    <w:spacing w:line="314" w:lineRule="auto"/>
                                    <w:rPr>
                                      <w:rFonts w:eastAsia="+mn-ea" w:cs="+mn-cs"/>
                                      <w:kern w:val="24"/>
                                      <w:sz w:val="18"/>
                                      <w:szCs w:val="18"/>
                                    </w:rPr>
                                  </w:pPr>
                                  <w:r w:rsidRPr="00E80D3A">
                                    <w:rPr>
                                      <w:sz w:val="18"/>
                                      <w:szCs w:val="22"/>
                                    </w:rPr>
                                    <w:t>На основі поширеності, чутливості та специфічності тесту можна скласти чотириклітинну таблицю (див. нижче). На прикладі когорти (наприклад, 1000 осіб) можна розрахувати кількість істинно позитивних, хибнонегативних та хибнопозитивних результатів тесту.</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DFA8556" id="_x0000_s1154" style="position:absolute;margin-left:25.55pt;margin-top:61.15pt;width:417.6pt;height:60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" fillcolor="#c6e0ce" stroked="f">
                      <v:textbox inset="0,0,0,0">
                        <w:txbxContent>
                          <w:p w14:paraId="33AC261D" w14:textId="77777777" w:rsidR="009D0C1D" w:rsidRPr="00E80D3A" w:rsidRDefault="009D0C1D" w:rsidP="00D4401E">
                            <w:pPr>
                              <w:spacing w:line="314" w:lineRule="auto"/>
                              <w:rPr>
                                <w:rFonts w:eastAsia="+mn-ea" w:cs="+mn-cs"/>
                                <w:kern w:val="24"/>
                                <w:sz w:val="18"/>
                                <w:szCs w:val="18"/>
                              </w:rPr>
                            </w:pPr>
                            <w:r w:rsidRPr="00E80D3A">
                              <w:rPr>
                                <w:sz w:val="18"/>
                                <w:szCs w:val="22"/>
                              </w:rPr>
                              <w:t>На основі поширеності, чутливості та специфічності тесту можна скласти чотириклітинну таблицю (див. нижче). На прикладі когорти (наприклад, 1000 осіб) можна розрахувати кількість істинно позитивних, хибнонегативних та хибнопозитивних результатів тесту.</w:t>
                            </w:r>
                          </w:p>
                        </w:txbxContent>
                      </v:textbox>
                    </v:rect>
                  </w:pict>
                </mc:Fallback>
              </mc:AlternateContent>
            </w:r>
            <w:r w:rsidR="002F0816">
              <w:rPr>
                <w:noProof/>
              </w:rPr>
              <w:drawing>
                <wp:inline distT="0" distB="0" distL="0" distR="0" wp14:anchorId="34CA32F5" wp14:editId="139D6CC9">
                  <wp:extent cx="5799667" cy="4723765"/>
                  <wp:effectExtent l="0" t="0" r="0" b="635"/>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1"/>
                          <a:stretch/>
                        </pic:blipFill>
                        <pic:spPr>
                          <a:xfrm>
                            <a:off x="0" y="0"/>
                            <a:ext cx="5819333" cy="4739783"/>
                          </a:xfrm>
                          <a:prstGeom prst="rect">
                            <a:avLst/>
                          </a:prstGeom>
                        </pic:spPr>
                      </pic:pic>
                    </a:graphicData>
                  </a:graphic>
                </wp:inline>
              </w:drawing>
            </w:r>
          </w:p>
        </w:tc>
      </w:tr>
    </w:tbl>
    <w:p w14:paraId="34BEA177" w14:textId="67C83953" w:rsidR="00366CB9" w:rsidRDefault="00366CB9" w:rsidP="00425523">
      <w:pPr>
        <w:spacing w:line="1" w:lineRule="exact"/>
        <w:sectPr w:rsidR="00366CB9" w:rsidSect="00D74C3C">
          <w:type w:val="nextColumn"/>
          <w:pgSz w:w="11913" w:h="16840"/>
          <w:pgMar w:top="1469" w:right="1378" w:bottom="142" w:left="1372" w:header="0" w:footer="6" w:gutter="0"/>
          <w:paperSrc w:first="15" w:other="15"/>
          <w:cols w:space="720"/>
          <w:noEndnote/>
          <w:docGrid w:linePitch="360"/>
        </w:sectPr>
      </w:pPr>
    </w:p>
    <w:p w14:paraId="104522EE" w14:textId="628B23D7" w:rsidR="00366CB9" w:rsidRDefault="00366CB9" w:rsidP="00425523">
      <w:pPr>
        <w:spacing w:line="1" w:lineRule="exact"/>
      </w:pPr>
    </w:p>
    <w:p w14:paraId="4759CFFD" w14:textId="322753FD" w:rsidR="00366CB9" w:rsidRDefault="00D74C3C" w:rsidP="00C670F3">
      <w:pPr>
        <w:sectPr w:rsidR="00366CB9" w:rsidSect="00F03360">
          <w:footerReference w:type="default" r:id="rId102"/>
          <w:type w:val="nextColumn"/>
          <w:pgSz w:w="11913" w:h="16840"/>
          <w:pgMar w:top="1469" w:right="1378" w:bottom="851" w:left="1372" w:header="0" w:footer="6" w:gutter="0"/>
          <w:paperSrc w:first="15" w:other="15"/>
          <w:cols w:space="720"/>
          <w:noEndnote/>
          <w:docGrid w:linePitch="360"/>
        </w:sectPr>
      </w:pPr>
      <w:r>
        <w:rPr>
          <w:noProof/>
        </w:rPr>
        <mc:AlternateContent>
          <mc:Choice Requires="wps">
            <w:drawing>
              <wp:anchor distT="0" distB="0" distL="114300" distR="114300" simplePos="0" relativeHeight="251530240" behindDoc="0" locked="0" layoutInCell="1" allowOverlap="1" wp14:anchorId="5252776E" wp14:editId="6D394650">
                <wp:simplePos x="0" y="0"/>
                <wp:positionH relativeFrom="column">
                  <wp:posOffset>339513</wp:posOffset>
                </wp:positionH>
                <wp:positionV relativeFrom="paragraph">
                  <wp:posOffset>6000749</wp:posOffset>
                </wp:positionV>
                <wp:extent cx="5242560" cy="1989667"/>
                <wp:effectExtent l="0" t="0" r="0" b="0"/>
                <wp:wrapNone/>
                <wp:docPr id="866604421" name="Прямокутник 4"/>
                <wp:cNvGraphicFramePr/>
                <a:graphic xmlns:a="http://schemas.openxmlformats.org/drawingml/2006/main">
                  <a:graphicData uri="http://schemas.microsoft.com/office/word/2010/wordprocessingShape">
                    <wps:wsp>
                      <wps:cNvSpPr/>
                      <wps:spPr>
                        <a:xfrm>
                          <a:off x="0" y="0"/>
                          <a:ext cx="5242560" cy="1989667"/>
                        </a:xfrm>
                        <a:prstGeom prst="rect">
                          <a:avLst/>
                        </a:prstGeom>
                        <a:solidFill>
                          <a:srgbClr val="C6E0CE"/>
                        </a:solidFill>
                      </wps:spPr>
                      <wps:txbx>
                        <w:txbxContent>
                          <w:p w14:paraId="699AAD19" w14:textId="77777777" w:rsidR="009D0C1D" w:rsidRDefault="009D0C1D" w:rsidP="004F6FB8">
                            <w:pPr>
                              <w:spacing w:line="312" w:lineRule="auto"/>
                              <w:jc w:val="both"/>
                              <w:rPr>
                                <w:rFonts w:eastAsia="+mn-ea" w:cs="+mn-cs"/>
                                <w:kern w:val="24"/>
                                <w:sz w:val="20"/>
                                <w:szCs w:val="20"/>
                              </w:rPr>
                            </w:pPr>
                            <w:r>
                              <w:rPr>
                                <w:sz w:val="20"/>
                              </w:rPr>
                              <w:t>РОГК як інструмент скринінгу може визначати осіб, які мають пройти початковий молекулярний тест. Таким чином, вона може зменшити кількість протестованих осіб та пов’язані витрати (але лише якщо вартість рентгенографії нижча за вартість тесту). Цей підхід може покращити клінічну передбачуваність щодо ТБ; отже, він має покращити прогностичну цінність молекулярного тесту та зменшити кількість ХП результатів, особливо у популяціях з низькою поширеністю ТБ. Наприклад, у популяції з поширеністю ТБ 1 % додавання РОГК як інструменту скринінгу до алгоритму, в якому всі особи з аномальним результатом РОГК отримують mWRD, збільшить ПЦПР mWRD з 56,8 % до 78,5 %, а поширеність виявлених випадків – з 69 % до 80 % порівняно з тестуванням з використанням mWRD, незалежно від симптомів.</w:t>
                            </w:r>
                          </w:p>
                        </w:txbxContent>
                      </wps:txbx>
                      <wps:bodyPr lIns="0" tIns="0" rIns="0" bIns="0">
                        <a:noAutofit/>
                      </wps:bodyPr>
                    </wps:wsp>
                  </a:graphicData>
                </a:graphic>
                <wp14:sizeRelV relativeFrom="margin">
                  <wp14:pctHeight>0</wp14:pctHeight>
                </wp14:sizeRelV>
              </wp:anchor>
            </w:drawing>
          </mc:Choice>
          <mc:Fallback>
            <w:pict>
              <v:rect w14:anchorId="5252776E" id="_x0000_s1155" style="position:absolute;margin-left:26.75pt;margin-top:472.5pt;width:412.8pt;height:156.65pt;z-index:25153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" fillcolor="#c6e0ce" stroked="f">
                <v:textbox inset="0,0,0,0">
                  <w:txbxContent>
                    <w:p w14:paraId="699AAD19" w14:textId="77777777" w:rsidR="009D0C1D" w:rsidRDefault="009D0C1D" w:rsidP="004F6FB8">
                      <w:pPr>
                        <w:spacing w:line="312" w:lineRule="auto"/>
                        <w:jc w:val="both"/>
                        <w:rPr>
                          <w:rFonts w:eastAsia="+mn-ea" w:cs="+mn-cs"/>
                          <w:kern w:val="24"/>
                          <w:sz w:val="20"/>
                          <w:szCs w:val="20"/>
                        </w:rPr>
                      </w:pPr>
                      <w:r>
                        <w:rPr>
                          <w:sz w:val="20"/>
                        </w:rPr>
                        <w:t>РОГК як інструмент скринінгу може визначати осіб, які мають пройти початковий молекулярний тест. Таким чином, вона може зменшити кількість протестованих осіб та пов’язані витрати (але лише якщо вартість рентгенографії нижча за вартість тесту). Цей підхід може покращити клінічну передбачуваність щодо ТБ; отже, він має покращити прогностичну цінність молекулярного тесту та зменшити кількість ХП результатів, особливо у популяціях з низькою поширеністю ТБ. Наприклад, у популяції з поширеністю ТБ 1 % додавання РОГК як інструменту скринінгу до алгоритму, в якому всі особи з аномальним результатом РОГК отримують mWRD, збільшить ПЦПР mWRD з 56,8 % до 78,5 %, а поширеність виявлених випадків – з 69 % до 80 % порівняно з тестуванням з використанням mWRD, незалежно від симптомів.</w:t>
                      </w:r>
                    </w:p>
                  </w:txbxContent>
                </v:textbox>
              </v:rect>
            </w:pict>
          </mc:Fallback>
        </mc:AlternateContent>
      </w:r>
      <w:r w:rsidR="00BF6DB7">
        <w:rPr>
          <w:noProof/>
        </w:rPr>
        <mc:AlternateContent>
          <mc:Choice Requires="wps">
            <w:drawing>
              <wp:anchor distT="0" distB="0" distL="114300" distR="114300" simplePos="0" relativeHeight="251528192" behindDoc="0" locked="0" layoutInCell="1" allowOverlap="1" wp14:anchorId="3FF8C475" wp14:editId="7654D297">
                <wp:simplePos x="0" y="0"/>
                <wp:positionH relativeFrom="column">
                  <wp:posOffset>335280</wp:posOffset>
                </wp:positionH>
                <wp:positionV relativeFrom="paragraph">
                  <wp:posOffset>227965</wp:posOffset>
                </wp:positionV>
                <wp:extent cx="5242560" cy="4724400"/>
                <wp:effectExtent l="0" t="0" r="0" b="0"/>
                <wp:wrapNone/>
                <wp:docPr id="667712952" name="Прямокутник 2"/>
                <wp:cNvGraphicFramePr/>
                <a:graphic xmlns:a="http://schemas.openxmlformats.org/drawingml/2006/main">
                  <a:graphicData uri="http://schemas.microsoft.com/office/word/2010/wordprocessingShape">
                    <wps:wsp>
                      <wps:cNvSpPr/>
                      <wps:spPr>
                        <a:xfrm>
                          <a:off x="0" y="0"/>
                          <a:ext cx="5242560" cy="4724400"/>
                        </a:xfrm>
                        <a:prstGeom prst="rect">
                          <a:avLst/>
                        </a:prstGeom>
                        <a:solidFill>
                          <a:srgbClr val="C6E0CE"/>
                        </a:solidFill>
                      </wps:spPr>
                      <wps:txbx>
                        <w:txbxContent>
                          <w:p w14:paraId="091EE1D8" w14:textId="77777777" w:rsidR="009D0C1D" w:rsidRPr="00BF6DB7" w:rsidRDefault="009D0C1D" w:rsidP="004F6FB8">
                            <w:pPr>
                              <w:spacing w:after="56" w:line="314" w:lineRule="auto"/>
                              <w:rPr>
                                <w:rFonts w:eastAsia="+mn-ea" w:cs="+mn-cs"/>
                                <w:b/>
                                <w:bCs/>
                                <w:kern w:val="24"/>
                                <w:sz w:val="20"/>
                                <w:szCs w:val="20"/>
                              </w:rPr>
                            </w:pPr>
                            <w:r>
                              <w:rPr>
                                <w:b/>
                                <w:sz w:val="20"/>
                              </w:rPr>
                              <w:t>Приклад 1</w:t>
                            </w:r>
                          </w:p>
                          <w:p w14:paraId="00CADE62" w14:textId="77777777" w:rsidR="009D0C1D" w:rsidRDefault="009D0C1D" w:rsidP="004F6FB8">
                            <w:pPr>
                              <w:spacing w:after="112" w:line="314" w:lineRule="auto"/>
                              <w:jc w:val="both"/>
                              <w:rPr>
                                <w:rFonts w:eastAsia="+mn-ea" w:cs="+mn-cs"/>
                                <w:kern w:val="24"/>
                                <w:sz w:val="20"/>
                                <w:szCs w:val="20"/>
                              </w:rPr>
                            </w:pPr>
                            <w:r>
                              <w:rPr>
                                <w:sz w:val="20"/>
                              </w:rPr>
                              <w:t>У цьому прикладі поширеність оцінюється у 2,5 % в амбулаторних умовах у країні з високим тягарем епідемії. У когорті 1000 осіб буде 25 осіб з ТБ та 975 осіб без ТБ. Тест у цьому прикладі демонструє чутливість 90 % та специфічність 96 %. З 25 осіб з позитивним результатом тесту на ТБ, буде виявлено 22 особи з ТБ (тобто 25 × 0,90 = 22). Це істинно позитивні (ІП) результати. У трьох осіб з позитивним результатом тесту на ТБ, але без виявленого ТБ, спостерігаються хибнонегативні (ХН) результати. Таким чином, у цій когорті у 975 осіб немає ТБ (тобто 1000 – 25 = 975). Специфічність 96 % призводить до того, що у 936 осіб будуть істинно негативні (ІН) результати (тобто 975 × 0,96 = 936). Результати для інших 39 осіб (тобто 975 – 936 = 39) будуть хибнопозитивними (ХП). Таким чином, з 62 осіб з ТБ лише у 23 буде ІП результати (тобто 23 [ІП] + 39 [ХП] = 62), що забезпечує прогностичну цінність позитивного результату (ПЦПР) 37 %.</w:t>
                            </w:r>
                          </w:p>
                          <w:p w14:paraId="01C210F3" w14:textId="77777777" w:rsidR="009D0C1D" w:rsidRPr="00BF6DB7" w:rsidRDefault="009D0C1D" w:rsidP="004F6FB8">
                            <w:pPr>
                              <w:spacing w:after="56" w:line="314" w:lineRule="auto"/>
                              <w:jc w:val="both"/>
                              <w:rPr>
                                <w:rFonts w:eastAsia="+mn-ea" w:cs="+mn-cs"/>
                                <w:b/>
                                <w:bCs/>
                                <w:kern w:val="24"/>
                                <w:sz w:val="20"/>
                                <w:szCs w:val="20"/>
                              </w:rPr>
                            </w:pPr>
                            <w:r>
                              <w:rPr>
                                <w:b/>
                                <w:sz w:val="20"/>
                              </w:rPr>
                              <w:t>Приклад 2</w:t>
                            </w:r>
                          </w:p>
                          <w:p w14:paraId="0D10E85D" w14:textId="77777777" w:rsidR="009D0C1D" w:rsidRDefault="009D0C1D" w:rsidP="004F6FB8">
                            <w:pPr>
                              <w:spacing w:after="56" w:line="312" w:lineRule="auto"/>
                              <w:jc w:val="both"/>
                              <w:rPr>
                                <w:rFonts w:eastAsia="+mn-ea" w:cs="+mn-cs"/>
                                <w:kern w:val="24"/>
                                <w:sz w:val="20"/>
                                <w:szCs w:val="20"/>
                              </w:rPr>
                            </w:pPr>
                            <w:r>
                              <w:rPr>
                                <w:sz w:val="20"/>
                              </w:rPr>
                              <w:t>У цьому прикладі поширеність звернення пацієнтів до туберкульозної лікарні із симптомами ТБ становить 20 %. У когорті 1000 осіб у 200 осіб спостерігатиметься ТБ. Тест демонструє чутливість 73 % та специфічність 98 %. З 200 осіб з ТБ буде виявлено 146 (ІП) та не виявлено 54 (ХН). З 800 осіб без ТБ у 784 будуть негативні результати (ІН), а у 16 – позитивні результати (ХП).</w:t>
                            </w:r>
                          </w:p>
                          <w:p w14:paraId="5CAEEB98" w14:textId="77777777" w:rsidR="009D0C1D" w:rsidRDefault="009D0C1D" w:rsidP="004F6FB8">
                            <w:pPr>
                              <w:spacing w:line="312" w:lineRule="auto"/>
                              <w:jc w:val="both"/>
                              <w:rPr>
                                <w:rFonts w:eastAsia="+mn-ea" w:cs="+mn-cs"/>
                                <w:kern w:val="24"/>
                                <w:sz w:val="20"/>
                                <w:szCs w:val="20"/>
                              </w:rPr>
                            </w:pPr>
                            <w:r>
                              <w:rPr>
                                <w:sz w:val="20"/>
                              </w:rPr>
                              <w:t>Залежно від контексту тестування (наприклад, тестування осіб з симптомами, які звертаються до лікарні, або масштабне тестування осіб у громадах), поширеність ТБ у популяції змінюватиметься та призведе до різної кількості істинно позитивних та хибнонегативних результатів тесту.</w:t>
                            </w:r>
                          </w:p>
                        </w:txbxContent>
                      </wps:txbx>
                      <wps:bodyPr lIns="0" tIns="0" rIns="0" bIns="0">
                        <a:noAutofit/>
                      </wps:bodyPr>
                    </wps:wsp>
                  </a:graphicData>
                </a:graphic>
              </wp:anchor>
            </w:drawing>
          </mc:Choice>
          <mc:Fallback>
            <w:pict>
              <v:rect w14:anchorId="3FF8C475" id="_x0000_s1156" style="position:absolute;margin-left:26.4pt;margin-top:17.95pt;width:412.8pt;height:372pt;z-index:25152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" fillcolor="#c6e0ce" stroked="f">
                <v:textbox inset="0,0,0,0">
                  <w:txbxContent>
                    <w:p w14:paraId="091EE1D8" w14:textId="77777777" w:rsidR="009D0C1D" w:rsidRPr="00BF6DB7" w:rsidRDefault="009D0C1D" w:rsidP="004F6FB8">
                      <w:pPr>
                        <w:spacing w:after="56" w:line="314" w:lineRule="auto"/>
                        <w:rPr>
                          <w:rFonts w:eastAsia="+mn-ea" w:cs="+mn-cs"/>
                          <w:b/>
                          <w:bCs/>
                          <w:kern w:val="24"/>
                          <w:sz w:val="20"/>
                          <w:szCs w:val="20"/>
                        </w:rPr>
                      </w:pPr>
                      <w:r>
                        <w:rPr>
                          <w:b/>
                          <w:sz w:val="20"/>
                        </w:rPr>
                        <w:t>Приклад 1</w:t>
                      </w:r>
                    </w:p>
                    <w:p w14:paraId="00CADE62" w14:textId="77777777" w:rsidR="009D0C1D" w:rsidRDefault="009D0C1D" w:rsidP="004F6FB8">
                      <w:pPr>
                        <w:spacing w:after="112" w:line="314" w:lineRule="auto"/>
                        <w:jc w:val="both"/>
                        <w:rPr>
                          <w:rFonts w:eastAsia="+mn-ea" w:cs="+mn-cs"/>
                          <w:kern w:val="24"/>
                          <w:sz w:val="20"/>
                          <w:szCs w:val="20"/>
                        </w:rPr>
                      </w:pPr>
                      <w:r>
                        <w:rPr>
                          <w:sz w:val="20"/>
                        </w:rPr>
                        <w:t>У цьому прикладі поширеність оцінюється у 2,5 % в амбулаторних умовах у країні з високим тягарем епідемії. У когорті 1000 осіб буде 25 осіб з ТБ та 975 осіб без ТБ. Тест у цьому прикладі демонструє чутливість 90 % та специфічність 96 %. З 25 осіб з позитивним результатом тесту на ТБ, буде виявлено 22 особи з ТБ (тобто 25 × 0,90 = 22). Це істинно позитивні (ІП) результати. У трьох осіб з позитивним результатом тесту на ТБ, але без виявленого ТБ, спостерігаються хибнонегативні (ХН) результати. Таким чином, у цій когорті у 975 осіб немає ТБ (тобто 1000 – 25 = 975). Специфічність 96 % призводить до того, що у 936 осіб будуть істинно негативні (ІН) результати (тобто 975 × 0,96 = 936). Результати для інших 39 осіб (тобто 975 – 936 = 39) будуть хибнопозитивними (ХП). Таким чином, з 62 осіб з ТБ лише у 23 буде ІП результати (тобто 23 [ІП] + 39 [ХП] = 62), що забезпечує прогностичну цінність позитивного результату (ПЦПР) 37 %.</w:t>
                      </w:r>
                    </w:p>
                    <w:p w14:paraId="01C210F3" w14:textId="77777777" w:rsidR="009D0C1D" w:rsidRPr="00BF6DB7" w:rsidRDefault="009D0C1D" w:rsidP="004F6FB8">
                      <w:pPr>
                        <w:spacing w:after="56" w:line="314" w:lineRule="auto"/>
                        <w:jc w:val="both"/>
                        <w:rPr>
                          <w:rFonts w:eastAsia="+mn-ea" w:cs="+mn-cs"/>
                          <w:b/>
                          <w:bCs/>
                          <w:kern w:val="24"/>
                          <w:sz w:val="20"/>
                          <w:szCs w:val="20"/>
                        </w:rPr>
                      </w:pPr>
                      <w:r>
                        <w:rPr>
                          <w:b/>
                          <w:sz w:val="20"/>
                        </w:rPr>
                        <w:t>Приклад 2</w:t>
                      </w:r>
                    </w:p>
                    <w:p w14:paraId="0D10E85D" w14:textId="77777777" w:rsidR="009D0C1D" w:rsidRDefault="009D0C1D" w:rsidP="004F6FB8">
                      <w:pPr>
                        <w:spacing w:after="56" w:line="312" w:lineRule="auto"/>
                        <w:jc w:val="both"/>
                        <w:rPr>
                          <w:rFonts w:eastAsia="+mn-ea" w:cs="+mn-cs"/>
                          <w:kern w:val="24"/>
                          <w:sz w:val="20"/>
                          <w:szCs w:val="20"/>
                        </w:rPr>
                      </w:pPr>
                      <w:r>
                        <w:rPr>
                          <w:sz w:val="20"/>
                        </w:rPr>
                        <w:t>У цьому прикладі поширеність звернення пацієнтів до туберкульозної лікарні із симптомами ТБ становить 20 %. У когорті 1000 осіб у 200 осіб спостерігатиметься ТБ. Тест демонструє чутливість 73 % та специфічність 98 %. З 200 осіб з ТБ буде виявлено 146 (ІП) та не виявлено 54 (ХН). З 800 осіб без ТБ у 784 будуть негативні результати (ІН), а у 16 – позитивні результати (ХП).</w:t>
                      </w:r>
                    </w:p>
                    <w:p w14:paraId="5CAEEB98" w14:textId="77777777" w:rsidR="009D0C1D" w:rsidRDefault="009D0C1D" w:rsidP="004F6FB8">
                      <w:pPr>
                        <w:spacing w:line="312" w:lineRule="auto"/>
                        <w:jc w:val="both"/>
                        <w:rPr>
                          <w:rFonts w:eastAsia="+mn-ea" w:cs="+mn-cs"/>
                          <w:kern w:val="24"/>
                          <w:sz w:val="20"/>
                          <w:szCs w:val="20"/>
                        </w:rPr>
                      </w:pPr>
                      <w:r>
                        <w:rPr>
                          <w:sz w:val="20"/>
                        </w:rPr>
                        <w:t>Залежно від контексту тестування (наприклад, тестування осіб з симптомами, які звертаються до лікарні, або масштабне тестування осіб у громадах), поширеність ТБ у популяції змінюватиметься та призведе до різної кількості істинно позитивних та хибнонегативних результатів тесту.</w:t>
                      </w:r>
                    </w:p>
                  </w:txbxContent>
                </v:textbox>
              </v:rect>
            </w:pict>
          </mc:Fallback>
        </mc:AlternateContent>
      </w:r>
      <w:r w:rsidR="00BF6DB7">
        <w:rPr>
          <w:noProof/>
        </w:rPr>
        <mc:AlternateContent>
          <mc:Choice Requires="wps">
            <w:drawing>
              <wp:anchor distT="0" distB="0" distL="114300" distR="114300" simplePos="0" relativeHeight="251529216" behindDoc="0" locked="0" layoutInCell="1" allowOverlap="1" wp14:anchorId="14B8B689" wp14:editId="107BBDBF">
                <wp:simplePos x="0" y="0"/>
                <wp:positionH relativeFrom="column">
                  <wp:posOffset>120370</wp:posOffset>
                </wp:positionH>
                <wp:positionV relativeFrom="paragraph">
                  <wp:posOffset>5627667</wp:posOffset>
                </wp:positionV>
                <wp:extent cx="2470067" cy="182880"/>
                <wp:effectExtent l="0" t="0" r="6985" b="7620"/>
                <wp:wrapNone/>
                <wp:docPr id="355369870" name="Прямокутник 3"/>
                <wp:cNvGraphicFramePr/>
                <a:graphic xmlns:a="http://schemas.openxmlformats.org/drawingml/2006/main">
                  <a:graphicData uri="http://schemas.microsoft.com/office/word/2010/wordprocessingShape">
                    <wps:wsp>
                      <wps:cNvSpPr/>
                      <wps:spPr>
                        <a:xfrm>
                          <a:off x="0" y="0"/>
                          <a:ext cx="2470067" cy="182880"/>
                        </a:xfrm>
                        <a:prstGeom prst="rect">
                          <a:avLst/>
                        </a:prstGeom>
                        <a:solidFill>
                          <a:srgbClr val="009649"/>
                        </a:solidFill>
                      </wps:spPr>
                      <wps:txbx>
                        <w:txbxContent>
                          <w:p w14:paraId="01A37BAB" w14:textId="77777777" w:rsidR="009D0C1D" w:rsidRPr="00BF6DB7" w:rsidRDefault="009D0C1D" w:rsidP="004F6FB8">
                            <w:pPr>
                              <w:rPr>
                                <w:rFonts w:eastAsia="+mn-ea" w:cs="+mn-cs"/>
                                <w:b/>
                                <w:bCs/>
                                <w:color w:val="FFFFFF"/>
                                <w:kern w:val="24"/>
                                <w:sz w:val="20"/>
                                <w:szCs w:val="20"/>
                              </w:rPr>
                            </w:pPr>
                            <w:r>
                              <w:rPr>
                                <w:b/>
                                <w:color w:val="FFFFFF"/>
                                <w:sz w:val="20"/>
                              </w:rPr>
                              <w:t>Вставка 3.2. Вплив скринінгу з РОГК</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4B8B689" id="_x0000_s1157" style="position:absolute;margin-left:9.5pt;margin-top:443.1pt;width:194.5pt;height:14.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" fillcolor="#009649" stroked="f">
                <v:textbox inset="0,0,0,0">
                  <w:txbxContent>
                    <w:p w14:paraId="01A37BAB" w14:textId="77777777" w:rsidR="009D0C1D" w:rsidRPr="00BF6DB7" w:rsidRDefault="009D0C1D" w:rsidP="004F6FB8">
                      <w:pPr>
                        <w:rPr>
                          <w:rFonts w:eastAsia="+mn-ea" w:cs="+mn-cs"/>
                          <w:b/>
                          <w:bCs/>
                          <w:color w:val="FFFFFF"/>
                          <w:kern w:val="24"/>
                          <w:sz w:val="20"/>
                          <w:szCs w:val="20"/>
                        </w:rPr>
                      </w:pPr>
                      <w:r>
                        <w:rPr>
                          <w:b/>
                          <w:color w:val="FFFFFF"/>
                          <w:sz w:val="20"/>
                        </w:rPr>
                        <w:t>Вставка 3.2. Вплив скринінгу з РОГК</w:t>
                      </w:r>
                    </w:p>
                  </w:txbxContent>
                </v:textbox>
              </v:rect>
            </w:pict>
          </mc:Fallback>
        </mc:AlternateContent>
      </w:r>
      <w:r w:rsidR="00BF6DB7">
        <w:rPr>
          <w:noProof/>
        </w:rPr>
        <w:drawing>
          <wp:inline distT="0" distB="0" distL="0" distR="0" wp14:anchorId="5F45419F" wp14:editId="2B2A640F">
            <wp:extent cx="5782310" cy="8086090"/>
            <wp:effectExtent l="0" t="0" r="8890" b="0"/>
            <wp:docPr id="101" name="Shape 101"/>
            <wp:cNvGraphicFramePr/>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103" cstate="print">
                      <a:extLst>
                        <a:ext uri="{28A0092B-C50C-407E-A947-70E740481C1C}">
                          <a14:useLocalDpi xmlns:a14="http://schemas.microsoft.com/office/drawing/2010/main" val="0"/>
                        </a:ext>
                      </a:extLst>
                    </a:blip>
                    <a:stretch/>
                  </pic:blipFill>
                  <pic:spPr>
                    <a:xfrm>
                      <a:off x="0" y="0"/>
                      <a:ext cx="5782310" cy="8086090"/>
                    </a:xfrm>
                    <a:prstGeom prst="rect">
                      <a:avLst/>
                    </a:prstGeom>
                  </pic:spPr>
                </pic:pic>
              </a:graphicData>
            </a:graphic>
          </wp:inline>
        </w:drawing>
      </w:r>
    </w:p>
    <w:p w14:paraId="5B8CFA58"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550"/>
        <w:gridCol w:w="2986"/>
        <w:gridCol w:w="2486"/>
        <w:gridCol w:w="1406"/>
        <w:gridCol w:w="1867"/>
        <w:gridCol w:w="1814"/>
        <w:gridCol w:w="1910"/>
      </w:tblGrid>
      <w:tr w:rsidR="00366CB9" w:rsidRPr="00BF6DB7" w14:paraId="5021E460" w14:textId="77777777" w:rsidTr="007751D5">
        <w:trPr>
          <w:trHeight w:hRule="exact" w:val="1114"/>
        </w:trPr>
        <w:tc>
          <w:tcPr>
            <w:tcW w:w="14019" w:type="dxa"/>
            <w:gridSpan w:val="7"/>
            <w:tcBorders>
              <w:bottom w:val="single" w:sz="8" w:space="0" w:color="00B050"/>
            </w:tcBorders>
            <w:shd w:val="clear" w:color="auto" w:fill="FFFFFF"/>
          </w:tcPr>
          <w:p w14:paraId="4A6CEF37" w14:textId="77777777" w:rsidR="00366CB9" w:rsidRPr="00BF6DB7" w:rsidRDefault="009D0C1D" w:rsidP="00C670F3">
            <w:pPr>
              <w:pStyle w:val="a6"/>
              <w:shd w:val="clear" w:color="auto" w:fill="auto"/>
              <w:spacing w:line="252" w:lineRule="auto"/>
              <w:rPr>
                <w:sz w:val="24"/>
                <w:szCs w:val="24"/>
              </w:rPr>
            </w:pPr>
            <w:bookmarkStart w:id="81" w:name="bookmark78"/>
            <w:r>
              <w:rPr>
                <w:color w:val="636466"/>
                <w:sz w:val="24"/>
              </w:rPr>
              <w:t>Таблиця 3.1. Ефективність mWRD для виявлення ТБ у дорослих з ознаками та симптомами, яких тестують на ТБ легень, порівняно з мікробіологічним стандартним зразком (абсолютна кількість ІП, ХП, ІН або ХН результатів за заданої поширеності на 1000 осіб)</w:t>
            </w:r>
            <w:bookmarkEnd w:id="81"/>
          </w:p>
        </w:tc>
      </w:tr>
      <w:tr w:rsidR="00366CB9" w:rsidRPr="00BF6DB7" w14:paraId="534D6FE1" w14:textId="77777777" w:rsidTr="007751D5">
        <w:trPr>
          <w:trHeight w:hRule="exact" w:val="691"/>
        </w:trPr>
        <w:tc>
          <w:tcPr>
            <w:tcW w:w="155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F431715" w14:textId="77777777" w:rsidR="00366CB9" w:rsidRPr="00E80D3A" w:rsidRDefault="009D0C1D" w:rsidP="00D74C3C">
            <w:pPr>
              <w:pStyle w:val="a6"/>
              <w:shd w:val="clear" w:color="auto" w:fill="auto"/>
              <w:rPr>
                <w:sz w:val="18"/>
                <w:szCs w:val="24"/>
              </w:rPr>
            </w:pPr>
            <w:r w:rsidRPr="00E80D3A">
              <w:rPr>
                <w:color w:val="FFFFFF"/>
                <w:sz w:val="18"/>
                <w:szCs w:val="24"/>
              </w:rPr>
              <w:t>Втручання</w:t>
            </w:r>
          </w:p>
        </w:tc>
        <w:tc>
          <w:tcPr>
            <w:tcW w:w="298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BD9632A" w14:textId="77777777" w:rsidR="00366CB9" w:rsidRPr="00E80D3A" w:rsidRDefault="009D0C1D" w:rsidP="00D74C3C">
            <w:pPr>
              <w:pStyle w:val="a6"/>
              <w:shd w:val="clear" w:color="auto" w:fill="auto"/>
              <w:rPr>
                <w:sz w:val="18"/>
                <w:szCs w:val="24"/>
              </w:rPr>
            </w:pPr>
            <w:r w:rsidRPr="00E80D3A">
              <w:rPr>
                <w:color w:val="FFFFFF"/>
                <w:sz w:val="18"/>
                <w:szCs w:val="24"/>
              </w:rPr>
              <w:t>Точність тесту % (95 % ДІ)</w:t>
            </w:r>
            <w:r w:rsidRPr="00E80D3A">
              <w:rPr>
                <w:color w:val="FFFFFF"/>
                <w:sz w:val="18"/>
                <w:szCs w:val="24"/>
                <w:vertAlign w:val="superscript"/>
              </w:rPr>
              <w:t>a</w:t>
            </w:r>
          </w:p>
        </w:tc>
        <w:tc>
          <w:tcPr>
            <w:tcW w:w="248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DBDF044" w14:textId="77777777" w:rsidR="00366CB9" w:rsidRPr="00E80D3A" w:rsidRDefault="009D0C1D" w:rsidP="00D74C3C">
            <w:pPr>
              <w:pStyle w:val="a6"/>
              <w:shd w:val="clear" w:color="auto" w:fill="auto"/>
              <w:rPr>
                <w:sz w:val="18"/>
                <w:szCs w:val="24"/>
              </w:rPr>
            </w:pPr>
            <w:r w:rsidRPr="00E80D3A">
              <w:rPr>
                <w:color w:val="FFFFFF"/>
                <w:sz w:val="18"/>
                <w:szCs w:val="24"/>
              </w:rPr>
              <w:t>Дослідження (учасники)</w:t>
            </w:r>
          </w:p>
        </w:tc>
        <w:tc>
          <w:tcPr>
            <w:tcW w:w="140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AB72868" w14:textId="60A9E701" w:rsidR="00366CB9" w:rsidRPr="00E80D3A" w:rsidRDefault="009D0C1D" w:rsidP="00D74C3C">
            <w:pPr>
              <w:pStyle w:val="a6"/>
              <w:shd w:val="clear" w:color="auto" w:fill="auto"/>
              <w:spacing w:line="271" w:lineRule="auto"/>
              <w:rPr>
                <w:sz w:val="18"/>
                <w:szCs w:val="24"/>
              </w:rPr>
            </w:pPr>
            <w:r w:rsidRPr="00E80D3A">
              <w:rPr>
                <w:color w:val="FFFFFF"/>
                <w:sz w:val="18"/>
                <w:szCs w:val="24"/>
              </w:rPr>
              <w:t>Достовір</w:t>
            </w:r>
            <w:r w:rsidR="00D74C3C" w:rsidRPr="00E80D3A">
              <w:rPr>
                <w:color w:val="FFFFFF"/>
                <w:sz w:val="18"/>
                <w:szCs w:val="24"/>
              </w:rPr>
              <w:t>-</w:t>
            </w:r>
            <w:r w:rsidRPr="00E80D3A">
              <w:rPr>
                <w:color w:val="FFFFFF"/>
                <w:sz w:val="18"/>
                <w:szCs w:val="24"/>
              </w:rPr>
              <w:t>ність доказів</w:t>
            </w:r>
          </w:p>
        </w:tc>
        <w:tc>
          <w:tcPr>
            <w:tcW w:w="186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F961778" w14:textId="77777777" w:rsidR="00366CB9" w:rsidRPr="00E80D3A" w:rsidRDefault="009D0C1D" w:rsidP="00D74C3C">
            <w:pPr>
              <w:pStyle w:val="a6"/>
              <w:shd w:val="clear" w:color="auto" w:fill="auto"/>
              <w:spacing w:line="266" w:lineRule="auto"/>
              <w:rPr>
                <w:sz w:val="18"/>
                <w:szCs w:val="24"/>
              </w:rPr>
            </w:pPr>
            <w:r w:rsidRPr="00E80D3A">
              <w:rPr>
                <w:color w:val="FFFFFF"/>
                <w:sz w:val="18"/>
                <w:szCs w:val="24"/>
              </w:rPr>
              <w:t>Поширеність 2,5 %</w:t>
            </w:r>
          </w:p>
        </w:tc>
        <w:tc>
          <w:tcPr>
            <w:tcW w:w="181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C0F0979" w14:textId="77777777" w:rsidR="00366CB9" w:rsidRPr="00E80D3A" w:rsidRDefault="009D0C1D" w:rsidP="00D74C3C">
            <w:pPr>
              <w:pStyle w:val="a6"/>
              <w:shd w:val="clear" w:color="auto" w:fill="auto"/>
              <w:spacing w:line="266" w:lineRule="auto"/>
              <w:rPr>
                <w:sz w:val="18"/>
                <w:szCs w:val="24"/>
              </w:rPr>
            </w:pPr>
            <w:r w:rsidRPr="00E80D3A">
              <w:rPr>
                <w:color w:val="FFFFFF"/>
                <w:sz w:val="18"/>
                <w:szCs w:val="24"/>
              </w:rPr>
              <w:t>Поширеність 10 %</w:t>
            </w:r>
          </w:p>
        </w:tc>
        <w:tc>
          <w:tcPr>
            <w:tcW w:w="191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7EB273F" w14:textId="77777777" w:rsidR="00366CB9" w:rsidRPr="00E80D3A" w:rsidRDefault="009D0C1D" w:rsidP="00D74C3C">
            <w:pPr>
              <w:pStyle w:val="a6"/>
              <w:shd w:val="clear" w:color="auto" w:fill="auto"/>
              <w:spacing w:line="266" w:lineRule="auto"/>
              <w:rPr>
                <w:sz w:val="18"/>
                <w:szCs w:val="24"/>
              </w:rPr>
            </w:pPr>
            <w:r w:rsidRPr="00E80D3A">
              <w:rPr>
                <w:color w:val="FFFFFF"/>
                <w:sz w:val="18"/>
                <w:szCs w:val="24"/>
              </w:rPr>
              <w:t>Поширеність 30 %</w:t>
            </w:r>
          </w:p>
        </w:tc>
      </w:tr>
      <w:tr w:rsidR="00366CB9" w14:paraId="3472BA2C" w14:textId="77777777" w:rsidTr="007751D5">
        <w:trPr>
          <w:trHeight w:hRule="exact" w:val="461"/>
        </w:trPr>
        <w:tc>
          <w:tcPr>
            <w:tcW w:w="1550" w:type="dxa"/>
            <w:tcBorders>
              <w:top w:val="single" w:sz="8" w:space="0" w:color="00B050"/>
            </w:tcBorders>
            <w:shd w:val="clear" w:color="auto" w:fill="FFFFFF"/>
            <w:vAlign w:val="bottom"/>
          </w:tcPr>
          <w:p w14:paraId="5CC9FC54" w14:textId="77777777" w:rsidR="00366CB9" w:rsidRPr="00E80D3A" w:rsidRDefault="009D0C1D" w:rsidP="00C670F3">
            <w:pPr>
              <w:pStyle w:val="a6"/>
              <w:shd w:val="clear" w:color="auto" w:fill="auto"/>
              <w:rPr>
                <w:sz w:val="18"/>
                <w:szCs w:val="24"/>
              </w:rPr>
            </w:pPr>
            <w:r w:rsidRPr="00E80D3A">
              <w:rPr>
                <w:color w:val="000000"/>
                <w:sz w:val="18"/>
                <w:szCs w:val="24"/>
              </w:rPr>
              <w:t>LC-aNAAT</w:t>
            </w:r>
            <w:r w:rsidRPr="00E80D3A">
              <w:rPr>
                <w:color w:val="000000"/>
                <w:sz w:val="18"/>
                <w:szCs w:val="24"/>
                <w:vertAlign w:val="superscript"/>
              </w:rPr>
              <w:t>b</w:t>
            </w:r>
          </w:p>
        </w:tc>
        <w:tc>
          <w:tcPr>
            <w:tcW w:w="2986" w:type="dxa"/>
            <w:tcBorders>
              <w:top w:val="single" w:sz="8" w:space="0" w:color="00B050"/>
              <w:bottom w:val="single" w:sz="8" w:space="0" w:color="00B050"/>
            </w:tcBorders>
            <w:shd w:val="clear" w:color="auto" w:fill="FFFFFF"/>
            <w:vAlign w:val="bottom"/>
          </w:tcPr>
          <w:p w14:paraId="4BE20A7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90,4 (88,0-92,4)</w:t>
            </w:r>
          </w:p>
        </w:tc>
        <w:tc>
          <w:tcPr>
            <w:tcW w:w="2486" w:type="dxa"/>
            <w:tcBorders>
              <w:top w:val="single" w:sz="8" w:space="0" w:color="00B050"/>
              <w:bottom w:val="single" w:sz="8" w:space="0" w:color="00B050"/>
            </w:tcBorders>
            <w:shd w:val="clear" w:color="auto" w:fill="FFFFFF"/>
            <w:vAlign w:val="bottom"/>
          </w:tcPr>
          <w:p w14:paraId="39B7686B"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34 (3636)</w:t>
            </w:r>
          </w:p>
        </w:tc>
        <w:tc>
          <w:tcPr>
            <w:tcW w:w="1406" w:type="dxa"/>
            <w:tcBorders>
              <w:top w:val="single" w:sz="8" w:space="0" w:color="00B050"/>
              <w:bottom w:val="single" w:sz="8" w:space="0" w:color="00B050"/>
            </w:tcBorders>
            <w:shd w:val="clear" w:color="auto" w:fill="FFFFFF"/>
            <w:vAlign w:val="bottom"/>
          </w:tcPr>
          <w:p w14:paraId="4C2DA2C4"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867" w:type="dxa"/>
            <w:tcBorders>
              <w:top w:val="single" w:sz="8" w:space="0" w:color="00B050"/>
              <w:bottom w:val="single" w:sz="8" w:space="0" w:color="00B050"/>
            </w:tcBorders>
            <w:shd w:val="clear" w:color="auto" w:fill="FFFFFF"/>
            <w:vAlign w:val="bottom"/>
          </w:tcPr>
          <w:p w14:paraId="0DCA278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23/ХН: 2</w:t>
            </w:r>
          </w:p>
        </w:tc>
        <w:tc>
          <w:tcPr>
            <w:tcW w:w="1814" w:type="dxa"/>
            <w:tcBorders>
              <w:top w:val="single" w:sz="8" w:space="0" w:color="00B050"/>
              <w:bottom w:val="single" w:sz="8" w:space="0" w:color="00B050"/>
            </w:tcBorders>
            <w:shd w:val="clear" w:color="auto" w:fill="FFFFFF"/>
            <w:vAlign w:val="bottom"/>
          </w:tcPr>
          <w:p w14:paraId="1F5A1B5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90/ХН: 10</w:t>
            </w:r>
          </w:p>
        </w:tc>
        <w:tc>
          <w:tcPr>
            <w:tcW w:w="1910" w:type="dxa"/>
            <w:tcBorders>
              <w:top w:val="single" w:sz="8" w:space="0" w:color="00B050"/>
              <w:bottom w:val="single" w:sz="8" w:space="0" w:color="00B050"/>
            </w:tcBorders>
            <w:shd w:val="clear" w:color="auto" w:fill="FFFFFF"/>
            <w:vAlign w:val="bottom"/>
          </w:tcPr>
          <w:p w14:paraId="5ED88BA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271/ХН: 29</w:t>
            </w:r>
          </w:p>
        </w:tc>
      </w:tr>
      <w:tr w:rsidR="00366CB9" w14:paraId="11185B4C" w14:textId="77777777" w:rsidTr="007751D5">
        <w:trPr>
          <w:trHeight w:hRule="exact" w:val="446"/>
        </w:trPr>
        <w:tc>
          <w:tcPr>
            <w:tcW w:w="1550" w:type="dxa"/>
            <w:tcBorders>
              <w:bottom w:val="single" w:sz="8" w:space="0" w:color="00B050"/>
            </w:tcBorders>
            <w:shd w:val="clear" w:color="auto" w:fill="FFFFFF"/>
          </w:tcPr>
          <w:p w14:paraId="305CF36A" w14:textId="77777777" w:rsidR="00366CB9" w:rsidRPr="00E80D3A" w:rsidRDefault="00366CB9" w:rsidP="00C670F3">
            <w:pPr>
              <w:rPr>
                <w:b/>
                <w:bCs/>
                <w:sz w:val="18"/>
              </w:rPr>
            </w:pPr>
          </w:p>
        </w:tc>
        <w:tc>
          <w:tcPr>
            <w:tcW w:w="2986" w:type="dxa"/>
            <w:tcBorders>
              <w:top w:val="single" w:sz="8" w:space="0" w:color="00B050"/>
              <w:bottom w:val="single" w:sz="8" w:space="0" w:color="00B050"/>
            </w:tcBorders>
            <w:shd w:val="clear" w:color="auto" w:fill="FFFFFF"/>
            <w:vAlign w:val="bottom"/>
          </w:tcPr>
          <w:p w14:paraId="78F303A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94,9 (93,0-96,3)</w:t>
            </w:r>
          </w:p>
        </w:tc>
        <w:tc>
          <w:tcPr>
            <w:tcW w:w="2486" w:type="dxa"/>
            <w:tcBorders>
              <w:top w:val="single" w:sz="8" w:space="0" w:color="00B050"/>
              <w:bottom w:val="single" w:sz="8" w:space="0" w:color="00B050"/>
            </w:tcBorders>
            <w:shd w:val="clear" w:color="auto" w:fill="FFFFFF"/>
            <w:vAlign w:val="bottom"/>
          </w:tcPr>
          <w:p w14:paraId="1DDFBE7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34 (11 204)</w:t>
            </w:r>
          </w:p>
        </w:tc>
        <w:tc>
          <w:tcPr>
            <w:tcW w:w="1406" w:type="dxa"/>
            <w:tcBorders>
              <w:top w:val="single" w:sz="8" w:space="0" w:color="00B050"/>
              <w:bottom w:val="single" w:sz="8" w:space="0" w:color="00B050"/>
            </w:tcBorders>
            <w:shd w:val="clear" w:color="auto" w:fill="FFFFFF"/>
            <w:vAlign w:val="bottom"/>
          </w:tcPr>
          <w:p w14:paraId="2B9B8A78"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867" w:type="dxa"/>
            <w:tcBorders>
              <w:top w:val="single" w:sz="8" w:space="0" w:color="00B050"/>
              <w:bottom w:val="single" w:sz="8" w:space="0" w:color="00B050"/>
            </w:tcBorders>
            <w:shd w:val="clear" w:color="auto" w:fill="FFFFFF"/>
            <w:vAlign w:val="bottom"/>
          </w:tcPr>
          <w:p w14:paraId="091BD4E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925 / ХП: 50</w:t>
            </w:r>
          </w:p>
        </w:tc>
        <w:tc>
          <w:tcPr>
            <w:tcW w:w="1814" w:type="dxa"/>
            <w:tcBorders>
              <w:top w:val="single" w:sz="8" w:space="0" w:color="00B050"/>
              <w:bottom w:val="single" w:sz="8" w:space="0" w:color="00B050"/>
            </w:tcBorders>
            <w:shd w:val="clear" w:color="auto" w:fill="FFFFFF"/>
            <w:vAlign w:val="bottom"/>
          </w:tcPr>
          <w:p w14:paraId="0BC30A9E"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854 / ХП: 46</w:t>
            </w:r>
          </w:p>
        </w:tc>
        <w:tc>
          <w:tcPr>
            <w:tcW w:w="1910" w:type="dxa"/>
            <w:tcBorders>
              <w:top w:val="single" w:sz="8" w:space="0" w:color="00B050"/>
              <w:bottom w:val="single" w:sz="8" w:space="0" w:color="00B050"/>
            </w:tcBorders>
            <w:shd w:val="clear" w:color="auto" w:fill="FFFFFF"/>
            <w:vAlign w:val="bottom"/>
          </w:tcPr>
          <w:p w14:paraId="547B166E"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664 / ХП: 36</w:t>
            </w:r>
          </w:p>
        </w:tc>
      </w:tr>
      <w:tr w:rsidR="00366CB9" w14:paraId="77017709" w14:textId="77777777" w:rsidTr="007751D5">
        <w:trPr>
          <w:trHeight w:hRule="exact" w:val="451"/>
        </w:trPr>
        <w:tc>
          <w:tcPr>
            <w:tcW w:w="1550" w:type="dxa"/>
            <w:tcBorders>
              <w:top w:val="single" w:sz="8" w:space="0" w:color="00B050"/>
            </w:tcBorders>
            <w:shd w:val="clear" w:color="auto" w:fill="FFFFFF"/>
            <w:vAlign w:val="bottom"/>
          </w:tcPr>
          <w:p w14:paraId="6E732436" w14:textId="77777777" w:rsidR="00366CB9" w:rsidRPr="00E80D3A" w:rsidRDefault="009D0C1D" w:rsidP="00C670F3">
            <w:pPr>
              <w:pStyle w:val="a6"/>
              <w:shd w:val="clear" w:color="auto" w:fill="auto"/>
              <w:rPr>
                <w:sz w:val="18"/>
                <w:szCs w:val="24"/>
              </w:rPr>
            </w:pPr>
            <w:r w:rsidRPr="00E80D3A">
              <w:rPr>
                <w:color w:val="000000"/>
                <w:sz w:val="18"/>
                <w:szCs w:val="24"/>
              </w:rPr>
              <w:t>MC-aNAAT</w:t>
            </w:r>
          </w:p>
        </w:tc>
        <w:tc>
          <w:tcPr>
            <w:tcW w:w="2986" w:type="dxa"/>
            <w:tcBorders>
              <w:top w:val="single" w:sz="8" w:space="0" w:color="00B050"/>
              <w:bottom w:val="single" w:sz="8" w:space="0" w:color="00B050"/>
            </w:tcBorders>
            <w:shd w:val="clear" w:color="auto" w:fill="FFFFFF"/>
            <w:vAlign w:val="bottom"/>
          </w:tcPr>
          <w:p w14:paraId="52410EE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93,0 (90,9-94,7)</w:t>
            </w:r>
          </w:p>
        </w:tc>
        <w:tc>
          <w:tcPr>
            <w:tcW w:w="2486" w:type="dxa"/>
            <w:tcBorders>
              <w:top w:val="single" w:sz="8" w:space="0" w:color="00B050"/>
              <w:bottom w:val="single" w:sz="8" w:space="0" w:color="00B050"/>
            </w:tcBorders>
            <w:shd w:val="clear" w:color="auto" w:fill="FFFFFF"/>
            <w:vAlign w:val="bottom"/>
          </w:tcPr>
          <w:p w14:paraId="24E55AF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29 (4767)</w:t>
            </w:r>
          </w:p>
        </w:tc>
        <w:tc>
          <w:tcPr>
            <w:tcW w:w="1406" w:type="dxa"/>
            <w:tcBorders>
              <w:top w:val="single" w:sz="8" w:space="0" w:color="00B050"/>
              <w:bottom w:val="single" w:sz="8" w:space="0" w:color="00B050"/>
            </w:tcBorders>
            <w:shd w:val="clear" w:color="auto" w:fill="FFFFFF"/>
            <w:vAlign w:val="bottom"/>
          </w:tcPr>
          <w:p w14:paraId="0DDF34D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867" w:type="dxa"/>
            <w:tcBorders>
              <w:top w:val="single" w:sz="8" w:space="0" w:color="00B050"/>
              <w:bottom w:val="single" w:sz="8" w:space="0" w:color="00B050"/>
            </w:tcBorders>
            <w:shd w:val="clear" w:color="auto" w:fill="FFFFFF"/>
            <w:vAlign w:val="bottom"/>
          </w:tcPr>
          <w:p w14:paraId="46FAA25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23/ХН: 2</w:t>
            </w:r>
          </w:p>
        </w:tc>
        <w:tc>
          <w:tcPr>
            <w:tcW w:w="1814" w:type="dxa"/>
            <w:tcBorders>
              <w:top w:val="single" w:sz="8" w:space="0" w:color="00B050"/>
              <w:bottom w:val="single" w:sz="8" w:space="0" w:color="00B050"/>
            </w:tcBorders>
            <w:shd w:val="clear" w:color="auto" w:fill="FFFFFF"/>
            <w:vAlign w:val="bottom"/>
          </w:tcPr>
          <w:p w14:paraId="183226EB"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93/ХН: 7</w:t>
            </w:r>
          </w:p>
        </w:tc>
        <w:tc>
          <w:tcPr>
            <w:tcW w:w="1910" w:type="dxa"/>
            <w:tcBorders>
              <w:top w:val="single" w:sz="8" w:space="0" w:color="00B050"/>
              <w:bottom w:val="single" w:sz="8" w:space="0" w:color="00B050"/>
            </w:tcBorders>
            <w:shd w:val="clear" w:color="auto" w:fill="FFFFFF"/>
            <w:vAlign w:val="bottom"/>
          </w:tcPr>
          <w:p w14:paraId="570BB3E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279/ХН: 21</w:t>
            </w:r>
          </w:p>
        </w:tc>
      </w:tr>
      <w:tr w:rsidR="00366CB9" w14:paraId="4618575B" w14:textId="77777777" w:rsidTr="007751D5">
        <w:trPr>
          <w:trHeight w:hRule="exact" w:val="446"/>
        </w:trPr>
        <w:tc>
          <w:tcPr>
            <w:tcW w:w="1550" w:type="dxa"/>
            <w:tcBorders>
              <w:bottom w:val="single" w:sz="8" w:space="0" w:color="00B050"/>
            </w:tcBorders>
            <w:shd w:val="clear" w:color="auto" w:fill="FFFFFF"/>
          </w:tcPr>
          <w:p w14:paraId="0E409779" w14:textId="77777777" w:rsidR="00366CB9" w:rsidRPr="00E80D3A" w:rsidRDefault="00366CB9" w:rsidP="00C670F3">
            <w:pPr>
              <w:rPr>
                <w:b/>
                <w:bCs/>
                <w:sz w:val="18"/>
              </w:rPr>
            </w:pPr>
          </w:p>
        </w:tc>
        <w:tc>
          <w:tcPr>
            <w:tcW w:w="2986" w:type="dxa"/>
            <w:tcBorders>
              <w:top w:val="single" w:sz="8" w:space="0" w:color="00B050"/>
              <w:bottom w:val="single" w:sz="8" w:space="0" w:color="00B050"/>
            </w:tcBorders>
            <w:shd w:val="clear" w:color="auto" w:fill="FFFFFF"/>
            <w:vAlign w:val="bottom"/>
          </w:tcPr>
          <w:p w14:paraId="5EFFB28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97,7 (95,6-98,8)</w:t>
            </w:r>
          </w:p>
        </w:tc>
        <w:tc>
          <w:tcPr>
            <w:tcW w:w="2486" w:type="dxa"/>
            <w:tcBorders>
              <w:top w:val="single" w:sz="8" w:space="0" w:color="00B050"/>
              <w:bottom w:val="single" w:sz="8" w:space="0" w:color="00B050"/>
            </w:tcBorders>
            <w:shd w:val="clear" w:color="auto" w:fill="FFFFFF"/>
            <w:vAlign w:val="bottom"/>
          </w:tcPr>
          <w:p w14:paraId="1270E06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29 (9085)</w:t>
            </w:r>
          </w:p>
        </w:tc>
        <w:tc>
          <w:tcPr>
            <w:tcW w:w="1406" w:type="dxa"/>
            <w:tcBorders>
              <w:top w:val="single" w:sz="8" w:space="0" w:color="00B050"/>
              <w:bottom w:val="single" w:sz="8" w:space="0" w:color="00B050"/>
            </w:tcBorders>
            <w:shd w:val="clear" w:color="auto" w:fill="FFFFFF"/>
            <w:vAlign w:val="bottom"/>
          </w:tcPr>
          <w:p w14:paraId="0F5C9BF8"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867" w:type="dxa"/>
            <w:tcBorders>
              <w:top w:val="single" w:sz="8" w:space="0" w:color="00B050"/>
              <w:bottom w:val="single" w:sz="8" w:space="0" w:color="00B050"/>
            </w:tcBorders>
            <w:shd w:val="clear" w:color="auto" w:fill="FFFFFF"/>
            <w:vAlign w:val="bottom"/>
          </w:tcPr>
          <w:p w14:paraId="6ED82B7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953 / ХП: 22</w:t>
            </w:r>
          </w:p>
        </w:tc>
        <w:tc>
          <w:tcPr>
            <w:tcW w:w="1814" w:type="dxa"/>
            <w:tcBorders>
              <w:top w:val="single" w:sz="8" w:space="0" w:color="00B050"/>
              <w:bottom w:val="single" w:sz="8" w:space="0" w:color="00B050"/>
            </w:tcBorders>
            <w:shd w:val="clear" w:color="auto" w:fill="FFFFFF"/>
            <w:vAlign w:val="bottom"/>
          </w:tcPr>
          <w:p w14:paraId="760790A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879 / ХП: 21</w:t>
            </w:r>
          </w:p>
        </w:tc>
        <w:tc>
          <w:tcPr>
            <w:tcW w:w="1910" w:type="dxa"/>
            <w:tcBorders>
              <w:top w:val="single" w:sz="8" w:space="0" w:color="00B050"/>
              <w:bottom w:val="single" w:sz="8" w:space="0" w:color="00B050"/>
            </w:tcBorders>
            <w:shd w:val="clear" w:color="auto" w:fill="FFFFFF"/>
            <w:vAlign w:val="bottom"/>
          </w:tcPr>
          <w:p w14:paraId="1B45213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684 / ХП: 16</w:t>
            </w:r>
          </w:p>
        </w:tc>
      </w:tr>
      <w:tr w:rsidR="00366CB9" w14:paraId="054C792C" w14:textId="77777777" w:rsidTr="007751D5">
        <w:trPr>
          <w:trHeight w:hRule="exact" w:val="446"/>
        </w:trPr>
        <w:tc>
          <w:tcPr>
            <w:tcW w:w="1550" w:type="dxa"/>
            <w:tcBorders>
              <w:top w:val="single" w:sz="8" w:space="0" w:color="00B050"/>
            </w:tcBorders>
            <w:shd w:val="clear" w:color="auto" w:fill="FFFFFF"/>
            <w:vAlign w:val="bottom"/>
          </w:tcPr>
          <w:p w14:paraId="2EDC1B1F" w14:textId="77777777" w:rsidR="00366CB9" w:rsidRPr="00E80D3A" w:rsidRDefault="009D0C1D" w:rsidP="00C670F3">
            <w:pPr>
              <w:pStyle w:val="a6"/>
              <w:shd w:val="clear" w:color="auto" w:fill="auto"/>
              <w:rPr>
                <w:sz w:val="18"/>
                <w:szCs w:val="24"/>
              </w:rPr>
            </w:pPr>
            <w:r w:rsidRPr="00E80D3A">
              <w:rPr>
                <w:color w:val="000000"/>
                <w:sz w:val="18"/>
                <w:szCs w:val="24"/>
              </w:rPr>
              <w:t>LC-mNAAT</w:t>
            </w:r>
          </w:p>
        </w:tc>
        <w:tc>
          <w:tcPr>
            <w:tcW w:w="2986" w:type="dxa"/>
            <w:tcBorders>
              <w:top w:val="single" w:sz="8" w:space="0" w:color="00B050"/>
              <w:bottom w:val="single" w:sz="8" w:space="0" w:color="00B050"/>
            </w:tcBorders>
            <w:shd w:val="clear" w:color="auto" w:fill="FFFFFF"/>
            <w:vAlign w:val="bottom"/>
          </w:tcPr>
          <w:p w14:paraId="4D093EA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84 (78-89)</w:t>
            </w:r>
          </w:p>
        </w:tc>
        <w:tc>
          <w:tcPr>
            <w:tcW w:w="2486" w:type="dxa"/>
            <w:tcBorders>
              <w:top w:val="single" w:sz="8" w:space="0" w:color="00B050"/>
              <w:bottom w:val="single" w:sz="8" w:space="0" w:color="00B050"/>
            </w:tcBorders>
            <w:shd w:val="clear" w:color="auto" w:fill="FFFFFF"/>
            <w:vAlign w:val="bottom"/>
          </w:tcPr>
          <w:p w14:paraId="76B5E7C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26 (4108)</w:t>
            </w:r>
          </w:p>
        </w:tc>
        <w:tc>
          <w:tcPr>
            <w:tcW w:w="1406" w:type="dxa"/>
            <w:tcBorders>
              <w:top w:val="single" w:sz="8" w:space="0" w:color="00B050"/>
              <w:bottom w:val="single" w:sz="8" w:space="0" w:color="00B050"/>
            </w:tcBorders>
            <w:shd w:val="clear" w:color="auto" w:fill="FFFFFF"/>
            <w:vAlign w:val="bottom"/>
          </w:tcPr>
          <w:p w14:paraId="3B88DBD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867" w:type="dxa"/>
            <w:tcBorders>
              <w:top w:val="single" w:sz="8" w:space="0" w:color="00B050"/>
              <w:bottom w:val="single" w:sz="8" w:space="0" w:color="00B050"/>
            </w:tcBorders>
            <w:shd w:val="clear" w:color="auto" w:fill="FFFFFF"/>
            <w:vAlign w:val="bottom"/>
          </w:tcPr>
          <w:p w14:paraId="0C65886B"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21/ХН: 4</w:t>
            </w:r>
          </w:p>
        </w:tc>
        <w:tc>
          <w:tcPr>
            <w:tcW w:w="1814" w:type="dxa"/>
            <w:tcBorders>
              <w:top w:val="single" w:sz="8" w:space="0" w:color="00B050"/>
              <w:bottom w:val="single" w:sz="8" w:space="0" w:color="00B050"/>
            </w:tcBorders>
            <w:shd w:val="clear" w:color="auto" w:fill="FFFFFF"/>
            <w:vAlign w:val="bottom"/>
          </w:tcPr>
          <w:p w14:paraId="2E2F19C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84/ХН: 16</w:t>
            </w:r>
          </w:p>
        </w:tc>
        <w:tc>
          <w:tcPr>
            <w:tcW w:w="1910" w:type="dxa"/>
            <w:tcBorders>
              <w:top w:val="single" w:sz="8" w:space="0" w:color="00B050"/>
              <w:bottom w:val="single" w:sz="8" w:space="0" w:color="00B050"/>
            </w:tcBorders>
            <w:shd w:val="clear" w:color="auto" w:fill="FFFFFF"/>
            <w:vAlign w:val="bottom"/>
          </w:tcPr>
          <w:p w14:paraId="5FFCEE3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252/ХН: 48</w:t>
            </w:r>
          </w:p>
        </w:tc>
      </w:tr>
      <w:tr w:rsidR="00366CB9" w14:paraId="1850125E" w14:textId="77777777" w:rsidTr="007751D5">
        <w:trPr>
          <w:trHeight w:hRule="exact" w:val="451"/>
        </w:trPr>
        <w:tc>
          <w:tcPr>
            <w:tcW w:w="1550" w:type="dxa"/>
            <w:tcBorders>
              <w:bottom w:val="single" w:sz="8" w:space="0" w:color="00B050"/>
            </w:tcBorders>
            <w:shd w:val="clear" w:color="auto" w:fill="FFFFFF"/>
          </w:tcPr>
          <w:p w14:paraId="61D14CBF" w14:textId="77777777" w:rsidR="00366CB9" w:rsidRPr="00E80D3A" w:rsidRDefault="00366CB9" w:rsidP="00C670F3">
            <w:pPr>
              <w:rPr>
                <w:b/>
                <w:bCs/>
                <w:sz w:val="18"/>
              </w:rPr>
            </w:pPr>
          </w:p>
        </w:tc>
        <w:tc>
          <w:tcPr>
            <w:tcW w:w="2986" w:type="dxa"/>
            <w:tcBorders>
              <w:top w:val="single" w:sz="8" w:space="0" w:color="00B050"/>
              <w:bottom w:val="single" w:sz="8" w:space="0" w:color="00B050"/>
            </w:tcBorders>
            <w:shd w:val="clear" w:color="auto" w:fill="FFFFFF"/>
            <w:vAlign w:val="bottom"/>
          </w:tcPr>
          <w:p w14:paraId="357A2B5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96 (94-97)</w:t>
            </w:r>
          </w:p>
        </w:tc>
        <w:tc>
          <w:tcPr>
            <w:tcW w:w="2486" w:type="dxa"/>
            <w:tcBorders>
              <w:top w:val="single" w:sz="8" w:space="0" w:color="00B050"/>
              <w:bottom w:val="single" w:sz="8" w:space="0" w:color="00B050"/>
            </w:tcBorders>
            <w:shd w:val="clear" w:color="auto" w:fill="FFFFFF"/>
            <w:vAlign w:val="bottom"/>
          </w:tcPr>
          <w:p w14:paraId="2ADD1D98"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26 (14 189)</w:t>
            </w:r>
          </w:p>
        </w:tc>
        <w:tc>
          <w:tcPr>
            <w:tcW w:w="1406" w:type="dxa"/>
            <w:tcBorders>
              <w:top w:val="single" w:sz="8" w:space="0" w:color="00B050"/>
              <w:bottom w:val="single" w:sz="8" w:space="0" w:color="00B050"/>
            </w:tcBorders>
            <w:shd w:val="clear" w:color="auto" w:fill="FFFFFF"/>
            <w:vAlign w:val="bottom"/>
          </w:tcPr>
          <w:p w14:paraId="7FC50F28"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867" w:type="dxa"/>
            <w:tcBorders>
              <w:top w:val="single" w:sz="8" w:space="0" w:color="00B050"/>
              <w:bottom w:val="single" w:sz="8" w:space="0" w:color="00B050"/>
            </w:tcBorders>
            <w:shd w:val="clear" w:color="auto" w:fill="FFFFFF"/>
            <w:vAlign w:val="bottom"/>
          </w:tcPr>
          <w:p w14:paraId="45E3618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936 / ХП: 39</w:t>
            </w:r>
          </w:p>
        </w:tc>
        <w:tc>
          <w:tcPr>
            <w:tcW w:w="1814" w:type="dxa"/>
            <w:tcBorders>
              <w:top w:val="single" w:sz="8" w:space="0" w:color="00B050"/>
              <w:bottom w:val="single" w:sz="8" w:space="0" w:color="00B050"/>
            </w:tcBorders>
            <w:shd w:val="clear" w:color="auto" w:fill="FFFFFF"/>
            <w:vAlign w:val="bottom"/>
          </w:tcPr>
          <w:p w14:paraId="3F2226F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864 / ХП: 36</w:t>
            </w:r>
          </w:p>
        </w:tc>
        <w:tc>
          <w:tcPr>
            <w:tcW w:w="1910" w:type="dxa"/>
            <w:tcBorders>
              <w:top w:val="single" w:sz="8" w:space="0" w:color="00B050"/>
              <w:bottom w:val="single" w:sz="8" w:space="0" w:color="00B050"/>
            </w:tcBorders>
            <w:shd w:val="clear" w:color="auto" w:fill="FFFFFF"/>
            <w:vAlign w:val="bottom"/>
          </w:tcPr>
          <w:p w14:paraId="1C3E2CF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672 / ХП: 28</w:t>
            </w:r>
          </w:p>
        </w:tc>
      </w:tr>
      <w:tr w:rsidR="00366CB9" w14:paraId="658C5E97" w14:textId="77777777" w:rsidTr="007751D5">
        <w:trPr>
          <w:trHeight w:hRule="exact" w:val="1597"/>
        </w:trPr>
        <w:tc>
          <w:tcPr>
            <w:tcW w:w="14019" w:type="dxa"/>
            <w:gridSpan w:val="7"/>
            <w:tcBorders>
              <w:top w:val="single" w:sz="8" w:space="0" w:color="00B050"/>
            </w:tcBorders>
            <w:shd w:val="clear" w:color="auto" w:fill="FFFFFF"/>
            <w:vAlign w:val="bottom"/>
          </w:tcPr>
          <w:p w14:paraId="52DD65AE" w14:textId="77777777" w:rsidR="00366CB9" w:rsidRDefault="009D0C1D" w:rsidP="00C670F3">
            <w:pPr>
              <w:pStyle w:val="a6"/>
              <w:shd w:val="clear" w:color="auto" w:fill="auto"/>
              <w:spacing w:after="40" w:line="266" w:lineRule="auto"/>
              <w:rPr>
                <w:sz w:val="17"/>
                <w:szCs w:val="17"/>
              </w:rPr>
            </w:pPr>
            <w:r>
              <w:rPr>
                <w:b w:val="0"/>
                <w:color w:val="000000"/>
                <w:sz w:val="17"/>
              </w:rPr>
              <w:t>ДІ: довірчий інтервал; ХН: хибнонегативний; ХП: хибнопозитивний; MC-aNAAT: автоматизований аналіз ампліфікації нуклеїнових кислот середньої складності; mWRD: молекулярний експрес-тест для діагностики туберкульозу, рекомендований ВООЗ; Se: чутливість; Sp: специфічність; ТБ: туберкульоз; ІН: істинно негативний; ІП: істинно позитивний; ВООЗ: Всесвітня організація охорони здоров’я.</w:t>
            </w:r>
          </w:p>
          <w:p w14:paraId="1292B3A2" w14:textId="7110031A" w:rsidR="00366CB9" w:rsidRDefault="009D0C1D" w:rsidP="00D74C3C">
            <w:pPr>
              <w:pStyle w:val="a6"/>
              <w:shd w:val="clear" w:color="auto" w:fill="auto"/>
              <w:tabs>
                <w:tab w:val="left" w:pos="129"/>
              </w:tabs>
              <w:spacing w:after="40" w:line="266" w:lineRule="auto"/>
              <w:rPr>
                <w:sz w:val="17"/>
                <w:szCs w:val="17"/>
              </w:rPr>
            </w:pPr>
            <w:r>
              <w:rPr>
                <w:b w:val="0"/>
                <w:color w:val="000000"/>
                <w:sz w:val="17"/>
                <w:vertAlign w:val="superscript"/>
              </w:rPr>
              <w:t>a</w:t>
            </w:r>
            <w:r w:rsidR="00D74C3C">
              <w:tab/>
            </w:r>
            <w:r>
              <w:rPr>
                <w:b w:val="0"/>
                <w:color w:val="000000"/>
                <w:sz w:val="17"/>
              </w:rPr>
              <w:t>Точність тесту з консолідованої настанови ВООЗ з діагностики ТБ (</w:t>
            </w:r>
            <w:hyperlink w:anchor="bookmark193" w:tooltip="Поточний документ">
              <w:r w:rsidR="00366CB9">
                <w:rPr>
                  <w:b w:val="0"/>
                  <w:color w:val="000000"/>
                  <w:sz w:val="17"/>
                </w:rPr>
                <w:t>5</w:t>
              </w:r>
            </w:hyperlink>
            <w:r>
              <w:rPr>
                <w:b w:val="0"/>
                <w:color w:val="000000"/>
                <w:sz w:val="17"/>
              </w:rPr>
              <w:t>).</w:t>
            </w:r>
          </w:p>
          <w:p w14:paraId="21020527" w14:textId="09717D64" w:rsidR="00366CB9" w:rsidRDefault="009D0C1D" w:rsidP="00D74C3C">
            <w:pPr>
              <w:pStyle w:val="a6"/>
              <w:shd w:val="clear" w:color="auto" w:fill="auto"/>
              <w:tabs>
                <w:tab w:val="left" w:pos="129"/>
              </w:tabs>
              <w:spacing w:after="40" w:line="266" w:lineRule="auto"/>
              <w:ind w:left="140" w:hanging="140"/>
              <w:rPr>
                <w:sz w:val="17"/>
                <w:szCs w:val="17"/>
              </w:rPr>
            </w:pPr>
            <w:r>
              <w:rPr>
                <w:b w:val="0"/>
                <w:color w:val="000000"/>
                <w:sz w:val="17"/>
                <w:vertAlign w:val="superscript"/>
              </w:rPr>
              <w:t>b</w:t>
            </w:r>
            <w:r w:rsidR="00D74C3C">
              <w:tab/>
            </w:r>
            <w:r>
              <w:rPr>
                <w:b w:val="0"/>
                <w:color w:val="000000"/>
                <w:sz w:val="17"/>
              </w:rPr>
              <w:t>При використанні у лабораторії мікроскопії. Під час тестування у референс-лабораторіях чутливість тестів Truenat MTB та Truenat MTB Plus становила 84 та 87 відповідно, а специфічність – 97 та 95 відповідно.</w:t>
            </w:r>
          </w:p>
        </w:tc>
      </w:tr>
    </w:tbl>
    <w:tbl>
      <w:tblPr>
        <w:tblOverlap w:val="never"/>
        <w:tblW w:w="0" w:type="auto"/>
        <w:tblLayout w:type="fixed"/>
        <w:tblCellMar>
          <w:left w:w="10" w:type="dxa"/>
          <w:right w:w="10" w:type="dxa"/>
        </w:tblCellMar>
        <w:tblLook w:val="0000" w:firstRow="0" w:lastRow="0" w:firstColumn="0" w:lastColumn="0" w:noHBand="0" w:noVBand="0"/>
      </w:tblPr>
      <w:tblGrid>
        <w:gridCol w:w="202"/>
      </w:tblGrid>
      <w:tr w:rsidR="00366CB9" w14:paraId="3CB0DC95" w14:textId="77777777">
        <w:trPr>
          <w:trHeight w:hRule="exact" w:val="600"/>
        </w:trPr>
        <w:tc>
          <w:tcPr>
            <w:tcW w:w="202" w:type="dxa"/>
            <w:shd w:val="clear" w:color="auto" w:fill="FFFFFF"/>
            <w:textDirection w:val="tbRl"/>
          </w:tcPr>
          <w:p w14:paraId="5515B440" w14:textId="77777777" w:rsidR="00366CB9" w:rsidRDefault="009D0C1D" w:rsidP="00425523">
            <w:pPr>
              <w:pStyle w:val="a6"/>
              <w:framePr w:w="202" w:h="5323" w:wrap="none" w:vAnchor="page" w:hAnchor="page" w:x="671" w:y="802"/>
              <w:shd w:val="clear" w:color="auto" w:fill="auto"/>
              <w:rPr>
                <w:sz w:val="15"/>
                <w:szCs w:val="15"/>
              </w:rPr>
            </w:pPr>
            <w:r>
              <w:rPr>
                <w:b w:val="0"/>
                <w:color w:val="019648"/>
                <w:sz w:val="15"/>
              </w:rPr>
              <w:t>70</w:t>
            </w:r>
          </w:p>
        </w:tc>
      </w:tr>
      <w:tr w:rsidR="00366CB9" w14:paraId="0CA83401" w14:textId="77777777" w:rsidTr="00D74C3C">
        <w:trPr>
          <w:trHeight w:hRule="exact" w:val="5350"/>
        </w:trPr>
        <w:tc>
          <w:tcPr>
            <w:tcW w:w="202" w:type="dxa"/>
            <w:shd w:val="clear" w:color="auto" w:fill="FFFFFF"/>
            <w:textDirection w:val="tbRl"/>
          </w:tcPr>
          <w:p w14:paraId="680B1818" w14:textId="77777777" w:rsidR="00366CB9" w:rsidRDefault="009D0C1D" w:rsidP="00425523">
            <w:pPr>
              <w:pStyle w:val="a6"/>
              <w:framePr w:w="202" w:h="5323" w:wrap="none" w:vAnchor="page" w:hAnchor="page" w:x="671" w:y="802"/>
              <w:shd w:val="clear" w:color="auto" w:fill="auto"/>
              <w:rPr>
                <w:sz w:val="15"/>
                <w:szCs w:val="15"/>
              </w:rPr>
            </w:pPr>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p>
        </w:tc>
      </w:tr>
    </w:tbl>
    <w:p w14:paraId="2BDFB154" w14:textId="77777777" w:rsidR="00366CB9" w:rsidRDefault="00366CB9" w:rsidP="00425523">
      <w:pPr>
        <w:spacing w:line="1" w:lineRule="exact"/>
        <w:sectPr w:rsidR="00366CB9" w:rsidSect="00C670F3">
          <w:footerReference w:type="even" r:id="rId104"/>
          <w:pgSz w:w="16840" w:h="11913" w:orient="landscape"/>
          <w:pgMar w:top="1406" w:right="1321" w:bottom="851" w:left="1503" w:header="0" w:footer="6" w:gutter="0"/>
          <w:paperSrc w:first="15" w:other="15"/>
          <w:cols w:space="720"/>
          <w:noEndnote/>
          <w:docGrid w:linePitch="360"/>
        </w:sectPr>
      </w:pPr>
    </w:p>
    <w:p w14:paraId="3FA2A860"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594"/>
        <w:gridCol w:w="2933"/>
        <w:gridCol w:w="2486"/>
        <w:gridCol w:w="1416"/>
        <w:gridCol w:w="1848"/>
        <w:gridCol w:w="1853"/>
        <w:gridCol w:w="1891"/>
      </w:tblGrid>
      <w:tr w:rsidR="00366CB9" w:rsidRPr="00BF6DB7" w14:paraId="634896EF" w14:textId="77777777" w:rsidTr="007751D5">
        <w:trPr>
          <w:trHeight w:hRule="exact" w:val="1114"/>
        </w:trPr>
        <w:tc>
          <w:tcPr>
            <w:tcW w:w="14021" w:type="dxa"/>
            <w:gridSpan w:val="7"/>
            <w:tcBorders>
              <w:bottom w:val="single" w:sz="8" w:space="0" w:color="00B050"/>
            </w:tcBorders>
            <w:shd w:val="clear" w:color="auto" w:fill="FFFFFF"/>
          </w:tcPr>
          <w:p w14:paraId="5E2241F1" w14:textId="77777777" w:rsidR="00366CB9" w:rsidRPr="00BF6DB7" w:rsidRDefault="009D0C1D" w:rsidP="00C670F3">
            <w:pPr>
              <w:pStyle w:val="a6"/>
              <w:shd w:val="clear" w:color="auto" w:fill="auto"/>
              <w:rPr>
                <w:sz w:val="24"/>
                <w:szCs w:val="24"/>
              </w:rPr>
            </w:pPr>
            <w:bookmarkStart w:id="82" w:name="bookmark79"/>
            <w:r>
              <w:rPr>
                <w:color w:val="636466"/>
                <w:sz w:val="24"/>
              </w:rPr>
              <w:t>Таблиця 3.2. Ефективність молекулярних тестів для виявлення резистентності до RIF у дорослих з ознаками та симптомами, яких тестують на ТБ легень</w:t>
            </w:r>
            <w:r>
              <w:rPr>
                <w:color w:val="636466"/>
                <w:sz w:val="24"/>
                <w:vertAlign w:val="superscript"/>
              </w:rPr>
              <w:t>a</w:t>
            </w:r>
            <w:r>
              <w:rPr>
                <w:color w:val="636466"/>
                <w:sz w:val="24"/>
              </w:rPr>
              <w:t>, порівняно з мікробіологічним стандартним зразком (абсолютна кількість ІП, ХП, ІН або ХН результатів за заданої поширеності резистентності до RIF на 1000 осіб)</w:t>
            </w:r>
            <w:bookmarkEnd w:id="82"/>
          </w:p>
        </w:tc>
      </w:tr>
      <w:tr w:rsidR="00366CB9" w:rsidRPr="00BF6DB7" w14:paraId="53653F6C" w14:textId="77777777" w:rsidTr="007751D5">
        <w:trPr>
          <w:trHeight w:hRule="exact" w:val="691"/>
        </w:trPr>
        <w:tc>
          <w:tcPr>
            <w:tcW w:w="159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2D34D9A" w14:textId="77777777" w:rsidR="00366CB9" w:rsidRPr="00E80D3A" w:rsidRDefault="009D0C1D" w:rsidP="00D74C3C">
            <w:pPr>
              <w:pStyle w:val="a6"/>
              <w:shd w:val="clear" w:color="auto" w:fill="auto"/>
              <w:rPr>
                <w:sz w:val="18"/>
                <w:szCs w:val="24"/>
              </w:rPr>
            </w:pPr>
            <w:r w:rsidRPr="00E80D3A">
              <w:rPr>
                <w:color w:val="FFFFFF"/>
                <w:sz w:val="18"/>
                <w:szCs w:val="24"/>
              </w:rPr>
              <w:t>Втручання</w:t>
            </w:r>
          </w:p>
        </w:tc>
        <w:tc>
          <w:tcPr>
            <w:tcW w:w="2933"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F54F3AC" w14:textId="77777777" w:rsidR="00366CB9" w:rsidRPr="00E80D3A" w:rsidRDefault="009D0C1D" w:rsidP="00D74C3C">
            <w:pPr>
              <w:pStyle w:val="a6"/>
              <w:shd w:val="clear" w:color="auto" w:fill="auto"/>
              <w:rPr>
                <w:sz w:val="18"/>
                <w:szCs w:val="24"/>
              </w:rPr>
            </w:pPr>
            <w:r w:rsidRPr="00E80D3A">
              <w:rPr>
                <w:color w:val="FFFFFF"/>
                <w:sz w:val="18"/>
                <w:szCs w:val="24"/>
              </w:rPr>
              <w:t>Точність тесту % (95 % ДІ)</w:t>
            </w:r>
          </w:p>
        </w:tc>
        <w:tc>
          <w:tcPr>
            <w:tcW w:w="248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914E885" w14:textId="77777777" w:rsidR="00366CB9" w:rsidRPr="00E80D3A" w:rsidRDefault="009D0C1D" w:rsidP="00D74C3C">
            <w:pPr>
              <w:pStyle w:val="a6"/>
              <w:shd w:val="clear" w:color="auto" w:fill="auto"/>
              <w:rPr>
                <w:sz w:val="18"/>
                <w:szCs w:val="24"/>
              </w:rPr>
            </w:pPr>
            <w:r w:rsidRPr="00E80D3A">
              <w:rPr>
                <w:color w:val="FFFFFF"/>
                <w:sz w:val="18"/>
                <w:szCs w:val="24"/>
              </w:rPr>
              <w:t>Дослідження (учасники)</w:t>
            </w:r>
          </w:p>
        </w:tc>
        <w:tc>
          <w:tcPr>
            <w:tcW w:w="141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2292AC1" w14:textId="1C9B4760" w:rsidR="00366CB9" w:rsidRPr="00E80D3A" w:rsidRDefault="009D0C1D" w:rsidP="00D74C3C">
            <w:pPr>
              <w:pStyle w:val="a6"/>
              <w:shd w:val="clear" w:color="auto" w:fill="auto"/>
              <w:spacing w:line="271" w:lineRule="auto"/>
              <w:rPr>
                <w:sz w:val="18"/>
                <w:szCs w:val="24"/>
              </w:rPr>
            </w:pPr>
            <w:r w:rsidRPr="00E80D3A">
              <w:rPr>
                <w:color w:val="FFFFFF"/>
                <w:sz w:val="18"/>
                <w:szCs w:val="24"/>
              </w:rPr>
              <w:t>Достовір</w:t>
            </w:r>
            <w:r w:rsidR="00D74C3C" w:rsidRPr="00E80D3A">
              <w:rPr>
                <w:color w:val="FFFFFF"/>
                <w:sz w:val="18"/>
                <w:szCs w:val="24"/>
              </w:rPr>
              <w:t>-</w:t>
            </w:r>
            <w:r w:rsidRPr="00E80D3A">
              <w:rPr>
                <w:color w:val="FFFFFF"/>
                <w:sz w:val="18"/>
                <w:szCs w:val="24"/>
              </w:rPr>
              <w:t>ність доказів</w:t>
            </w:r>
          </w:p>
        </w:tc>
        <w:tc>
          <w:tcPr>
            <w:tcW w:w="1848"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05A124A" w14:textId="77777777" w:rsidR="00366CB9" w:rsidRPr="00E80D3A" w:rsidRDefault="009D0C1D" w:rsidP="00D74C3C">
            <w:pPr>
              <w:pStyle w:val="a6"/>
              <w:shd w:val="clear" w:color="auto" w:fill="auto"/>
              <w:rPr>
                <w:sz w:val="18"/>
                <w:szCs w:val="24"/>
              </w:rPr>
            </w:pPr>
            <w:r w:rsidRPr="00E80D3A">
              <w:rPr>
                <w:color w:val="FFFFFF"/>
                <w:sz w:val="18"/>
                <w:szCs w:val="24"/>
              </w:rPr>
              <w:t>Поширеність 2 %</w:t>
            </w:r>
          </w:p>
        </w:tc>
        <w:tc>
          <w:tcPr>
            <w:tcW w:w="1853"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A7C9B76" w14:textId="77777777" w:rsidR="00366CB9" w:rsidRPr="00E80D3A" w:rsidRDefault="009D0C1D" w:rsidP="00D74C3C">
            <w:pPr>
              <w:pStyle w:val="a6"/>
              <w:shd w:val="clear" w:color="auto" w:fill="auto"/>
              <w:spacing w:line="266" w:lineRule="auto"/>
              <w:rPr>
                <w:sz w:val="18"/>
                <w:szCs w:val="24"/>
              </w:rPr>
            </w:pPr>
            <w:r w:rsidRPr="00E80D3A">
              <w:rPr>
                <w:color w:val="FFFFFF"/>
                <w:sz w:val="18"/>
                <w:szCs w:val="24"/>
              </w:rPr>
              <w:t>Поширеність 10 %</w:t>
            </w:r>
          </w:p>
        </w:tc>
        <w:tc>
          <w:tcPr>
            <w:tcW w:w="1891"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965045E" w14:textId="77777777" w:rsidR="00366CB9" w:rsidRPr="00E80D3A" w:rsidRDefault="009D0C1D" w:rsidP="00D74C3C">
            <w:pPr>
              <w:pStyle w:val="a6"/>
              <w:shd w:val="clear" w:color="auto" w:fill="auto"/>
              <w:spacing w:line="266" w:lineRule="auto"/>
              <w:rPr>
                <w:sz w:val="18"/>
                <w:szCs w:val="24"/>
              </w:rPr>
            </w:pPr>
            <w:r w:rsidRPr="00E80D3A">
              <w:rPr>
                <w:color w:val="FFFFFF"/>
                <w:sz w:val="18"/>
                <w:szCs w:val="24"/>
              </w:rPr>
              <w:t>Поширеність 15 %</w:t>
            </w:r>
          </w:p>
        </w:tc>
      </w:tr>
      <w:tr w:rsidR="00366CB9" w14:paraId="31122B79" w14:textId="77777777" w:rsidTr="007751D5">
        <w:trPr>
          <w:trHeight w:hRule="exact" w:val="461"/>
        </w:trPr>
        <w:tc>
          <w:tcPr>
            <w:tcW w:w="1594" w:type="dxa"/>
            <w:tcBorders>
              <w:top w:val="single" w:sz="8" w:space="0" w:color="00B050"/>
            </w:tcBorders>
            <w:shd w:val="clear" w:color="auto" w:fill="FFFFFF"/>
            <w:vAlign w:val="bottom"/>
          </w:tcPr>
          <w:p w14:paraId="6E3EF1B1" w14:textId="77777777" w:rsidR="00366CB9" w:rsidRPr="00E80D3A" w:rsidRDefault="009D0C1D" w:rsidP="00C670F3">
            <w:pPr>
              <w:pStyle w:val="a6"/>
              <w:shd w:val="clear" w:color="auto" w:fill="auto"/>
              <w:rPr>
                <w:sz w:val="18"/>
                <w:szCs w:val="24"/>
              </w:rPr>
            </w:pPr>
            <w:r w:rsidRPr="00E80D3A">
              <w:rPr>
                <w:color w:val="000000"/>
                <w:sz w:val="18"/>
                <w:szCs w:val="24"/>
              </w:rPr>
              <w:t>LC-aNAAT</w:t>
            </w:r>
          </w:p>
        </w:tc>
        <w:tc>
          <w:tcPr>
            <w:tcW w:w="2933" w:type="dxa"/>
            <w:tcBorders>
              <w:top w:val="single" w:sz="8" w:space="0" w:color="00B050"/>
              <w:bottom w:val="single" w:sz="8" w:space="0" w:color="00B050"/>
            </w:tcBorders>
            <w:shd w:val="clear" w:color="auto" w:fill="FFFFFF"/>
            <w:vAlign w:val="bottom"/>
          </w:tcPr>
          <w:p w14:paraId="7FCAFCDF"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95,1 (83,1-98,7)</w:t>
            </w:r>
          </w:p>
        </w:tc>
        <w:tc>
          <w:tcPr>
            <w:tcW w:w="2486" w:type="dxa"/>
            <w:tcBorders>
              <w:top w:val="single" w:sz="8" w:space="0" w:color="00B050"/>
              <w:bottom w:val="single" w:sz="8" w:space="0" w:color="00B050"/>
            </w:tcBorders>
            <w:shd w:val="clear" w:color="auto" w:fill="FFFFFF"/>
            <w:vAlign w:val="bottom"/>
          </w:tcPr>
          <w:p w14:paraId="2953F4AB"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11 (487)</w:t>
            </w:r>
          </w:p>
        </w:tc>
        <w:tc>
          <w:tcPr>
            <w:tcW w:w="1416" w:type="dxa"/>
            <w:tcBorders>
              <w:top w:val="single" w:sz="8" w:space="0" w:color="00B050"/>
              <w:bottom w:val="single" w:sz="8" w:space="0" w:color="00B050"/>
            </w:tcBorders>
            <w:shd w:val="clear" w:color="auto" w:fill="FFFFFF"/>
            <w:vAlign w:val="bottom"/>
          </w:tcPr>
          <w:p w14:paraId="14DE0F2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848" w:type="dxa"/>
            <w:tcBorders>
              <w:top w:val="single" w:sz="8" w:space="0" w:color="00B050"/>
              <w:bottom w:val="single" w:sz="8" w:space="0" w:color="00B050"/>
            </w:tcBorders>
            <w:shd w:val="clear" w:color="auto" w:fill="FFFFFF"/>
            <w:vAlign w:val="bottom"/>
          </w:tcPr>
          <w:p w14:paraId="25F711A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19/ХН: 1</w:t>
            </w:r>
          </w:p>
        </w:tc>
        <w:tc>
          <w:tcPr>
            <w:tcW w:w="1853" w:type="dxa"/>
            <w:tcBorders>
              <w:top w:val="single" w:sz="8" w:space="0" w:color="00B050"/>
              <w:bottom w:val="single" w:sz="8" w:space="0" w:color="00B050"/>
            </w:tcBorders>
            <w:shd w:val="clear" w:color="auto" w:fill="FFFFFF"/>
            <w:vAlign w:val="bottom"/>
          </w:tcPr>
          <w:p w14:paraId="126CCAA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95/ХН: 5</w:t>
            </w:r>
          </w:p>
        </w:tc>
        <w:tc>
          <w:tcPr>
            <w:tcW w:w="1891" w:type="dxa"/>
            <w:tcBorders>
              <w:top w:val="single" w:sz="8" w:space="0" w:color="00B050"/>
              <w:bottom w:val="single" w:sz="8" w:space="0" w:color="00B050"/>
            </w:tcBorders>
            <w:shd w:val="clear" w:color="auto" w:fill="FFFFFF"/>
            <w:vAlign w:val="bottom"/>
          </w:tcPr>
          <w:p w14:paraId="72A7F94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143/ХН: 7</w:t>
            </w:r>
          </w:p>
        </w:tc>
      </w:tr>
      <w:tr w:rsidR="00366CB9" w14:paraId="1685C69B" w14:textId="77777777" w:rsidTr="007751D5">
        <w:trPr>
          <w:trHeight w:hRule="exact" w:val="446"/>
        </w:trPr>
        <w:tc>
          <w:tcPr>
            <w:tcW w:w="1594" w:type="dxa"/>
            <w:tcBorders>
              <w:bottom w:val="single" w:sz="8" w:space="0" w:color="00B050"/>
            </w:tcBorders>
            <w:shd w:val="clear" w:color="auto" w:fill="FFFFFF"/>
          </w:tcPr>
          <w:p w14:paraId="211A9A59" w14:textId="77777777" w:rsidR="00366CB9" w:rsidRPr="00E80D3A" w:rsidRDefault="00366CB9" w:rsidP="00C670F3">
            <w:pPr>
              <w:rPr>
                <w:b/>
                <w:bCs/>
                <w:sz w:val="18"/>
              </w:rPr>
            </w:pPr>
          </w:p>
        </w:tc>
        <w:tc>
          <w:tcPr>
            <w:tcW w:w="2933" w:type="dxa"/>
            <w:tcBorders>
              <w:top w:val="single" w:sz="8" w:space="0" w:color="00B050"/>
              <w:bottom w:val="single" w:sz="8" w:space="0" w:color="00B050"/>
            </w:tcBorders>
            <w:shd w:val="clear" w:color="auto" w:fill="FFFFFF"/>
            <w:vAlign w:val="bottom"/>
          </w:tcPr>
          <w:p w14:paraId="14A0168F"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98,1 (97,0-98,7)</w:t>
            </w:r>
          </w:p>
        </w:tc>
        <w:tc>
          <w:tcPr>
            <w:tcW w:w="2486" w:type="dxa"/>
            <w:tcBorders>
              <w:top w:val="single" w:sz="8" w:space="0" w:color="00B050"/>
              <w:bottom w:val="single" w:sz="8" w:space="0" w:color="00B050"/>
            </w:tcBorders>
            <w:shd w:val="clear" w:color="auto" w:fill="FFFFFF"/>
            <w:vAlign w:val="bottom"/>
          </w:tcPr>
          <w:p w14:paraId="5C8E37B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11 (2053)</w:t>
            </w:r>
          </w:p>
        </w:tc>
        <w:tc>
          <w:tcPr>
            <w:tcW w:w="1416" w:type="dxa"/>
            <w:tcBorders>
              <w:top w:val="single" w:sz="8" w:space="0" w:color="00B050"/>
              <w:bottom w:val="single" w:sz="8" w:space="0" w:color="00B050"/>
            </w:tcBorders>
            <w:shd w:val="clear" w:color="auto" w:fill="FFFFFF"/>
            <w:vAlign w:val="bottom"/>
          </w:tcPr>
          <w:p w14:paraId="56FBC05E"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848" w:type="dxa"/>
            <w:tcBorders>
              <w:top w:val="single" w:sz="8" w:space="0" w:color="00B050"/>
              <w:bottom w:val="single" w:sz="8" w:space="0" w:color="00B050"/>
            </w:tcBorders>
            <w:shd w:val="clear" w:color="auto" w:fill="FFFFFF"/>
            <w:vAlign w:val="bottom"/>
          </w:tcPr>
          <w:p w14:paraId="130FB70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961 / ХП: 19</w:t>
            </w:r>
          </w:p>
        </w:tc>
        <w:tc>
          <w:tcPr>
            <w:tcW w:w="1853" w:type="dxa"/>
            <w:tcBorders>
              <w:top w:val="single" w:sz="8" w:space="0" w:color="00B050"/>
              <w:bottom w:val="single" w:sz="8" w:space="0" w:color="00B050"/>
            </w:tcBorders>
            <w:shd w:val="clear" w:color="auto" w:fill="FFFFFF"/>
            <w:vAlign w:val="bottom"/>
          </w:tcPr>
          <w:p w14:paraId="5CED826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883 / ХП: 17</w:t>
            </w:r>
          </w:p>
        </w:tc>
        <w:tc>
          <w:tcPr>
            <w:tcW w:w="1891" w:type="dxa"/>
            <w:tcBorders>
              <w:top w:val="single" w:sz="8" w:space="0" w:color="00B050"/>
              <w:bottom w:val="single" w:sz="8" w:space="0" w:color="00B050"/>
            </w:tcBorders>
            <w:shd w:val="clear" w:color="auto" w:fill="FFFFFF"/>
            <w:vAlign w:val="bottom"/>
          </w:tcPr>
          <w:p w14:paraId="1EB1653E"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834/ХП: 16</w:t>
            </w:r>
          </w:p>
        </w:tc>
      </w:tr>
      <w:tr w:rsidR="00366CB9" w14:paraId="3BB84CFB" w14:textId="77777777" w:rsidTr="007751D5">
        <w:trPr>
          <w:trHeight w:hRule="exact" w:val="451"/>
        </w:trPr>
        <w:tc>
          <w:tcPr>
            <w:tcW w:w="1594" w:type="dxa"/>
            <w:tcBorders>
              <w:top w:val="single" w:sz="8" w:space="0" w:color="00B050"/>
            </w:tcBorders>
            <w:shd w:val="clear" w:color="auto" w:fill="FFFFFF"/>
            <w:vAlign w:val="bottom"/>
          </w:tcPr>
          <w:p w14:paraId="2520DBF0" w14:textId="77777777" w:rsidR="00366CB9" w:rsidRPr="00E80D3A" w:rsidRDefault="009D0C1D" w:rsidP="00C670F3">
            <w:pPr>
              <w:pStyle w:val="a6"/>
              <w:shd w:val="clear" w:color="auto" w:fill="auto"/>
              <w:rPr>
                <w:sz w:val="18"/>
                <w:szCs w:val="24"/>
              </w:rPr>
            </w:pPr>
            <w:r w:rsidRPr="00E80D3A">
              <w:rPr>
                <w:color w:val="000000"/>
                <w:sz w:val="18"/>
                <w:szCs w:val="24"/>
              </w:rPr>
              <w:t>MC-aNAAT</w:t>
            </w:r>
          </w:p>
        </w:tc>
        <w:tc>
          <w:tcPr>
            <w:tcW w:w="2933" w:type="dxa"/>
            <w:tcBorders>
              <w:top w:val="single" w:sz="8" w:space="0" w:color="00B050"/>
              <w:bottom w:val="single" w:sz="8" w:space="0" w:color="00B050"/>
            </w:tcBorders>
            <w:shd w:val="clear" w:color="auto" w:fill="FFFFFF"/>
            <w:vAlign w:val="bottom"/>
          </w:tcPr>
          <w:p w14:paraId="78A23F6E"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96,7 (93,1-98,4)</w:t>
            </w:r>
          </w:p>
        </w:tc>
        <w:tc>
          <w:tcPr>
            <w:tcW w:w="2486" w:type="dxa"/>
            <w:tcBorders>
              <w:top w:val="single" w:sz="8" w:space="0" w:color="00B050"/>
              <w:bottom w:val="single" w:sz="8" w:space="0" w:color="00B050"/>
            </w:tcBorders>
            <w:shd w:val="clear" w:color="auto" w:fill="FFFFFF"/>
            <w:vAlign w:val="bottom"/>
          </w:tcPr>
          <w:p w14:paraId="0368567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18 (702)</w:t>
            </w:r>
          </w:p>
        </w:tc>
        <w:tc>
          <w:tcPr>
            <w:tcW w:w="1416" w:type="dxa"/>
            <w:tcBorders>
              <w:top w:val="single" w:sz="8" w:space="0" w:color="00B050"/>
              <w:bottom w:val="single" w:sz="8" w:space="0" w:color="00B050"/>
            </w:tcBorders>
            <w:shd w:val="clear" w:color="auto" w:fill="FFFFFF"/>
            <w:vAlign w:val="bottom"/>
          </w:tcPr>
          <w:p w14:paraId="54CA2F0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848" w:type="dxa"/>
            <w:tcBorders>
              <w:top w:val="single" w:sz="8" w:space="0" w:color="00B050"/>
              <w:bottom w:val="single" w:sz="8" w:space="0" w:color="00B050"/>
            </w:tcBorders>
            <w:shd w:val="clear" w:color="auto" w:fill="FFFFFF"/>
            <w:vAlign w:val="bottom"/>
          </w:tcPr>
          <w:p w14:paraId="6B7A2B6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19/ХН: 1</w:t>
            </w:r>
          </w:p>
        </w:tc>
        <w:tc>
          <w:tcPr>
            <w:tcW w:w="1853" w:type="dxa"/>
            <w:tcBorders>
              <w:top w:val="single" w:sz="8" w:space="0" w:color="00B050"/>
              <w:bottom w:val="single" w:sz="8" w:space="0" w:color="00B050"/>
            </w:tcBorders>
            <w:shd w:val="clear" w:color="auto" w:fill="FFFFFF"/>
            <w:vAlign w:val="bottom"/>
          </w:tcPr>
          <w:p w14:paraId="48DFF9C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97/ХН: 3</w:t>
            </w:r>
          </w:p>
        </w:tc>
        <w:tc>
          <w:tcPr>
            <w:tcW w:w="1891" w:type="dxa"/>
            <w:tcBorders>
              <w:top w:val="single" w:sz="8" w:space="0" w:color="00B050"/>
              <w:bottom w:val="single" w:sz="8" w:space="0" w:color="00B050"/>
            </w:tcBorders>
            <w:shd w:val="clear" w:color="auto" w:fill="FFFFFF"/>
            <w:vAlign w:val="bottom"/>
          </w:tcPr>
          <w:p w14:paraId="537E9F7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146/ХН: 4</w:t>
            </w:r>
          </w:p>
        </w:tc>
      </w:tr>
      <w:tr w:rsidR="00366CB9" w14:paraId="57EB5BE5" w14:textId="77777777" w:rsidTr="007751D5">
        <w:trPr>
          <w:trHeight w:hRule="exact" w:val="456"/>
        </w:trPr>
        <w:tc>
          <w:tcPr>
            <w:tcW w:w="1594" w:type="dxa"/>
            <w:tcBorders>
              <w:bottom w:val="single" w:sz="8" w:space="0" w:color="00B050"/>
            </w:tcBorders>
            <w:shd w:val="clear" w:color="auto" w:fill="FFFFFF"/>
          </w:tcPr>
          <w:p w14:paraId="286E0E3B" w14:textId="77777777" w:rsidR="00366CB9" w:rsidRPr="00E80D3A" w:rsidRDefault="00366CB9" w:rsidP="00C670F3">
            <w:pPr>
              <w:rPr>
                <w:b/>
                <w:bCs/>
                <w:sz w:val="18"/>
              </w:rPr>
            </w:pPr>
          </w:p>
        </w:tc>
        <w:tc>
          <w:tcPr>
            <w:tcW w:w="2933" w:type="dxa"/>
            <w:tcBorders>
              <w:top w:val="single" w:sz="8" w:space="0" w:color="00B050"/>
              <w:bottom w:val="single" w:sz="8" w:space="0" w:color="00B050"/>
            </w:tcBorders>
            <w:shd w:val="clear" w:color="auto" w:fill="FFFFFF"/>
            <w:vAlign w:val="bottom"/>
          </w:tcPr>
          <w:p w14:paraId="2124A72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98,9 (97,5-99,5)</w:t>
            </w:r>
          </w:p>
        </w:tc>
        <w:tc>
          <w:tcPr>
            <w:tcW w:w="2486" w:type="dxa"/>
            <w:tcBorders>
              <w:top w:val="single" w:sz="8" w:space="0" w:color="00B050"/>
              <w:bottom w:val="single" w:sz="8" w:space="0" w:color="00B050"/>
            </w:tcBorders>
            <w:shd w:val="clear" w:color="auto" w:fill="FFFFFF"/>
            <w:vAlign w:val="bottom"/>
          </w:tcPr>
          <w:p w14:paraId="162C719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18 (2172)</w:t>
            </w:r>
          </w:p>
        </w:tc>
        <w:tc>
          <w:tcPr>
            <w:tcW w:w="1416" w:type="dxa"/>
            <w:tcBorders>
              <w:top w:val="single" w:sz="8" w:space="0" w:color="00B050"/>
              <w:bottom w:val="single" w:sz="8" w:space="0" w:color="00B050"/>
            </w:tcBorders>
            <w:shd w:val="clear" w:color="auto" w:fill="FFFFFF"/>
            <w:vAlign w:val="bottom"/>
          </w:tcPr>
          <w:p w14:paraId="420E3DBE"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848" w:type="dxa"/>
            <w:tcBorders>
              <w:top w:val="single" w:sz="8" w:space="0" w:color="00B050"/>
              <w:bottom w:val="single" w:sz="8" w:space="0" w:color="00B050"/>
            </w:tcBorders>
            <w:shd w:val="clear" w:color="auto" w:fill="FFFFFF"/>
            <w:vAlign w:val="bottom"/>
          </w:tcPr>
          <w:p w14:paraId="376368FB"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970 / ХП: 10</w:t>
            </w:r>
          </w:p>
        </w:tc>
        <w:tc>
          <w:tcPr>
            <w:tcW w:w="1853" w:type="dxa"/>
            <w:tcBorders>
              <w:top w:val="single" w:sz="8" w:space="0" w:color="00B050"/>
              <w:bottom w:val="single" w:sz="8" w:space="0" w:color="00B050"/>
            </w:tcBorders>
            <w:shd w:val="clear" w:color="auto" w:fill="FFFFFF"/>
            <w:vAlign w:val="bottom"/>
          </w:tcPr>
          <w:p w14:paraId="7BBF3F8B"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891 / ХП: 9</w:t>
            </w:r>
          </w:p>
        </w:tc>
        <w:tc>
          <w:tcPr>
            <w:tcW w:w="1891" w:type="dxa"/>
            <w:tcBorders>
              <w:top w:val="single" w:sz="8" w:space="0" w:color="00B050"/>
              <w:bottom w:val="single" w:sz="8" w:space="0" w:color="00B050"/>
            </w:tcBorders>
            <w:shd w:val="clear" w:color="auto" w:fill="FFFFFF"/>
            <w:vAlign w:val="bottom"/>
          </w:tcPr>
          <w:p w14:paraId="72F5B9F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842 / ХП: 8</w:t>
            </w:r>
          </w:p>
        </w:tc>
      </w:tr>
      <w:tr w:rsidR="00366CB9" w14:paraId="1251787D" w14:textId="77777777" w:rsidTr="007751D5">
        <w:trPr>
          <w:trHeight w:hRule="exact" w:val="1499"/>
        </w:trPr>
        <w:tc>
          <w:tcPr>
            <w:tcW w:w="14021" w:type="dxa"/>
            <w:gridSpan w:val="7"/>
            <w:tcBorders>
              <w:top w:val="single" w:sz="8" w:space="0" w:color="00B050"/>
            </w:tcBorders>
            <w:shd w:val="clear" w:color="auto" w:fill="FFFFFF"/>
            <w:vAlign w:val="bottom"/>
          </w:tcPr>
          <w:p w14:paraId="7B313814" w14:textId="77777777" w:rsidR="00366CB9" w:rsidRDefault="009D0C1D" w:rsidP="00C670F3">
            <w:pPr>
              <w:pStyle w:val="a6"/>
              <w:shd w:val="clear" w:color="auto" w:fill="auto"/>
              <w:spacing w:after="40" w:line="266" w:lineRule="auto"/>
              <w:rPr>
                <w:sz w:val="17"/>
                <w:szCs w:val="17"/>
              </w:rPr>
            </w:pPr>
            <w:r>
              <w:rPr>
                <w:b w:val="0"/>
                <w:color w:val="000000"/>
                <w:sz w:val="17"/>
              </w:rPr>
              <w:t>ДІ: довірчий інтервал; ХН: хибнонегативний; ХП: хибнопозитивний; MC-aNAAT: автоматизований аналіз ампліфікації нуклеїнових кислот середньої складності; Se: чутливість; Sp: специфічність; ТБ: туберкульоз; ІН: істинно негативний; ІП: істинно позитивний.</w:t>
            </w:r>
          </w:p>
          <w:p w14:paraId="2A4159F1" w14:textId="77777777" w:rsidR="00366CB9" w:rsidRDefault="009D0C1D" w:rsidP="00C670F3">
            <w:pPr>
              <w:pStyle w:val="a6"/>
              <w:shd w:val="clear" w:color="auto" w:fill="auto"/>
              <w:spacing w:after="40" w:line="266" w:lineRule="auto"/>
              <w:rPr>
                <w:sz w:val="17"/>
                <w:szCs w:val="17"/>
              </w:rPr>
            </w:pPr>
            <w:r>
              <w:rPr>
                <w:b w:val="0"/>
                <w:color w:val="000000"/>
                <w:sz w:val="17"/>
              </w:rPr>
              <w:t>Лікарський засіб: RIF: рифампіцин.</w:t>
            </w:r>
          </w:p>
          <w:p w14:paraId="28244400" w14:textId="59DE4496" w:rsidR="00366CB9" w:rsidRDefault="009D0C1D" w:rsidP="00C670F3">
            <w:pPr>
              <w:pStyle w:val="a6"/>
              <w:shd w:val="clear" w:color="auto" w:fill="auto"/>
              <w:spacing w:after="40" w:line="266" w:lineRule="auto"/>
              <w:ind w:left="140" w:hanging="140"/>
              <w:rPr>
                <w:sz w:val="17"/>
                <w:szCs w:val="17"/>
              </w:rPr>
            </w:pPr>
            <w:r>
              <w:rPr>
                <w:b w:val="0"/>
                <w:color w:val="000000"/>
                <w:sz w:val="17"/>
                <w:vertAlign w:val="superscript"/>
              </w:rPr>
              <w:t>a</w:t>
            </w:r>
            <w:r w:rsidR="00D74C3C">
              <w:tab/>
            </w:r>
            <w:r>
              <w:rPr>
                <w:b w:val="0"/>
                <w:color w:val="000000"/>
                <w:sz w:val="17"/>
              </w:rPr>
              <w:t>Резистентність до RIF за допомогою Xpert Ultra, Truenat MTB-RIF Dx та MC-aNAAT виявляється лише у разі виявлення ТБ; отже, запропонована поширеність відображає резистентність до RIF у осіб, у яких нещодавно було виявлено ТБ.</w:t>
            </w:r>
          </w:p>
        </w:tc>
      </w:tr>
    </w:tbl>
    <w:tbl>
      <w:tblPr>
        <w:tblOverlap w:val="never"/>
        <w:tblW w:w="0" w:type="auto"/>
        <w:tblLayout w:type="fixed"/>
        <w:tblCellMar>
          <w:left w:w="10" w:type="dxa"/>
          <w:right w:w="10" w:type="dxa"/>
        </w:tblCellMar>
        <w:tblLook w:val="0000" w:firstRow="0" w:lastRow="0" w:firstColumn="0" w:lastColumn="0" w:noHBand="0" w:noVBand="0"/>
      </w:tblPr>
      <w:tblGrid>
        <w:gridCol w:w="197"/>
      </w:tblGrid>
      <w:tr w:rsidR="00366CB9" w14:paraId="2F99C2D8" w14:textId="77777777" w:rsidTr="00D74C3C">
        <w:trPr>
          <w:trHeight w:hRule="exact" w:val="4248"/>
        </w:trPr>
        <w:tc>
          <w:tcPr>
            <w:tcW w:w="197" w:type="dxa"/>
            <w:shd w:val="clear" w:color="auto" w:fill="FFFFFF"/>
            <w:textDirection w:val="tbRl"/>
          </w:tcPr>
          <w:p w14:paraId="5A8807A2" w14:textId="77777777" w:rsidR="00366CB9" w:rsidRDefault="009D0C1D" w:rsidP="00425523">
            <w:pPr>
              <w:pStyle w:val="a6"/>
              <w:framePr w:w="197" w:h="4464" w:wrap="none" w:vAnchor="page" w:hAnchor="page" w:x="685" w:y="6627"/>
              <w:shd w:val="clear" w:color="auto" w:fill="auto"/>
              <w:rPr>
                <w:sz w:val="15"/>
                <w:szCs w:val="15"/>
              </w:rPr>
            </w:pPr>
            <w:r>
              <w:rPr>
                <w:b w:val="0"/>
                <w:color w:val="019648"/>
                <w:sz w:val="15"/>
              </w:rPr>
              <w:t>3. Стратегії та міркування щодо діагностичного тестування</w:t>
            </w:r>
          </w:p>
        </w:tc>
      </w:tr>
      <w:tr w:rsidR="00366CB9" w14:paraId="524AD810" w14:textId="77777777">
        <w:trPr>
          <w:trHeight w:hRule="exact" w:val="595"/>
        </w:trPr>
        <w:tc>
          <w:tcPr>
            <w:tcW w:w="197" w:type="dxa"/>
            <w:shd w:val="clear" w:color="auto" w:fill="FFFFFF"/>
            <w:textDirection w:val="tbRl"/>
          </w:tcPr>
          <w:p w14:paraId="38D4AF03" w14:textId="77777777" w:rsidR="00366CB9" w:rsidRDefault="009D0C1D" w:rsidP="00425523">
            <w:pPr>
              <w:pStyle w:val="a6"/>
              <w:framePr w:w="197" w:h="4464" w:wrap="none" w:vAnchor="page" w:hAnchor="page" w:x="685" w:y="6627"/>
              <w:shd w:val="clear" w:color="auto" w:fill="auto"/>
              <w:jc w:val="right"/>
              <w:rPr>
                <w:sz w:val="15"/>
                <w:szCs w:val="15"/>
              </w:rPr>
            </w:pPr>
            <w:r>
              <w:rPr>
                <w:b w:val="0"/>
                <w:color w:val="019648"/>
                <w:sz w:val="15"/>
              </w:rPr>
              <w:t>71</w:t>
            </w:r>
          </w:p>
        </w:tc>
      </w:tr>
    </w:tbl>
    <w:p w14:paraId="1C4FACB7" w14:textId="77777777" w:rsidR="00366CB9" w:rsidRDefault="00366CB9" w:rsidP="00425523">
      <w:pPr>
        <w:spacing w:line="1" w:lineRule="exact"/>
        <w:sectPr w:rsidR="00366CB9" w:rsidSect="00C670F3">
          <w:footerReference w:type="default" r:id="rId105"/>
          <w:type w:val="nextColumn"/>
          <w:pgSz w:w="16840" w:h="11913" w:orient="landscape"/>
          <w:pgMar w:top="1406" w:right="1321" w:bottom="851" w:left="1503" w:header="0" w:footer="6" w:gutter="0"/>
          <w:paperSrc w:first="15" w:other="15"/>
          <w:cols w:space="720"/>
          <w:noEndnote/>
          <w:docGrid w:linePitch="360"/>
        </w:sectPr>
      </w:pPr>
    </w:p>
    <w:p w14:paraId="37A1A639"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594"/>
        <w:gridCol w:w="2933"/>
        <w:gridCol w:w="2486"/>
        <w:gridCol w:w="1421"/>
        <w:gridCol w:w="1877"/>
        <w:gridCol w:w="1810"/>
        <w:gridCol w:w="1901"/>
      </w:tblGrid>
      <w:tr w:rsidR="00366CB9" w:rsidRPr="00BF6DB7" w14:paraId="7C558C41" w14:textId="77777777" w:rsidTr="007751D5">
        <w:trPr>
          <w:trHeight w:hRule="exact" w:val="1114"/>
        </w:trPr>
        <w:tc>
          <w:tcPr>
            <w:tcW w:w="14022" w:type="dxa"/>
            <w:gridSpan w:val="7"/>
            <w:tcBorders>
              <w:bottom w:val="single" w:sz="8" w:space="0" w:color="00B050"/>
            </w:tcBorders>
            <w:shd w:val="clear" w:color="auto" w:fill="FFFFFF"/>
          </w:tcPr>
          <w:p w14:paraId="4F72A5F5" w14:textId="77777777" w:rsidR="00366CB9" w:rsidRPr="00BF6DB7" w:rsidRDefault="009D0C1D" w:rsidP="00C670F3">
            <w:pPr>
              <w:pStyle w:val="a6"/>
              <w:shd w:val="clear" w:color="auto" w:fill="auto"/>
              <w:spacing w:line="252" w:lineRule="auto"/>
              <w:rPr>
                <w:sz w:val="24"/>
                <w:szCs w:val="24"/>
              </w:rPr>
            </w:pPr>
            <w:bookmarkStart w:id="83" w:name="bookmark80"/>
            <w:r>
              <w:rPr>
                <w:color w:val="636466"/>
                <w:sz w:val="24"/>
              </w:rPr>
              <w:t>Таблиця 3.3. Ефективність молекулярних тестів для виявлення резистентності до INH у дорослих з виявленим ТБ легень</w:t>
            </w:r>
            <w:r>
              <w:rPr>
                <w:color w:val="636466"/>
                <w:sz w:val="24"/>
                <w:vertAlign w:val="superscript"/>
              </w:rPr>
              <w:t>a</w:t>
            </w:r>
            <w:r>
              <w:rPr>
                <w:color w:val="636466"/>
                <w:sz w:val="24"/>
              </w:rPr>
              <w:t xml:space="preserve"> порівняно з мікробіологічним стандартним зразком (абсолютна кількість ІП, ХП, ІН або ХН результатів за заданої поширеності резистентності до INH на 1000 осіб)</w:t>
            </w:r>
            <w:bookmarkEnd w:id="83"/>
          </w:p>
        </w:tc>
      </w:tr>
      <w:tr w:rsidR="00366CB9" w:rsidRPr="00BF6DB7" w14:paraId="54059347" w14:textId="77777777" w:rsidTr="007751D5">
        <w:trPr>
          <w:trHeight w:hRule="exact" w:val="691"/>
        </w:trPr>
        <w:tc>
          <w:tcPr>
            <w:tcW w:w="159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8F29B29" w14:textId="77777777" w:rsidR="00366CB9" w:rsidRPr="00E80D3A" w:rsidRDefault="009D0C1D" w:rsidP="00D74C3C">
            <w:pPr>
              <w:pStyle w:val="a6"/>
              <w:shd w:val="clear" w:color="auto" w:fill="auto"/>
              <w:rPr>
                <w:sz w:val="18"/>
                <w:szCs w:val="24"/>
              </w:rPr>
            </w:pPr>
            <w:r w:rsidRPr="00E80D3A">
              <w:rPr>
                <w:color w:val="FFFFFF"/>
                <w:sz w:val="18"/>
                <w:szCs w:val="24"/>
              </w:rPr>
              <w:t>Втручання</w:t>
            </w:r>
          </w:p>
        </w:tc>
        <w:tc>
          <w:tcPr>
            <w:tcW w:w="2933"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E377659" w14:textId="77777777" w:rsidR="00366CB9" w:rsidRPr="00E80D3A" w:rsidRDefault="009D0C1D" w:rsidP="00D74C3C">
            <w:pPr>
              <w:pStyle w:val="a6"/>
              <w:shd w:val="clear" w:color="auto" w:fill="auto"/>
              <w:rPr>
                <w:sz w:val="18"/>
                <w:szCs w:val="24"/>
              </w:rPr>
            </w:pPr>
            <w:r w:rsidRPr="00E80D3A">
              <w:rPr>
                <w:color w:val="FFFFFF"/>
                <w:sz w:val="18"/>
                <w:szCs w:val="24"/>
              </w:rPr>
              <w:t>Точність тесту % (95 % ДІ)</w:t>
            </w:r>
          </w:p>
        </w:tc>
        <w:tc>
          <w:tcPr>
            <w:tcW w:w="248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0C3F0F4" w14:textId="77777777" w:rsidR="00366CB9" w:rsidRPr="00E80D3A" w:rsidRDefault="009D0C1D" w:rsidP="00D74C3C">
            <w:pPr>
              <w:pStyle w:val="a6"/>
              <w:shd w:val="clear" w:color="auto" w:fill="auto"/>
              <w:rPr>
                <w:sz w:val="18"/>
                <w:szCs w:val="24"/>
              </w:rPr>
            </w:pPr>
            <w:r w:rsidRPr="00E80D3A">
              <w:rPr>
                <w:color w:val="FFFFFF"/>
                <w:sz w:val="18"/>
                <w:szCs w:val="24"/>
              </w:rPr>
              <w:t>Дослідження (учасники)</w:t>
            </w:r>
          </w:p>
        </w:tc>
        <w:tc>
          <w:tcPr>
            <w:tcW w:w="1421"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7FF7217" w14:textId="77FF2B15" w:rsidR="00366CB9" w:rsidRPr="00E80D3A" w:rsidRDefault="009D0C1D" w:rsidP="00D74C3C">
            <w:pPr>
              <w:pStyle w:val="a6"/>
              <w:shd w:val="clear" w:color="auto" w:fill="auto"/>
              <w:spacing w:line="271" w:lineRule="auto"/>
              <w:rPr>
                <w:sz w:val="18"/>
                <w:szCs w:val="24"/>
              </w:rPr>
            </w:pPr>
            <w:r w:rsidRPr="00E80D3A">
              <w:rPr>
                <w:color w:val="FFFFFF"/>
                <w:sz w:val="18"/>
                <w:szCs w:val="24"/>
              </w:rPr>
              <w:t>Достовір</w:t>
            </w:r>
            <w:r w:rsidR="00D74C3C" w:rsidRPr="00E80D3A">
              <w:rPr>
                <w:color w:val="FFFFFF"/>
                <w:sz w:val="18"/>
                <w:szCs w:val="24"/>
              </w:rPr>
              <w:t>-</w:t>
            </w:r>
            <w:r w:rsidRPr="00E80D3A">
              <w:rPr>
                <w:color w:val="FFFFFF"/>
                <w:sz w:val="18"/>
                <w:szCs w:val="24"/>
              </w:rPr>
              <w:t>ність доказів</w:t>
            </w:r>
          </w:p>
        </w:tc>
        <w:tc>
          <w:tcPr>
            <w:tcW w:w="187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DC8D811" w14:textId="77777777" w:rsidR="00366CB9" w:rsidRPr="00E80D3A" w:rsidRDefault="009D0C1D" w:rsidP="00D74C3C">
            <w:pPr>
              <w:pStyle w:val="a6"/>
              <w:shd w:val="clear" w:color="auto" w:fill="auto"/>
              <w:rPr>
                <w:sz w:val="18"/>
                <w:szCs w:val="24"/>
              </w:rPr>
            </w:pPr>
            <w:r w:rsidRPr="00E80D3A">
              <w:rPr>
                <w:color w:val="FFFFFF"/>
                <w:sz w:val="18"/>
                <w:szCs w:val="24"/>
              </w:rPr>
              <w:t>Поширеність 2 %</w:t>
            </w:r>
          </w:p>
        </w:tc>
        <w:tc>
          <w:tcPr>
            <w:tcW w:w="181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D15BEFF" w14:textId="77777777" w:rsidR="00366CB9" w:rsidRPr="00E80D3A" w:rsidRDefault="009D0C1D" w:rsidP="00D74C3C">
            <w:pPr>
              <w:pStyle w:val="a6"/>
              <w:shd w:val="clear" w:color="auto" w:fill="auto"/>
              <w:spacing w:line="266" w:lineRule="auto"/>
              <w:rPr>
                <w:sz w:val="18"/>
                <w:szCs w:val="24"/>
              </w:rPr>
            </w:pPr>
            <w:r w:rsidRPr="00E80D3A">
              <w:rPr>
                <w:color w:val="FFFFFF"/>
                <w:sz w:val="18"/>
                <w:szCs w:val="24"/>
              </w:rPr>
              <w:t>Поширеність 10 %</w:t>
            </w:r>
          </w:p>
        </w:tc>
        <w:tc>
          <w:tcPr>
            <w:tcW w:w="1901"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64D06AB" w14:textId="77777777" w:rsidR="00366CB9" w:rsidRPr="00E80D3A" w:rsidRDefault="009D0C1D" w:rsidP="00D74C3C">
            <w:pPr>
              <w:pStyle w:val="a6"/>
              <w:shd w:val="clear" w:color="auto" w:fill="auto"/>
              <w:spacing w:line="266" w:lineRule="auto"/>
              <w:rPr>
                <w:sz w:val="18"/>
                <w:szCs w:val="24"/>
              </w:rPr>
            </w:pPr>
            <w:r w:rsidRPr="00E80D3A">
              <w:rPr>
                <w:color w:val="FFFFFF"/>
                <w:sz w:val="18"/>
                <w:szCs w:val="24"/>
              </w:rPr>
              <w:t>Поширеність 15 %</w:t>
            </w:r>
          </w:p>
        </w:tc>
      </w:tr>
      <w:tr w:rsidR="00366CB9" w14:paraId="3E1578D7" w14:textId="77777777" w:rsidTr="007751D5">
        <w:trPr>
          <w:trHeight w:hRule="exact" w:val="461"/>
        </w:trPr>
        <w:tc>
          <w:tcPr>
            <w:tcW w:w="1594" w:type="dxa"/>
            <w:tcBorders>
              <w:top w:val="single" w:sz="8" w:space="0" w:color="00B050"/>
            </w:tcBorders>
            <w:shd w:val="clear" w:color="auto" w:fill="FFFFFF"/>
            <w:vAlign w:val="bottom"/>
          </w:tcPr>
          <w:p w14:paraId="74EFFDBB" w14:textId="77777777" w:rsidR="00366CB9" w:rsidRPr="00E80D3A" w:rsidRDefault="009D0C1D" w:rsidP="00C670F3">
            <w:pPr>
              <w:pStyle w:val="a6"/>
              <w:shd w:val="clear" w:color="auto" w:fill="auto"/>
              <w:rPr>
                <w:sz w:val="18"/>
                <w:szCs w:val="24"/>
              </w:rPr>
            </w:pPr>
            <w:r w:rsidRPr="00E80D3A">
              <w:rPr>
                <w:color w:val="000000"/>
                <w:sz w:val="18"/>
                <w:szCs w:val="24"/>
              </w:rPr>
              <w:t>MC-aNAAT</w:t>
            </w:r>
          </w:p>
        </w:tc>
        <w:tc>
          <w:tcPr>
            <w:tcW w:w="2933" w:type="dxa"/>
            <w:tcBorders>
              <w:top w:val="single" w:sz="8" w:space="0" w:color="00B050"/>
              <w:bottom w:val="single" w:sz="8" w:space="0" w:color="00B050"/>
            </w:tcBorders>
            <w:shd w:val="clear" w:color="auto" w:fill="FFFFFF"/>
            <w:vAlign w:val="bottom"/>
          </w:tcPr>
          <w:p w14:paraId="35E5E13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86,4 (82,8-89,3)</w:t>
            </w:r>
          </w:p>
        </w:tc>
        <w:tc>
          <w:tcPr>
            <w:tcW w:w="2486" w:type="dxa"/>
            <w:tcBorders>
              <w:top w:val="single" w:sz="8" w:space="0" w:color="00B050"/>
              <w:bottom w:val="single" w:sz="8" w:space="0" w:color="00B050"/>
            </w:tcBorders>
            <w:shd w:val="clear" w:color="auto" w:fill="FFFFFF"/>
            <w:vAlign w:val="bottom"/>
          </w:tcPr>
          <w:p w14:paraId="4EFD3B84"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18 (854)</w:t>
            </w:r>
          </w:p>
        </w:tc>
        <w:tc>
          <w:tcPr>
            <w:tcW w:w="1421" w:type="dxa"/>
            <w:tcBorders>
              <w:top w:val="single" w:sz="8" w:space="0" w:color="00B050"/>
              <w:bottom w:val="single" w:sz="8" w:space="0" w:color="00B050"/>
            </w:tcBorders>
            <w:shd w:val="clear" w:color="auto" w:fill="FFFFFF"/>
            <w:vAlign w:val="bottom"/>
          </w:tcPr>
          <w:p w14:paraId="63E1168F"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877" w:type="dxa"/>
            <w:tcBorders>
              <w:top w:val="single" w:sz="8" w:space="0" w:color="00B050"/>
              <w:bottom w:val="single" w:sz="8" w:space="0" w:color="00B050"/>
            </w:tcBorders>
            <w:shd w:val="clear" w:color="auto" w:fill="FFFFFF"/>
            <w:vAlign w:val="bottom"/>
          </w:tcPr>
          <w:p w14:paraId="4D2B637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17/ХН: 3</w:t>
            </w:r>
          </w:p>
        </w:tc>
        <w:tc>
          <w:tcPr>
            <w:tcW w:w="1810" w:type="dxa"/>
            <w:tcBorders>
              <w:top w:val="single" w:sz="8" w:space="0" w:color="00B050"/>
              <w:bottom w:val="single" w:sz="8" w:space="0" w:color="00B050"/>
            </w:tcBorders>
            <w:shd w:val="clear" w:color="auto" w:fill="FFFFFF"/>
            <w:vAlign w:val="bottom"/>
          </w:tcPr>
          <w:p w14:paraId="149374D8"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86/ХН: 14</w:t>
            </w:r>
          </w:p>
        </w:tc>
        <w:tc>
          <w:tcPr>
            <w:tcW w:w="1901" w:type="dxa"/>
            <w:tcBorders>
              <w:top w:val="single" w:sz="8" w:space="0" w:color="00B050"/>
              <w:bottom w:val="single" w:sz="8" w:space="0" w:color="00B050"/>
            </w:tcBorders>
            <w:shd w:val="clear" w:color="auto" w:fill="FFFFFF"/>
            <w:vAlign w:val="bottom"/>
          </w:tcPr>
          <w:p w14:paraId="77F6472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129/ХН: 21</w:t>
            </w:r>
          </w:p>
        </w:tc>
      </w:tr>
      <w:tr w:rsidR="00366CB9" w14:paraId="51BE112F" w14:textId="77777777" w:rsidTr="007751D5">
        <w:trPr>
          <w:trHeight w:hRule="exact" w:val="446"/>
        </w:trPr>
        <w:tc>
          <w:tcPr>
            <w:tcW w:w="1594" w:type="dxa"/>
            <w:tcBorders>
              <w:bottom w:val="single" w:sz="8" w:space="0" w:color="00B050"/>
            </w:tcBorders>
            <w:shd w:val="clear" w:color="auto" w:fill="FFFFFF"/>
          </w:tcPr>
          <w:p w14:paraId="58C9B4BC" w14:textId="77777777" w:rsidR="00366CB9" w:rsidRPr="00E80D3A" w:rsidRDefault="00366CB9" w:rsidP="00C670F3">
            <w:pPr>
              <w:rPr>
                <w:b/>
                <w:bCs/>
                <w:sz w:val="18"/>
              </w:rPr>
            </w:pPr>
          </w:p>
        </w:tc>
        <w:tc>
          <w:tcPr>
            <w:tcW w:w="2933" w:type="dxa"/>
            <w:tcBorders>
              <w:top w:val="single" w:sz="8" w:space="0" w:color="00B050"/>
              <w:bottom w:val="single" w:sz="8" w:space="0" w:color="00B050"/>
            </w:tcBorders>
            <w:shd w:val="clear" w:color="auto" w:fill="FFFFFF"/>
            <w:vAlign w:val="bottom"/>
          </w:tcPr>
          <w:p w14:paraId="4D2767F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99,2 (98,1-99,7)</w:t>
            </w:r>
          </w:p>
        </w:tc>
        <w:tc>
          <w:tcPr>
            <w:tcW w:w="2486" w:type="dxa"/>
            <w:tcBorders>
              <w:top w:val="single" w:sz="8" w:space="0" w:color="00B050"/>
              <w:bottom w:val="single" w:sz="8" w:space="0" w:color="00B050"/>
            </w:tcBorders>
            <w:shd w:val="clear" w:color="auto" w:fill="FFFFFF"/>
            <w:vAlign w:val="bottom"/>
          </w:tcPr>
          <w:p w14:paraId="7BCC362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18 (1904)</w:t>
            </w:r>
          </w:p>
        </w:tc>
        <w:tc>
          <w:tcPr>
            <w:tcW w:w="1421" w:type="dxa"/>
            <w:tcBorders>
              <w:top w:val="single" w:sz="8" w:space="0" w:color="00B050"/>
              <w:bottom w:val="single" w:sz="8" w:space="0" w:color="00B050"/>
            </w:tcBorders>
            <w:shd w:val="clear" w:color="auto" w:fill="FFFFFF"/>
            <w:vAlign w:val="bottom"/>
          </w:tcPr>
          <w:p w14:paraId="6445BA8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877" w:type="dxa"/>
            <w:tcBorders>
              <w:top w:val="single" w:sz="8" w:space="0" w:color="00B050"/>
              <w:bottom w:val="single" w:sz="8" w:space="0" w:color="00B050"/>
            </w:tcBorders>
            <w:shd w:val="clear" w:color="auto" w:fill="FFFFFF"/>
            <w:vAlign w:val="bottom"/>
          </w:tcPr>
          <w:p w14:paraId="6211906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970 / ХП: 10</w:t>
            </w:r>
          </w:p>
        </w:tc>
        <w:tc>
          <w:tcPr>
            <w:tcW w:w="1810" w:type="dxa"/>
            <w:tcBorders>
              <w:top w:val="single" w:sz="8" w:space="0" w:color="00B050"/>
              <w:bottom w:val="single" w:sz="8" w:space="0" w:color="00B050"/>
            </w:tcBorders>
            <w:shd w:val="clear" w:color="auto" w:fill="FFFFFF"/>
            <w:vAlign w:val="bottom"/>
          </w:tcPr>
          <w:p w14:paraId="56DDA492" w14:textId="77777777" w:rsidR="00366CB9" w:rsidRPr="00E80D3A" w:rsidRDefault="009D0C1D" w:rsidP="00C670F3">
            <w:pPr>
              <w:pStyle w:val="a6"/>
              <w:shd w:val="clear" w:color="auto" w:fill="auto"/>
              <w:ind w:firstLine="140"/>
              <w:rPr>
                <w:sz w:val="18"/>
                <w:szCs w:val="24"/>
              </w:rPr>
            </w:pPr>
            <w:r w:rsidRPr="00E80D3A">
              <w:rPr>
                <w:b w:val="0"/>
                <w:color w:val="000000"/>
                <w:sz w:val="18"/>
                <w:szCs w:val="24"/>
              </w:rPr>
              <w:t>ІН: 891 / ХП: 9</w:t>
            </w:r>
          </w:p>
        </w:tc>
        <w:tc>
          <w:tcPr>
            <w:tcW w:w="1901" w:type="dxa"/>
            <w:tcBorders>
              <w:top w:val="single" w:sz="8" w:space="0" w:color="00B050"/>
              <w:bottom w:val="single" w:sz="8" w:space="0" w:color="00B050"/>
            </w:tcBorders>
            <w:shd w:val="clear" w:color="auto" w:fill="FFFFFF"/>
            <w:vAlign w:val="bottom"/>
          </w:tcPr>
          <w:p w14:paraId="0FFF572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842 / ХП: 8</w:t>
            </w:r>
          </w:p>
        </w:tc>
      </w:tr>
      <w:tr w:rsidR="00366CB9" w14:paraId="227A4CD6" w14:textId="77777777" w:rsidTr="007751D5">
        <w:trPr>
          <w:trHeight w:hRule="exact" w:val="451"/>
        </w:trPr>
        <w:tc>
          <w:tcPr>
            <w:tcW w:w="1594" w:type="dxa"/>
            <w:tcBorders>
              <w:top w:val="single" w:sz="8" w:space="0" w:color="00B050"/>
            </w:tcBorders>
            <w:shd w:val="clear" w:color="auto" w:fill="FFFFFF"/>
            <w:vAlign w:val="bottom"/>
          </w:tcPr>
          <w:p w14:paraId="03A61883" w14:textId="77777777" w:rsidR="00366CB9" w:rsidRPr="00E80D3A" w:rsidRDefault="009D0C1D" w:rsidP="00C670F3">
            <w:pPr>
              <w:pStyle w:val="a6"/>
              <w:shd w:val="clear" w:color="auto" w:fill="auto"/>
              <w:rPr>
                <w:sz w:val="18"/>
                <w:szCs w:val="24"/>
              </w:rPr>
            </w:pPr>
            <w:r w:rsidRPr="00E80D3A">
              <w:rPr>
                <w:color w:val="000000"/>
                <w:sz w:val="18"/>
                <w:szCs w:val="24"/>
              </w:rPr>
              <w:t>LC-aNAAT</w:t>
            </w:r>
          </w:p>
        </w:tc>
        <w:tc>
          <w:tcPr>
            <w:tcW w:w="2933" w:type="dxa"/>
            <w:tcBorders>
              <w:top w:val="single" w:sz="8" w:space="0" w:color="00B050"/>
              <w:bottom w:val="single" w:sz="8" w:space="0" w:color="00B050"/>
            </w:tcBorders>
            <w:shd w:val="clear" w:color="auto" w:fill="FFFFFF"/>
            <w:vAlign w:val="bottom"/>
          </w:tcPr>
          <w:p w14:paraId="1607044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94,2 (89,3-97,0)</w:t>
            </w:r>
          </w:p>
        </w:tc>
        <w:tc>
          <w:tcPr>
            <w:tcW w:w="2486" w:type="dxa"/>
            <w:tcBorders>
              <w:top w:val="single" w:sz="8" w:space="0" w:color="00B050"/>
              <w:bottom w:val="single" w:sz="8" w:space="0" w:color="00B050"/>
            </w:tcBorders>
            <w:shd w:val="clear" w:color="auto" w:fill="FFFFFF"/>
            <w:vAlign w:val="bottom"/>
          </w:tcPr>
          <w:p w14:paraId="263CC5FB"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3 (994)</w:t>
            </w:r>
          </w:p>
        </w:tc>
        <w:tc>
          <w:tcPr>
            <w:tcW w:w="1421" w:type="dxa"/>
            <w:tcBorders>
              <w:top w:val="single" w:sz="8" w:space="0" w:color="00B050"/>
              <w:bottom w:val="single" w:sz="8" w:space="0" w:color="00B050"/>
            </w:tcBorders>
            <w:shd w:val="clear" w:color="auto" w:fill="FFFFFF"/>
            <w:vAlign w:val="bottom"/>
          </w:tcPr>
          <w:p w14:paraId="0483F70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877" w:type="dxa"/>
            <w:tcBorders>
              <w:top w:val="single" w:sz="8" w:space="0" w:color="00B050"/>
              <w:bottom w:val="single" w:sz="8" w:space="0" w:color="00B050"/>
            </w:tcBorders>
            <w:shd w:val="clear" w:color="auto" w:fill="FFFFFF"/>
            <w:vAlign w:val="bottom"/>
          </w:tcPr>
          <w:p w14:paraId="55A81D3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19/ХН: 1</w:t>
            </w:r>
          </w:p>
        </w:tc>
        <w:tc>
          <w:tcPr>
            <w:tcW w:w="1810" w:type="dxa"/>
            <w:tcBorders>
              <w:top w:val="single" w:sz="8" w:space="0" w:color="00B050"/>
              <w:bottom w:val="single" w:sz="8" w:space="0" w:color="00B050"/>
            </w:tcBorders>
            <w:shd w:val="clear" w:color="auto" w:fill="FFFFFF"/>
            <w:vAlign w:val="bottom"/>
          </w:tcPr>
          <w:p w14:paraId="2D756268"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94/ХН: 6</w:t>
            </w:r>
          </w:p>
        </w:tc>
        <w:tc>
          <w:tcPr>
            <w:tcW w:w="1901" w:type="dxa"/>
            <w:tcBorders>
              <w:top w:val="single" w:sz="8" w:space="0" w:color="00B050"/>
              <w:bottom w:val="single" w:sz="8" w:space="0" w:color="00B050"/>
            </w:tcBorders>
            <w:shd w:val="clear" w:color="auto" w:fill="FFFFFF"/>
            <w:vAlign w:val="bottom"/>
          </w:tcPr>
          <w:p w14:paraId="0B4CF5B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141/ХН: 9</w:t>
            </w:r>
          </w:p>
        </w:tc>
      </w:tr>
      <w:tr w:rsidR="00366CB9" w14:paraId="3624F8DB" w14:textId="77777777" w:rsidTr="007751D5">
        <w:trPr>
          <w:trHeight w:hRule="exact" w:val="446"/>
        </w:trPr>
        <w:tc>
          <w:tcPr>
            <w:tcW w:w="1594" w:type="dxa"/>
            <w:tcBorders>
              <w:bottom w:val="single" w:sz="8" w:space="0" w:color="00B050"/>
            </w:tcBorders>
            <w:shd w:val="clear" w:color="auto" w:fill="FFFFFF"/>
          </w:tcPr>
          <w:p w14:paraId="48E276CC" w14:textId="77777777" w:rsidR="00366CB9" w:rsidRPr="00E80D3A" w:rsidRDefault="00366CB9" w:rsidP="00C670F3">
            <w:pPr>
              <w:rPr>
                <w:b/>
                <w:bCs/>
                <w:sz w:val="18"/>
              </w:rPr>
            </w:pPr>
          </w:p>
        </w:tc>
        <w:tc>
          <w:tcPr>
            <w:tcW w:w="2933" w:type="dxa"/>
            <w:tcBorders>
              <w:top w:val="single" w:sz="8" w:space="0" w:color="00B050"/>
              <w:bottom w:val="single" w:sz="8" w:space="0" w:color="00B050"/>
            </w:tcBorders>
            <w:shd w:val="clear" w:color="auto" w:fill="FFFFFF"/>
            <w:vAlign w:val="bottom"/>
          </w:tcPr>
          <w:p w14:paraId="32F44DC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98,0 (95,2-99,2)</w:t>
            </w:r>
          </w:p>
        </w:tc>
        <w:tc>
          <w:tcPr>
            <w:tcW w:w="2486" w:type="dxa"/>
            <w:tcBorders>
              <w:top w:val="single" w:sz="8" w:space="0" w:color="00B050"/>
              <w:bottom w:val="single" w:sz="8" w:space="0" w:color="00B050"/>
            </w:tcBorders>
            <w:shd w:val="clear" w:color="auto" w:fill="FFFFFF"/>
            <w:vAlign w:val="bottom"/>
          </w:tcPr>
          <w:p w14:paraId="61585A5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3 (611)</w:t>
            </w:r>
          </w:p>
        </w:tc>
        <w:tc>
          <w:tcPr>
            <w:tcW w:w="1421" w:type="dxa"/>
            <w:tcBorders>
              <w:top w:val="single" w:sz="8" w:space="0" w:color="00B050"/>
              <w:bottom w:val="single" w:sz="8" w:space="0" w:color="00B050"/>
            </w:tcBorders>
            <w:shd w:val="clear" w:color="auto" w:fill="FFFFFF"/>
            <w:vAlign w:val="bottom"/>
          </w:tcPr>
          <w:p w14:paraId="158F1C18"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877" w:type="dxa"/>
            <w:tcBorders>
              <w:top w:val="single" w:sz="8" w:space="0" w:color="00B050"/>
              <w:bottom w:val="single" w:sz="8" w:space="0" w:color="00B050"/>
            </w:tcBorders>
            <w:shd w:val="clear" w:color="auto" w:fill="FFFFFF"/>
            <w:vAlign w:val="bottom"/>
          </w:tcPr>
          <w:p w14:paraId="2E357FB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960 / ХП: 20</w:t>
            </w:r>
          </w:p>
        </w:tc>
        <w:tc>
          <w:tcPr>
            <w:tcW w:w="1810" w:type="dxa"/>
            <w:tcBorders>
              <w:top w:val="single" w:sz="8" w:space="0" w:color="00B050"/>
              <w:bottom w:val="single" w:sz="8" w:space="0" w:color="00B050"/>
            </w:tcBorders>
            <w:shd w:val="clear" w:color="auto" w:fill="FFFFFF"/>
            <w:vAlign w:val="bottom"/>
          </w:tcPr>
          <w:p w14:paraId="55705AE7" w14:textId="77777777" w:rsidR="00366CB9" w:rsidRPr="00E80D3A" w:rsidRDefault="009D0C1D" w:rsidP="00C670F3">
            <w:pPr>
              <w:pStyle w:val="a6"/>
              <w:shd w:val="clear" w:color="auto" w:fill="auto"/>
              <w:rPr>
                <w:sz w:val="18"/>
                <w:szCs w:val="24"/>
              </w:rPr>
            </w:pPr>
            <w:r w:rsidRPr="00E80D3A">
              <w:rPr>
                <w:b w:val="0"/>
                <w:color w:val="000000"/>
                <w:sz w:val="18"/>
                <w:szCs w:val="24"/>
              </w:rPr>
              <w:t>ІН: 882 / ХП: 18</w:t>
            </w:r>
          </w:p>
        </w:tc>
        <w:tc>
          <w:tcPr>
            <w:tcW w:w="1901" w:type="dxa"/>
            <w:tcBorders>
              <w:top w:val="single" w:sz="8" w:space="0" w:color="00B050"/>
              <w:bottom w:val="single" w:sz="8" w:space="0" w:color="00B050"/>
            </w:tcBorders>
            <w:shd w:val="clear" w:color="auto" w:fill="FFFFFF"/>
            <w:vAlign w:val="bottom"/>
          </w:tcPr>
          <w:p w14:paraId="525C333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833 / ХП: 17</w:t>
            </w:r>
          </w:p>
        </w:tc>
      </w:tr>
      <w:tr w:rsidR="00366CB9" w14:paraId="411913E8" w14:textId="77777777" w:rsidTr="007751D5">
        <w:trPr>
          <w:trHeight w:hRule="exact" w:val="446"/>
        </w:trPr>
        <w:tc>
          <w:tcPr>
            <w:tcW w:w="1594" w:type="dxa"/>
            <w:vMerge w:val="restart"/>
            <w:tcBorders>
              <w:top w:val="single" w:sz="8" w:space="0" w:color="00B050"/>
              <w:bottom w:val="single" w:sz="8" w:space="0" w:color="00B050"/>
            </w:tcBorders>
            <w:shd w:val="clear" w:color="auto" w:fill="FFFFFF"/>
            <w:vAlign w:val="center"/>
          </w:tcPr>
          <w:p w14:paraId="436BAE6B" w14:textId="77777777" w:rsidR="00366CB9" w:rsidRPr="00E80D3A" w:rsidRDefault="009D0C1D" w:rsidP="00C670F3">
            <w:pPr>
              <w:pStyle w:val="a6"/>
              <w:shd w:val="clear" w:color="auto" w:fill="auto"/>
              <w:rPr>
                <w:sz w:val="18"/>
                <w:szCs w:val="24"/>
              </w:rPr>
            </w:pPr>
            <w:r w:rsidRPr="00E80D3A">
              <w:rPr>
                <w:color w:val="000000"/>
                <w:sz w:val="18"/>
                <w:szCs w:val="24"/>
              </w:rPr>
              <w:t>Цільове</w:t>
            </w:r>
          </w:p>
          <w:p w14:paraId="150F15F1" w14:textId="77777777" w:rsidR="00366CB9" w:rsidRPr="00E80D3A" w:rsidRDefault="009D0C1D" w:rsidP="00C670F3">
            <w:pPr>
              <w:pStyle w:val="a6"/>
              <w:shd w:val="clear" w:color="auto" w:fill="auto"/>
              <w:rPr>
                <w:sz w:val="18"/>
                <w:szCs w:val="24"/>
              </w:rPr>
            </w:pPr>
            <w:r w:rsidRPr="00E80D3A">
              <w:rPr>
                <w:color w:val="000000"/>
                <w:sz w:val="18"/>
                <w:szCs w:val="24"/>
              </w:rPr>
              <w:t>СНП</w:t>
            </w:r>
          </w:p>
        </w:tc>
        <w:tc>
          <w:tcPr>
            <w:tcW w:w="2933" w:type="dxa"/>
            <w:tcBorders>
              <w:top w:val="single" w:sz="8" w:space="0" w:color="00B050"/>
              <w:bottom w:val="single" w:sz="8" w:space="0" w:color="00B050"/>
            </w:tcBorders>
            <w:shd w:val="clear" w:color="auto" w:fill="FFFFFF"/>
            <w:vAlign w:val="bottom"/>
          </w:tcPr>
          <w:p w14:paraId="7EC9749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96 (93-99)</w:t>
            </w:r>
          </w:p>
        </w:tc>
        <w:tc>
          <w:tcPr>
            <w:tcW w:w="2486" w:type="dxa"/>
            <w:tcBorders>
              <w:top w:val="single" w:sz="8" w:space="0" w:color="00B050"/>
              <w:bottom w:val="single" w:sz="8" w:space="0" w:color="00B050"/>
            </w:tcBorders>
            <w:shd w:val="clear" w:color="auto" w:fill="FFFFFF"/>
            <w:vAlign w:val="bottom"/>
          </w:tcPr>
          <w:p w14:paraId="118A03D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12 (1440)</w:t>
            </w:r>
          </w:p>
        </w:tc>
        <w:tc>
          <w:tcPr>
            <w:tcW w:w="1421" w:type="dxa"/>
            <w:tcBorders>
              <w:top w:val="single" w:sz="8" w:space="0" w:color="00B050"/>
              <w:bottom w:val="single" w:sz="8" w:space="0" w:color="00B050"/>
            </w:tcBorders>
            <w:shd w:val="clear" w:color="auto" w:fill="FFFFFF"/>
            <w:vAlign w:val="bottom"/>
          </w:tcPr>
          <w:p w14:paraId="76C14FA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877" w:type="dxa"/>
            <w:tcBorders>
              <w:top w:val="single" w:sz="8" w:space="0" w:color="00B050"/>
              <w:bottom w:val="single" w:sz="8" w:space="0" w:color="00B050"/>
            </w:tcBorders>
            <w:shd w:val="clear" w:color="auto" w:fill="FFFFFF"/>
            <w:vAlign w:val="bottom"/>
          </w:tcPr>
          <w:p w14:paraId="711994A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19/ХН: 1</w:t>
            </w:r>
          </w:p>
        </w:tc>
        <w:tc>
          <w:tcPr>
            <w:tcW w:w="1810" w:type="dxa"/>
            <w:tcBorders>
              <w:top w:val="single" w:sz="8" w:space="0" w:color="00B050"/>
              <w:bottom w:val="single" w:sz="8" w:space="0" w:color="00B050"/>
            </w:tcBorders>
            <w:shd w:val="clear" w:color="auto" w:fill="FFFFFF"/>
            <w:vAlign w:val="bottom"/>
          </w:tcPr>
          <w:p w14:paraId="7D67D21B"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96/ХН: 4</w:t>
            </w:r>
          </w:p>
        </w:tc>
        <w:tc>
          <w:tcPr>
            <w:tcW w:w="1901" w:type="dxa"/>
            <w:tcBorders>
              <w:top w:val="single" w:sz="8" w:space="0" w:color="00B050"/>
              <w:bottom w:val="single" w:sz="8" w:space="0" w:color="00B050"/>
            </w:tcBorders>
            <w:shd w:val="clear" w:color="auto" w:fill="FFFFFF"/>
            <w:vAlign w:val="bottom"/>
          </w:tcPr>
          <w:p w14:paraId="12F44C2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144/ХН: 6</w:t>
            </w:r>
          </w:p>
        </w:tc>
      </w:tr>
      <w:tr w:rsidR="00366CB9" w14:paraId="454CD617" w14:textId="77777777" w:rsidTr="007751D5">
        <w:trPr>
          <w:trHeight w:hRule="exact" w:val="451"/>
        </w:trPr>
        <w:tc>
          <w:tcPr>
            <w:tcW w:w="1594" w:type="dxa"/>
            <w:vMerge/>
            <w:tcBorders>
              <w:bottom w:val="single" w:sz="8" w:space="0" w:color="00B050"/>
            </w:tcBorders>
            <w:shd w:val="clear" w:color="auto" w:fill="FFFFFF"/>
            <w:vAlign w:val="center"/>
          </w:tcPr>
          <w:p w14:paraId="7A1D9287" w14:textId="77777777" w:rsidR="00366CB9" w:rsidRPr="00E80D3A" w:rsidRDefault="00366CB9" w:rsidP="00C670F3">
            <w:pPr>
              <w:rPr>
                <w:b/>
                <w:bCs/>
                <w:sz w:val="18"/>
              </w:rPr>
            </w:pPr>
          </w:p>
        </w:tc>
        <w:tc>
          <w:tcPr>
            <w:tcW w:w="2933" w:type="dxa"/>
            <w:tcBorders>
              <w:top w:val="single" w:sz="8" w:space="0" w:color="00B050"/>
              <w:bottom w:val="single" w:sz="8" w:space="0" w:color="00B050"/>
            </w:tcBorders>
            <w:shd w:val="clear" w:color="auto" w:fill="FFFFFF"/>
            <w:vAlign w:val="bottom"/>
          </w:tcPr>
          <w:p w14:paraId="5B8B50C8"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97 (95-99)</w:t>
            </w:r>
          </w:p>
        </w:tc>
        <w:tc>
          <w:tcPr>
            <w:tcW w:w="2486" w:type="dxa"/>
            <w:tcBorders>
              <w:top w:val="single" w:sz="8" w:space="0" w:color="00B050"/>
              <w:bottom w:val="single" w:sz="8" w:space="0" w:color="00B050"/>
            </w:tcBorders>
            <w:shd w:val="clear" w:color="auto" w:fill="FFFFFF"/>
            <w:vAlign w:val="bottom"/>
          </w:tcPr>
          <w:p w14:paraId="0AA6FFB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12 (517)</w:t>
            </w:r>
          </w:p>
        </w:tc>
        <w:tc>
          <w:tcPr>
            <w:tcW w:w="1421" w:type="dxa"/>
            <w:tcBorders>
              <w:top w:val="single" w:sz="8" w:space="0" w:color="00B050"/>
              <w:bottom w:val="single" w:sz="8" w:space="0" w:color="00B050"/>
            </w:tcBorders>
            <w:shd w:val="clear" w:color="auto" w:fill="FFFFFF"/>
            <w:vAlign w:val="bottom"/>
          </w:tcPr>
          <w:p w14:paraId="43AD015F"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877" w:type="dxa"/>
            <w:tcBorders>
              <w:top w:val="single" w:sz="8" w:space="0" w:color="00B050"/>
              <w:bottom w:val="single" w:sz="8" w:space="0" w:color="00B050"/>
            </w:tcBorders>
            <w:shd w:val="clear" w:color="auto" w:fill="FFFFFF"/>
            <w:vAlign w:val="bottom"/>
          </w:tcPr>
          <w:p w14:paraId="5F1A76F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951 / ХП: 29</w:t>
            </w:r>
          </w:p>
        </w:tc>
        <w:tc>
          <w:tcPr>
            <w:tcW w:w="1810" w:type="dxa"/>
            <w:tcBorders>
              <w:top w:val="single" w:sz="8" w:space="0" w:color="00B050"/>
              <w:bottom w:val="single" w:sz="8" w:space="0" w:color="00B050"/>
            </w:tcBorders>
            <w:shd w:val="clear" w:color="auto" w:fill="FFFFFF"/>
            <w:vAlign w:val="bottom"/>
          </w:tcPr>
          <w:p w14:paraId="15520F2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873 / ХП: 27</w:t>
            </w:r>
          </w:p>
        </w:tc>
        <w:tc>
          <w:tcPr>
            <w:tcW w:w="1901" w:type="dxa"/>
            <w:tcBorders>
              <w:top w:val="single" w:sz="8" w:space="0" w:color="00B050"/>
              <w:bottom w:val="single" w:sz="8" w:space="0" w:color="00B050"/>
            </w:tcBorders>
            <w:shd w:val="clear" w:color="auto" w:fill="FFFFFF"/>
            <w:vAlign w:val="bottom"/>
          </w:tcPr>
          <w:p w14:paraId="081C6B4B"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825 / ХП: 25</w:t>
            </w:r>
          </w:p>
        </w:tc>
      </w:tr>
      <w:tr w:rsidR="00366CB9" w14:paraId="760D367A" w14:textId="77777777" w:rsidTr="007751D5">
        <w:trPr>
          <w:trHeight w:hRule="exact" w:val="446"/>
        </w:trPr>
        <w:tc>
          <w:tcPr>
            <w:tcW w:w="1594" w:type="dxa"/>
            <w:vMerge w:val="restart"/>
            <w:tcBorders>
              <w:top w:val="single" w:sz="8" w:space="0" w:color="00B050"/>
              <w:bottom w:val="single" w:sz="8" w:space="0" w:color="00B050"/>
            </w:tcBorders>
            <w:shd w:val="clear" w:color="auto" w:fill="FFFFFF"/>
            <w:vAlign w:val="bottom"/>
          </w:tcPr>
          <w:p w14:paraId="2FBE12E3" w14:textId="77777777" w:rsidR="00366CB9" w:rsidRPr="00E80D3A" w:rsidRDefault="009D0C1D" w:rsidP="00C670F3">
            <w:pPr>
              <w:pStyle w:val="a6"/>
              <w:shd w:val="clear" w:color="auto" w:fill="auto"/>
              <w:spacing w:line="276" w:lineRule="auto"/>
              <w:rPr>
                <w:sz w:val="18"/>
                <w:szCs w:val="24"/>
              </w:rPr>
            </w:pPr>
            <w:r w:rsidRPr="00E80D3A">
              <w:rPr>
                <w:color w:val="000000"/>
                <w:sz w:val="18"/>
                <w:szCs w:val="24"/>
              </w:rPr>
              <w:t>FL-LPA за допомогою безпосереднього тестування зразків ММ+</w:t>
            </w:r>
          </w:p>
        </w:tc>
        <w:tc>
          <w:tcPr>
            <w:tcW w:w="2933" w:type="dxa"/>
            <w:tcBorders>
              <w:top w:val="single" w:sz="8" w:space="0" w:color="00B050"/>
              <w:bottom w:val="single" w:sz="8" w:space="0" w:color="00B050"/>
            </w:tcBorders>
            <w:shd w:val="clear" w:color="auto" w:fill="FFFFFF"/>
            <w:vAlign w:val="bottom"/>
          </w:tcPr>
          <w:p w14:paraId="29E762D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89 (86-92)</w:t>
            </w:r>
          </w:p>
        </w:tc>
        <w:tc>
          <w:tcPr>
            <w:tcW w:w="2486" w:type="dxa"/>
            <w:tcBorders>
              <w:top w:val="single" w:sz="8" w:space="0" w:color="00B050"/>
              <w:bottom w:val="single" w:sz="8" w:space="0" w:color="00B050"/>
            </w:tcBorders>
            <w:shd w:val="clear" w:color="auto" w:fill="FFFFFF"/>
            <w:vAlign w:val="bottom"/>
          </w:tcPr>
          <w:p w14:paraId="2CC7737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46 (3576)</w:t>
            </w:r>
          </w:p>
        </w:tc>
        <w:tc>
          <w:tcPr>
            <w:tcW w:w="1421" w:type="dxa"/>
            <w:tcBorders>
              <w:top w:val="single" w:sz="8" w:space="0" w:color="00B050"/>
              <w:bottom w:val="single" w:sz="8" w:space="0" w:color="00B050"/>
            </w:tcBorders>
            <w:shd w:val="clear" w:color="auto" w:fill="FFFFFF"/>
            <w:vAlign w:val="bottom"/>
          </w:tcPr>
          <w:p w14:paraId="7AA4D618"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877" w:type="dxa"/>
            <w:tcBorders>
              <w:top w:val="single" w:sz="8" w:space="0" w:color="00B050"/>
              <w:bottom w:val="single" w:sz="8" w:space="0" w:color="00B050"/>
            </w:tcBorders>
            <w:shd w:val="clear" w:color="auto" w:fill="FFFFFF"/>
            <w:vAlign w:val="bottom"/>
          </w:tcPr>
          <w:p w14:paraId="20B6565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18/ХН: 2</w:t>
            </w:r>
          </w:p>
        </w:tc>
        <w:tc>
          <w:tcPr>
            <w:tcW w:w="1810" w:type="dxa"/>
            <w:tcBorders>
              <w:top w:val="single" w:sz="8" w:space="0" w:color="00B050"/>
              <w:bottom w:val="single" w:sz="8" w:space="0" w:color="00B050"/>
            </w:tcBorders>
            <w:shd w:val="clear" w:color="auto" w:fill="FFFFFF"/>
            <w:vAlign w:val="bottom"/>
          </w:tcPr>
          <w:p w14:paraId="0E1A6E85" w14:textId="77777777" w:rsidR="00366CB9" w:rsidRPr="00E80D3A" w:rsidRDefault="009D0C1D" w:rsidP="00C670F3">
            <w:pPr>
              <w:pStyle w:val="a6"/>
              <w:shd w:val="clear" w:color="auto" w:fill="auto"/>
              <w:ind w:firstLine="140"/>
              <w:rPr>
                <w:sz w:val="18"/>
                <w:szCs w:val="24"/>
              </w:rPr>
            </w:pPr>
            <w:r w:rsidRPr="00E80D3A">
              <w:rPr>
                <w:b w:val="0"/>
                <w:color w:val="000000"/>
                <w:sz w:val="18"/>
                <w:szCs w:val="24"/>
              </w:rPr>
              <w:t>ІП: 89/ХН: 11</w:t>
            </w:r>
          </w:p>
        </w:tc>
        <w:tc>
          <w:tcPr>
            <w:tcW w:w="1901" w:type="dxa"/>
            <w:tcBorders>
              <w:top w:val="single" w:sz="8" w:space="0" w:color="00B050"/>
              <w:bottom w:val="single" w:sz="8" w:space="0" w:color="00B050"/>
            </w:tcBorders>
            <w:shd w:val="clear" w:color="auto" w:fill="FFFFFF"/>
            <w:vAlign w:val="bottom"/>
          </w:tcPr>
          <w:p w14:paraId="270E98EB"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134/ХН: 16</w:t>
            </w:r>
          </w:p>
        </w:tc>
      </w:tr>
      <w:tr w:rsidR="00366CB9" w14:paraId="5D9F38D5" w14:textId="77777777" w:rsidTr="007751D5">
        <w:trPr>
          <w:trHeight w:hRule="exact" w:val="1008"/>
        </w:trPr>
        <w:tc>
          <w:tcPr>
            <w:tcW w:w="1594" w:type="dxa"/>
            <w:vMerge/>
            <w:tcBorders>
              <w:bottom w:val="single" w:sz="8" w:space="0" w:color="00B050"/>
            </w:tcBorders>
            <w:shd w:val="clear" w:color="auto" w:fill="FFFFFF"/>
            <w:vAlign w:val="bottom"/>
          </w:tcPr>
          <w:p w14:paraId="73EFCE9E" w14:textId="77777777" w:rsidR="00366CB9" w:rsidRPr="00E80D3A" w:rsidRDefault="00366CB9" w:rsidP="00C670F3">
            <w:pPr>
              <w:rPr>
                <w:sz w:val="18"/>
              </w:rPr>
            </w:pPr>
          </w:p>
        </w:tc>
        <w:tc>
          <w:tcPr>
            <w:tcW w:w="2933" w:type="dxa"/>
            <w:tcBorders>
              <w:top w:val="single" w:sz="8" w:space="0" w:color="00B050"/>
              <w:bottom w:val="single" w:sz="8" w:space="0" w:color="00B050"/>
            </w:tcBorders>
            <w:shd w:val="clear" w:color="auto" w:fill="FFFFFF"/>
          </w:tcPr>
          <w:p w14:paraId="51D67D9B" w14:textId="77777777" w:rsidR="00366CB9" w:rsidRPr="00E80D3A" w:rsidRDefault="009D0C1D" w:rsidP="00C670F3">
            <w:pPr>
              <w:pStyle w:val="a6"/>
              <w:shd w:val="clear" w:color="auto" w:fill="auto"/>
              <w:spacing w:before="100"/>
              <w:jc w:val="center"/>
              <w:rPr>
                <w:sz w:val="18"/>
                <w:szCs w:val="24"/>
              </w:rPr>
            </w:pPr>
            <w:r w:rsidRPr="00E80D3A">
              <w:rPr>
                <w:b w:val="0"/>
                <w:color w:val="000000"/>
                <w:sz w:val="18"/>
                <w:szCs w:val="24"/>
              </w:rPr>
              <w:t>Sp: 98 (97-99)</w:t>
            </w:r>
          </w:p>
        </w:tc>
        <w:tc>
          <w:tcPr>
            <w:tcW w:w="2486" w:type="dxa"/>
            <w:tcBorders>
              <w:top w:val="single" w:sz="8" w:space="0" w:color="00B050"/>
              <w:bottom w:val="single" w:sz="8" w:space="0" w:color="00B050"/>
            </w:tcBorders>
            <w:shd w:val="clear" w:color="auto" w:fill="FFFFFF"/>
          </w:tcPr>
          <w:p w14:paraId="2C9D870A" w14:textId="77777777" w:rsidR="00366CB9" w:rsidRPr="00E80D3A" w:rsidRDefault="009D0C1D" w:rsidP="00C670F3">
            <w:pPr>
              <w:pStyle w:val="a6"/>
              <w:shd w:val="clear" w:color="auto" w:fill="auto"/>
              <w:spacing w:before="100"/>
              <w:jc w:val="center"/>
              <w:rPr>
                <w:sz w:val="18"/>
                <w:szCs w:val="24"/>
              </w:rPr>
            </w:pPr>
            <w:r w:rsidRPr="00E80D3A">
              <w:rPr>
                <w:b w:val="0"/>
                <w:color w:val="000000"/>
                <w:sz w:val="18"/>
                <w:szCs w:val="24"/>
              </w:rPr>
              <w:t>46 (6896)</w:t>
            </w:r>
          </w:p>
        </w:tc>
        <w:tc>
          <w:tcPr>
            <w:tcW w:w="1421" w:type="dxa"/>
            <w:tcBorders>
              <w:top w:val="single" w:sz="8" w:space="0" w:color="00B050"/>
              <w:bottom w:val="single" w:sz="8" w:space="0" w:color="00B050"/>
            </w:tcBorders>
            <w:shd w:val="clear" w:color="auto" w:fill="FFFFFF"/>
          </w:tcPr>
          <w:p w14:paraId="32525B68" w14:textId="77777777" w:rsidR="00366CB9" w:rsidRPr="00E80D3A" w:rsidRDefault="009D0C1D" w:rsidP="00C670F3">
            <w:pPr>
              <w:pStyle w:val="a6"/>
              <w:shd w:val="clear" w:color="auto" w:fill="auto"/>
              <w:spacing w:before="100"/>
              <w:jc w:val="center"/>
              <w:rPr>
                <w:sz w:val="18"/>
                <w:szCs w:val="24"/>
              </w:rPr>
            </w:pPr>
            <w:r w:rsidRPr="00E80D3A">
              <w:rPr>
                <w:b w:val="0"/>
                <w:color w:val="000000"/>
                <w:sz w:val="18"/>
                <w:szCs w:val="24"/>
              </w:rPr>
              <w:t>Помірна</w:t>
            </w:r>
          </w:p>
        </w:tc>
        <w:tc>
          <w:tcPr>
            <w:tcW w:w="1877" w:type="dxa"/>
            <w:tcBorders>
              <w:top w:val="single" w:sz="8" w:space="0" w:color="00B050"/>
              <w:bottom w:val="single" w:sz="8" w:space="0" w:color="00B050"/>
            </w:tcBorders>
            <w:shd w:val="clear" w:color="auto" w:fill="FFFFFF"/>
          </w:tcPr>
          <w:p w14:paraId="1C897748" w14:textId="77777777" w:rsidR="00366CB9" w:rsidRPr="00E80D3A" w:rsidRDefault="009D0C1D" w:rsidP="00C670F3">
            <w:pPr>
              <w:pStyle w:val="a6"/>
              <w:shd w:val="clear" w:color="auto" w:fill="auto"/>
              <w:spacing w:before="100"/>
              <w:jc w:val="center"/>
              <w:rPr>
                <w:sz w:val="18"/>
                <w:szCs w:val="24"/>
              </w:rPr>
            </w:pPr>
            <w:r w:rsidRPr="00E80D3A">
              <w:rPr>
                <w:b w:val="0"/>
                <w:color w:val="000000"/>
                <w:sz w:val="18"/>
                <w:szCs w:val="24"/>
              </w:rPr>
              <w:t>ІН: 960 / ХП: 20</w:t>
            </w:r>
          </w:p>
        </w:tc>
        <w:tc>
          <w:tcPr>
            <w:tcW w:w="1810" w:type="dxa"/>
            <w:tcBorders>
              <w:top w:val="single" w:sz="8" w:space="0" w:color="00B050"/>
              <w:bottom w:val="single" w:sz="8" w:space="0" w:color="00B050"/>
            </w:tcBorders>
            <w:shd w:val="clear" w:color="auto" w:fill="FFFFFF"/>
          </w:tcPr>
          <w:p w14:paraId="60B1B81B" w14:textId="77777777" w:rsidR="00366CB9" w:rsidRPr="00E80D3A" w:rsidRDefault="009D0C1D" w:rsidP="00C670F3">
            <w:pPr>
              <w:pStyle w:val="a6"/>
              <w:shd w:val="clear" w:color="auto" w:fill="auto"/>
              <w:spacing w:before="100"/>
              <w:rPr>
                <w:sz w:val="18"/>
                <w:szCs w:val="24"/>
              </w:rPr>
            </w:pPr>
            <w:r w:rsidRPr="00E80D3A">
              <w:rPr>
                <w:b w:val="0"/>
                <w:color w:val="000000"/>
                <w:sz w:val="18"/>
                <w:szCs w:val="24"/>
              </w:rPr>
              <w:t>ІН: 882 / ХП: 18</w:t>
            </w:r>
          </w:p>
        </w:tc>
        <w:tc>
          <w:tcPr>
            <w:tcW w:w="1901" w:type="dxa"/>
            <w:tcBorders>
              <w:top w:val="single" w:sz="8" w:space="0" w:color="00B050"/>
              <w:bottom w:val="single" w:sz="8" w:space="0" w:color="00B050"/>
            </w:tcBorders>
            <w:shd w:val="clear" w:color="auto" w:fill="FFFFFF"/>
          </w:tcPr>
          <w:p w14:paraId="1CF0D16E" w14:textId="77777777" w:rsidR="00366CB9" w:rsidRPr="00E80D3A" w:rsidRDefault="009D0C1D" w:rsidP="00C670F3">
            <w:pPr>
              <w:pStyle w:val="a6"/>
              <w:shd w:val="clear" w:color="auto" w:fill="auto"/>
              <w:spacing w:before="100"/>
              <w:jc w:val="center"/>
              <w:rPr>
                <w:sz w:val="18"/>
                <w:szCs w:val="24"/>
              </w:rPr>
            </w:pPr>
            <w:r w:rsidRPr="00E80D3A">
              <w:rPr>
                <w:b w:val="0"/>
                <w:color w:val="000000"/>
                <w:sz w:val="18"/>
                <w:szCs w:val="24"/>
              </w:rPr>
              <w:t>ІН: 833 / ХП: 17</w:t>
            </w:r>
          </w:p>
        </w:tc>
      </w:tr>
      <w:tr w:rsidR="00366CB9" w14:paraId="29CA6F10" w14:textId="77777777">
        <w:trPr>
          <w:trHeight w:hRule="exact" w:val="1579"/>
        </w:trPr>
        <w:tc>
          <w:tcPr>
            <w:tcW w:w="14022" w:type="dxa"/>
            <w:gridSpan w:val="7"/>
            <w:tcBorders>
              <w:top w:val="single" w:sz="4" w:space="0" w:color="auto"/>
            </w:tcBorders>
            <w:shd w:val="clear" w:color="auto" w:fill="FFFFFF"/>
            <w:vAlign w:val="bottom"/>
          </w:tcPr>
          <w:p w14:paraId="40543558" w14:textId="77777777" w:rsidR="00366CB9" w:rsidRDefault="009D0C1D" w:rsidP="00C670F3">
            <w:pPr>
              <w:pStyle w:val="a6"/>
              <w:shd w:val="clear" w:color="auto" w:fill="auto"/>
              <w:spacing w:after="40" w:line="266" w:lineRule="auto"/>
              <w:rPr>
                <w:sz w:val="17"/>
                <w:szCs w:val="17"/>
              </w:rPr>
            </w:pPr>
            <w:r>
              <w:rPr>
                <w:b w:val="0"/>
                <w:color w:val="000000"/>
                <w:sz w:val="17"/>
              </w:rPr>
              <w:t>ДІ: довірчий інтервал; FL-LPA: аналіз олігонуклеотидними зондами для препаратів першої лінії; ХН: хибнонегативний; ХП: хибнопозитивний; INH: ізоніазид; LC-aNAAT: автоматизований NAAT низької складності; MC-aNAAT: автоматизований NAAT середньої складності; NAAT: аналіз ампліфікації нуклеїнових кислот; СНП: секвенування наступного покоління; Se: чутливість; Sp: специфічність; ММ+: позитивний результат мазка мокротиння; ТБ: туберкульоз; ІН: істинно негативний; ІП: істинно позитивний.</w:t>
            </w:r>
          </w:p>
          <w:p w14:paraId="798F555F" w14:textId="77777777" w:rsidR="00366CB9" w:rsidRDefault="009D0C1D" w:rsidP="00C670F3">
            <w:pPr>
              <w:pStyle w:val="a6"/>
              <w:shd w:val="clear" w:color="auto" w:fill="auto"/>
              <w:spacing w:after="40" w:line="266" w:lineRule="auto"/>
              <w:rPr>
                <w:sz w:val="17"/>
                <w:szCs w:val="17"/>
              </w:rPr>
            </w:pPr>
            <w:r>
              <w:rPr>
                <w:b w:val="0"/>
                <w:color w:val="000000"/>
                <w:sz w:val="17"/>
              </w:rPr>
              <w:t>Лікарський засіб: INH: ізоніазид.</w:t>
            </w:r>
          </w:p>
          <w:p w14:paraId="0ACB06A4" w14:textId="1327158C" w:rsidR="00366CB9" w:rsidRDefault="009D0C1D" w:rsidP="00C670F3">
            <w:pPr>
              <w:pStyle w:val="a6"/>
              <w:shd w:val="clear" w:color="auto" w:fill="auto"/>
              <w:spacing w:after="40" w:line="266" w:lineRule="auto"/>
              <w:ind w:left="140" w:hanging="140"/>
              <w:rPr>
                <w:sz w:val="17"/>
                <w:szCs w:val="17"/>
              </w:rPr>
            </w:pPr>
            <w:r>
              <w:rPr>
                <w:b w:val="0"/>
                <w:color w:val="000000"/>
                <w:sz w:val="17"/>
                <w:vertAlign w:val="superscript"/>
              </w:rPr>
              <w:t>a</w:t>
            </w:r>
            <w:r w:rsidR="00D74C3C">
              <w:tab/>
            </w:r>
            <w:r>
              <w:rPr>
                <w:b w:val="0"/>
                <w:color w:val="000000"/>
                <w:sz w:val="17"/>
              </w:rPr>
              <w:t>Резистентність до INH з використанням MC-aNAAT виявляється лише у разі виявлення ТБ; отже, запропонована поширеність, що відображає резистентність до INH у осіб, у яких нещодавно було виявлено ТБ, також застосовується до цього класу технологій.</w:t>
            </w:r>
          </w:p>
        </w:tc>
      </w:tr>
    </w:tbl>
    <w:tbl>
      <w:tblPr>
        <w:tblOverlap w:val="never"/>
        <w:tblW w:w="0" w:type="auto"/>
        <w:tblLayout w:type="fixed"/>
        <w:tblCellMar>
          <w:left w:w="10" w:type="dxa"/>
          <w:right w:w="10" w:type="dxa"/>
        </w:tblCellMar>
        <w:tblLook w:val="0000" w:firstRow="0" w:lastRow="0" w:firstColumn="0" w:lastColumn="0" w:noHBand="0" w:noVBand="0"/>
      </w:tblPr>
      <w:tblGrid>
        <w:gridCol w:w="192"/>
      </w:tblGrid>
      <w:tr w:rsidR="00366CB9" w14:paraId="43A6B39D" w14:textId="77777777">
        <w:trPr>
          <w:trHeight w:hRule="exact" w:val="590"/>
        </w:trPr>
        <w:tc>
          <w:tcPr>
            <w:tcW w:w="192" w:type="dxa"/>
            <w:shd w:val="clear" w:color="auto" w:fill="FFFFFF"/>
            <w:textDirection w:val="tbRl"/>
          </w:tcPr>
          <w:p w14:paraId="5613761A" w14:textId="77777777" w:rsidR="00366CB9" w:rsidRDefault="009D0C1D" w:rsidP="00425523">
            <w:pPr>
              <w:pStyle w:val="a6"/>
              <w:framePr w:w="192" w:h="5333" w:wrap="none" w:vAnchor="page" w:hAnchor="page" w:x="681" w:y="812"/>
              <w:shd w:val="clear" w:color="auto" w:fill="auto"/>
              <w:rPr>
                <w:sz w:val="15"/>
                <w:szCs w:val="15"/>
              </w:rPr>
            </w:pPr>
            <w:r>
              <w:rPr>
                <w:b w:val="0"/>
                <w:color w:val="019648"/>
                <w:sz w:val="15"/>
              </w:rPr>
              <w:t>72</w:t>
            </w:r>
          </w:p>
        </w:tc>
      </w:tr>
      <w:tr w:rsidR="00366CB9" w14:paraId="1A33339C" w14:textId="77777777" w:rsidTr="00D74C3C">
        <w:trPr>
          <w:trHeight w:hRule="exact" w:val="5226"/>
        </w:trPr>
        <w:tc>
          <w:tcPr>
            <w:tcW w:w="192" w:type="dxa"/>
            <w:shd w:val="clear" w:color="auto" w:fill="FFFFFF"/>
            <w:textDirection w:val="tbRl"/>
          </w:tcPr>
          <w:p w14:paraId="6D4564A6" w14:textId="77777777" w:rsidR="00366CB9" w:rsidRDefault="009D0C1D" w:rsidP="00425523">
            <w:pPr>
              <w:pStyle w:val="a6"/>
              <w:framePr w:w="192" w:h="5333" w:wrap="none" w:vAnchor="page" w:hAnchor="page" w:x="681" w:y="812"/>
              <w:shd w:val="clear" w:color="auto" w:fill="auto"/>
              <w:rPr>
                <w:sz w:val="15"/>
                <w:szCs w:val="15"/>
              </w:rPr>
            </w:pPr>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p>
        </w:tc>
      </w:tr>
    </w:tbl>
    <w:p w14:paraId="394FB287" w14:textId="77777777" w:rsidR="00366CB9" w:rsidRDefault="00366CB9" w:rsidP="00425523">
      <w:pPr>
        <w:spacing w:line="1" w:lineRule="exact"/>
        <w:sectPr w:rsidR="00366CB9" w:rsidSect="00C670F3">
          <w:type w:val="nextColumn"/>
          <w:pgSz w:w="16840" w:h="11913" w:orient="landscape"/>
          <w:pgMar w:top="1406" w:right="1321" w:bottom="851" w:left="1503" w:header="0" w:footer="6" w:gutter="0"/>
          <w:paperSrc w:first="15" w:other="15"/>
          <w:cols w:space="720"/>
          <w:noEndnote/>
          <w:docGrid w:linePitch="360"/>
        </w:sectPr>
      </w:pPr>
    </w:p>
    <w:p w14:paraId="4180AA21"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594"/>
        <w:gridCol w:w="2933"/>
        <w:gridCol w:w="2486"/>
        <w:gridCol w:w="1416"/>
        <w:gridCol w:w="1872"/>
        <w:gridCol w:w="1824"/>
        <w:gridCol w:w="1896"/>
      </w:tblGrid>
      <w:tr w:rsidR="00366CB9" w:rsidRPr="00BF6DB7" w14:paraId="5344B29B" w14:textId="77777777" w:rsidTr="007751D5">
        <w:trPr>
          <w:trHeight w:hRule="exact" w:val="1114"/>
        </w:trPr>
        <w:tc>
          <w:tcPr>
            <w:tcW w:w="14021" w:type="dxa"/>
            <w:gridSpan w:val="7"/>
            <w:tcBorders>
              <w:bottom w:val="single" w:sz="8" w:space="0" w:color="00B050"/>
            </w:tcBorders>
            <w:shd w:val="clear" w:color="auto" w:fill="FFFFFF"/>
          </w:tcPr>
          <w:p w14:paraId="000B799A" w14:textId="77777777" w:rsidR="00366CB9" w:rsidRPr="00BF6DB7" w:rsidRDefault="009D0C1D" w:rsidP="00C670F3">
            <w:pPr>
              <w:pStyle w:val="a6"/>
              <w:shd w:val="clear" w:color="auto" w:fill="auto"/>
              <w:spacing w:line="252" w:lineRule="auto"/>
              <w:rPr>
                <w:sz w:val="24"/>
                <w:szCs w:val="24"/>
              </w:rPr>
            </w:pPr>
            <w:bookmarkStart w:id="84" w:name="bookmark81"/>
            <w:r>
              <w:rPr>
                <w:color w:val="636466"/>
                <w:sz w:val="24"/>
              </w:rPr>
              <w:t>Таблиця 3.4. Ефективність молекулярних тестів для виявлення резистентності до FQ у дорослих з виявленим ТБ легень порівняно з мікробіологічним стандартним зразком (абсолютна кількість ІП, ХП, ІН або ХН результатів за заданої поширеності резистентності до FQ на 1000 осіб)</w:t>
            </w:r>
            <w:bookmarkEnd w:id="84"/>
          </w:p>
        </w:tc>
      </w:tr>
      <w:tr w:rsidR="00366CB9" w:rsidRPr="00BF6DB7" w14:paraId="6A0368F1" w14:textId="77777777" w:rsidTr="007751D5">
        <w:trPr>
          <w:trHeight w:hRule="exact" w:val="691"/>
        </w:trPr>
        <w:tc>
          <w:tcPr>
            <w:tcW w:w="159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D84BDDA" w14:textId="77777777" w:rsidR="00366CB9" w:rsidRPr="00E80D3A" w:rsidRDefault="009D0C1D" w:rsidP="00D74C3C">
            <w:pPr>
              <w:pStyle w:val="a6"/>
              <w:shd w:val="clear" w:color="auto" w:fill="auto"/>
              <w:rPr>
                <w:sz w:val="18"/>
                <w:szCs w:val="24"/>
              </w:rPr>
            </w:pPr>
            <w:r w:rsidRPr="00E80D3A">
              <w:rPr>
                <w:color w:val="FFFFFF"/>
                <w:sz w:val="18"/>
                <w:szCs w:val="24"/>
              </w:rPr>
              <w:t>Втручання</w:t>
            </w:r>
          </w:p>
        </w:tc>
        <w:tc>
          <w:tcPr>
            <w:tcW w:w="2933"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87417A2" w14:textId="77777777" w:rsidR="00366CB9" w:rsidRPr="00E80D3A" w:rsidRDefault="009D0C1D" w:rsidP="00D74C3C">
            <w:pPr>
              <w:pStyle w:val="a6"/>
              <w:shd w:val="clear" w:color="auto" w:fill="auto"/>
              <w:rPr>
                <w:sz w:val="18"/>
                <w:szCs w:val="24"/>
              </w:rPr>
            </w:pPr>
            <w:r w:rsidRPr="00E80D3A">
              <w:rPr>
                <w:color w:val="FFFFFF"/>
                <w:sz w:val="18"/>
                <w:szCs w:val="24"/>
              </w:rPr>
              <w:t>Точність тесту % (95 % ДІ)</w:t>
            </w:r>
          </w:p>
        </w:tc>
        <w:tc>
          <w:tcPr>
            <w:tcW w:w="248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8BB679C" w14:textId="77777777" w:rsidR="00366CB9" w:rsidRPr="00E80D3A" w:rsidRDefault="009D0C1D" w:rsidP="00D74C3C">
            <w:pPr>
              <w:pStyle w:val="a6"/>
              <w:shd w:val="clear" w:color="auto" w:fill="auto"/>
              <w:rPr>
                <w:sz w:val="18"/>
                <w:szCs w:val="24"/>
              </w:rPr>
            </w:pPr>
            <w:r w:rsidRPr="00E80D3A">
              <w:rPr>
                <w:color w:val="FFFFFF"/>
                <w:sz w:val="18"/>
                <w:szCs w:val="24"/>
              </w:rPr>
              <w:t>Дослідження (учасники)</w:t>
            </w:r>
          </w:p>
        </w:tc>
        <w:tc>
          <w:tcPr>
            <w:tcW w:w="141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882A9A2" w14:textId="01ED499D" w:rsidR="00366CB9" w:rsidRPr="00E80D3A" w:rsidRDefault="009D0C1D" w:rsidP="00D74C3C">
            <w:pPr>
              <w:pStyle w:val="a6"/>
              <w:shd w:val="clear" w:color="auto" w:fill="auto"/>
              <w:spacing w:line="271" w:lineRule="auto"/>
              <w:rPr>
                <w:sz w:val="18"/>
                <w:szCs w:val="24"/>
              </w:rPr>
            </w:pPr>
            <w:r w:rsidRPr="00E80D3A">
              <w:rPr>
                <w:color w:val="FFFFFF"/>
                <w:sz w:val="18"/>
                <w:szCs w:val="24"/>
              </w:rPr>
              <w:t>Достовір</w:t>
            </w:r>
            <w:r w:rsidR="00D74C3C" w:rsidRPr="00E80D3A">
              <w:rPr>
                <w:color w:val="FFFFFF"/>
                <w:sz w:val="18"/>
                <w:szCs w:val="24"/>
              </w:rPr>
              <w:t>-</w:t>
            </w:r>
            <w:r w:rsidRPr="00E80D3A">
              <w:rPr>
                <w:color w:val="FFFFFF"/>
                <w:sz w:val="18"/>
                <w:szCs w:val="24"/>
              </w:rPr>
              <w:t>ність доказів</w:t>
            </w:r>
          </w:p>
        </w:tc>
        <w:tc>
          <w:tcPr>
            <w:tcW w:w="187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7B27D26" w14:textId="77777777" w:rsidR="00366CB9" w:rsidRPr="00E80D3A" w:rsidRDefault="009D0C1D" w:rsidP="00D74C3C">
            <w:pPr>
              <w:pStyle w:val="a6"/>
              <w:shd w:val="clear" w:color="auto" w:fill="auto"/>
              <w:rPr>
                <w:sz w:val="18"/>
                <w:szCs w:val="24"/>
              </w:rPr>
            </w:pPr>
            <w:r w:rsidRPr="00E80D3A">
              <w:rPr>
                <w:color w:val="FFFFFF"/>
                <w:sz w:val="18"/>
                <w:szCs w:val="24"/>
              </w:rPr>
              <w:t>Поширеність 1 %</w:t>
            </w:r>
          </w:p>
        </w:tc>
        <w:tc>
          <w:tcPr>
            <w:tcW w:w="182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577F7B7" w14:textId="77777777" w:rsidR="00366CB9" w:rsidRPr="00E80D3A" w:rsidRDefault="009D0C1D" w:rsidP="00D74C3C">
            <w:pPr>
              <w:pStyle w:val="a6"/>
              <w:shd w:val="clear" w:color="auto" w:fill="auto"/>
              <w:rPr>
                <w:sz w:val="18"/>
                <w:szCs w:val="24"/>
              </w:rPr>
            </w:pPr>
            <w:r w:rsidRPr="00E80D3A">
              <w:rPr>
                <w:color w:val="FFFFFF"/>
                <w:sz w:val="18"/>
                <w:szCs w:val="24"/>
              </w:rPr>
              <w:t>Поширеність 5 %</w:t>
            </w:r>
          </w:p>
        </w:tc>
        <w:tc>
          <w:tcPr>
            <w:tcW w:w="1896"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6670A4F" w14:textId="77777777" w:rsidR="00366CB9" w:rsidRPr="00E80D3A" w:rsidRDefault="009D0C1D" w:rsidP="00D74C3C">
            <w:pPr>
              <w:pStyle w:val="a6"/>
              <w:shd w:val="clear" w:color="auto" w:fill="auto"/>
              <w:spacing w:line="266" w:lineRule="auto"/>
              <w:rPr>
                <w:sz w:val="18"/>
                <w:szCs w:val="24"/>
              </w:rPr>
            </w:pPr>
            <w:r w:rsidRPr="00E80D3A">
              <w:rPr>
                <w:color w:val="FFFFFF"/>
                <w:sz w:val="18"/>
                <w:szCs w:val="24"/>
              </w:rPr>
              <w:t>Поширеність 10 %</w:t>
            </w:r>
          </w:p>
        </w:tc>
      </w:tr>
      <w:tr w:rsidR="00366CB9" w14:paraId="5A5FDC9C" w14:textId="77777777" w:rsidTr="007751D5">
        <w:trPr>
          <w:trHeight w:hRule="exact" w:val="461"/>
        </w:trPr>
        <w:tc>
          <w:tcPr>
            <w:tcW w:w="1594" w:type="dxa"/>
            <w:tcBorders>
              <w:top w:val="single" w:sz="8" w:space="0" w:color="00B050"/>
            </w:tcBorders>
            <w:shd w:val="clear" w:color="auto" w:fill="FFFFFF"/>
            <w:vAlign w:val="bottom"/>
          </w:tcPr>
          <w:p w14:paraId="1FDDC34A" w14:textId="77777777" w:rsidR="00366CB9" w:rsidRPr="00E80D3A" w:rsidRDefault="009D0C1D" w:rsidP="00C670F3">
            <w:pPr>
              <w:pStyle w:val="a6"/>
              <w:shd w:val="clear" w:color="auto" w:fill="auto"/>
              <w:rPr>
                <w:sz w:val="18"/>
                <w:szCs w:val="24"/>
              </w:rPr>
            </w:pPr>
            <w:r w:rsidRPr="00E80D3A">
              <w:rPr>
                <w:color w:val="000000"/>
                <w:sz w:val="18"/>
                <w:szCs w:val="24"/>
              </w:rPr>
              <w:t>LC-aNAAT</w:t>
            </w:r>
          </w:p>
        </w:tc>
        <w:tc>
          <w:tcPr>
            <w:tcW w:w="2933" w:type="dxa"/>
            <w:tcBorders>
              <w:top w:val="single" w:sz="8" w:space="0" w:color="00B050"/>
              <w:bottom w:val="single" w:sz="8" w:space="0" w:color="00B050"/>
            </w:tcBorders>
            <w:shd w:val="clear" w:color="auto" w:fill="FFFFFF"/>
            <w:vAlign w:val="bottom"/>
          </w:tcPr>
          <w:p w14:paraId="1999AA4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93 (88-96)</w:t>
            </w:r>
          </w:p>
        </w:tc>
        <w:tc>
          <w:tcPr>
            <w:tcW w:w="2486" w:type="dxa"/>
            <w:tcBorders>
              <w:top w:val="single" w:sz="8" w:space="0" w:color="00B050"/>
              <w:bottom w:val="single" w:sz="8" w:space="0" w:color="00B050"/>
            </w:tcBorders>
            <w:shd w:val="clear" w:color="auto" w:fill="FFFFFF"/>
            <w:vAlign w:val="bottom"/>
          </w:tcPr>
          <w:p w14:paraId="372628B4"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3 (384)</w:t>
            </w:r>
          </w:p>
        </w:tc>
        <w:tc>
          <w:tcPr>
            <w:tcW w:w="1416" w:type="dxa"/>
            <w:tcBorders>
              <w:top w:val="single" w:sz="8" w:space="0" w:color="00B050"/>
              <w:bottom w:val="single" w:sz="8" w:space="0" w:color="00B050"/>
            </w:tcBorders>
            <w:shd w:val="clear" w:color="auto" w:fill="FFFFFF"/>
            <w:vAlign w:val="bottom"/>
          </w:tcPr>
          <w:p w14:paraId="4DF4631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872" w:type="dxa"/>
            <w:tcBorders>
              <w:top w:val="single" w:sz="8" w:space="0" w:color="00B050"/>
              <w:bottom w:val="single" w:sz="8" w:space="0" w:color="00B050"/>
            </w:tcBorders>
            <w:shd w:val="clear" w:color="auto" w:fill="FFFFFF"/>
            <w:vAlign w:val="bottom"/>
          </w:tcPr>
          <w:p w14:paraId="338A8A8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9/ХН: 1</w:t>
            </w:r>
          </w:p>
        </w:tc>
        <w:tc>
          <w:tcPr>
            <w:tcW w:w="1824" w:type="dxa"/>
            <w:tcBorders>
              <w:top w:val="single" w:sz="8" w:space="0" w:color="00B050"/>
              <w:bottom w:val="single" w:sz="8" w:space="0" w:color="00B050"/>
            </w:tcBorders>
            <w:shd w:val="clear" w:color="auto" w:fill="FFFFFF"/>
            <w:vAlign w:val="bottom"/>
          </w:tcPr>
          <w:p w14:paraId="64F12BB7" w14:textId="77777777" w:rsidR="00366CB9" w:rsidRPr="00E80D3A" w:rsidRDefault="009D0C1D" w:rsidP="00C670F3">
            <w:pPr>
              <w:pStyle w:val="a6"/>
              <w:shd w:val="clear" w:color="auto" w:fill="auto"/>
              <w:ind w:firstLine="220"/>
              <w:rPr>
                <w:sz w:val="18"/>
                <w:szCs w:val="24"/>
              </w:rPr>
            </w:pPr>
            <w:r w:rsidRPr="00E80D3A">
              <w:rPr>
                <w:b w:val="0"/>
                <w:color w:val="000000"/>
                <w:sz w:val="18"/>
                <w:szCs w:val="24"/>
              </w:rPr>
              <w:t>ІП: 47/ХН: 3</w:t>
            </w:r>
          </w:p>
        </w:tc>
        <w:tc>
          <w:tcPr>
            <w:tcW w:w="1896" w:type="dxa"/>
            <w:tcBorders>
              <w:top w:val="single" w:sz="8" w:space="0" w:color="00B050"/>
              <w:bottom w:val="single" w:sz="8" w:space="0" w:color="00B050"/>
            </w:tcBorders>
            <w:shd w:val="clear" w:color="auto" w:fill="FFFFFF"/>
            <w:vAlign w:val="bottom"/>
          </w:tcPr>
          <w:p w14:paraId="1327010C"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93/ХН: 7</w:t>
            </w:r>
          </w:p>
        </w:tc>
      </w:tr>
      <w:tr w:rsidR="00366CB9" w14:paraId="529AA2AB" w14:textId="77777777" w:rsidTr="007751D5">
        <w:trPr>
          <w:trHeight w:hRule="exact" w:val="446"/>
        </w:trPr>
        <w:tc>
          <w:tcPr>
            <w:tcW w:w="1594" w:type="dxa"/>
            <w:tcBorders>
              <w:bottom w:val="single" w:sz="8" w:space="0" w:color="00B050"/>
            </w:tcBorders>
            <w:shd w:val="clear" w:color="auto" w:fill="FFFFFF"/>
          </w:tcPr>
          <w:p w14:paraId="2A9F2FCE" w14:textId="77777777" w:rsidR="00366CB9" w:rsidRPr="00E80D3A" w:rsidRDefault="00366CB9" w:rsidP="00C670F3">
            <w:pPr>
              <w:rPr>
                <w:b/>
                <w:bCs/>
                <w:sz w:val="18"/>
              </w:rPr>
            </w:pPr>
          </w:p>
        </w:tc>
        <w:tc>
          <w:tcPr>
            <w:tcW w:w="2933" w:type="dxa"/>
            <w:tcBorders>
              <w:top w:val="single" w:sz="8" w:space="0" w:color="00B050"/>
              <w:bottom w:val="single" w:sz="8" w:space="0" w:color="00B050"/>
            </w:tcBorders>
            <w:shd w:val="clear" w:color="auto" w:fill="FFFFFF"/>
            <w:vAlign w:val="bottom"/>
          </w:tcPr>
          <w:p w14:paraId="37F9B13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98 (94-99)</w:t>
            </w:r>
          </w:p>
        </w:tc>
        <w:tc>
          <w:tcPr>
            <w:tcW w:w="2486" w:type="dxa"/>
            <w:tcBorders>
              <w:top w:val="single" w:sz="8" w:space="0" w:color="00B050"/>
              <w:bottom w:val="single" w:sz="8" w:space="0" w:color="00B050"/>
            </w:tcBorders>
            <w:shd w:val="clear" w:color="auto" w:fill="FFFFFF"/>
            <w:vAlign w:val="bottom"/>
          </w:tcPr>
          <w:p w14:paraId="0110CB2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3 (953)</w:t>
            </w:r>
          </w:p>
        </w:tc>
        <w:tc>
          <w:tcPr>
            <w:tcW w:w="1416" w:type="dxa"/>
            <w:tcBorders>
              <w:top w:val="single" w:sz="8" w:space="0" w:color="00B050"/>
              <w:bottom w:val="single" w:sz="8" w:space="0" w:color="00B050"/>
            </w:tcBorders>
            <w:shd w:val="clear" w:color="auto" w:fill="FFFFFF"/>
            <w:vAlign w:val="bottom"/>
          </w:tcPr>
          <w:p w14:paraId="7C4F2D4C"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872" w:type="dxa"/>
            <w:tcBorders>
              <w:top w:val="single" w:sz="8" w:space="0" w:color="00B050"/>
              <w:bottom w:val="single" w:sz="8" w:space="0" w:color="00B050"/>
            </w:tcBorders>
            <w:shd w:val="clear" w:color="auto" w:fill="FFFFFF"/>
            <w:vAlign w:val="bottom"/>
          </w:tcPr>
          <w:p w14:paraId="0489C668"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973 / ХП: 17</w:t>
            </w:r>
          </w:p>
        </w:tc>
        <w:tc>
          <w:tcPr>
            <w:tcW w:w="1824" w:type="dxa"/>
            <w:tcBorders>
              <w:top w:val="single" w:sz="8" w:space="0" w:color="00B050"/>
              <w:bottom w:val="single" w:sz="8" w:space="0" w:color="00B050"/>
            </w:tcBorders>
            <w:shd w:val="clear" w:color="auto" w:fill="FFFFFF"/>
            <w:vAlign w:val="bottom"/>
          </w:tcPr>
          <w:p w14:paraId="348D444C"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934 / ХП: 16</w:t>
            </w:r>
          </w:p>
        </w:tc>
        <w:tc>
          <w:tcPr>
            <w:tcW w:w="1896" w:type="dxa"/>
            <w:tcBorders>
              <w:top w:val="single" w:sz="8" w:space="0" w:color="00B050"/>
              <w:bottom w:val="single" w:sz="8" w:space="0" w:color="00B050"/>
            </w:tcBorders>
            <w:shd w:val="clear" w:color="auto" w:fill="FFFFFF"/>
            <w:vAlign w:val="bottom"/>
          </w:tcPr>
          <w:p w14:paraId="2A81DA2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885 / ХП: 15</w:t>
            </w:r>
          </w:p>
        </w:tc>
      </w:tr>
      <w:tr w:rsidR="00366CB9" w14:paraId="74A8CDA0" w14:textId="77777777" w:rsidTr="007751D5">
        <w:trPr>
          <w:trHeight w:hRule="exact" w:val="451"/>
        </w:trPr>
        <w:tc>
          <w:tcPr>
            <w:tcW w:w="1594" w:type="dxa"/>
            <w:tcBorders>
              <w:top w:val="single" w:sz="8" w:space="0" w:color="00B050"/>
            </w:tcBorders>
            <w:shd w:val="clear" w:color="auto" w:fill="FFFFFF"/>
            <w:vAlign w:val="bottom"/>
          </w:tcPr>
          <w:p w14:paraId="115F632C" w14:textId="77777777" w:rsidR="00366CB9" w:rsidRPr="00E80D3A" w:rsidRDefault="009D0C1D" w:rsidP="00C670F3">
            <w:pPr>
              <w:pStyle w:val="a6"/>
              <w:shd w:val="clear" w:color="auto" w:fill="auto"/>
              <w:rPr>
                <w:sz w:val="18"/>
                <w:szCs w:val="24"/>
              </w:rPr>
            </w:pPr>
            <w:r w:rsidRPr="00E80D3A">
              <w:rPr>
                <w:color w:val="000000"/>
                <w:sz w:val="18"/>
                <w:szCs w:val="24"/>
              </w:rPr>
              <w:t>Цільове</w:t>
            </w:r>
          </w:p>
        </w:tc>
        <w:tc>
          <w:tcPr>
            <w:tcW w:w="2933" w:type="dxa"/>
            <w:tcBorders>
              <w:top w:val="single" w:sz="8" w:space="0" w:color="00B050"/>
              <w:bottom w:val="single" w:sz="8" w:space="0" w:color="00B050"/>
            </w:tcBorders>
            <w:shd w:val="clear" w:color="auto" w:fill="FFFFFF"/>
            <w:vAlign w:val="bottom"/>
          </w:tcPr>
          <w:p w14:paraId="136C5BC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96 (92-99)</w:t>
            </w:r>
          </w:p>
        </w:tc>
        <w:tc>
          <w:tcPr>
            <w:tcW w:w="2486" w:type="dxa"/>
            <w:tcBorders>
              <w:top w:val="single" w:sz="8" w:space="0" w:color="00B050"/>
              <w:bottom w:val="single" w:sz="8" w:space="0" w:color="00B050"/>
            </w:tcBorders>
            <w:shd w:val="clear" w:color="auto" w:fill="FFFFFF"/>
            <w:vAlign w:val="bottom"/>
          </w:tcPr>
          <w:p w14:paraId="3F0A0ED4"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6 (652)</w:t>
            </w:r>
          </w:p>
        </w:tc>
        <w:tc>
          <w:tcPr>
            <w:tcW w:w="1416" w:type="dxa"/>
            <w:tcBorders>
              <w:top w:val="single" w:sz="8" w:space="0" w:color="00B050"/>
              <w:bottom w:val="single" w:sz="8" w:space="0" w:color="00B050"/>
            </w:tcBorders>
            <w:shd w:val="clear" w:color="auto" w:fill="FFFFFF"/>
            <w:vAlign w:val="bottom"/>
          </w:tcPr>
          <w:p w14:paraId="7FE7A89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872" w:type="dxa"/>
            <w:tcBorders>
              <w:top w:val="single" w:sz="8" w:space="0" w:color="00B050"/>
              <w:bottom w:val="single" w:sz="8" w:space="0" w:color="00B050"/>
            </w:tcBorders>
            <w:shd w:val="clear" w:color="auto" w:fill="FFFFFF"/>
            <w:vAlign w:val="bottom"/>
          </w:tcPr>
          <w:p w14:paraId="753A9C7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10/ХН: 0</w:t>
            </w:r>
          </w:p>
        </w:tc>
        <w:tc>
          <w:tcPr>
            <w:tcW w:w="1824" w:type="dxa"/>
            <w:tcBorders>
              <w:top w:val="single" w:sz="8" w:space="0" w:color="00B050"/>
              <w:bottom w:val="single" w:sz="8" w:space="0" w:color="00B050"/>
            </w:tcBorders>
            <w:shd w:val="clear" w:color="auto" w:fill="FFFFFF"/>
            <w:vAlign w:val="bottom"/>
          </w:tcPr>
          <w:p w14:paraId="649065E7" w14:textId="77777777" w:rsidR="00366CB9" w:rsidRPr="00E80D3A" w:rsidRDefault="009D0C1D" w:rsidP="00C670F3">
            <w:pPr>
              <w:pStyle w:val="a6"/>
              <w:shd w:val="clear" w:color="auto" w:fill="auto"/>
              <w:ind w:firstLine="220"/>
              <w:rPr>
                <w:sz w:val="18"/>
                <w:szCs w:val="24"/>
              </w:rPr>
            </w:pPr>
            <w:r w:rsidRPr="00E80D3A">
              <w:rPr>
                <w:b w:val="0"/>
                <w:color w:val="000000"/>
                <w:sz w:val="18"/>
                <w:szCs w:val="24"/>
              </w:rPr>
              <w:t>ІП: 48/ХН: 2</w:t>
            </w:r>
          </w:p>
        </w:tc>
        <w:tc>
          <w:tcPr>
            <w:tcW w:w="1896" w:type="dxa"/>
            <w:tcBorders>
              <w:top w:val="single" w:sz="8" w:space="0" w:color="00B050"/>
              <w:bottom w:val="single" w:sz="8" w:space="0" w:color="00B050"/>
            </w:tcBorders>
            <w:shd w:val="clear" w:color="auto" w:fill="FFFFFF"/>
            <w:vAlign w:val="bottom"/>
          </w:tcPr>
          <w:p w14:paraId="12A23A7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96/ХН: 4</w:t>
            </w:r>
          </w:p>
        </w:tc>
      </w:tr>
      <w:tr w:rsidR="00366CB9" w14:paraId="1D0D8BA0" w14:textId="77777777" w:rsidTr="007751D5">
        <w:trPr>
          <w:trHeight w:hRule="exact" w:val="446"/>
        </w:trPr>
        <w:tc>
          <w:tcPr>
            <w:tcW w:w="1594" w:type="dxa"/>
            <w:tcBorders>
              <w:bottom w:val="single" w:sz="8" w:space="0" w:color="00B050"/>
            </w:tcBorders>
            <w:shd w:val="clear" w:color="auto" w:fill="FFFFFF"/>
          </w:tcPr>
          <w:p w14:paraId="0AE56565" w14:textId="77777777" w:rsidR="00366CB9" w:rsidRPr="00E80D3A" w:rsidRDefault="009D0C1D" w:rsidP="00C670F3">
            <w:pPr>
              <w:pStyle w:val="a6"/>
              <w:shd w:val="clear" w:color="auto" w:fill="auto"/>
              <w:rPr>
                <w:sz w:val="18"/>
                <w:szCs w:val="24"/>
              </w:rPr>
            </w:pPr>
            <w:r w:rsidRPr="00E80D3A">
              <w:rPr>
                <w:color w:val="000000"/>
                <w:sz w:val="18"/>
                <w:szCs w:val="24"/>
              </w:rPr>
              <w:t>СНП (MFX)</w:t>
            </w:r>
          </w:p>
        </w:tc>
        <w:tc>
          <w:tcPr>
            <w:tcW w:w="2933" w:type="dxa"/>
            <w:tcBorders>
              <w:top w:val="single" w:sz="8" w:space="0" w:color="00B050"/>
              <w:bottom w:val="single" w:sz="8" w:space="0" w:color="00B050"/>
            </w:tcBorders>
            <w:shd w:val="clear" w:color="auto" w:fill="FFFFFF"/>
            <w:vAlign w:val="bottom"/>
          </w:tcPr>
          <w:p w14:paraId="1D6F875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96 (93-99)</w:t>
            </w:r>
          </w:p>
        </w:tc>
        <w:tc>
          <w:tcPr>
            <w:tcW w:w="2486" w:type="dxa"/>
            <w:tcBorders>
              <w:top w:val="single" w:sz="8" w:space="0" w:color="00B050"/>
              <w:bottom w:val="single" w:sz="8" w:space="0" w:color="00B050"/>
            </w:tcBorders>
            <w:shd w:val="clear" w:color="auto" w:fill="FFFFFF"/>
            <w:vAlign w:val="bottom"/>
          </w:tcPr>
          <w:p w14:paraId="5AA70E08"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8 (921)</w:t>
            </w:r>
          </w:p>
        </w:tc>
        <w:tc>
          <w:tcPr>
            <w:tcW w:w="1416" w:type="dxa"/>
            <w:tcBorders>
              <w:top w:val="single" w:sz="8" w:space="0" w:color="00B050"/>
              <w:bottom w:val="single" w:sz="8" w:space="0" w:color="00B050"/>
            </w:tcBorders>
            <w:shd w:val="clear" w:color="auto" w:fill="FFFFFF"/>
            <w:vAlign w:val="bottom"/>
          </w:tcPr>
          <w:p w14:paraId="55D2406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872" w:type="dxa"/>
            <w:tcBorders>
              <w:top w:val="single" w:sz="8" w:space="0" w:color="00B050"/>
              <w:bottom w:val="single" w:sz="8" w:space="0" w:color="00B050"/>
            </w:tcBorders>
            <w:shd w:val="clear" w:color="auto" w:fill="FFFFFF"/>
            <w:vAlign w:val="bottom"/>
          </w:tcPr>
          <w:p w14:paraId="7DFE17D8"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950 / ХП: 40</w:t>
            </w:r>
          </w:p>
        </w:tc>
        <w:tc>
          <w:tcPr>
            <w:tcW w:w="1824" w:type="dxa"/>
            <w:tcBorders>
              <w:top w:val="single" w:sz="8" w:space="0" w:color="00B050"/>
              <w:bottom w:val="single" w:sz="8" w:space="0" w:color="00B050"/>
            </w:tcBorders>
            <w:shd w:val="clear" w:color="auto" w:fill="FFFFFF"/>
            <w:vAlign w:val="bottom"/>
          </w:tcPr>
          <w:p w14:paraId="17E5A48B"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912 / ХП: 38</w:t>
            </w:r>
          </w:p>
        </w:tc>
        <w:tc>
          <w:tcPr>
            <w:tcW w:w="1896" w:type="dxa"/>
            <w:tcBorders>
              <w:top w:val="single" w:sz="8" w:space="0" w:color="00B050"/>
              <w:bottom w:val="single" w:sz="8" w:space="0" w:color="00B050"/>
            </w:tcBorders>
            <w:shd w:val="clear" w:color="auto" w:fill="FFFFFF"/>
            <w:vAlign w:val="bottom"/>
          </w:tcPr>
          <w:p w14:paraId="5FE631B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864 / ХП: 36</w:t>
            </w:r>
          </w:p>
        </w:tc>
      </w:tr>
      <w:tr w:rsidR="00366CB9" w14:paraId="67274E7E" w14:textId="77777777" w:rsidTr="007751D5">
        <w:trPr>
          <w:trHeight w:hRule="exact" w:val="446"/>
        </w:trPr>
        <w:tc>
          <w:tcPr>
            <w:tcW w:w="1594" w:type="dxa"/>
            <w:tcBorders>
              <w:top w:val="single" w:sz="8" w:space="0" w:color="00B050"/>
            </w:tcBorders>
            <w:shd w:val="clear" w:color="auto" w:fill="FFFFFF"/>
            <w:vAlign w:val="bottom"/>
          </w:tcPr>
          <w:p w14:paraId="2BB24CAC" w14:textId="77777777" w:rsidR="00366CB9" w:rsidRPr="00E80D3A" w:rsidRDefault="009D0C1D" w:rsidP="00C670F3">
            <w:pPr>
              <w:pStyle w:val="a6"/>
              <w:shd w:val="clear" w:color="auto" w:fill="auto"/>
              <w:rPr>
                <w:sz w:val="18"/>
                <w:szCs w:val="24"/>
              </w:rPr>
            </w:pPr>
            <w:r w:rsidRPr="00E80D3A">
              <w:rPr>
                <w:color w:val="000000"/>
                <w:sz w:val="18"/>
                <w:szCs w:val="24"/>
              </w:rPr>
              <w:t>Цільове</w:t>
            </w:r>
          </w:p>
        </w:tc>
        <w:tc>
          <w:tcPr>
            <w:tcW w:w="2933" w:type="dxa"/>
            <w:tcBorders>
              <w:top w:val="single" w:sz="8" w:space="0" w:color="00B050"/>
              <w:bottom w:val="single" w:sz="8" w:space="0" w:color="00B050"/>
            </w:tcBorders>
            <w:shd w:val="clear" w:color="auto" w:fill="FFFFFF"/>
            <w:vAlign w:val="bottom"/>
          </w:tcPr>
          <w:p w14:paraId="72342A4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94 (88-99)</w:t>
            </w:r>
          </w:p>
        </w:tc>
        <w:tc>
          <w:tcPr>
            <w:tcW w:w="2486" w:type="dxa"/>
            <w:tcBorders>
              <w:top w:val="single" w:sz="8" w:space="0" w:color="00B050"/>
              <w:bottom w:val="single" w:sz="8" w:space="0" w:color="00B050"/>
            </w:tcBorders>
            <w:shd w:val="clear" w:color="auto" w:fill="FFFFFF"/>
            <w:vAlign w:val="bottom"/>
          </w:tcPr>
          <w:p w14:paraId="56464CFE"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6 (654)</w:t>
            </w:r>
          </w:p>
        </w:tc>
        <w:tc>
          <w:tcPr>
            <w:tcW w:w="1416" w:type="dxa"/>
            <w:tcBorders>
              <w:top w:val="single" w:sz="8" w:space="0" w:color="00B050"/>
              <w:bottom w:val="single" w:sz="8" w:space="0" w:color="00B050"/>
            </w:tcBorders>
            <w:shd w:val="clear" w:color="auto" w:fill="FFFFFF"/>
            <w:vAlign w:val="bottom"/>
          </w:tcPr>
          <w:p w14:paraId="6204817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Низька</w:t>
            </w:r>
          </w:p>
        </w:tc>
        <w:tc>
          <w:tcPr>
            <w:tcW w:w="1872" w:type="dxa"/>
            <w:tcBorders>
              <w:top w:val="single" w:sz="8" w:space="0" w:color="00B050"/>
              <w:bottom w:val="single" w:sz="8" w:space="0" w:color="00B050"/>
            </w:tcBorders>
            <w:shd w:val="clear" w:color="auto" w:fill="FFFFFF"/>
            <w:vAlign w:val="bottom"/>
          </w:tcPr>
          <w:p w14:paraId="61E7A03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9/ХН: 1</w:t>
            </w:r>
          </w:p>
        </w:tc>
        <w:tc>
          <w:tcPr>
            <w:tcW w:w="1824" w:type="dxa"/>
            <w:tcBorders>
              <w:top w:val="single" w:sz="8" w:space="0" w:color="00B050"/>
              <w:bottom w:val="single" w:sz="8" w:space="0" w:color="00B050"/>
            </w:tcBorders>
            <w:shd w:val="clear" w:color="auto" w:fill="FFFFFF"/>
            <w:vAlign w:val="bottom"/>
          </w:tcPr>
          <w:p w14:paraId="0DFA9D6D" w14:textId="77777777" w:rsidR="00366CB9" w:rsidRPr="00E80D3A" w:rsidRDefault="009D0C1D" w:rsidP="00C670F3">
            <w:pPr>
              <w:pStyle w:val="a6"/>
              <w:shd w:val="clear" w:color="auto" w:fill="auto"/>
              <w:ind w:firstLine="220"/>
              <w:rPr>
                <w:sz w:val="18"/>
                <w:szCs w:val="24"/>
              </w:rPr>
            </w:pPr>
            <w:r w:rsidRPr="00E80D3A">
              <w:rPr>
                <w:b w:val="0"/>
                <w:color w:val="000000"/>
                <w:sz w:val="18"/>
                <w:szCs w:val="24"/>
              </w:rPr>
              <w:t>ІП: 47/ХН: 3</w:t>
            </w:r>
          </w:p>
        </w:tc>
        <w:tc>
          <w:tcPr>
            <w:tcW w:w="1896" w:type="dxa"/>
            <w:tcBorders>
              <w:top w:val="single" w:sz="8" w:space="0" w:color="00B050"/>
              <w:bottom w:val="single" w:sz="8" w:space="0" w:color="00B050"/>
            </w:tcBorders>
            <w:shd w:val="clear" w:color="auto" w:fill="FFFFFF"/>
            <w:vAlign w:val="bottom"/>
          </w:tcPr>
          <w:p w14:paraId="62761598"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94/ХН: 6</w:t>
            </w:r>
          </w:p>
        </w:tc>
      </w:tr>
      <w:tr w:rsidR="00366CB9" w14:paraId="01EBFA4D" w14:textId="77777777" w:rsidTr="007751D5">
        <w:trPr>
          <w:trHeight w:hRule="exact" w:val="451"/>
        </w:trPr>
        <w:tc>
          <w:tcPr>
            <w:tcW w:w="1594" w:type="dxa"/>
            <w:tcBorders>
              <w:bottom w:val="single" w:sz="8" w:space="0" w:color="00B050"/>
            </w:tcBorders>
            <w:shd w:val="clear" w:color="auto" w:fill="FFFFFF"/>
          </w:tcPr>
          <w:p w14:paraId="69FB35A7" w14:textId="77777777" w:rsidR="00366CB9" w:rsidRPr="00E80D3A" w:rsidRDefault="009D0C1D" w:rsidP="00C670F3">
            <w:pPr>
              <w:pStyle w:val="a6"/>
              <w:shd w:val="clear" w:color="auto" w:fill="auto"/>
              <w:rPr>
                <w:sz w:val="18"/>
                <w:szCs w:val="24"/>
              </w:rPr>
            </w:pPr>
            <w:r w:rsidRPr="00E80D3A">
              <w:rPr>
                <w:color w:val="000000"/>
                <w:sz w:val="18"/>
                <w:szCs w:val="24"/>
              </w:rPr>
              <w:t>СНП (LFX)</w:t>
            </w:r>
          </w:p>
        </w:tc>
        <w:tc>
          <w:tcPr>
            <w:tcW w:w="2933" w:type="dxa"/>
            <w:tcBorders>
              <w:top w:val="single" w:sz="8" w:space="0" w:color="00B050"/>
              <w:bottom w:val="single" w:sz="8" w:space="0" w:color="00B050"/>
            </w:tcBorders>
            <w:shd w:val="clear" w:color="auto" w:fill="FFFFFF"/>
            <w:vAlign w:val="bottom"/>
          </w:tcPr>
          <w:p w14:paraId="6546278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96 (93-99)</w:t>
            </w:r>
          </w:p>
        </w:tc>
        <w:tc>
          <w:tcPr>
            <w:tcW w:w="2486" w:type="dxa"/>
            <w:tcBorders>
              <w:top w:val="single" w:sz="8" w:space="0" w:color="00B050"/>
              <w:bottom w:val="single" w:sz="8" w:space="0" w:color="00B050"/>
            </w:tcBorders>
            <w:shd w:val="clear" w:color="auto" w:fill="FFFFFF"/>
            <w:vAlign w:val="bottom"/>
          </w:tcPr>
          <w:p w14:paraId="4F663F8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7 (913)</w:t>
            </w:r>
          </w:p>
        </w:tc>
        <w:tc>
          <w:tcPr>
            <w:tcW w:w="1416" w:type="dxa"/>
            <w:tcBorders>
              <w:top w:val="single" w:sz="8" w:space="0" w:color="00B050"/>
              <w:bottom w:val="single" w:sz="8" w:space="0" w:color="00B050"/>
            </w:tcBorders>
            <w:shd w:val="clear" w:color="auto" w:fill="FFFFFF"/>
            <w:vAlign w:val="bottom"/>
          </w:tcPr>
          <w:p w14:paraId="20A0ED3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872" w:type="dxa"/>
            <w:tcBorders>
              <w:top w:val="single" w:sz="8" w:space="0" w:color="00B050"/>
              <w:bottom w:val="single" w:sz="8" w:space="0" w:color="00B050"/>
            </w:tcBorders>
            <w:shd w:val="clear" w:color="auto" w:fill="FFFFFF"/>
            <w:vAlign w:val="bottom"/>
          </w:tcPr>
          <w:p w14:paraId="58B8835C"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950 / ХП: 40</w:t>
            </w:r>
          </w:p>
        </w:tc>
        <w:tc>
          <w:tcPr>
            <w:tcW w:w="1824" w:type="dxa"/>
            <w:tcBorders>
              <w:top w:val="single" w:sz="8" w:space="0" w:color="00B050"/>
              <w:bottom w:val="single" w:sz="8" w:space="0" w:color="00B050"/>
            </w:tcBorders>
            <w:shd w:val="clear" w:color="auto" w:fill="FFFFFF"/>
            <w:vAlign w:val="bottom"/>
          </w:tcPr>
          <w:p w14:paraId="3994455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912 / ХП: 38</w:t>
            </w:r>
          </w:p>
        </w:tc>
        <w:tc>
          <w:tcPr>
            <w:tcW w:w="1896" w:type="dxa"/>
            <w:tcBorders>
              <w:top w:val="single" w:sz="8" w:space="0" w:color="00B050"/>
              <w:bottom w:val="single" w:sz="8" w:space="0" w:color="00B050"/>
            </w:tcBorders>
            <w:shd w:val="clear" w:color="auto" w:fill="FFFFFF"/>
            <w:vAlign w:val="bottom"/>
          </w:tcPr>
          <w:p w14:paraId="08355AE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864 / ХП: 36</w:t>
            </w:r>
          </w:p>
        </w:tc>
      </w:tr>
      <w:tr w:rsidR="00366CB9" w14:paraId="26D67A81" w14:textId="77777777" w:rsidTr="007751D5">
        <w:trPr>
          <w:trHeight w:hRule="exact" w:val="1171"/>
        </w:trPr>
        <w:tc>
          <w:tcPr>
            <w:tcW w:w="1594" w:type="dxa"/>
            <w:tcBorders>
              <w:top w:val="single" w:sz="8" w:space="0" w:color="00B050"/>
            </w:tcBorders>
            <w:shd w:val="clear" w:color="auto" w:fill="FFFFFF"/>
            <w:vAlign w:val="bottom"/>
          </w:tcPr>
          <w:p w14:paraId="54EE14EB" w14:textId="720D43C1" w:rsidR="00366CB9" w:rsidRPr="00E80D3A" w:rsidRDefault="009D0C1D" w:rsidP="00C670F3">
            <w:pPr>
              <w:pStyle w:val="a6"/>
              <w:shd w:val="clear" w:color="auto" w:fill="auto"/>
              <w:spacing w:line="276" w:lineRule="auto"/>
              <w:rPr>
                <w:sz w:val="18"/>
                <w:szCs w:val="24"/>
              </w:rPr>
            </w:pPr>
            <w:r w:rsidRPr="00E80D3A">
              <w:rPr>
                <w:color w:val="000000"/>
                <w:sz w:val="18"/>
                <w:szCs w:val="24"/>
              </w:rPr>
              <w:t>SL-LPA за допомогою безпосеред</w:t>
            </w:r>
            <w:r w:rsidR="00D74C3C" w:rsidRPr="00E80D3A">
              <w:rPr>
                <w:color w:val="000000"/>
                <w:sz w:val="18"/>
                <w:szCs w:val="24"/>
              </w:rPr>
              <w:t>-</w:t>
            </w:r>
            <w:r w:rsidRPr="00E80D3A">
              <w:rPr>
                <w:color w:val="000000"/>
                <w:sz w:val="18"/>
                <w:szCs w:val="24"/>
              </w:rPr>
              <w:t>нього</w:t>
            </w:r>
          </w:p>
        </w:tc>
        <w:tc>
          <w:tcPr>
            <w:tcW w:w="2933" w:type="dxa"/>
            <w:tcBorders>
              <w:top w:val="single" w:sz="8" w:space="0" w:color="00B050"/>
              <w:bottom w:val="single" w:sz="8" w:space="0" w:color="00B050"/>
            </w:tcBorders>
            <w:shd w:val="clear" w:color="auto" w:fill="FFFFFF"/>
            <w:vAlign w:val="center"/>
          </w:tcPr>
          <w:p w14:paraId="4CA5570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86 (75-93)</w:t>
            </w:r>
          </w:p>
        </w:tc>
        <w:tc>
          <w:tcPr>
            <w:tcW w:w="2486" w:type="dxa"/>
            <w:tcBorders>
              <w:top w:val="single" w:sz="8" w:space="0" w:color="00B050"/>
              <w:bottom w:val="single" w:sz="8" w:space="0" w:color="00B050"/>
            </w:tcBorders>
            <w:shd w:val="clear" w:color="auto" w:fill="FFFFFF"/>
            <w:vAlign w:val="center"/>
          </w:tcPr>
          <w:p w14:paraId="7E07DE2F"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9 (519)</w:t>
            </w:r>
          </w:p>
        </w:tc>
        <w:tc>
          <w:tcPr>
            <w:tcW w:w="1416" w:type="dxa"/>
            <w:tcBorders>
              <w:top w:val="single" w:sz="8" w:space="0" w:color="00B050"/>
              <w:bottom w:val="single" w:sz="8" w:space="0" w:color="00B050"/>
            </w:tcBorders>
            <w:shd w:val="clear" w:color="auto" w:fill="FFFFFF"/>
            <w:vAlign w:val="center"/>
          </w:tcPr>
          <w:p w14:paraId="0EE3B7F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872" w:type="dxa"/>
            <w:tcBorders>
              <w:top w:val="single" w:sz="8" w:space="0" w:color="00B050"/>
              <w:bottom w:val="single" w:sz="8" w:space="0" w:color="00B050"/>
            </w:tcBorders>
            <w:shd w:val="clear" w:color="auto" w:fill="FFFFFF"/>
            <w:vAlign w:val="center"/>
          </w:tcPr>
          <w:p w14:paraId="511496F4"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9/ХН: 1</w:t>
            </w:r>
          </w:p>
        </w:tc>
        <w:tc>
          <w:tcPr>
            <w:tcW w:w="1824" w:type="dxa"/>
            <w:tcBorders>
              <w:top w:val="single" w:sz="8" w:space="0" w:color="00B050"/>
              <w:bottom w:val="single" w:sz="8" w:space="0" w:color="00B050"/>
            </w:tcBorders>
            <w:shd w:val="clear" w:color="auto" w:fill="FFFFFF"/>
            <w:vAlign w:val="center"/>
          </w:tcPr>
          <w:p w14:paraId="1DEFF8E4" w14:textId="77777777" w:rsidR="00366CB9" w:rsidRPr="00E80D3A" w:rsidRDefault="009D0C1D" w:rsidP="00C670F3">
            <w:pPr>
              <w:pStyle w:val="a6"/>
              <w:shd w:val="clear" w:color="auto" w:fill="auto"/>
              <w:ind w:firstLine="220"/>
              <w:rPr>
                <w:sz w:val="18"/>
                <w:szCs w:val="24"/>
              </w:rPr>
            </w:pPr>
            <w:r w:rsidRPr="00E80D3A">
              <w:rPr>
                <w:b w:val="0"/>
                <w:color w:val="000000"/>
                <w:sz w:val="18"/>
                <w:szCs w:val="24"/>
              </w:rPr>
              <w:t>ІП: 43/ХН: 7</w:t>
            </w:r>
          </w:p>
        </w:tc>
        <w:tc>
          <w:tcPr>
            <w:tcW w:w="1896" w:type="dxa"/>
            <w:tcBorders>
              <w:top w:val="single" w:sz="8" w:space="0" w:color="00B050"/>
              <w:bottom w:val="single" w:sz="8" w:space="0" w:color="00B050"/>
            </w:tcBorders>
            <w:shd w:val="clear" w:color="auto" w:fill="FFFFFF"/>
            <w:vAlign w:val="center"/>
          </w:tcPr>
          <w:p w14:paraId="1A2C0C0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86/ХН: 14</w:t>
            </w:r>
          </w:p>
        </w:tc>
      </w:tr>
      <w:tr w:rsidR="00366CB9" w14:paraId="5CB14A5F" w14:textId="77777777" w:rsidTr="007751D5">
        <w:trPr>
          <w:trHeight w:hRule="exact" w:val="610"/>
        </w:trPr>
        <w:tc>
          <w:tcPr>
            <w:tcW w:w="1594" w:type="dxa"/>
            <w:tcBorders>
              <w:bottom w:val="single" w:sz="8" w:space="0" w:color="00B050"/>
            </w:tcBorders>
            <w:shd w:val="clear" w:color="auto" w:fill="FFFFFF"/>
            <w:vAlign w:val="center"/>
          </w:tcPr>
          <w:p w14:paraId="0D267A69" w14:textId="77777777" w:rsidR="00366CB9" w:rsidRPr="00E80D3A" w:rsidRDefault="009D0C1D" w:rsidP="00C670F3">
            <w:pPr>
              <w:pStyle w:val="a6"/>
              <w:shd w:val="clear" w:color="auto" w:fill="auto"/>
              <w:spacing w:line="276" w:lineRule="auto"/>
              <w:rPr>
                <w:sz w:val="18"/>
                <w:szCs w:val="24"/>
              </w:rPr>
            </w:pPr>
            <w:r w:rsidRPr="00E80D3A">
              <w:rPr>
                <w:color w:val="000000"/>
                <w:sz w:val="18"/>
                <w:szCs w:val="24"/>
              </w:rPr>
              <w:t>тестування зразків ММ+</w:t>
            </w:r>
          </w:p>
        </w:tc>
        <w:tc>
          <w:tcPr>
            <w:tcW w:w="2933" w:type="dxa"/>
            <w:tcBorders>
              <w:top w:val="single" w:sz="8" w:space="0" w:color="00B050"/>
              <w:bottom w:val="single" w:sz="8" w:space="0" w:color="00B050"/>
            </w:tcBorders>
            <w:shd w:val="clear" w:color="auto" w:fill="FFFFFF"/>
            <w:vAlign w:val="center"/>
          </w:tcPr>
          <w:p w14:paraId="1832D5EE"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99 (97-99)</w:t>
            </w:r>
          </w:p>
        </w:tc>
        <w:tc>
          <w:tcPr>
            <w:tcW w:w="2486" w:type="dxa"/>
            <w:tcBorders>
              <w:top w:val="single" w:sz="8" w:space="0" w:color="00B050"/>
              <w:bottom w:val="single" w:sz="8" w:space="0" w:color="00B050"/>
            </w:tcBorders>
            <w:shd w:val="clear" w:color="auto" w:fill="FFFFFF"/>
            <w:vAlign w:val="center"/>
          </w:tcPr>
          <w:p w14:paraId="7145BF6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9 (1252)</w:t>
            </w:r>
          </w:p>
        </w:tc>
        <w:tc>
          <w:tcPr>
            <w:tcW w:w="1416" w:type="dxa"/>
            <w:tcBorders>
              <w:top w:val="single" w:sz="8" w:space="0" w:color="00B050"/>
              <w:bottom w:val="single" w:sz="8" w:space="0" w:color="00B050"/>
            </w:tcBorders>
            <w:shd w:val="clear" w:color="auto" w:fill="FFFFFF"/>
            <w:vAlign w:val="center"/>
          </w:tcPr>
          <w:p w14:paraId="1BCC0E1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872" w:type="dxa"/>
            <w:tcBorders>
              <w:top w:val="single" w:sz="8" w:space="0" w:color="00B050"/>
              <w:bottom w:val="single" w:sz="8" w:space="0" w:color="00B050"/>
            </w:tcBorders>
            <w:shd w:val="clear" w:color="auto" w:fill="FFFFFF"/>
            <w:vAlign w:val="center"/>
          </w:tcPr>
          <w:p w14:paraId="7E4522A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980 / ХП: 10</w:t>
            </w:r>
          </w:p>
        </w:tc>
        <w:tc>
          <w:tcPr>
            <w:tcW w:w="1824" w:type="dxa"/>
            <w:tcBorders>
              <w:top w:val="single" w:sz="8" w:space="0" w:color="00B050"/>
              <w:bottom w:val="single" w:sz="8" w:space="0" w:color="00B050"/>
            </w:tcBorders>
            <w:shd w:val="clear" w:color="auto" w:fill="FFFFFF"/>
            <w:vAlign w:val="center"/>
          </w:tcPr>
          <w:p w14:paraId="3D4F578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937 / ХП: 13</w:t>
            </w:r>
          </w:p>
        </w:tc>
        <w:tc>
          <w:tcPr>
            <w:tcW w:w="1896" w:type="dxa"/>
            <w:tcBorders>
              <w:top w:val="single" w:sz="8" w:space="0" w:color="00B050"/>
              <w:bottom w:val="single" w:sz="8" w:space="0" w:color="00B050"/>
            </w:tcBorders>
            <w:shd w:val="clear" w:color="auto" w:fill="FFFFFF"/>
            <w:vAlign w:val="center"/>
          </w:tcPr>
          <w:p w14:paraId="27DCCD0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887 / ХП: 13</w:t>
            </w:r>
          </w:p>
        </w:tc>
      </w:tr>
      <w:tr w:rsidR="00366CB9" w14:paraId="26CE6088" w14:textId="77777777" w:rsidTr="007751D5">
        <w:trPr>
          <w:trHeight w:hRule="exact" w:val="874"/>
        </w:trPr>
        <w:tc>
          <w:tcPr>
            <w:tcW w:w="14021" w:type="dxa"/>
            <w:gridSpan w:val="7"/>
            <w:tcBorders>
              <w:top w:val="single" w:sz="8" w:space="0" w:color="00B050"/>
            </w:tcBorders>
            <w:shd w:val="clear" w:color="auto" w:fill="FFFFFF"/>
            <w:vAlign w:val="bottom"/>
          </w:tcPr>
          <w:p w14:paraId="187F0265" w14:textId="77777777" w:rsidR="00366CB9" w:rsidRDefault="009D0C1D" w:rsidP="00C670F3">
            <w:pPr>
              <w:pStyle w:val="a6"/>
              <w:shd w:val="clear" w:color="auto" w:fill="auto"/>
              <w:rPr>
                <w:sz w:val="17"/>
                <w:szCs w:val="17"/>
              </w:rPr>
            </w:pPr>
            <w:r>
              <w:rPr>
                <w:b w:val="0"/>
                <w:color w:val="000000"/>
                <w:sz w:val="17"/>
              </w:rPr>
              <w:t>ДІ: довірчий інтервал; ХН: хибнонегативний; ХП: хибнопозитивний; LC-aNAAT: автоматизований аналіз ампліфікації нуклеїнових кислот низької складності; СНП: секвенування наступного покоління; Se: чутливість;</w:t>
            </w:r>
          </w:p>
          <w:p w14:paraId="5B8B9509" w14:textId="77777777" w:rsidR="00366CB9" w:rsidRDefault="009D0C1D" w:rsidP="00C670F3">
            <w:pPr>
              <w:pStyle w:val="a6"/>
              <w:shd w:val="clear" w:color="auto" w:fill="auto"/>
              <w:spacing w:after="40"/>
              <w:rPr>
                <w:sz w:val="17"/>
                <w:szCs w:val="17"/>
              </w:rPr>
            </w:pPr>
            <w:r>
              <w:rPr>
                <w:b w:val="0"/>
                <w:color w:val="000000"/>
                <w:sz w:val="17"/>
              </w:rPr>
              <w:t>SL-LPA: аналіз олігонуклеотидними зондами для препаратів другої лінії; ММ+: позитивний результат мазка мокротиння; Sp: специфічність; ТБ: туберкульоз; ІН: істинно негативний; ІП: істинно позитивний.</w:t>
            </w:r>
          </w:p>
          <w:p w14:paraId="14E16AE4" w14:textId="77777777" w:rsidR="00366CB9" w:rsidRDefault="009D0C1D" w:rsidP="00C670F3">
            <w:pPr>
              <w:pStyle w:val="a6"/>
              <w:shd w:val="clear" w:color="auto" w:fill="auto"/>
              <w:rPr>
                <w:sz w:val="17"/>
                <w:szCs w:val="17"/>
              </w:rPr>
            </w:pPr>
            <w:r>
              <w:rPr>
                <w:b w:val="0"/>
                <w:color w:val="000000"/>
                <w:sz w:val="17"/>
              </w:rPr>
              <w:t>Лікарські засоби: FQ: фторхінолон; LFX: левофлоксацин; MFX: моксифлоксацин.</w:t>
            </w:r>
          </w:p>
        </w:tc>
      </w:tr>
    </w:tbl>
    <w:tbl>
      <w:tblPr>
        <w:tblOverlap w:val="never"/>
        <w:tblW w:w="0" w:type="auto"/>
        <w:tblLayout w:type="fixed"/>
        <w:tblCellMar>
          <w:left w:w="10" w:type="dxa"/>
          <w:right w:w="10" w:type="dxa"/>
        </w:tblCellMar>
        <w:tblLook w:val="0000" w:firstRow="0" w:lastRow="0" w:firstColumn="0" w:lastColumn="0" w:noHBand="0" w:noVBand="0"/>
      </w:tblPr>
      <w:tblGrid>
        <w:gridCol w:w="192"/>
      </w:tblGrid>
      <w:tr w:rsidR="00366CB9" w14:paraId="55FCFDC9" w14:textId="77777777" w:rsidTr="00D74C3C">
        <w:trPr>
          <w:trHeight w:hRule="exact" w:val="4247"/>
        </w:trPr>
        <w:tc>
          <w:tcPr>
            <w:tcW w:w="192" w:type="dxa"/>
            <w:shd w:val="clear" w:color="auto" w:fill="FFFFFF"/>
            <w:textDirection w:val="tbRl"/>
          </w:tcPr>
          <w:p w14:paraId="565A019E" w14:textId="77777777" w:rsidR="00366CB9" w:rsidRDefault="009D0C1D" w:rsidP="00425523">
            <w:pPr>
              <w:pStyle w:val="a6"/>
              <w:framePr w:w="192" w:h="4459" w:wrap="none" w:vAnchor="page" w:hAnchor="page" w:x="690" w:y="6646"/>
              <w:shd w:val="clear" w:color="auto" w:fill="auto"/>
              <w:rPr>
                <w:sz w:val="15"/>
                <w:szCs w:val="15"/>
              </w:rPr>
            </w:pPr>
            <w:r>
              <w:rPr>
                <w:b w:val="0"/>
                <w:color w:val="019648"/>
                <w:sz w:val="15"/>
              </w:rPr>
              <w:t>3. Стратегії та міркування щодо діагностичного тестування</w:t>
            </w:r>
          </w:p>
        </w:tc>
      </w:tr>
      <w:tr w:rsidR="00366CB9" w14:paraId="6C32D67B" w14:textId="77777777">
        <w:trPr>
          <w:trHeight w:hRule="exact" w:val="600"/>
        </w:trPr>
        <w:tc>
          <w:tcPr>
            <w:tcW w:w="192" w:type="dxa"/>
            <w:shd w:val="clear" w:color="auto" w:fill="FFFFFF"/>
            <w:textDirection w:val="tbRl"/>
          </w:tcPr>
          <w:p w14:paraId="65A0FDBB" w14:textId="77777777" w:rsidR="00366CB9" w:rsidRDefault="009D0C1D" w:rsidP="00425523">
            <w:pPr>
              <w:pStyle w:val="a6"/>
              <w:framePr w:w="192" w:h="4459" w:wrap="none" w:vAnchor="page" w:hAnchor="page" w:x="690" w:y="6646"/>
              <w:shd w:val="clear" w:color="auto" w:fill="auto"/>
              <w:ind w:firstLine="380"/>
              <w:rPr>
                <w:sz w:val="15"/>
                <w:szCs w:val="15"/>
              </w:rPr>
            </w:pPr>
            <w:r>
              <w:rPr>
                <w:b w:val="0"/>
                <w:color w:val="019648"/>
                <w:sz w:val="15"/>
              </w:rPr>
              <w:t>73</w:t>
            </w:r>
          </w:p>
        </w:tc>
      </w:tr>
    </w:tbl>
    <w:p w14:paraId="755B2DEF" w14:textId="77777777" w:rsidR="00366CB9" w:rsidRDefault="00366CB9" w:rsidP="00425523">
      <w:pPr>
        <w:spacing w:line="1" w:lineRule="exact"/>
        <w:sectPr w:rsidR="00366CB9" w:rsidSect="00C670F3">
          <w:type w:val="nextColumn"/>
          <w:pgSz w:w="16840" w:h="11913" w:orient="landscape"/>
          <w:pgMar w:top="1406" w:right="1321" w:bottom="851" w:left="1503" w:header="0" w:footer="6" w:gutter="0"/>
          <w:paperSrc w:first="15" w:other="15"/>
          <w:cols w:space="720"/>
          <w:noEndnote/>
          <w:docGrid w:linePitch="360"/>
        </w:sectPr>
      </w:pPr>
    </w:p>
    <w:p w14:paraId="45FE1067"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685"/>
        <w:gridCol w:w="1560"/>
        <w:gridCol w:w="1416"/>
        <w:gridCol w:w="1670"/>
        <w:gridCol w:w="1627"/>
        <w:gridCol w:w="1243"/>
        <w:gridCol w:w="1618"/>
        <w:gridCol w:w="1613"/>
        <w:gridCol w:w="1622"/>
      </w:tblGrid>
      <w:tr w:rsidR="00366CB9" w14:paraId="1B9520A3" w14:textId="77777777">
        <w:trPr>
          <w:trHeight w:hRule="exact" w:val="1114"/>
        </w:trPr>
        <w:tc>
          <w:tcPr>
            <w:tcW w:w="14054" w:type="dxa"/>
            <w:gridSpan w:val="9"/>
            <w:shd w:val="clear" w:color="auto" w:fill="FFFFFF"/>
          </w:tcPr>
          <w:p w14:paraId="3EC80C85" w14:textId="77777777" w:rsidR="00366CB9" w:rsidRPr="00BF6DB7" w:rsidRDefault="009D0C1D" w:rsidP="00C670F3">
            <w:pPr>
              <w:pStyle w:val="a6"/>
              <w:shd w:val="clear" w:color="auto" w:fill="auto"/>
              <w:rPr>
                <w:sz w:val="24"/>
                <w:szCs w:val="24"/>
              </w:rPr>
            </w:pPr>
            <w:bookmarkStart w:id="85" w:name="bookmark82"/>
            <w:r>
              <w:rPr>
                <w:color w:val="636466"/>
                <w:sz w:val="24"/>
              </w:rPr>
              <w:t>Таблиця 3.5. Ефективність молекулярних тестів для виявлення резистентності до інших протитуберкульозних препаратів першої лінії у дорослих з виявленим ТБ легень порівняно з мікробіологічним стандартним зразком (абсолютна кількість ІП, ХП, ІН або ХН результатів за заданої поширеності резистентності на 1000 осіб)</w:t>
            </w:r>
            <w:bookmarkEnd w:id="85"/>
          </w:p>
        </w:tc>
      </w:tr>
      <w:tr w:rsidR="00366CB9" w14:paraId="5628688B" w14:textId="77777777" w:rsidTr="007751D5">
        <w:trPr>
          <w:trHeight w:hRule="exact" w:val="955"/>
        </w:trPr>
        <w:tc>
          <w:tcPr>
            <w:tcW w:w="1685" w:type="dxa"/>
            <w:shd w:val="clear" w:color="auto" w:fill="62A86A"/>
            <w:vAlign w:val="center"/>
          </w:tcPr>
          <w:p w14:paraId="4311CA48" w14:textId="77777777" w:rsidR="00366CB9" w:rsidRPr="00E80D3A" w:rsidRDefault="009D0C1D" w:rsidP="00D74C3C">
            <w:pPr>
              <w:pStyle w:val="a6"/>
              <w:shd w:val="clear" w:color="auto" w:fill="auto"/>
              <w:rPr>
                <w:sz w:val="18"/>
                <w:szCs w:val="24"/>
              </w:rPr>
            </w:pPr>
            <w:r w:rsidRPr="00E80D3A">
              <w:rPr>
                <w:color w:val="FFFFFF"/>
                <w:sz w:val="18"/>
                <w:szCs w:val="24"/>
              </w:rPr>
              <w:t>Втручання</w:t>
            </w:r>
          </w:p>
        </w:tc>
        <w:tc>
          <w:tcPr>
            <w:tcW w:w="1560" w:type="dxa"/>
            <w:shd w:val="clear" w:color="auto" w:fill="62A86A"/>
            <w:vAlign w:val="center"/>
          </w:tcPr>
          <w:p w14:paraId="1C8A076C" w14:textId="77777777" w:rsidR="00366CB9" w:rsidRPr="00E80D3A" w:rsidRDefault="009D0C1D" w:rsidP="00D74C3C">
            <w:pPr>
              <w:pStyle w:val="a6"/>
              <w:shd w:val="clear" w:color="auto" w:fill="auto"/>
              <w:rPr>
                <w:sz w:val="18"/>
                <w:szCs w:val="24"/>
              </w:rPr>
            </w:pPr>
            <w:r w:rsidRPr="00E80D3A">
              <w:rPr>
                <w:color w:val="FFFFFF"/>
                <w:sz w:val="18"/>
                <w:szCs w:val="24"/>
              </w:rPr>
              <w:t>Лікарський засіб</w:t>
            </w:r>
          </w:p>
        </w:tc>
        <w:tc>
          <w:tcPr>
            <w:tcW w:w="1416" w:type="dxa"/>
            <w:shd w:val="clear" w:color="auto" w:fill="62A86A"/>
            <w:vAlign w:val="center"/>
          </w:tcPr>
          <w:p w14:paraId="764B76D9" w14:textId="045F2DB6" w:rsidR="00366CB9" w:rsidRPr="00E80D3A" w:rsidRDefault="009D0C1D" w:rsidP="00D74C3C">
            <w:pPr>
              <w:pStyle w:val="a6"/>
              <w:shd w:val="clear" w:color="auto" w:fill="auto"/>
              <w:spacing w:line="271" w:lineRule="auto"/>
              <w:rPr>
                <w:sz w:val="18"/>
                <w:szCs w:val="24"/>
              </w:rPr>
            </w:pPr>
            <w:r w:rsidRPr="00E80D3A">
              <w:rPr>
                <w:color w:val="FFFFFF"/>
                <w:sz w:val="18"/>
                <w:szCs w:val="24"/>
              </w:rPr>
              <w:t>Поширеність резистент</w:t>
            </w:r>
            <w:r w:rsidR="00D74C3C" w:rsidRPr="00E80D3A">
              <w:rPr>
                <w:color w:val="FFFFFF"/>
                <w:sz w:val="18"/>
                <w:szCs w:val="24"/>
              </w:rPr>
              <w:t>-</w:t>
            </w:r>
            <w:r w:rsidRPr="00E80D3A">
              <w:rPr>
                <w:color w:val="FFFFFF"/>
                <w:sz w:val="18"/>
                <w:szCs w:val="24"/>
              </w:rPr>
              <w:t>ності</w:t>
            </w:r>
          </w:p>
        </w:tc>
        <w:tc>
          <w:tcPr>
            <w:tcW w:w="1670" w:type="dxa"/>
            <w:shd w:val="clear" w:color="auto" w:fill="62A86A"/>
            <w:vAlign w:val="center"/>
          </w:tcPr>
          <w:p w14:paraId="481B6103" w14:textId="77777777" w:rsidR="00366CB9" w:rsidRPr="00E80D3A" w:rsidRDefault="009D0C1D" w:rsidP="00D74C3C">
            <w:pPr>
              <w:pStyle w:val="a6"/>
              <w:shd w:val="clear" w:color="auto" w:fill="auto"/>
              <w:spacing w:line="276" w:lineRule="auto"/>
              <w:rPr>
                <w:sz w:val="18"/>
                <w:szCs w:val="24"/>
              </w:rPr>
            </w:pPr>
            <w:r w:rsidRPr="00E80D3A">
              <w:rPr>
                <w:color w:val="FFFFFF"/>
                <w:sz w:val="18"/>
                <w:szCs w:val="24"/>
              </w:rPr>
              <w:t>Точність тесту % (95 % ДІ)</w:t>
            </w:r>
          </w:p>
        </w:tc>
        <w:tc>
          <w:tcPr>
            <w:tcW w:w="1627" w:type="dxa"/>
            <w:shd w:val="clear" w:color="auto" w:fill="62A86A"/>
            <w:vAlign w:val="center"/>
          </w:tcPr>
          <w:p w14:paraId="5D65856F" w14:textId="77777777" w:rsidR="00366CB9" w:rsidRPr="00E80D3A" w:rsidRDefault="009D0C1D" w:rsidP="00D74C3C">
            <w:pPr>
              <w:pStyle w:val="a6"/>
              <w:shd w:val="clear" w:color="auto" w:fill="auto"/>
              <w:rPr>
                <w:sz w:val="18"/>
                <w:szCs w:val="24"/>
              </w:rPr>
            </w:pPr>
            <w:r w:rsidRPr="00E80D3A">
              <w:rPr>
                <w:color w:val="FFFFFF"/>
                <w:sz w:val="18"/>
                <w:szCs w:val="24"/>
              </w:rPr>
              <w:t>Дослідження</w:t>
            </w:r>
          </w:p>
          <w:p w14:paraId="1ABCC8E5" w14:textId="77777777" w:rsidR="00366CB9" w:rsidRPr="00E80D3A" w:rsidRDefault="009D0C1D" w:rsidP="00D74C3C">
            <w:pPr>
              <w:pStyle w:val="a6"/>
              <w:shd w:val="clear" w:color="auto" w:fill="auto"/>
              <w:rPr>
                <w:sz w:val="18"/>
                <w:szCs w:val="24"/>
              </w:rPr>
            </w:pPr>
            <w:r w:rsidRPr="00E80D3A">
              <w:rPr>
                <w:color w:val="FFFFFF"/>
                <w:sz w:val="18"/>
                <w:szCs w:val="24"/>
              </w:rPr>
              <w:t>(учасники)</w:t>
            </w:r>
          </w:p>
        </w:tc>
        <w:tc>
          <w:tcPr>
            <w:tcW w:w="1243" w:type="dxa"/>
            <w:shd w:val="clear" w:color="auto" w:fill="62A86A"/>
            <w:vAlign w:val="center"/>
          </w:tcPr>
          <w:p w14:paraId="5773BD4D" w14:textId="52695CDB" w:rsidR="00366CB9" w:rsidRPr="00E80D3A" w:rsidRDefault="009D0C1D" w:rsidP="00D74C3C">
            <w:pPr>
              <w:pStyle w:val="a6"/>
              <w:shd w:val="clear" w:color="auto" w:fill="auto"/>
              <w:spacing w:line="271" w:lineRule="auto"/>
              <w:rPr>
                <w:sz w:val="18"/>
                <w:szCs w:val="24"/>
              </w:rPr>
            </w:pPr>
            <w:r w:rsidRPr="00E80D3A">
              <w:rPr>
                <w:color w:val="FFFFFF"/>
                <w:sz w:val="18"/>
                <w:szCs w:val="24"/>
              </w:rPr>
              <w:t>Достовір</w:t>
            </w:r>
            <w:r w:rsidR="00D74C3C" w:rsidRPr="00E80D3A">
              <w:rPr>
                <w:color w:val="FFFFFF"/>
                <w:sz w:val="18"/>
                <w:szCs w:val="24"/>
              </w:rPr>
              <w:t>-</w:t>
            </w:r>
            <w:r w:rsidRPr="00E80D3A">
              <w:rPr>
                <w:color w:val="FFFFFF"/>
                <w:sz w:val="18"/>
                <w:szCs w:val="24"/>
              </w:rPr>
              <w:t>ність доказів</w:t>
            </w:r>
          </w:p>
        </w:tc>
        <w:tc>
          <w:tcPr>
            <w:tcW w:w="1618" w:type="dxa"/>
            <w:shd w:val="clear" w:color="auto" w:fill="62A86A"/>
            <w:vAlign w:val="center"/>
          </w:tcPr>
          <w:p w14:paraId="0E321116" w14:textId="77777777" w:rsidR="00366CB9" w:rsidRPr="00E80D3A" w:rsidRDefault="009D0C1D" w:rsidP="00D74C3C">
            <w:pPr>
              <w:pStyle w:val="a6"/>
              <w:shd w:val="clear" w:color="auto" w:fill="auto"/>
              <w:spacing w:line="271" w:lineRule="auto"/>
              <w:rPr>
                <w:sz w:val="18"/>
                <w:szCs w:val="24"/>
              </w:rPr>
            </w:pPr>
            <w:r w:rsidRPr="00E80D3A">
              <w:rPr>
                <w:color w:val="FFFFFF"/>
                <w:sz w:val="18"/>
                <w:szCs w:val="24"/>
              </w:rPr>
              <w:t>Нижня межа</w:t>
            </w:r>
          </w:p>
          <w:p w14:paraId="31C631DD" w14:textId="77777777" w:rsidR="00366CB9" w:rsidRPr="00E80D3A" w:rsidRDefault="009D0C1D" w:rsidP="00D74C3C">
            <w:pPr>
              <w:pStyle w:val="a6"/>
              <w:shd w:val="clear" w:color="auto" w:fill="auto"/>
              <w:spacing w:line="271" w:lineRule="auto"/>
              <w:rPr>
                <w:sz w:val="18"/>
                <w:szCs w:val="24"/>
              </w:rPr>
            </w:pPr>
            <w:r w:rsidRPr="00E80D3A">
              <w:rPr>
                <w:color w:val="FFFFFF"/>
                <w:sz w:val="18"/>
                <w:szCs w:val="24"/>
              </w:rPr>
              <w:t>поширеності</w:t>
            </w:r>
          </w:p>
        </w:tc>
        <w:tc>
          <w:tcPr>
            <w:tcW w:w="1613" w:type="dxa"/>
            <w:shd w:val="clear" w:color="auto" w:fill="62A86A"/>
            <w:vAlign w:val="center"/>
          </w:tcPr>
          <w:p w14:paraId="1B73BFF5" w14:textId="77777777" w:rsidR="00366CB9" w:rsidRPr="00E80D3A" w:rsidRDefault="009D0C1D" w:rsidP="00D74C3C">
            <w:pPr>
              <w:pStyle w:val="a6"/>
              <w:shd w:val="clear" w:color="auto" w:fill="auto"/>
              <w:spacing w:line="271" w:lineRule="auto"/>
              <w:rPr>
                <w:sz w:val="18"/>
                <w:szCs w:val="24"/>
              </w:rPr>
            </w:pPr>
            <w:r w:rsidRPr="00E80D3A">
              <w:rPr>
                <w:color w:val="FFFFFF"/>
                <w:sz w:val="18"/>
                <w:szCs w:val="24"/>
              </w:rPr>
              <w:t>Середня межа поширеності</w:t>
            </w:r>
          </w:p>
        </w:tc>
        <w:tc>
          <w:tcPr>
            <w:tcW w:w="1622" w:type="dxa"/>
            <w:shd w:val="clear" w:color="auto" w:fill="62A86A"/>
            <w:vAlign w:val="center"/>
          </w:tcPr>
          <w:p w14:paraId="4297D738" w14:textId="77777777" w:rsidR="00366CB9" w:rsidRPr="00E80D3A" w:rsidRDefault="009D0C1D" w:rsidP="00D74C3C">
            <w:pPr>
              <w:pStyle w:val="a6"/>
              <w:shd w:val="clear" w:color="auto" w:fill="auto"/>
              <w:spacing w:line="271" w:lineRule="auto"/>
              <w:rPr>
                <w:sz w:val="18"/>
                <w:szCs w:val="24"/>
              </w:rPr>
            </w:pPr>
            <w:r w:rsidRPr="00E80D3A">
              <w:rPr>
                <w:color w:val="FFFFFF"/>
                <w:sz w:val="18"/>
                <w:szCs w:val="24"/>
              </w:rPr>
              <w:t>Вища межа поширеності</w:t>
            </w:r>
          </w:p>
        </w:tc>
      </w:tr>
      <w:tr w:rsidR="00366CB9" w14:paraId="0676A230" w14:textId="77777777" w:rsidTr="007751D5">
        <w:trPr>
          <w:trHeight w:hRule="exact" w:val="749"/>
        </w:trPr>
        <w:tc>
          <w:tcPr>
            <w:tcW w:w="1685" w:type="dxa"/>
            <w:vMerge w:val="restart"/>
            <w:tcBorders>
              <w:bottom w:val="single" w:sz="8" w:space="0" w:color="00B050"/>
            </w:tcBorders>
            <w:shd w:val="clear" w:color="auto" w:fill="FFFFFF"/>
            <w:vAlign w:val="bottom"/>
          </w:tcPr>
          <w:p w14:paraId="673F773B" w14:textId="77777777" w:rsidR="00366CB9" w:rsidRPr="00E80D3A" w:rsidRDefault="009D0C1D" w:rsidP="00C670F3">
            <w:pPr>
              <w:pStyle w:val="a6"/>
              <w:shd w:val="clear" w:color="auto" w:fill="auto"/>
              <w:spacing w:line="271" w:lineRule="auto"/>
              <w:rPr>
                <w:sz w:val="18"/>
                <w:szCs w:val="24"/>
              </w:rPr>
            </w:pPr>
            <w:r w:rsidRPr="00E80D3A">
              <w:rPr>
                <w:b w:val="0"/>
                <w:color w:val="000000"/>
                <w:sz w:val="18"/>
                <w:szCs w:val="24"/>
              </w:rPr>
              <w:t>NAAT на основі зворотної гібридизації високої складності</w:t>
            </w:r>
          </w:p>
        </w:tc>
        <w:tc>
          <w:tcPr>
            <w:tcW w:w="1560" w:type="dxa"/>
            <w:shd w:val="clear" w:color="auto" w:fill="FFFFFF"/>
            <w:vAlign w:val="center"/>
          </w:tcPr>
          <w:p w14:paraId="08CE115E"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Піразинамід</w:t>
            </w:r>
          </w:p>
        </w:tc>
        <w:tc>
          <w:tcPr>
            <w:tcW w:w="1416" w:type="dxa"/>
            <w:shd w:val="clear" w:color="auto" w:fill="FFFFFF"/>
            <w:vAlign w:val="center"/>
          </w:tcPr>
          <w:p w14:paraId="647CEB1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8, 50, 90 %</w:t>
            </w:r>
          </w:p>
        </w:tc>
        <w:tc>
          <w:tcPr>
            <w:tcW w:w="1670" w:type="dxa"/>
            <w:tcBorders>
              <w:bottom w:val="single" w:sz="8" w:space="0" w:color="00B050"/>
            </w:tcBorders>
            <w:shd w:val="clear" w:color="auto" w:fill="FFFFFF"/>
            <w:vAlign w:val="bottom"/>
          </w:tcPr>
          <w:p w14:paraId="27537DB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81,2</w:t>
            </w:r>
          </w:p>
          <w:p w14:paraId="490A9D5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(75,4-85,8)</w:t>
            </w:r>
          </w:p>
        </w:tc>
        <w:tc>
          <w:tcPr>
            <w:tcW w:w="1627" w:type="dxa"/>
            <w:tcBorders>
              <w:bottom w:val="single" w:sz="8" w:space="0" w:color="00B050"/>
            </w:tcBorders>
            <w:shd w:val="clear" w:color="auto" w:fill="FFFFFF"/>
            <w:vAlign w:val="center"/>
          </w:tcPr>
          <w:p w14:paraId="3742CD8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7 (214)</w:t>
            </w:r>
          </w:p>
        </w:tc>
        <w:tc>
          <w:tcPr>
            <w:tcW w:w="1243" w:type="dxa"/>
            <w:tcBorders>
              <w:bottom w:val="single" w:sz="8" w:space="0" w:color="00B050"/>
            </w:tcBorders>
            <w:shd w:val="clear" w:color="auto" w:fill="FFFFFF"/>
            <w:vAlign w:val="center"/>
          </w:tcPr>
          <w:p w14:paraId="18D2788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Дуже низька</w:t>
            </w:r>
          </w:p>
        </w:tc>
        <w:tc>
          <w:tcPr>
            <w:tcW w:w="1618" w:type="dxa"/>
            <w:tcBorders>
              <w:bottom w:val="single" w:sz="8" w:space="0" w:color="00B050"/>
            </w:tcBorders>
            <w:shd w:val="clear" w:color="auto" w:fill="FFFFFF"/>
            <w:vAlign w:val="center"/>
          </w:tcPr>
          <w:p w14:paraId="5D65878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65/ХН: 15</w:t>
            </w:r>
          </w:p>
        </w:tc>
        <w:tc>
          <w:tcPr>
            <w:tcW w:w="1613" w:type="dxa"/>
            <w:tcBorders>
              <w:bottom w:val="single" w:sz="8" w:space="0" w:color="00B050"/>
            </w:tcBorders>
            <w:shd w:val="clear" w:color="auto" w:fill="FFFFFF"/>
            <w:vAlign w:val="center"/>
          </w:tcPr>
          <w:p w14:paraId="1B0D861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406/ХН: 94</w:t>
            </w:r>
          </w:p>
        </w:tc>
        <w:tc>
          <w:tcPr>
            <w:tcW w:w="1622" w:type="dxa"/>
            <w:tcBorders>
              <w:bottom w:val="single" w:sz="8" w:space="0" w:color="00B050"/>
            </w:tcBorders>
            <w:shd w:val="clear" w:color="auto" w:fill="FFFFFF"/>
            <w:vAlign w:val="center"/>
          </w:tcPr>
          <w:p w14:paraId="70DDC25F" w14:textId="77777777" w:rsidR="00366CB9" w:rsidRPr="00E80D3A" w:rsidRDefault="009D0C1D" w:rsidP="00C670F3">
            <w:pPr>
              <w:pStyle w:val="a6"/>
              <w:shd w:val="clear" w:color="auto" w:fill="auto"/>
              <w:jc w:val="right"/>
              <w:rPr>
                <w:sz w:val="18"/>
                <w:szCs w:val="24"/>
              </w:rPr>
            </w:pPr>
            <w:r w:rsidRPr="00E80D3A">
              <w:rPr>
                <w:b w:val="0"/>
                <w:color w:val="000000"/>
                <w:sz w:val="18"/>
                <w:szCs w:val="24"/>
              </w:rPr>
              <w:t>ІП: 731/ХН: 169</w:t>
            </w:r>
          </w:p>
        </w:tc>
      </w:tr>
      <w:tr w:rsidR="00366CB9" w14:paraId="6C8DC3D4" w14:textId="77777777" w:rsidTr="007751D5">
        <w:trPr>
          <w:trHeight w:hRule="exact" w:val="749"/>
        </w:trPr>
        <w:tc>
          <w:tcPr>
            <w:tcW w:w="1685" w:type="dxa"/>
            <w:vMerge/>
            <w:tcBorders>
              <w:bottom w:val="single" w:sz="8" w:space="0" w:color="00B050"/>
            </w:tcBorders>
            <w:shd w:val="clear" w:color="auto" w:fill="FFFFFF"/>
            <w:vAlign w:val="bottom"/>
          </w:tcPr>
          <w:p w14:paraId="1038BFAA" w14:textId="77777777" w:rsidR="00366CB9" w:rsidRPr="00E80D3A" w:rsidRDefault="00366CB9" w:rsidP="00C670F3">
            <w:pPr>
              <w:rPr>
                <w:sz w:val="18"/>
              </w:rPr>
            </w:pPr>
          </w:p>
        </w:tc>
        <w:tc>
          <w:tcPr>
            <w:tcW w:w="1560" w:type="dxa"/>
            <w:tcBorders>
              <w:bottom w:val="single" w:sz="8" w:space="0" w:color="00B050"/>
            </w:tcBorders>
            <w:shd w:val="clear" w:color="auto" w:fill="FFFFFF"/>
          </w:tcPr>
          <w:p w14:paraId="6C1DA762" w14:textId="77777777" w:rsidR="00366CB9" w:rsidRPr="00E80D3A" w:rsidRDefault="00366CB9" w:rsidP="00C670F3">
            <w:pPr>
              <w:rPr>
                <w:sz w:val="18"/>
              </w:rPr>
            </w:pPr>
          </w:p>
        </w:tc>
        <w:tc>
          <w:tcPr>
            <w:tcW w:w="1416" w:type="dxa"/>
            <w:tcBorders>
              <w:bottom w:val="single" w:sz="8" w:space="0" w:color="00B050"/>
            </w:tcBorders>
            <w:shd w:val="clear" w:color="auto" w:fill="FFFFFF"/>
          </w:tcPr>
          <w:p w14:paraId="48AB5782" w14:textId="77777777" w:rsidR="00366CB9" w:rsidRPr="00E80D3A" w:rsidRDefault="00366CB9" w:rsidP="00C670F3">
            <w:pPr>
              <w:rPr>
                <w:sz w:val="18"/>
              </w:rPr>
            </w:pPr>
          </w:p>
        </w:tc>
        <w:tc>
          <w:tcPr>
            <w:tcW w:w="1670" w:type="dxa"/>
            <w:tcBorders>
              <w:top w:val="single" w:sz="8" w:space="0" w:color="00B050"/>
              <w:bottom w:val="single" w:sz="8" w:space="0" w:color="00B050"/>
            </w:tcBorders>
            <w:shd w:val="clear" w:color="auto" w:fill="FFFFFF"/>
            <w:vAlign w:val="bottom"/>
          </w:tcPr>
          <w:p w14:paraId="7048E84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97,8</w:t>
            </w:r>
          </w:p>
          <w:p w14:paraId="38039B4C"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(96,5-98,6)</w:t>
            </w:r>
          </w:p>
        </w:tc>
        <w:tc>
          <w:tcPr>
            <w:tcW w:w="1627" w:type="dxa"/>
            <w:tcBorders>
              <w:top w:val="single" w:sz="8" w:space="0" w:color="00B050"/>
              <w:bottom w:val="single" w:sz="8" w:space="0" w:color="00B050"/>
            </w:tcBorders>
            <w:shd w:val="clear" w:color="auto" w:fill="FFFFFF"/>
          </w:tcPr>
          <w:p w14:paraId="7D6992BD" w14:textId="77777777" w:rsidR="00366CB9" w:rsidRPr="00E80D3A" w:rsidRDefault="009D0C1D" w:rsidP="00C670F3">
            <w:pPr>
              <w:pStyle w:val="a6"/>
              <w:shd w:val="clear" w:color="auto" w:fill="auto"/>
              <w:spacing w:before="100"/>
              <w:jc w:val="center"/>
              <w:rPr>
                <w:sz w:val="18"/>
                <w:szCs w:val="24"/>
              </w:rPr>
            </w:pPr>
            <w:r w:rsidRPr="00E80D3A">
              <w:rPr>
                <w:b w:val="0"/>
                <w:color w:val="000000"/>
                <w:sz w:val="18"/>
                <w:szCs w:val="24"/>
              </w:rPr>
              <w:t>7 (750)</w:t>
            </w:r>
          </w:p>
        </w:tc>
        <w:tc>
          <w:tcPr>
            <w:tcW w:w="1243" w:type="dxa"/>
            <w:tcBorders>
              <w:top w:val="single" w:sz="8" w:space="0" w:color="00B050"/>
              <w:bottom w:val="single" w:sz="8" w:space="0" w:color="00B050"/>
            </w:tcBorders>
            <w:shd w:val="clear" w:color="auto" w:fill="FFFFFF"/>
          </w:tcPr>
          <w:p w14:paraId="562F5E96" w14:textId="77777777" w:rsidR="00366CB9" w:rsidRPr="00E80D3A" w:rsidRDefault="009D0C1D" w:rsidP="00C670F3">
            <w:pPr>
              <w:pStyle w:val="a6"/>
              <w:shd w:val="clear" w:color="auto" w:fill="auto"/>
              <w:spacing w:before="100"/>
              <w:jc w:val="center"/>
              <w:rPr>
                <w:sz w:val="18"/>
                <w:szCs w:val="24"/>
              </w:rPr>
            </w:pPr>
            <w:r w:rsidRPr="00E80D3A">
              <w:rPr>
                <w:b w:val="0"/>
                <w:color w:val="000000"/>
                <w:sz w:val="18"/>
                <w:szCs w:val="24"/>
              </w:rPr>
              <w:t>Низька</w:t>
            </w:r>
          </w:p>
        </w:tc>
        <w:tc>
          <w:tcPr>
            <w:tcW w:w="1618" w:type="dxa"/>
            <w:tcBorders>
              <w:top w:val="single" w:sz="8" w:space="0" w:color="00B050"/>
              <w:bottom w:val="single" w:sz="8" w:space="0" w:color="00B050"/>
            </w:tcBorders>
            <w:shd w:val="clear" w:color="auto" w:fill="FFFFFF"/>
          </w:tcPr>
          <w:p w14:paraId="724C7921" w14:textId="77777777" w:rsidR="00366CB9" w:rsidRPr="00E80D3A" w:rsidRDefault="009D0C1D" w:rsidP="00C670F3">
            <w:pPr>
              <w:pStyle w:val="a6"/>
              <w:shd w:val="clear" w:color="auto" w:fill="auto"/>
              <w:spacing w:before="100"/>
              <w:jc w:val="center"/>
              <w:rPr>
                <w:sz w:val="18"/>
                <w:szCs w:val="24"/>
              </w:rPr>
            </w:pPr>
            <w:r w:rsidRPr="00E80D3A">
              <w:rPr>
                <w:b w:val="0"/>
                <w:color w:val="000000"/>
                <w:sz w:val="18"/>
                <w:szCs w:val="24"/>
              </w:rPr>
              <w:t>ІН: 900 / ХП: 20</w:t>
            </w:r>
          </w:p>
        </w:tc>
        <w:tc>
          <w:tcPr>
            <w:tcW w:w="1613" w:type="dxa"/>
            <w:tcBorders>
              <w:top w:val="single" w:sz="8" w:space="0" w:color="00B050"/>
              <w:bottom w:val="single" w:sz="8" w:space="0" w:color="00B050"/>
            </w:tcBorders>
            <w:shd w:val="clear" w:color="auto" w:fill="FFFFFF"/>
          </w:tcPr>
          <w:p w14:paraId="7ACFE29E" w14:textId="77777777" w:rsidR="00366CB9" w:rsidRPr="00E80D3A" w:rsidRDefault="009D0C1D" w:rsidP="00C670F3">
            <w:pPr>
              <w:pStyle w:val="a6"/>
              <w:shd w:val="clear" w:color="auto" w:fill="auto"/>
              <w:spacing w:before="100"/>
              <w:jc w:val="center"/>
              <w:rPr>
                <w:sz w:val="18"/>
                <w:szCs w:val="24"/>
              </w:rPr>
            </w:pPr>
            <w:r w:rsidRPr="00E80D3A">
              <w:rPr>
                <w:b w:val="0"/>
                <w:color w:val="000000"/>
                <w:sz w:val="18"/>
                <w:szCs w:val="24"/>
              </w:rPr>
              <w:t>ІН: 489 / ХП: 11</w:t>
            </w:r>
          </w:p>
        </w:tc>
        <w:tc>
          <w:tcPr>
            <w:tcW w:w="1622" w:type="dxa"/>
            <w:tcBorders>
              <w:top w:val="single" w:sz="8" w:space="0" w:color="00B050"/>
              <w:bottom w:val="single" w:sz="8" w:space="0" w:color="00B050"/>
            </w:tcBorders>
            <w:shd w:val="clear" w:color="auto" w:fill="FFFFFF"/>
          </w:tcPr>
          <w:p w14:paraId="1435BC84" w14:textId="77777777" w:rsidR="00366CB9" w:rsidRPr="00E80D3A" w:rsidRDefault="009D0C1D" w:rsidP="00C670F3">
            <w:pPr>
              <w:pStyle w:val="a6"/>
              <w:shd w:val="clear" w:color="auto" w:fill="auto"/>
              <w:spacing w:before="100"/>
              <w:jc w:val="center"/>
              <w:rPr>
                <w:sz w:val="18"/>
                <w:szCs w:val="24"/>
              </w:rPr>
            </w:pPr>
            <w:r w:rsidRPr="00E80D3A">
              <w:rPr>
                <w:b w:val="0"/>
                <w:color w:val="000000"/>
                <w:sz w:val="18"/>
                <w:szCs w:val="24"/>
              </w:rPr>
              <w:t>ІН: 98 / ХП: 2</w:t>
            </w:r>
          </w:p>
        </w:tc>
      </w:tr>
      <w:tr w:rsidR="00366CB9" w14:paraId="5EB5603A" w14:textId="77777777" w:rsidTr="007751D5">
        <w:trPr>
          <w:trHeight w:hRule="exact" w:val="710"/>
        </w:trPr>
        <w:tc>
          <w:tcPr>
            <w:tcW w:w="1685" w:type="dxa"/>
            <w:tcBorders>
              <w:top w:val="single" w:sz="8" w:space="0" w:color="00B050"/>
            </w:tcBorders>
            <w:shd w:val="clear" w:color="auto" w:fill="FFFFFF"/>
            <w:vAlign w:val="center"/>
          </w:tcPr>
          <w:p w14:paraId="159E9ED8" w14:textId="77777777" w:rsidR="00366CB9" w:rsidRPr="00E80D3A" w:rsidRDefault="009D0C1D" w:rsidP="00C670F3">
            <w:pPr>
              <w:pStyle w:val="a6"/>
              <w:shd w:val="clear" w:color="auto" w:fill="auto"/>
              <w:rPr>
                <w:sz w:val="18"/>
                <w:szCs w:val="24"/>
              </w:rPr>
            </w:pPr>
            <w:r w:rsidRPr="00E80D3A">
              <w:rPr>
                <w:b w:val="0"/>
                <w:color w:val="000000"/>
                <w:sz w:val="18"/>
                <w:szCs w:val="24"/>
              </w:rPr>
              <w:t>Цільове СНП</w:t>
            </w:r>
          </w:p>
        </w:tc>
        <w:tc>
          <w:tcPr>
            <w:tcW w:w="1560" w:type="dxa"/>
            <w:tcBorders>
              <w:top w:val="single" w:sz="8" w:space="0" w:color="00B050"/>
            </w:tcBorders>
            <w:shd w:val="clear" w:color="auto" w:fill="FFFFFF"/>
            <w:vAlign w:val="center"/>
          </w:tcPr>
          <w:p w14:paraId="01407DA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Піразинамід</w:t>
            </w:r>
          </w:p>
        </w:tc>
        <w:tc>
          <w:tcPr>
            <w:tcW w:w="1416" w:type="dxa"/>
            <w:tcBorders>
              <w:top w:val="single" w:sz="8" w:space="0" w:color="00B050"/>
            </w:tcBorders>
            <w:shd w:val="clear" w:color="auto" w:fill="FFFFFF"/>
            <w:vAlign w:val="center"/>
          </w:tcPr>
          <w:p w14:paraId="2220C6C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1, 3, 10 %</w:t>
            </w:r>
          </w:p>
        </w:tc>
        <w:tc>
          <w:tcPr>
            <w:tcW w:w="1670" w:type="dxa"/>
            <w:tcBorders>
              <w:top w:val="single" w:sz="8" w:space="0" w:color="00B050"/>
              <w:bottom w:val="single" w:sz="8" w:space="0" w:color="00B050"/>
            </w:tcBorders>
            <w:shd w:val="clear" w:color="auto" w:fill="FFFFFF"/>
            <w:vAlign w:val="bottom"/>
          </w:tcPr>
          <w:p w14:paraId="5E75D39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88,4</w:t>
            </w:r>
          </w:p>
          <w:p w14:paraId="69427E3C"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(85,2-91,7)</w:t>
            </w:r>
          </w:p>
        </w:tc>
        <w:tc>
          <w:tcPr>
            <w:tcW w:w="1627" w:type="dxa"/>
            <w:tcBorders>
              <w:top w:val="single" w:sz="8" w:space="0" w:color="00B050"/>
              <w:bottom w:val="single" w:sz="8" w:space="0" w:color="00B050"/>
            </w:tcBorders>
            <w:shd w:val="clear" w:color="auto" w:fill="FFFFFF"/>
            <w:vAlign w:val="center"/>
          </w:tcPr>
          <w:p w14:paraId="36F1C56C"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3 (346)</w:t>
            </w:r>
          </w:p>
        </w:tc>
        <w:tc>
          <w:tcPr>
            <w:tcW w:w="1243" w:type="dxa"/>
            <w:tcBorders>
              <w:top w:val="single" w:sz="8" w:space="0" w:color="00B050"/>
              <w:bottom w:val="single" w:sz="8" w:space="0" w:color="00B050"/>
            </w:tcBorders>
            <w:shd w:val="clear" w:color="auto" w:fill="FFFFFF"/>
            <w:vAlign w:val="center"/>
          </w:tcPr>
          <w:p w14:paraId="742FA33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618" w:type="dxa"/>
            <w:tcBorders>
              <w:top w:val="single" w:sz="8" w:space="0" w:color="00B050"/>
              <w:bottom w:val="single" w:sz="8" w:space="0" w:color="00B050"/>
            </w:tcBorders>
            <w:shd w:val="clear" w:color="auto" w:fill="FFFFFF"/>
            <w:vAlign w:val="center"/>
          </w:tcPr>
          <w:p w14:paraId="62954CCB"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9/ХН: 1</w:t>
            </w:r>
          </w:p>
        </w:tc>
        <w:tc>
          <w:tcPr>
            <w:tcW w:w="1613" w:type="dxa"/>
            <w:tcBorders>
              <w:top w:val="single" w:sz="8" w:space="0" w:color="00B050"/>
              <w:bottom w:val="single" w:sz="8" w:space="0" w:color="00B050"/>
            </w:tcBorders>
            <w:shd w:val="clear" w:color="auto" w:fill="FFFFFF"/>
            <w:vAlign w:val="center"/>
          </w:tcPr>
          <w:p w14:paraId="14B0037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26/ХН: 4</w:t>
            </w:r>
          </w:p>
        </w:tc>
        <w:tc>
          <w:tcPr>
            <w:tcW w:w="1622" w:type="dxa"/>
            <w:tcBorders>
              <w:top w:val="single" w:sz="8" w:space="0" w:color="00B050"/>
              <w:bottom w:val="single" w:sz="8" w:space="0" w:color="00B050"/>
            </w:tcBorders>
            <w:shd w:val="clear" w:color="auto" w:fill="FFFFFF"/>
            <w:vAlign w:val="center"/>
          </w:tcPr>
          <w:p w14:paraId="3F814EB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88/ХН: 12</w:t>
            </w:r>
          </w:p>
        </w:tc>
      </w:tr>
      <w:tr w:rsidR="00366CB9" w14:paraId="5144D710" w14:textId="77777777" w:rsidTr="007751D5">
        <w:trPr>
          <w:trHeight w:hRule="exact" w:val="706"/>
        </w:trPr>
        <w:tc>
          <w:tcPr>
            <w:tcW w:w="1685" w:type="dxa"/>
            <w:tcBorders>
              <w:bottom w:val="single" w:sz="8" w:space="0" w:color="00B050"/>
            </w:tcBorders>
            <w:shd w:val="clear" w:color="auto" w:fill="FFFFFF"/>
          </w:tcPr>
          <w:p w14:paraId="6F396F2D" w14:textId="77777777" w:rsidR="00366CB9" w:rsidRPr="00E80D3A" w:rsidRDefault="00366CB9" w:rsidP="00C670F3">
            <w:pPr>
              <w:rPr>
                <w:sz w:val="18"/>
              </w:rPr>
            </w:pPr>
          </w:p>
        </w:tc>
        <w:tc>
          <w:tcPr>
            <w:tcW w:w="1560" w:type="dxa"/>
            <w:tcBorders>
              <w:bottom w:val="single" w:sz="8" w:space="0" w:color="00B050"/>
            </w:tcBorders>
            <w:shd w:val="clear" w:color="auto" w:fill="FFFFFF"/>
          </w:tcPr>
          <w:p w14:paraId="096B16F3" w14:textId="77777777" w:rsidR="00366CB9" w:rsidRPr="00E80D3A" w:rsidRDefault="00366CB9" w:rsidP="00C670F3">
            <w:pPr>
              <w:rPr>
                <w:sz w:val="18"/>
              </w:rPr>
            </w:pPr>
          </w:p>
        </w:tc>
        <w:tc>
          <w:tcPr>
            <w:tcW w:w="1416" w:type="dxa"/>
            <w:tcBorders>
              <w:bottom w:val="single" w:sz="8" w:space="0" w:color="00B050"/>
            </w:tcBorders>
            <w:shd w:val="clear" w:color="auto" w:fill="FFFFFF"/>
          </w:tcPr>
          <w:p w14:paraId="6C5C16A8" w14:textId="77777777" w:rsidR="00366CB9" w:rsidRPr="00E80D3A" w:rsidRDefault="00366CB9" w:rsidP="00C670F3">
            <w:pPr>
              <w:rPr>
                <w:sz w:val="18"/>
              </w:rPr>
            </w:pPr>
          </w:p>
        </w:tc>
        <w:tc>
          <w:tcPr>
            <w:tcW w:w="1670" w:type="dxa"/>
            <w:tcBorders>
              <w:top w:val="single" w:sz="8" w:space="0" w:color="00B050"/>
              <w:bottom w:val="single" w:sz="8" w:space="0" w:color="00B050"/>
            </w:tcBorders>
            <w:shd w:val="clear" w:color="auto" w:fill="FFFFFF"/>
            <w:vAlign w:val="bottom"/>
          </w:tcPr>
          <w:p w14:paraId="23DE159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98,5</w:t>
            </w:r>
          </w:p>
          <w:p w14:paraId="19EEB3FF"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(97,1-100)</w:t>
            </w:r>
          </w:p>
        </w:tc>
        <w:tc>
          <w:tcPr>
            <w:tcW w:w="1627" w:type="dxa"/>
            <w:tcBorders>
              <w:top w:val="single" w:sz="8" w:space="0" w:color="00B050"/>
              <w:bottom w:val="single" w:sz="8" w:space="0" w:color="00B050"/>
            </w:tcBorders>
            <w:shd w:val="clear" w:color="auto" w:fill="FFFFFF"/>
            <w:vAlign w:val="center"/>
          </w:tcPr>
          <w:p w14:paraId="757C005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3 (269)</w:t>
            </w:r>
          </w:p>
        </w:tc>
        <w:tc>
          <w:tcPr>
            <w:tcW w:w="1243" w:type="dxa"/>
            <w:tcBorders>
              <w:top w:val="single" w:sz="8" w:space="0" w:color="00B050"/>
              <w:bottom w:val="single" w:sz="8" w:space="0" w:color="00B050"/>
            </w:tcBorders>
            <w:shd w:val="clear" w:color="auto" w:fill="FFFFFF"/>
            <w:vAlign w:val="center"/>
          </w:tcPr>
          <w:p w14:paraId="31253CF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618" w:type="dxa"/>
            <w:tcBorders>
              <w:top w:val="single" w:sz="8" w:space="0" w:color="00B050"/>
              <w:bottom w:val="single" w:sz="8" w:space="0" w:color="00B050"/>
            </w:tcBorders>
            <w:shd w:val="clear" w:color="auto" w:fill="FFFFFF"/>
            <w:vAlign w:val="center"/>
          </w:tcPr>
          <w:p w14:paraId="7CA03D8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980 / ХП: 10</w:t>
            </w:r>
          </w:p>
        </w:tc>
        <w:tc>
          <w:tcPr>
            <w:tcW w:w="1613" w:type="dxa"/>
            <w:tcBorders>
              <w:top w:val="single" w:sz="8" w:space="0" w:color="00B050"/>
              <w:bottom w:val="single" w:sz="8" w:space="0" w:color="00B050"/>
            </w:tcBorders>
            <w:shd w:val="clear" w:color="auto" w:fill="FFFFFF"/>
            <w:vAlign w:val="center"/>
          </w:tcPr>
          <w:p w14:paraId="2A65123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960 / ХП: 10</w:t>
            </w:r>
          </w:p>
        </w:tc>
        <w:tc>
          <w:tcPr>
            <w:tcW w:w="1622" w:type="dxa"/>
            <w:tcBorders>
              <w:top w:val="single" w:sz="8" w:space="0" w:color="00B050"/>
              <w:bottom w:val="single" w:sz="8" w:space="0" w:color="00B050"/>
            </w:tcBorders>
            <w:shd w:val="clear" w:color="auto" w:fill="FFFFFF"/>
            <w:vAlign w:val="center"/>
          </w:tcPr>
          <w:p w14:paraId="0278042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891 / ХП: 91</w:t>
            </w:r>
          </w:p>
        </w:tc>
      </w:tr>
      <w:tr w:rsidR="00366CB9" w14:paraId="75ECE64B" w14:textId="77777777" w:rsidTr="007751D5">
        <w:trPr>
          <w:trHeight w:hRule="exact" w:val="710"/>
        </w:trPr>
        <w:tc>
          <w:tcPr>
            <w:tcW w:w="1685" w:type="dxa"/>
            <w:tcBorders>
              <w:top w:val="single" w:sz="8" w:space="0" w:color="00B050"/>
            </w:tcBorders>
            <w:shd w:val="clear" w:color="auto" w:fill="FFFFFF"/>
            <w:vAlign w:val="center"/>
          </w:tcPr>
          <w:p w14:paraId="58FB5ACD" w14:textId="77777777" w:rsidR="00366CB9" w:rsidRPr="00E80D3A" w:rsidRDefault="009D0C1D" w:rsidP="00C670F3">
            <w:pPr>
              <w:pStyle w:val="a6"/>
              <w:shd w:val="clear" w:color="auto" w:fill="auto"/>
              <w:rPr>
                <w:sz w:val="18"/>
                <w:szCs w:val="24"/>
              </w:rPr>
            </w:pPr>
            <w:r w:rsidRPr="00E80D3A">
              <w:rPr>
                <w:b w:val="0"/>
                <w:color w:val="000000"/>
                <w:sz w:val="18"/>
                <w:szCs w:val="24"/>
              </w:rPr>
              <w:t>Цільове СНП</w:t>
            </w:r>
          </w:p>
        </w:tc>
        <w:tc>
          <w:tcPr>
            <w:tcW w:w="1560" w:type="dxa"/>
            <w:tcBorders>
              <w:top w:val="single" w:sz="8" w:space="0" w:color="00B050"/>
            </w:tcBorders>
            <w:shd w:val="clear" w:color="auto" w:fill="FFFFFF"/>
            <w:vAlign w:val="center"/>
          </w:tcPr>
          <w:p w14:paraId="3DD7611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Етамбутол</w:t>
            </w:r>
          </w:p>
        </w:tc>
        <w:tc>
          <w:tcPr>
            <w:tcW w:w="1416" w:type="dxa"/>
            <w:tcBorders>
              <w:top w:val="single" w:sz="8" w:space="0" w:color="00B050"/>
            </w:tcBorders>
            <w:shd w:val="clear" w:color="auto" w:fill="FFFFFF"/>
            <w:vAlign w:val="center"/>
          </w:tcPr>
          <w:p w14:paraId="0AB45114"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1, 3, 10 %</w:t>
            </w:r>
          </w:p>
        </w:tc>
        <w:tc>
          <w:tcPr>
            <w:tcW w:w="1670" w:type="dxa"/>
            <w:tcBorders>
              <w:top w:val="single" w:sz="8" w:space="0" w:color="00B050"/>
              <w:bottom w:val="single" w:sz="8" w:space="0" w:color="00B050"/>
            </w:tcBorders>
            <w:shd w:val="clear" w:color="auto" w:fill="FFFFFF"/>
            <w:vAlign w:val="bottom"/>
          </w:tcPr>
          <w:p w14:paraId="429715B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95,8</w:t>
            </w:r>
          </w:p>
          <w:p w14:paraId="39285F0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(94,0-97,6)</w:t>
            </w:r>
          </w:p>
        </w:tc>
        <w:tc>
          <w:tcPr>
            <w:tcW w:w="1627" w:type="dxa"/>
            <w:tcBorders>
              <w:top w:val="single" w:sz="8" w:space="0" w:color="00B050"/>
              <w:bottom w:val="single" w:sz="8" w:space="0" w:color="00B050"/>
            </w:tcBorders>
            <w:shd w:val="clear" w:color="auto" w:fill="FFFFFF"/>
            <w:vAlign w:val="center"/>
          </w:tcPr>
          <w:p w14:paraId="5CD251B4"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4 (432)</w:t>
            </w:r>
          </w:p>
        </w:tc>
        <w:tc>
          <w:tcPr>
            <w:tcW w:w="1243" w:type="dxa"/>
            <w:tcBorders>
              <w:top w:val="single" w:sz="8" w:space="0" w:color="00B050"/>
              <w:bottom w:val="single" w:sz="8" w:space="0" w:color="00B050"/>
            </w:tcBorders>
            <w:shd w:val="clear" w:color="auto" w:fill="FFFFFF"/>
            <w:vAlign w:val="center"/>
          </w:tcPr>
          <w:p w14:paraId="0B954F2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Низька</w:t>
            </w:r>
          </w:p>
        </w:tc>
        <w:tc>
          <w:tcPr>
            <w:tcW w:w="1618" w:type="dxa"/>
            <w:tcBorders>
              <w:top w:val="single" w:sz="8" w:space="0" w:color="00B050"/>
              <w:bottom w:val="single" w:sz="8" w:space="0" w:color="00B050"/>
            </w:tcBorders>
            <w:shd w:val="clear" w:color="auto" w:fill="FFFFFF"/>
            <w:vAlign w:val="center"/>
          </w:tcPr>
          <w:p w14:paraId="7A09EF5E"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10/ХН: 0</w:t>
            </w:r>
          </w:p>
        </w:tc>
        <w:tc>
          <w:tcPr>
            <w:tcW w:w="1613" w:type="dxa"/>
            <w:tcBorders>
              <w:top w:val="single" w:sz="8" w:space="0" w:color="00B050"/>
              <w:bottom w:val="single" w:sz="8" w:space="0" w:color="00B050"/>
            </w:tcBorders>
            <w:shd w:val="clear" w:color="auto" w:fill="FFFFFF"/>
            <w:vAlign w:val="center"/>
          </w:tcPr>
          <w:p w14:paraId="6A30DA7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29/ХН: 1</w:t>
            </w:r>
          </w:p>
        </w:tc>
        <w:tc>
          <w:tcPr>
            <w:tcW w:w="1622" w:type="dxa"/>
            <w:tcBorders>
              <w:top w:val="single" w:sz="8" w:space="0" w:color="00B050"/>
              <w:bottom w:val="single" w:sz="8" w:space="0" w:color="00B050"/>
            </w:tcBorders>
            <w:shd w:val="clear" w:color="auto" w:fill="FFFFFF"/>
            <w:vAlign w:val="center"/>
          </w:tcPr>
          <w:p w14:paraId="6F38ED1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96/ХН: 4</w:t>
            </w:r>
          </w:p>
        </w:tc>
      </w:tr>
      <w:tr w:rsidR="00366CB9" w14:paraId="18BD6D17" w14:textId="77777777" w:rsidTr="007751D5">
        <w:trPr>
          <w:trHeight w:hRule="exact" w:val="706"/>
        </w:trPr>
        <w:tc>
          <w:tcPr>
            <w:tcW w:w="1685" w:type="dxa"/>
            <w:tcBorders>
              <w:bottom w:val="single" w:sz="8" w:space="0" w:color="00B050"/>
            </w:tcBorders>
            <w:shd w:val="clear" w:color="auto" w:fill="FFFFFF"/>
          </w:tcPr>
          <w:p w14:paraId="1C4BC229" w14:textId="77777777" w:rsidR="00366CB9" w:rsidRPr="00E80D3A" w:rsidRDefault="00366CB9" w:rsidP="00C670F3">
            <w:pPr>
              <w:rPr>
                <w:sz w:val="18"/>
              </w:rPr>
            </w:pPr>
          </w:p>
        </w:tc>
        <w:tc>
          <w:tcPr>
            <w:tcW w:w="1560" w:type="dxa"/>
            <w:tcBorders>
              <w:bottom w:val="single" w:sz="8" w:space="0" w:color="00B050"/>
            </w:tcBorders>
            <w:shd w:val="clear" w:color="auto" w:fill="FFFFFF"/>
          </w:tcPr>
          <w:p w14:paraId="21645C90" w14:textId="77777777" w:rsidR="00366CB9" w:rsidRPr="00E80D3A" w:rsidRDefault="00366CB9" w:rsidP="00C670F3">
            <w:pPr>
              <w:rPr>
                <w:sz w:val="18"/>
              </w:rPr>
            </w:pPr>
          </w:p>
        </w:tc>
        <w:tc>
          <w:tcPr>
            <w:tcW w:w="1416" w:type="dxa"/>
            <w:tcBorders>
              <w:bottom w:val="single" w:sz="8" w:space="0" w:color="00B050"/>
            </w:tcBorders>
            <w:shd w:val="clear" w:color="auto" w:fill="FFFFFF"/>
          </w:tcPr>
          <w:p w14:paraId="223FC699" w14:textId="77777777" w:rsidR="00366CB9" w:rsidRPr="00E80D3A" w:rsidRDefault="00366CB9" w:rsidP="00C670F3">
            <w:pPr>
              <w:rPr>
                <w:sz w:val="18"/>
              </w:rPr>
            </w:pPr>
          </w:p>
        </w:tc>
        <w:tc>
          <w:tcPr>
            <w:tcW w:w="1670" w:type="dxa"/>
            <w:tcBorders>
              <w:top w:val="single" w:sz="8" w:space="0" w:color="00B050"/>
              <w:bottom w:val="single" w:sz="8" w:space="0" w:color="00B050"/>
            </w:tcBorders>
            <w:shd w:val="clear" w:color="auto" w:fill="FFFFFF"/>
            <w:vAlign w:val="bottom"/>
          </w:tcPr>
          <w:p w14:paraId="03B29D9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99,3</w:t>
            </w:r>
          </w:p>
          <w:p w14:paraId="7654AB0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(98,2-100)</w:t>
            </w:r>
          </w:p>
        </w:tc>
        <w:tc>
          <w:tcPr>
            <w:tcW w:w="1627" w:type="dxa"/>
            <w:tcBorders>
              <w:top w:val="single" w:sz="8" w:space="0" w:color="00B050"/>
              <w:bottom w:val="single" w:sz="8" w:space="0" w:color="00B050"/>
            </w:tcBorders>
            <w:shd w:val="clear" w:color="auto" w:fill="FFFFFF"/>
            <w:vAlign w:val="center"/>
          </w:tcPr>
          <w:p w14:paraId="2932317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4 (268)</w:t>
            </w:r>
          </w:p>
        </w:tc>
        <w:tc>
          <w:tcPr>
            <w:tcW w:w="1243" w:type="dxa"/>
            <w:tcBorders>
              <w:top w:val="single" w:sz="8" w:space="0" w:color="00B050"/>
              <w:bottom w:val="single" w:sz="8" w:space="0" w:color="00B050"/>
            </w:tcBorders>
            <w:shd w:val="clear" w:color="auto" w:fill="FFFFFF"/>
            <w:vAlign w:val="center"/>
          </w:tcPr>
          <w:p w14:paraId="059F864F"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618" w:type="dxa"/>
            <w:tcBorders>
              <w:top w:val="single" w:sz="8" w:space="0" w:color="00B050"/>
              <w:bottom w:val="single" w:sz="8" w:space="0" w:color="00B050"/>
            </w:tcBorders>
            <w:shd w:val="clear" w:color="auto" w:fill="FFFFFF"/>
            <w:vAlign w:val="center"/>
          </w:tcPr>
          <w:p w14:paraId="53F0386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980 / ХП: 10</w:t>
            </w:r>
          </w:p>
        </w:tc>
        <w:tc>
          <w:tcPr>
            <w:tcW w:w="1613" w:type="dxa"/>
            <w:tcBorders>
              <w:top w:val="single" w:sz="8" w:space="0" w:color="00B050"/>
              <w:bottom w:val="single" w:sz="8" w:space="0" w:color="00B050"/>
            </w:tcBorders>
            <w:shd w:val="clear" w:color="auto" w:fill="FFFFFF"/>
            <w:vAlign w:val="center"/>
          </w:tcPr>
          <w:p w14:paraId="41B087A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960 / ХП: 10</w:t>
            </w:r>
          </w:p>
        </w:tc>
        <w:tc>
          <w:tcPr>
            <w:tcW w:w="1622" w:type="dxa"/>
            <w:tcBorders>
              <w:top w:val="single" w:sz="8" w:space="0" w:color="00B050"/>
              <w:bottom w:val="single" w:sz="8" w:space="0" w:color="00B050"/>
            </w:tcBorders>
            <w:shd w:val="clear" w:color="auto" w:fill="FFFFFF"/>
            <w:vAlign w:val="center"/>
          </w:tcPr>
          <w:p w14:paraId="2C501EE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891 / ХП: 9</w:t>
            </w:r>
          </w:p>
        </w:tc>
      </w:tr>
      <w:tr w:rsidR="00366CB9" w14:paraId="70C9CB62" w14:textId="77777777" w:rsidTr="00D74C3C">
        <w:trPr>
          <w:trHeight w:hRule="exact" w:val="688"/>
        </w:trPr>
        <w:tc>
          <w:tcPr>
            <w:tcW w:w="14054" w:type="dxa"/>
            <w:gridSpan w:val="9"/>
            <w:tcBorders>
              <w:top w:val="single" w:sz="4" w:space="0" w:color="auto"/>
            </w:tcBorders>
            <w:shd w:val="clear" w:color="auto" w:fill="FFFFFF"/>
            <w:vAlign w:val="center"/>
          </w:tcPr>
          <w:p w14:paraId="360ECC8B" w14:textId="77777777" w:rsidR="00366CB9" w:rsidRDefault="009D0C1D" w:rsidP="00D74C3C">
            <w:pPr>
              <w:pStyle w:val="a6"/>
              <w:shd w:val="clear" w:color="auto" w:fill="auto"/>
              <w:spacing w:line="266" w:lineRule="auto"/>
              <w:rPr>
                <w:sz w:val="17"/>
                <w:szCs w:val="17"/>
              </w:rPr>
            </w:pPr>
            <w:r>
              <w:rPr>
                <w:b w:val="0"/>
                <w:color w:val="000000"/>
                <w:sz w:val="17"/>
              </w:rPr>
              <w:t>ДІ: довірчий інтервал; ХН: хибнонегативний; ХП: хибнопозитивний; NAAT: аналіз ампліфікації нуклеїнових кислот; СНП: секвенування наступного покоління; Se: чутливість; Sp: специфічність; ТБ: туберкульоз; ІН: істинно негативний; ІП: істинно позитивний.</w:t>
            </w:r>
          </w:p>
        </w:tc>
      </w:tr>
    </w:tbl>
    <w:tbl>
      <w:tblPr>
        <w:tblOverlap w:val="never"/>
        <w:tblW w:w="0" w:type="auto"/>
        <w:tblLayout w:type="fixed"/>
        <w:tblCellMar>
          <w:left w:w="10" w:type="dxa"/>
          <w:right w:w="10" w:type="dxa"/>
        </w:tblCellMar>
        <w:tblLook w:val="0000" w:firstRow="0" w:lastRow="0" w:firstColumn="0" w:lastColumn="0" w:noHBand="0" w:noVBand="0"/>
      </w:tblPr>
      <w:tblGrid>
        <w:gridCol w:w="187"/>
      </w:tblGrid>
      <w:tr w:rsidR="00366CB9" w14:paraId="0AA9B2DF" w14:textId="77777777">
        <w:trPr>
          <w:trHeight w:hRule="exact" w:val="590"/>
        </w:trPr>
        <w:tc>
          <w:tcPr>
            <w:tcW w:w="187" w:type="dxa"/>
            <w:shd w:val="clear" w:color="auto" w:fill="FFFFFF"/>
            <w:textDirection w:val="tbRl"/>
          </w:tcPr>
          <w:p w14:paraId="088C551B" w14:textId="77777777" w:rsidR="00366CB9" w:rsidRDefault="009D0C1D" w:rsidP="00425523">
            <w:pPr>
              <w:pStyle w:val="a6"/>
              <w:framePr w:w="187" w:h="5299" w:wrap="none" w:vAnchor="page" w:hAnchor="page" w:x="695" w:y="816"/>
              <w:shd w:val="clear" w:color="auto" w:fill="auto"/>
              <w:rPr>
                <w:sz w:val="15"/>
                <w:szCs w:val="15"/>
              </w:rPr>
            </w:pPr>
            <w:r>
              <w:rPr>
                <w:b w:val="0"/>
                <w:color w:val="019648"/>
                <w:sz w:val="15"/>
              </w:rPr>
              <w:t>74</w:t>
            </w:r>
          </w:p>
        </w:tc>
      </w:tr>
      <w:tr w:rsidR="00366CB9" w14:paraId="4806E013" w14:textId="77777777" w:rsidTr="00D74C3C">
        <w:trPr>
          <w:trHeight w:hRule="exact" w:val="5368"/>
        </w:trPr>
        <w:tc>
          <w:tcPr>
            <w:tcW w:w="187" w:type="dxa"/>
            <w:shd w:val="clear" w:color="auto" w:fill="FFFFFF"/>
            <w:textDirection w:val="tbRl"/>
          </w:tcPr>
          <w:p w14:paraId="2B3FC21F" w14:textId="77777777" w:rsidR="00366CB9" w:rsidRDefault="009D0C1D" w:rsidP="00425523">
            <w:pPr>
              <w:pStyle w:val="a6"/>
              <w:framePr w:w="187" w:h="5299" w:wrap="none" w:vAnchor="page" w:hAnchor="page" w:x="695" w:y="816"/>
              <w:shd w:val="clear" w:color="auto" w:fill="auto"/>
              <w:rPr>
                <w:sz w:val="15"/>
                <w:szCs w:val="15"/>
              </w:rPr>
            </w:pPr>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p>
        </w:tc>
      </w:tr>
    </w:tbl>
    <w:p w14:paraId="4ACF1750" w14:textId="77777777" w:rsidR="00366CB9" w:rsidRDefault="00366CB9" w:rsidP="00425523">
      <w:pPr>
        <w:spacing w:line="1" w:lineRule="exact"/>
        <w:sectPr w:rsidR="00366CB9" w:rsidSect="00C670F3">
          <w:type w:val="nextColumn"/>
          <w:pgSz w:w="16840" w:h="11913" w:orient="landscape"/>
          <w:pgMar w:top="1406" w:right="1321" w:bottom="851" w:left="1503" w:header="0" w:footer="6" w:gutter="0"/>
          <w:paperSrc w:first="15" w:other="15"/>
          <w:cols w:space="720"/>
          <w:noEndnote/>
          <w:docGrid w:linePitch="360"/>
        </w:sectPr>
      </w:pPr>
    </w:p>
    <w:p w14:paraId="05BE2CCF"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701"/>
        <w:gridCol w:w="1380"/>
        <w:gridCol w:w="1752"/>
        <w:gridCol w:w="1747"/>
        <w:gridCol w:w="1622"/>
        <w:gridCol w:w="1934"/>
        <w:gridCol w:w="1939"/>
        <w:gridCol w:w="1939"/>
      </w:tblGrid>
      <w:tr w:rsidR="00366CB9" w14:paraId="36A625AE" w14:textId="77777777" w:rsidTr="007751D5">
        <w:trPr>
          <w:trHeight w:hRule="exact" w:val="1268"/>
        </w:trPr>
        <w:tc>
          <w:tcPr>
            <w:tcW w:w="14014" w:type="dxa"/>
            <w:gridSpan w:val="8"/>
            <w:tcBorders>
              <w:bottom w:val="single" w:sz="8" w:space="0" w:color="00B050"/>
            </w:tcBorders>
            <w:shd w:val="clear" w:color="auto" w:fill="FFFFFF"/>
          </w:tcPr>
          <w:p w14:paraId="6BC9C562" w14:textId="77777777" w:rsidR="00366CB9" w:rsidRPr="00BF6DB7" w:rsidRDefault="009D0C1D" w:rsidP="00C670F3">
            <w:pPr>
              <w:pStyle w:val="a6"/>
              <w:shd w:val="clear" w:color="auto" w:fill="auto"/>
              <w:rPr>
                <w:sz w:val="24"/>
                <w:szCs w:val="24"/>
              </w:rPr>
            </w:pPr>
            <w:bookmarkStart w:id="86" w:name="bookmark83"/>
            <w:r>
              <w:rPr>
                <w:color w:val="636466"/>
                <w:sz w:val="24"/>
              </w:rPr>
              <w:t>Таблиця 3.6. Ефективність цільового СНП для виявлення резистентності до протитуберкульозних препаратів для лікування МЛС-Риф-ТБ у дорослих з бактеріологічно підтвердженим рифампіцин-резистентним ТБ легень порівняно з мікробіологічним стандартним зразком (абсолютна кількість ІП, ХП, ІН або ХН результатів за заданої поширеності резистентності на 1000 осіб)</w:t>
            </w:r>
            <w:bookmarkEnd w:id="86"/>
          </w:p>
        </w:tc>
      </w:tr>
      <w:tr w:rsidR="00366CB9" w14:paraId="1C79E3F2" w14:textId="77777777" w:rsidTr="007751D5">
        <w:trPr>
          <w:trHeight w:hRule="exact" w:val="955"/>
        </w:trPr>
        <w:tc>
          <w:tcPr>
            <w:tcW w:w="1701"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F005F67" w14:textId="77777777" w:rsidR="00366CB9" w:rsidRPr="00E80D3A" w:rsidRDefault="009D0C1D" w:rsidP="00D74C3C">
            <w:pPr>
              <w:pStyle w:val="a6"/>
              <w:shd w:val="clear" w:color="auto" w:fill="auto"/>
              <w:rPr>
                <w:sz w:val="18"/>
                <w:szCs w:val="24"/>
              </w:rPr>
            </w:pPr>
            <w:r w:rsidRPr="00E80D3A">
              <w:rPr>
                <w:color w:val="FFFFFF"/>
                <w:sz w:val="18"/>
                <w:szCs w:val="24"/>
              </w:rPr>
              <w:t>Лікарський засіб</w:t>
            </w:r>
          </w:p>
        </w:tc>
        <w:tc>
          <w:tcPr>
            <w:tcW w:w="138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C58A810" w14:textId="6C74667D" w:rsidR="00366CB9" w:rsidRPr="00E80D3A" w:rsidRDefault="009D0C1D" w:rsidP="00D74C3C">
            <w:pPr>
              <w:pStyle w:val="a6"/>
              <w:shd w:val="clear" w:color="auto" w:fill="auto"/>
              <w:spacing w:line="271" w:lineRule="auto"/>
              <w:rPr>
                <w:sz w:val="18"/>
                <w:szCs w:val="24"/>
              </w:rPr>
            </w:pPr>
            <w:r w:rsidRPr="00E80D3A">
              <w:rPr>
                <w:color w:val="FFFFFF"/>
                <w:sz w:val="18"/>
                <w:szCs w:val="24"/>
              </w:rPr>
              <w:t>Поширеність резистент</w:t>
            </w:r>
            <w:r w:rsidR="00D74C3C" w:rsidRPr="00E80D3A">
              <w:rPr>
                <w:color w:val="FFFFFF"/>
                <w:sz w:val="18"/>
                <w:szCs w:val="24"/>
              </w:rPr>
              <w:t>-</w:t>
            </w:r>
            <w:r w:rsidRPr="00E80D3A">
              <w:rPr>
                <w:color w:val="FFFFFF"/>
                <w:sz w:val="18"/>
                <w:szCs w:val="24"/>
              </w:rPr>
              <w:t>ності</w:t>
            </w:r>
          </w:p>
        </w:tc>
        <w:tc>
          <w:tcPr>
            <w:tcW w:w="175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034701D" w14:textId="77777777" w:rsidR="00366CB9" w:rsidRPr="00E80D3A" w:rsidRDefault="009D0C1D" w:rsidP="00D74C3C">
            <w:pPr>
              <w:pStyle w:val="a6"/>
              <w:shd w:val="clear" w:color="auto" w:fill="auto"/>
              <w:rPr>
                <w:sz w:val="18"/>
                <w:szCs w:val="24"/>
              </w:rPr>
            </w:pPr>
            <w:r w:rsidRPr="00E80D3A">
              <w:rPr>
                <w:color w:val="FFFFFF"/>
                <w:sz w:val="18"/>
                <w:szCs w:val="24"/>
              </w:rPr>
              <w:t>Точність тесту</w:t>
            </w:r>
          </w:p>
          <w:p w14:paraId="16BDDD95" w14:textId="77777777" w:rsidR="00366CB9" w:rsidRPr="00E80D3A" w:rsidRDefault="009D0C1D" w:rsidP="00D74C3C">
            <w:pPr>
              <w:pStyle w:val="a6"/>
              <w:shd w:val="clear" w:color="auto" w:fill="auto"/>
              <w:rPr>
                <w:sz w:val="18"/>
                <w:szCs w:val="24"/>
              </w:rPr>
            </w:pPr>
            <w:r w:rsidRPr="00E80D3A">
              <w:rPr>
                <w:color w:val="FFFFFF"/>
                <w:sz w:val="18"/>
                <w:szCs w:val="24"/>
              </w:rPr>
              <w:t>% (95 % ДІ)</w:t>
            </w:r>
            <w:r w:rsidRPr="00E80D3A">
              <w:rPr>
                <w:color w:val="FFFFFF"/>
                <w:sz w:val="18"/>
                <w:szCs w:val="24"/>
                <w:vertAlign w:val="superscript"/>
              </w:rPr>
              <w:t>a</w:t>
            </w:r>
          </w:p>
        </w:tc>
        <w:tc>
          <w:tcPr>
            <w:tcW w:w="174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CEA56D4" w14:textId="77777777" w:rsidR="00366CB9" w:rsidRPr="00E80D3A" w:rsidRDefault="009D0C1D" w:rsidP="00D74C3C">
            <w:pPr>
              <w:pStyle w:val="a6"/>
              <w:shd w:val="clear" w:color="auto" w:fill="auto"/>
              <w:rPr>
                <w:sz w:val="18"/>
                <w:szCs w:val="24"/>
              </w:rPr>
            </w:pPr>
            <w:r w:rsidRPr="00E80D3A">
              <w:rPr>
                <w:color w:val="FFFFFF"/>
                <w:sz w:val="18"/>
                <w:szCs w:val="24"/>
              </w:rPr>
              <w:t>Дослідження</w:t>
            </w:r>
          </w:p>
          <w:p w14:paraId="1511B140" w14:textId="77777777" w:rsidR="00366CB9" w:rsidRPr="00E80D3A" w:rsidRDefault="009D0C1D" w:rsidP="00D74C3C">
            <w:pPr>
              <w:pStyle w:val="a6"/>
              <w:shd w:val="clear" w:color="auto" w:fill="auto"/>
              <w:rPr>
                <w:sz w:val="18"/>
                <w:szCs w:val="24"/>
              </w:rPr>
            </w:pPr>
            <w:r w:rsidRPr="00E80D3A">
              <w:rPr>
                <w:color w:val="FFFFFF"/>
                <w:sz w:val="18"/>
                <w:szCs w:val="24"/>
              </w:rPr>
              <w:t>(учасники)</w:t>
            </w:r>
          </w:p>
        </w:tc>
        <w:tc>
          <w:tcPr>
            <w:tcW w:w="162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2C99A7F" w14:textId="77777777" w:rsidR="00366CB9" w:rsidRPr="00E80D3A" w:rsidRDefault="009D0C1D" w:rsidP="00D74C3C">
            <w:pPr>
              <w:pStyle w:val="a6"/>
              <w:shd w:val="clear" w:color="auto" w:fill="auto"/>
              <w:spacing w:line="271" w:lineRule="auto"/>
              <w:rPr>
                <w:sz w:val="18"/>
                <w:szCs w:val="24"/>
              </w:rPr>
            </w:pPr>
            <w:r w:rsidRPr="00E80D3A">
              <w:rPr>
                <w:color w:val="FFFFFF"/>
                <w:sz w:val="18"/>
                <w:szCs w:val="24"/>
              </w:rPr>
              <w:t>Достовірність доказів</w:t>
            </w:r>
          </w:p>
        </w:tc>
        <w:tc>
          <w:tcPr>
            <w:tcW w:w="193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B38E774" w14:textId="77777777" w:rsidR="00366CB9" w:rsidRPr="00E80D3A" w:rsidRDefault="009D0C1D" w:rsidP="00D74C3C">
            <w:pPr>
              <w:pStyle w:val="a6"/>
              <w:shd w:val="clear" w:color="auto" w:fill="auto"/>
              <w:spacing w:line="276" w:lineRule="auto"/>
              <w:rPr>
                <w:sz w:val="18"/>
                <w:szCs w:val="24"/>
              </w:rPr>
            </w:pPr>
            <w:r w:rsidRPr="00E80D3A">
              <w:rPr>
                <w:color w:val="FFFFFF"/>
                <w:sz w:val="18"/>
                <w:szCs w:val="24"/>
              </w:rPr>
              <w:t>Нижня межа поширеності</w:t>
            </w:r>
          </w:p>
        </w:tc>
        <w:tc>
          <w:tcPr>
            <w:tcW w:w="1939"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1144DDF" w14:textId="77777777" w:rsidR="00366CB9" w:rsidRPr="00E80D3A" w:rsidRDefault="009D0C1D" w:rsidP="00D74C3C">
            <w:pPr>
              <w:pStyle w:val="a6"/>
              <w:shd w:val="clear" w:color="auto" w:fill="auto"/>
              <w:spacing w:line="276" w:lineRule="auto"/>
              <w:rPr>
                <w:sz w:val="18"/>
                <w:szCs w:val="24"/>
              </w:rPr>
            </w:pPr>
            <w:r w:rsidRPr="00E80D3A">
              <w:rPr>
                <w:color w:val="FFFFFF"/>
                <w:sz w:val="18"/>
                <w:szCs w:val="24"/>
              </w:rPr>
              <w:t>Середня межа поширеності</w:t>
            </w:r>
          </w:p>
        </w:tc>
        <w:tc>
          <w:tcPr>
            <w:tcW w:w="1939"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02FC19E4" w14:textId="77777777" w:rsidR="00366CB9" w:rsidRPr="00E80D3A" w:rsidRDefault="009D0C1D" w:rsidP="00D74C3C">
            <w:pPr>
              <w:pStyle w:val="a6"/>
              <w:shd w:val="clear" w:color="auto" w:fill="auto"/>
              <w:spacing w:line="276" w:lineRule="auto"/>
              <w:rPr>
                <w:sz w:val="18"/>
                <w:szCs w:val="24"/>
              </w:rPr>
            </w:pPr>
            <w:r w:rsidRPr="00E80D3A">
              <w:rPr>
                <w:color w:val="FFFFFF"/>
                <w:sz w:val="18"/>
                <w:szCs w:val="24"/>
              </w:rPr>
              <w:t>Вища межа поширеності</w:t>
            </w:r>
          </w:p>
        </w:tc>
      </w:tr>
      <w:tr w:rsidR="00366CB9" w14:paraId="5C91B8B2" w14:textId="77777777" w:rsidTr="007751D5">
        <w:trPr>
          <w:trHeight w:hRule="exact" w:val="715"/>
        </w:trPr>
        <w:tc>
          <w:tcPr>
            <w:tcW w:w="1701" w:type="dxa"/>
            <w:tcBorders>
              <w:top w:val="single" w:sz="8" w:space="0" w:color="00B050"/>
            </w:tcBorders>
            <w:shd w:val="clear" w:color="auto" w:fill="FFFFFF"/>
            <w:vAlign w:val="center"/>
          </w:tcPr>
          <w:p w14:paraId="0B2A8F06" w14:textId="77777777" w:rsidR="00366CB9" w:rsidRPr="00E80D3A" w:rsidRDefault="009D0C1D" w:rsidP="00C670F3">
            <w:pPr>
              <w:pStyle w:val="a6"/>
              <w:shd w:val="clear" w:color="auto" w:fill="auto"/>
              <w:rPr>
                <w:sz w:val="18"/>
                <w:szCs w:val="24"/>
              </w:rPr>
            </w:pPr>
            <w:r w:rsidRPr="00E80D3A">
              <w:rPr>
                <w:b w:val="0"/>
                <w:color w:val="000000"/>
                <w:sz w:val="18"/>
                <w:szCs w:val="24"/>
              </w:rPr>
              <w:t>Ізоніазид</w:t>
            </w:r>
          </w:p>
        </w:tc>
        <w:tc>
          <w:tcPr>
            <w:tcW w:w="1380" w:type="dxa"/>
            <w:tcBorders>
              <w:top w:val="single" w:sz="8" w:space="0" w:color="00B050"/>
            </w:tcBorders>
            <w:shd w:val="clear" w:color="auto" w:fill="FFFFFF"/>
            <w:vAlign w:val="center"/>
          </w:tcPr>
          <w:p w14:paraId="7ABD84AC"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60, 75, 90 %</w:t>
            </w:r>
          </w:p>
        </w:tc>
        <w:tc>
          <w:tcPr>
            <w:tcW w:w="1752" w:type="dxa"/>
            <w:tcBorders>
              <w:top w:val="single" w:sz="8" w:space="0" w:color="00B050"/>
              <w:bottom w:val="single" w:sz="8" w:space="0" w:color="00B050"/>
            </w:tcBorders>
            <w:shd w:val="clear" w:color="auto" w:fill="FFFFFF"/>
            <w:vAlign w:val="bottom"/>
          </w:tcPr>
          <w:p w14:paraId="5397B87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96,5</w:t>
            </w:r>
          </w:p>
          <w:p w14:paraId="7E8CF77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(93,8-99,2)</w:t>
            </w:r>
          </w:p>
        </w:tc>
        <w:tc>
          <w:tcPr>
            <w:tcW w:w="1747" w:type="dxa"/>
            <w:tcBorders>
              <w:top w:val="single" w:sz="8" w:space="0" w:color="00B050"/>
              <w:bottom w:val="single" w:sz="8" w:space="0" w:color="00B050"/>
            </w:tcBorders>
            <w:shd w:val="clear" w:color="auto" w:fill="FFFFFF"/>
            <w:vAlign w:val="center"/>
          </w:tcPr>
          <w:p w14:paraId="00FE4D3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12 (1440)</w:t>
            </w:r>
          </w:p>
        </w:tc>
        <w:tc>
          <w:tcPr>
            <w:tcW w:w="1622" w:type="dxa"/>
            <w:tcBorders>
              <w:top w:val="single" w:sz="8" w:space="0" w:color="00B050"/>
              <w:bottom w:val="single" w:sz="8" w:space="0" w:color="00B050"/>
            </w:tcBorders>
            <w:shd w:val="clear" w:color="auto" w:fill="FFFFFF"/>
            <w:vAlign w:val="center"/>
          </w:tcPr>
          <w:p w14:paraId="36E5582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934" w:type="dxa"/>
            <w:tcBorders>
              <w:top w:val="single" w:sz="8" w:space="0" w:color="00B050"/>
              <w:bottom w:val="single" w:sz="8" w:space="0" w:color="00B050"/>
            </w:tcBorders>
            <w:shd w:val="clear" w:color="auto" w:fill="FFFFFF"/>
            <w:vAlign w:val="center"/>
          </w:tcPr>
          <w:p w14:paraId="17739ED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576/ХН: 24</w:t>
            </w:r>
          </w:p>
        </w:tc>
        <w:tc>
          <w:tcPr>
            <w:tcW w:w="1939" w:type="dxa"/>
            <w:tcBorders>
              <w:top w:val="single" w:sz="8" w:space="0" w:color="00B050"/>
              <w:bottom w:val="single" w:sz="8" w:space="0" w:color="00B050"/>
            </w:tcBorders>
            <w:shd w:val="clear" w:color="auto" w:fill="FFFFFF"/>
            <w:vAlign w:val="center"/>
          </w:tcPr>
          <w:p w14:paraId="49A19F2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720/ХН: 30</w:t>
            </w:r>
          </w:p>
        </w:tc>
        <w:tc>
          <w:tcPr>
            <w:tcW w:w="1939" w:type="dxa"/>
            <w:tcBorders>
              <w:top w:val="single" w:sz="8" w:space="0" w:color="00B050"/>
              <w:bottom w:val="single" w:sz="8" w:space="0" w:color="00B050"/>
            </w:tcBorders>
            <w:shd w:val="clear" w:color="auto" w:fill="FFFFFF"/>
            <w:vAlign w:val="center"/>
          </w:tcPr>
          <w:p w14:paraId="5862ACF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864/ХН: 36</w:t>
            </w:r>
          </w:p>
        </w:tc>
      </w:tr>
      <w:tr w:rsidR="00366CB9" w14:paraId="08BC2589" w14:textId="77777777" w:rsidTr="007751D5">
        <w:trPr>
          <w:trHeight w:hRule="exact" w:val="710"/>
        </w:trPr>
        <w:tc>
          <w:tcPr>
            <w:tcW w:w="1701" w:type="dxa"/>
            <w:tcBorders>
              <w:bottom w:val="single" w:sz="8" w:space="0" w:color="00B050"/>
            </w:tcBorders>
            <w:shd w:val="clear" w:color="auto" w:fill="FFFFFF"/>
          </w:tcPr>
          <w:p w14:paraId="5D677D5F" w14:textId="77777777" w:rsidR="00366CB9" w:rsidRPr="00E80D3A" w:rsidRDefault="00366CB9" w:rsidP="00C670F3">
            <w:pPr>
              <w:rPr>
                <w:sz w:val="18"/>
              </w:rPr>
            </w:pPr>
          </w:p>
        </w:tc>
        <w:tc>
          <w:tcPr>
            <w:tcW w:w="1380" w:type="dxa"/>
            <w:tcBorders>
              <w:bottom w:val="single" w:sz="8" w:space="0" w:color="00B050"/>
            </w:tcBorders>
            <w:shd w:val="clear" w:color="auto" w:fill="FFFFFF"/>
          </w:tcPr>
          <w:p w14:paraId="66419740" w14:textId="77777777" w:rsidR="00366CB9" w:rsidRPr="00E80D3A" w:rsidRDefault="00366CB9" w:rsidP="00C670F3">
            <w:pPr>
              <w:rPr>
                <w:sz w:val="18"/>
              </w:rPr>
            </w:pPr>
          </w:p>
        </w:tc>
        <w:tc>
          <w:tcPr>
            <w:tcW w:w="1752" w:type="dxa"/>
            <w:tcBorders>
              <w:top w:val="single" w:sz="8" w:space="0" w:color="00B050"/>
              <w:bottom w:val="single" w:sz="8" w:space="0" w:color="00B050"/>
            </w:tcBorders>
            <w:shd w:val="clear" w:color="auto" w:fill="FFFFFF"/>
            <w:vAlign w:val="bottom"/>
          </w:tcPr>
          <w:p w14:paraId="7D54681C"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95,8</w:t>
            </w:r>
          </w:p>
          <w:p w14:paraId="2A2AEFA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(91,8-99,8)</w:t>
            </w:r>
          </w:p>
        </w:tc>
        <w:tc>
          <w:tcPr>
            <w:tcW w:w="1747" w:type="dxa"/>
            <w:tcBorders>
              <w:top w:val="single" w:sz="8" w:space="0" w:color="00B050"/>
              <w:bottom w:val="single" w:sz="8" w:space="0" w:color="00B050"/>
            </w:tcBorders>
            <w:shd w:val="clear" w:color="auto" w:fill="FFFFFF"/>
            <w:vAlign w:val="center"/>
          </w:tcPr>
          <w:p w14:paraId="4C38F90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12 (517)</w:t>
            </w:r>
          </w:p>
        </w:tc>
        <w:tc>
          <w:tcPr>
            <w:tcW w:w="1622" w:type="dxa"/>
            <w:tcBorders>
              <w:top w:val="single" w:sz="8" w:space="0" w:color="00B050"/>
              <w:bottom w:val="single" w:sz="8" w:space="0" w:color="00B050"/>
            </w:tcBorders>
            <w:shd w:val="clear" w:color="auto" w:fill="FFFFFF"/>
            <w:vAlign w:val="center"/>
          </w:tcPr>
          <w:p w14:paraId="40B6DBE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934" w:type="dxa"/>
            <w:tcBorders>
              <w:top w:val="single" w:sz="8" w:space="0" w:color="00B050"/>
              <w:bottom w:val="single" w:sz="8" w:space="0" w:color="00B050"/>
            </w:tcBorders>
            <w:shd w:val="clear" w:color="auto" w:fill="FFFFFF"/>
            <w:vAlign w:val="center"/>
          </w:tcPr>
          <w:p w14:paraId="421E527B"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384 / ХП: 16</w:t>
            </w:r>
          </w:p>
        </w:tc>
        <w:tc>
          <w:tcPr>
            <w:tcW w:w="1939" w:type="dxa"/>
            <w:tcBorders>
              <w:top w:val="single" w:sz="8" w:space="0" w:color="00B050"/>
              <w:bottom w:val="single" w:sz="8" w:space="0" w:color="00B050"/>
            </w:tcBorders>
            <w:shd w:val="clear" w:color="auto" w:fill="FFFFFF"/>
            <w:vAlign w:val="center"/>
          </w:tcPr>
          <w:p w14:paraId="204F094F"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240 / ХП: 10</w:t>
            </w:r>
          </w:p>
        </w:tc>
        <w:tc>
          <w:tcPr>
            <w:tcW w:w="1939" w:type="dxa"/>
            <w:tcBorders>
              <w:top w:val="single" w:sz="8" w:space="0" w:color="00B050"/>
              <w:bottom w:val="single" w:sz="8" w:space="0" w:color="00B050"/>
            </w:tcBorders>
            <w:shd w:val="clear" w:color="auto" w:fill="FFFFFF"/>
            <w:vAlign w:val="center"/>
          </w:tcPr>
          <w:p w14:paraId="1324E04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96 / ХП: 4</w:t>
            </w:r>
          </w:p>
        </w:tc>
      </w:tr>
      <w:tr w:rsidR="00366CB9" w14:paraId="51202215" w14:textId="77777777" w:rsidTr="007751D5">
        <w:trPr>
          <w:trHeight w:hRule="exact" w:val="706"/>
        </w:trPr>
        <w:tc>
          <w:tcPr>
            <w:tcW w:w="1701" w:type="dxa"/>
            <w:tcBorders>
              <w:top w:val="single" w:sz="8" w:space="0" w:color="00B050"/>
            </w:tcBorders>
            <w:shd w:val="clear" w:color="auto" w:fill="FFFFFF"/>
            <w:vAlign w:val="center"/>
          </w:tcPr>
          <w:p w14:paraId="34F8BF47" w14:textId="77777777" w:rsidR="00366CB9" w:rsidRPr="00E80D3A" w:rsidRDefault="009D0C1D" w:rsidP="00C670F3">
            <w:pPr>
              <w:pStyle w:val="a6"/>
              <w:shd w:val="clear" w:color="auto" w:fill="auto"/>
              <w:rPr>
                <w:sz w:val="18"/>
                <w:szCs w:val="24"/>
              </w:rPr>
            </w:pPr>
            <w:r w:rsidRPr="00E80D3A">
              <w:rPr>
                <w:b w:val="0"/>
                <w:color w:val="000000"/>
                <w:sz w:val="18"/>
                <w:szCs w:val="24"/>
              </w:rPr>
              <w:t>Левофлоксацин</w:t>
            </w:r>
          </w:p>
        </w:tc>
        <w:tc>
          <w:tcPr>
            <w:tcW w:w="1380" w:type="dxa"/>
            <w:tcBorders>
              <w:top w:val="single" w:sz="8" w:space="0" w:color="00B050"/>
            </w:tcBorders>
            <w:shd w:val="clear" w:color="auto" w:fill="FFFFFF"/>
            <w:vAlign w:val="center"/>
          </w:tcPr>
          <w:p w14:paraId="45CEDDB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10, 30, 50 %</w:t>
            </w:r>
          </w:p>
        </w:tc>
        <w:tc>
          <w:tcPr>
            <w:tcW w:w="1752" w:type="dxa"/>
            <w:tcBorders>
              <w:top w:val="single" w:sz="8" w:space="0" w:color="00B050"/>
              <w:bottom w:val="single" w:sz="8" w:space="0" w:color="00B050"/>
            </w:tcBorders>
            <w:shd w:val="clear" w:color="auto" w:fill="FFFFFF"/>
            <w:vAlign w:val="bottom"/>
          </w:tcPr>
          <w:p w14:paraId="2C1C5D9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95,8</w:t>
            </w:r>
          </w:p>
          <w:p w14:paraId="573E645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(90,4-100)</w:t>
            </w:r>
          </w:p>
        </w:tc>
        <w:tc>
          <w:tcPr>
            <w:tcW w:w="1747" w:type="dxa"/>
            <w:tcBorders>
              <w:top w:val="single" w:sz="8" w:space="0" w:color="00B050"/>
              <w:bottom w:val="single" w:sz="8" w:space="0" w:color="00B050"/>
            </w:tcBorders>
            <w:shd w:val="clear" w:color="auto" w:fill="FFFFFF"/>
            <w:vAlign w:val="center"/>
          </w:tcPr>
          <w:p w14:paraId="0F9BF6DC"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6 (654)</w:t>
            </w:r>
          </w:p>
        </w:tc>
        <w:tc>
          <w:tcPr>
            <w:tcW w:w="1622" w:type="dxa"/>
            <w:tcBorders>
              <w:top w:val="single" w:sz="8" w:space="0" w:color="00B050"/>
              <w:bottom w:val="single" w:sz="8" w:space="0" w:color="00B050"/>
            </w:tcBorders>
            <w:shd w:val="clear" w:color="auto" w:fill="FFFFFF"/>
            <w:vAlign w:val="center"/>
          </w:tcPr>
          <w:p w14:paraId="6D5A119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Помірна</w:t>
            </w:r>
          </w:p>
        </w:tc>
        <w:tc>
          <w:tcPr>
            <w:tcW w:w="1934" w:type="dxa"/>
            <w:tcBorders>
              <w:top w:val="single" w:sz="8" w:space="0" w:color="00B050"/>
              <w:bottom w:val="single" w:sz="8" w:space="0" w:color="00B050"/>
            </w:tcBorders>
            <w:shd w:val="clear" w:color="auto" w:fill="FFFFFF"/>
            <w:vAlign w:val="center"/>
          </w:tcPr>
          <w:p w14:paraId="3360B1A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96/ХН: 4</w:t>
            </w:r>
          </w:p>
        </w:tc>
        <w:tc>
          <w:tcPr>
            <w:tcW w:w="1939" w:type="dxa"/>
            <w:tcBorders>
              <w:top w:val="single" w:sz="8" w:space="0" w:color="00B050"/>
              <w:bottom w:val="single" w:sz="8" w:space="0" w:color="00B050"/>
            </w:tcBorders>
            <w:shd w:val="clear" w:color="auto" w:fill="FFFFFF"/>
            <w:vAlign w:val="center"/>
          </w:tcPr>
          <w:p w14:paraId="1F8B521F"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288/ХН: 12</w:t>
            </w:r>
          </w:p>
        </w:tc>
        <w:tc>
          <w:tcPr>
            <w:tcW w:w="1939" w:type="dxa"/>
            <w:tcBorders>
              <w:top w:val="single" w:sz="8" w:space="0" w:color="00B050"/>
              <w:bottom w:val="single" w:sz="8" w:space="0" w:color="00B050"/>
            </w:tcBorders>
            <w:shd w:val="clear" w:color="auto" w:fill="FFFFFF"/>
            <w:vAlign w:val="center"/>
          </w:tcPr>
          <w:p w14:paraId="3EDA209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480/ХН: 20</w:t>
            </w:r>
          </w:p>
        </w:tc>
      </w:tr>
      <w:tr w:rsidR="00366CB9" w14:paraId="70476D65" w14:textId="77777777" w:rsidTr="007751D5">
        <w:trPr>
          <w:trHeight w:hRule="exact" w:val="710"/>
        </w:trPr>
        <w:tc>
          <w:tcPr>
            <w:tcW w:w="1701" w:type="dxa"/>
            <w:tcBorders>
              <w:bottom w:val="single" w:sz="8" w:space="0" w:color="00B050"/>
            </w:tcBorders>
            <w:shd w:val="clear" w:color="auto" w:fill="FFFFFF"/>
          </w:tcPr>
          <w:p w14:paraId="58C85D70" w14:textId="77777777" w:rsidR="00366CB9" w:rsidRPr="00E80D3A" w:rsidRDefault="00366CB9" w:rsidP="00C670F3">
            <w:pPr>
              <w:rPr>
                <w:sz w:val="18"/>
              </w:rPr>
            </w:pPr>
          </w:p>
        </w:tc>
        <w:tc>
          <w:tcPr>
            <w:tcW w:w="1380" w:type="dxa"/>
            <w:tcBorders>
              <w:bottom w:val="single" w:sz="8" w:space="0" w:color="00B050"/>
            </w:tcBorders>
            <w:shd w:val="clear" w:color="auto" w:fill="FFFFFF"/>
          </w:tcPr>
          <w:p w14:paraId="19B57B6A" w14:textId="77777777" w:rsidR="00366CB9" w:rsidRPr="00E80D3A" w:rsidRDefault="00366CB9" w:rsidP="00C670F3">
            <w:pPr>
              <w:rPr>
                <w:sz w:val="18"/>
              </w:rPr>
            </w:pPr>
          </w:p>
        </w:tc>
        <w:tc>
          <w:tcPr>
            <w:tcW w:w="1752" w:type="dxa"/>
            <w:tcBorders>
              <w:top w:val="single" w:sz="8" w:space="0" w:color="00B050"/>
              <w:bottom w:val="single" w:sz="8" w:space="0" w:color="00B050"/>
            </w:tcBorders>
            <w:shd w:val="clear" w:color="auto" w:fill="FFFFFF"/>
            <w:vAlign w:val="bottom"/>
          </w:tcPr>
          <w:p w14:paraId="624C504C"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96,0</w:t>
            </w:r>
          </w:p>
          <w:p w14:paraId="24B155B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(93,1-98,9)</w:t>
            </w:r>
          </w:p>
        </w:tc>
        <w:tc>
          <w:tcPr>
            <w:tcW w:w="1747" w:type="dxa"/>
            <w:tcBorders>
              <w:top w:val="single" w:sz="8" w:space="0" w:color="00B050"/>
              <w:bottom w:val="single" w:sz="8" w:space="0" w:color="00B050"/>
            </w:tcBorders>
            <w:shd w:val="clear" w:color="auto" w:fill="FFFFFF"/>
            <w:vAlign w:val="center"/>
          </w:tcPr>
          <w:p w14:paraId="4231383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7 (913)</w:t>
            </w:r>
          </w:p>
        </w:tc>
        <w:tc>
          <w:tcPr>
            <w:tcW w:w="1622" w:type="dxa"/>
            <w:tcBorders>
              <w:top w:val="single" w:sz="8" w:space="0" w:color="00B050"/>
              <w:bottom w:val="single" w:sz="8" w:space="0" w:color="00B050"/>
            </w:tcBorders>
            <w:shd w:val="clear" w:color="auto" w:fill="FFFFFF"/>
            <w:vAlign w:val="center"/>
          </w:tcPr>
          <w:p w14:paraId="7546C32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934" w:type="dxa"/>
            <w:tcBorders>
              <w:top w:val="single" w:sz="8" w:space="0" w:color="00B050"/>
              <w:bottom w:val="single" w:sz="8" w:space="0" w:color="00B050"/>
            </w:tcBorders>
            <w:shd w:val="clear" w:color="auto" w:fill="FFFFFF"/>
            <w:vAlign w:val="center"/>
          </w:tcPr>
          <w:p w14:paraId="36B90D2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864 / ХП: 36</w:t>
            </w:r>
          </w:p>
        </w:tc>
        <w:tc>
          <w:tcPr>
            <w:tcW w:w="1939" w:type="dxa"/>
            <w:tcBorders>
              <w:top w:val="single" w:sz="8" w:space="0" w:color="00B050"/>
              <w:bottom w:val="single" w:sz="8" w:space="0" w:color="00B050"/>
            </w:tcBorders>
            <w:shd w:val="clear" w:color="auto" w:fill="FFFFFF"/>
            <w:vAlign w:val="center"/>
          </w:tcPr>
          <w:p w14:paraId="743A595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672 / ХП: 28</w:t>
            </w:r>
          </w:p>
        </w:tc>
        <w:tc>
          <w:tcPr>
            <w:tcW w:w="1939" w:type="dxa"/>
            <w:tcBorders>
              <w:top w:val="single" w:sz="8" w:space="0" w:color="00B050"/>
              <w:bottom w:val="single" w:sz="8" w:space="0" w:color="00B050"/>
            </w:tcBorders>
            <w:shd w:val="clear" w:color="auto" w:fill="FFFFFF"/>
            <w:vAlign w:val="center"/>
          </w:tcPr>
          <w:p w14:paraId="7D819BE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480 / ХП: 20</w:t>
            </w:r>
          </w:p>
        </w:tc>
      </w:tr>
      <w:tr w:rsidR="00366CB9" w14:paraId="5EE29343" w14:textId="77777777" w:rsidTr="007751D5">
        <w:trPr>
          <w:trHeight w:hRule="exact" w:val="706"/>
        </w:trPr>
        <w:tc>
          <w:tcPr>
            <w:tcW w:w="1701" w:type="dxa"/>
            <w:tcBorders>
              <w:top w:val="single" w:sz="8" w:space="0" w:color="00B050"/>
            </w:tcBorders>
            <w:shd w:val="clear" w:color="auto" w:fill="FFFFFF"/>
            <w:vAlign w:val="center"/>
          </w:tcPr>
          <w:p w14:paraId="7F3CB299" w14:textId="77777777" w:rsidR="00366CB9" w:rsidRPr="00E80D3A" w:rsidRDefault="009D0C1D" w:rsidP="00D74C3C">
            <w:pPr>
              <w:pStyle w:val="a6"/>
              <w:shd w:val="clear" w:color="auto" w:fill="auto"/>
              <w:ind w:right="-111"/>
              <w:rPr>
                <w:sz w:val="18"/>
                <w:szCs w:val="24"/>
              </w:rPr>
            </w:pPr>
            <w:r w:rsidRPr="00E80D3A">
              <w:rPr>
                <w:b w:val="0"/>
                <w:color w:val="000000"/>
                <w:sz w:val="18"/>
                <w:szCs w:val="24"/>
              </w:rPr>
              <w:t>Моксифлоксацин</w:t>
            </w:r>
          </w:p>
        </w:tc>
        <w:tc>
          <w:tcPr>
            <w:tcW w:w="1380" w:type="dxa"/>
            <w:tcBorders>
              <w:top w:val="single" w:sz="8" w:space="0" w:color="00B050"/>
            </w:tcBorders>
            <w:shd w:val="clear" w:color="auto" w:fill="FFFFFF"/>
            <w:vAlign w:val="center"/>
          </w:tcPr>
          <w:p w14:paraId="569CA1F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10, 30, 50 %</w:t>
            </w:r>
          </w:p>
        </w:tc>
        <w:tc>
          <w:tcPr>
            <w:tcW w:w="1752" w:type="dxa"/>
            <w:tcBorders>
              <w:top w:val="single" w:sz="8" w:space="0" w:color="00B050"/>
              <w:bottom w:val="single" w:sz="8" w:space="0" w:color="00B050"/>
            </w:tcBorders>
            <w:shd w:val="clear" w:color="auto" w:fill="FFFFFF"/>
            <w:vAlign w:val="bottom"/>
          </w:tcPr>
          <w:p w14:paraId="51FEBA2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96,5</w:t>
            </w:r>
          </w:p>
          <w:p w14:paraId="34393FB1"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(93,6-99,5)</w:t>
            </w:r>
          </w:p>
        </w:tc>
        <w:tc>
          <w:tcPr>
            <w:tcW w:w="1747" w:type="dxa"/>
            <w:tcBorders>
              <w:top w:val="single" w:sz="8" w:space="0" w:color="00B050"/>
              <w:bottom w:val="single" w:sz="8" w:space="0" w:color="00B050"/>
            </w:tcBorders>
            <w:shd w:val="clear" w:color="auto" w:fill="FFFFFF"/>
            <w:vAlign w:val="center"/>
          </w:tcPr>
          <w:p w14:paraId="134D3FFF"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6 (652)</w:t>
            </w:r>
          </w:p>
        </w:tc>
        <w:tc>
          <w:tcPr>
            <w:tcW w:w="1622" w:type="dxa"/>
            <w:tcBorders>
              <w:top w:val="single" w:sz="8" w:space="0" w:color="00B050"/>
              <w:bottom w:val="single" w:sz="8" w:space="0" w:color="00B050"/>
            </w:tcBorders>
            <w:shd w:val="clear" w:color="auto" w:fill="FFFFFF"/>
            <w:vAlign w:val="center"/>
          </w:tcPr>
          <w:p w14:paraId="159CD32F"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934" w:type="dxa"/>
            <w:tcBorders>
              <w:top w:val="single" w:sz="8" w:space="0" w:color="00B050"/>
              <w:bottom w:val="single" w:sz="8" w:space="0" w:color="00B050"/>
            </w:tcBorders>
            <w:shd w:val="clear" w:color="auto" w:fill="FFFFFF"/>
            <w:vAlign w:val="center"/>
          </w:tcPr>
          <w:p w14:paraId="3C5E78BB"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97/ХН: 3</w:t>
            </w:r>
          </w:p>
        </w:tc>
        <w:tc>
          <w:tcPr>
            <w:tcW w:w="1939" w:type="dxa"/>
            <w:tcBorders>
              <w:top w:val="single" w:sz="8" w:space="0" w:color="00B050"/>
              <w:bottom w:val="single" w:sz="8" w:space="0" w:color="00B050"/>
            </w:tcBorders>
            <w:shd w:val="clear" w:color="auto" w:fill="FFFFFF"/>
            <w:vAlign w:val="center"/>
          </w:tcPr>
          <w:p w14:paraId="0F4A82C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291/ХН: 9</w:t>
            </w:r>
          </w:p>
        </w:tc>
        <w:tc>
          <w:tcPr>
            <w:tcW w:w="1939" w:type="dxa"/>
            <w:tcBorders>
              <w:top w:val="single" w:sz="8" w:space="0" w:color="00B050"/>
              <w:bottom w:val="single" w:sz="8" w:space="0" w:color="00B050"/>
            </w:tcBorders>
            <w:shd w:val="clear" w:color="auto" w:fill="FFFFFF"/>
            <w:vAlign w:val="center"/>
          </w:tcPr>
          <w:p w14:paraId="3888459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485/ХН: 15</w:t>
            </w:r>
          </w:p>
        </w:tc>
      </w:tr>
      <w:tr w:rsidR="00366CB9" w14:paraId="6761145A" w14:textId="77777777" w:rsidTr="007751D5">
        <w:trPr>
          <w:trHeight w:hRule="exact" w:val="710"/>
        </w:trPr>
        <w:tc>
          <w:tcPr>
            <w:tcW w:w="1701" w:type="dxa"/>
            <w:tcBorders>
              <w:bottom w:val="single" w:sz="8" w:space="0" w:color="00B050"/>
            </w:tcBorders>
            <w:shd w:val="clear" w:color="auto" w:fill="FFFFFF"/>
          </w:tcPr>
          <w:p w14:paraId="35385046" w14:textId="77777777" w:rsidR="00366CB9" w:rsidRPr="00E80D3A" w:rsidRDefault="00366CB9" w:rsidP="00C670F3">
            <w:pPr>
              <w:rPr>
                <w:sz w:val="18"/>
              </w:rPr>
            </w:pPr>
          </w:p>
        </w:tc>
        <w:tc>
          <w:tcPr>
            <w:tcW w:w="1380" w:type="dxa"/>
            <w:tcBorders>
              <w:bottom w:val="single" w:sz="8" w:space="0" w:color="00B050"/>
            </w:tcBorders>
            <w:shd w:val="clear" w:color="auto" w:fill="FFFFFF"/>
          </w:tcPr>
          <w:p w14:paraId="4C6C6C97" w14:textId="77777777" w:rsidR="00366CB9" w:rsidRPr="00E80D3A" w:rsidRDefault="00366CB9" w:rsidP="00C670F3">
            <w:pPr>
              <w:rPr>
                <w:sz w:val="18"/>
              </w:rPr>
            </w:pPr>
          </w:p>
        </w:tc>
        <w:tc>
          <w:tcPr>
            <w:tcW w:w="1752" w:type="dxa"/>
            <w:tcBorders>
              <w:top w:val="single" w:sz="8" w:space="0" w:color="00B050"/>
              <w:bottom w:val="single" w:sz="8" w:space="0" w:color="00B050"/>
            </w:tcBorders>
            <w:shd w:val="clear" w:color="auto" w:fill="FFFFFF"/>
            <w:vAlign w:val="bottom"/>
          </w:tcPr>
          <w:p w14:paraId="768EAA8E"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95,2</w:t>
            </w:r>
          </w:p>
          <w:p w14:paraId="5A31F14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(91,0-99,4)</w:t>
            </w:r>
          </w:p>
        </w:tc>
        <w:tc>
          <w:tcPr>
            <w:tcW w:w="1747" w:type="dxa"/>
            <w:tcBorders>
              <w:top w:val="single" w:sz="8" w:space="0" w:color="00B050"/>
              <w:bottom w:val="single" w:sz="8" w:space="0" w:color="00B050"/>
            </w:tcBorders>
            <w:shd w:val="clear" w:color="auto" w:fill="FFFFFF"/>
            <w:vAlign w:val="center"/>
          </w:tcPr>
          <w:p w14:paraId="49026658"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8 (921)</w:t>
            </w:r>
          </w:p>
        </w:tc>
        <w:tc>
          <w:tcPr>
            <w:tcW w:w="1622" w:type="dxa"/>
            <w:tcBorders>
              <w:top w:val="single" w:sz="8" w:space="0" w:color="00B050"/>
              <w:bottom w:val="single" w:sz="8" w:space="0" w:color="00B050"/>
            </w:tcBorders>
            <w:shd w:val="clear" w:color="auto" w:fill="FFFFFF"/>
            <w:vAlign w:val="center"/>
          </w:tcPr>
          <w:p w14:paraId="7C1D1C3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934" w:type="dxa"/>
            <w:tcBorders>
              <w:top w:val="single" w:sz="8" w:space="0" w:color="00B050"/>
              <w:bottom w:val="single" w:sz="8" w:space="0" w:color="00B050"/>
            </w:tcBorders>
            <w:shd w:val="clear" w:color="auto" w:fill="FFFFFF"/>
            <w:vAlign w:val="center"/>
          </w:tcPr>
          <w:p w14:paraId="03D0CA3F"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855 / ХП: 45</w:t>
            </w:r>
          </w:p>
        </w:tc>
        <w:tc>
          <w:tcPr>
            <w:tcW w:w="1939" w:type="dxa"/>
            <w:tcBorders>
              <w:top w:val="single" w:sz="8" w:space="0" w:color="00B050"/>
              <w:bottom w:val="single" w:sz="8" w:space="0" w:color="00B050"/>
            </w:tcBorders>
            <w:shd w:val="clear" w:color="auto" w:fill="FFFFFF"/>
            <w:vAlign w:val="center"/>
          </w:tcPr>
          <w:p w14:paraId="7BEB790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665 / ХП: 35</w:t>
            </w:r>
          </w:p>
        </w:tc>
        <w:tc>
          <w:tcPr>
            <w:tcW w:w="1939" w:type="dxa"/>
            <w:tcBorders>
              <w:top w:val="single" w:sz="8" w:space="0" w:color="00B050"/>
              <w:bottom w:val="single" w:sz="8" w:space="0" w:color="00B050"/>
            </w:tcBorders>
            <w:shd w:val="clear" w:color="auto" w:fill="FFFFFF"/>
            <w:vAlign w:val="center"/>
          </w:tcPr>
          <w:p w14:paraId="138EC67B"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475 / ХП: 25</w:t>
            </w:r>
          </w:p>
        </w:tc>
      </w:tr>
      <w:tr w:rsidR="00366CB9" w14:paraId="6D9EFDBB" w14:textId="77777777" w:rsidTr="007751D5">
        <w:trPr>
          <w:trHeight w:hRule="exact" w:val="706"/>
        </w:trPr>
        <w:tc>
          <w:tcPr>
            <w:tcW w:w="1701" w:type="dxa"/>
            <w:tcBorders>
              <w:top w:val="single" w:sz="8" w:space="0" w:color="00B050"/>
            </w:tcBorders>
            <w:shd w:val="clear" w:color="auto" w:fill="FFFFFF"/>
            <w:vAlign w:val="center"/>
          </w:tcPr>
          <w:p w14:paraId="1256BF54" w14:textId="77777777" w:rsidR="00366CB9" w:rsidRPr="00E80D3A" w:rsidRDefault="009D0C1D" w:rsidP="00C670F3">
            <w:pPr>
              <w:pStyle w:val="a6"/>
              <w:shd w:val="clear" w:color="auto" w:fill="auto"/>
              <w:rPr>
                <w:sz w:val="18"/>
                <w:szCs w:val="24"/>
              </w:rPr>
            </w:pPr>
            <w:r w:rsidRPr="00E80D3A">
              <w:rPr>
                <w:b w:val="0"/>
                <w:color w:val="000000"/>
                <w:sz w:val="18"/>
                <w:szCs w:val="24"/>
              </w:rPr>
              <w:t>Піразинамід</w:t>
            </w:r>
          </w:p>
        </w:tc>
        <w:tc>
          <w:tcPr>
            <w:tcW w:w="1380" w:type="dxa"/>
            <w:tcBorders>
              <w:top w:val="single" w:sz="8" w:space="0" w:color="00B050"/>
            </w:tcBorders>
            <w:shd w:val="clear" w:color="auto" w:fill="FFFFFF"/>
            <w:vAlign w:val="center"/>
          </w:tcPr>
          <w:p w14:paraId="24F6ABF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30, 50, 90 %</w:t>
            </w:r>
          </w:p>
        </w:tc>
        <w:tc>
          <w:tcPr>
            <w:tcW w:w="1752" w:type="dxa"/>
            <w:tcBorders>
              <w:top w:val="single" w:sz="8" w:space="0" w:color="00B050"/>
              <w:bottom w:val="single" w:sz="8" w:space="0" w:color="00B050"/>
            </w:tcBorders>
            <w:shd w:val="clear" w:color="auto" w:fill="FFFFFF"/>
            <w:vAlign w:val="bottom"/>
          </w:tcPr>
          <w:p w14:paraId="262F1FC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90,0</w:t>
            </w:r>
          </w:p>
          <w:p w14:paraId="78E21BD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(86,8-93,2)</w:t>
            </w:r>
          </w:p>
        </w:tc>
        <w:tc>
          <w:tcPr>
            <w:tcW w:w="1747" w:type="dxa"/>
            <w:tcBorders>
              <w:top w:val="single" w:sz="8" w:space="0" w:color="00B050"/>
              <w:bottom w:val="single" w:sz="8" w:space="0" w:color="00B050"/>
            </w:tcBorders>
            <w:shd w:val="clear" w:color="auto" w:fill="FFFFFF"/>
            <w:vAlign w:val="center"/>
          </w:tcPr>
          <w:p w14:paraId="1552A9B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3 (346)</w:t>
            </w:r>
          </w:p>
        </w:tc>
        <w:tc>
          <w:tcPr>
            <w:tcW w:w="1622" w:type="dxa"/>
            <w:tcBorders>
              <w:top w:val="single" w:sz="8" w:space="0" w:color="00B050"/>
              <w:bottom w:val="single" w:sz="8" w:space="0" w:color="00B050"/>
            </w:tcBorders>
            <w:shd w:val="clear" w:color="auto" w:fill="FFFFFF"/>
            <w:vAlign w:val="center"/>
          </w:tcPr>
          <w:p w14:paraId="1F45F50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934" w:type="dxa"/>
            <w:tcBorders>
              <w:top w:val="single" w:sz="8" w:space="0" w:color="00B050"/>
              <w:bottom w:val="single" w:sz="8" w:space="0" w:color="00B050"/>
            </w:tcBorders>
            <w:shd w:val="clear" w:color="auto" w:fill="FFFFFF"/>
            <w:vAlign w:val="center"/>
          </w:tcPr>
          <w:p w14:paraId="59D6BB34"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270/ХН: 30</w:t>
            </w:r>
          </w:p>
        </w:tc>
        <w:tc>
          <w:tcPr>
            <w:tcW w:w="1939" w:type="dxa"/>
            <w:tcBorders>
              <w:top w:val="single" w:sz="8" w:space="0" w:color="00B050"/>
              <w:bottom w:val="single" w:sz="8" w:space="0" w:color="00B050"/>
            </w:tcBorders>
            <w:shd w:val="clear" w:color="auto" w:fill="FFFFFF"/>
            <w:vAlign w:val="center"/>
          </w:tcPr>
          <w:p w14:paraId="1DD89EAC"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450/ХН: 50</w:t>
            </w:r>
          </w:p>
        </w:tc>
        <w:tc>
          <w:tcPr>
            <w:tcW w:w="1939" w:type="dxa"/>
            <w:tcBorders>
              <w:top w:val="single" w:sz="8" w:space="0" w:color="00B050"/>
              <w:bottom w:val="single" w:sz="8" w:space="0" w:color="00B050"/>
            </w:tcBorders>
            <w:shd w:val="clear" w:color="auto" w:fill="FFFFFF"/>
            <w:vAlign w:val="center"/>
          </w:tcPr>
          <w:p w14:paraId="1A4BEBB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810/ХН: 90</w:t>
            </w:r>
          </w:p>
        </w:tc>
      </w:tr>
      <w:tr w:rsidR="00366CB9" w14:paraId="11B9FE51" w14:textId="77777777" w:rsidTr="007751D5">
        <w:trPr>
          <w:trHeight w:hRule="exact" w:val="710"/>
        </w:trPr>
        <w:tc>
          <w:tcPr>
            <w:tcW w:w="1701" w:type="dxa"/>
            <w:tcBorders>
              <w:bottom w:val="single" w:sz="8" w:space="0" w:color="00B050"/>
            </w:tcBorders>
            <w:shd w:val="clear" w:color="auto" w:fill="FFFFFF"/>
          </w:tcPr>
          <w:p w14:paraId="0778F3DC" w14:textId="77777777" w:rsidR="00366CB9" w:rsidRPr="00E80D3A" w:rsidRDefault="00366CB9" w:rsidP="00C670F3">
            <w:pPr>
              <w:rPr>
                <w:sz w:val="18"/>
              </w:rPr>
            </w:pPr>
          </w:p>
        </w:tc>
        <w:tc>
          <w:tcPr>
            <w:tcW w:w="1380" w:type="dxa"/>
            <w:tcBorders>
              <w:bottom w:val="single" w:sz="8" w:space="0" w:color="00B050"/>
            </w:tcBorders>
            <w:shd w:val="clear" w:color="auto" w:fill="FFFFFF"/>
          </w:tcPr>
          <w:p w14:paraId="462FFB64" w14:textId="77777777" w:rsidR="00366CB9" w:rsidRPr="00E80D3A" w:rsidRDefault="00366CB9" w:rsidP="00C670F3">
            <w:pPr>
              <w:rPr>
                <w:sz w:val="18"/>
              </w:rPr>
            </w:pPr>
          </w:p>
        </w:tc>
        <w:tc>
          <w:tcPr>
            <w:tcW w:w="1752" w:type="dxa"/>
            <w:tcBorders>
              <w:top w:val="single" w:sz="8" w:space="0" w:color="00B050"/>
              <w:bottom w:val="single" w:sz="8" w:space="0" w:color="00B050"/>
            </w:tcBorders>
            <w:shd w:val="clear" w:color="auto" w:fill="FFFFFF"/>
            <w:vAlign w:val="bottom"/>
          </w:tcPr>
          <w:p w14:paraId="39CBF53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98,6</w:t>
            </w:r>
          </w:p>
          <w:p w14:paraId="608ACFD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(96,8-100)</w:t>
            </w:r>
          </w:p>
        </w:tc>
        <w:tc>
          <w:tcPr>
            <w:tcW w:w="1747" w:type="dxa"/>
            <w:tcBorders>
              <w:top w:val="single" w:sz="8" w:space="0" w:color="00B050"/>
              <w:bottom w:val="single" w:sz="8" w:space="0" w:color="00B050"/>
            </w:tcBorders>
            <w:shd w:val="clear" w:color="auto" w:fill="FFFFFF"/>
            <w:vAlign w:val="center"/>
          </w:tcPr>
          <w:p w14:paraId="48543FE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3 (269)</w:t>
            </w:r>
          </w:p>
        </w:tc>
        <w:tc>
          <w:tcPr>
            <w:tcW w:w="1622" w:type="dxa"/>
            <w:tcBorders>
              <w:top w:val="single" w:sz="8" w:space="0" w:color="00B050"/>
              <w:bottom w:val="single" w:sz="8" w:space="0" w:color="00B050"/>
            </w:tcBorders>
            <w:shd w:val="clear" w:color="auto" w:fill="FFFFFF"/>
            <w:vAlign w:val="center"/>
          </w:tcPr>
          <w:p w14:paraId="6325324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934" w:type="dxa"/>
            <w:tcBorders>
              <w:top w:val="single" w:sz="8" w:space="0" w:color="00B050"/>
              <w:bottom w:val="single" w:sz="8" w:space="0" w:color="00B050"/>
            </w:tcBorders>
            <w:shd w:val="clear" w:color="auto" w:fill="FFFFFF"/>
            <w:vAlign w:val="center"/>
          </w:tcPr>
          <w:p w14:paraId="2505A236"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693 / ХП: 7</w:t>
            </w:r>
          </w:p>
        </w:tc>
        <w:tc>
          <w:tcPr>
            <w:tcW w:w="1939" w:type="dxa"/>
            <w:tcBorders>
              <w:top w:val="single" w:sz="8" w:space="0" w:color="00B050"/>
              <w:bottom w:val="single" w:sz="8" w:space="0" w:color="00B050"/>
            </w:tcBorders>
            <w:shd w:val="clear" w:color="auto" w:fill="FFFFFF"/>
            <w:vAlign w:val="center"/>
          </w:tcPr>
          <w:p w14:paraId="642CA6B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495 / ХП: 5</w:t>
            </w:r>
          </w:p>
        </w:tc>
        <w:tc>
          <w:tcPr>
            <w:tcW w:w="1939" w:type="dxa"/>
            <w:tcBorders>
              <w:top w:val="single" w:sz="8" w:space="0" w:color="00B050"/>
              <w:bottom w:val="single" w:sz="8" w:space="0" w:color="00B050"/>
            </w:tcBorders>
            <w:shd w:val="clear" w:color="auto" w:fill="FFFFFF"/>
            <w:vAlign w:val="center"/>
          </w:tcPr>
          <w:p w14:paraId="2005988C"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99 / ХП: 1</w:t>
            </w:r>
          </w:p>
        </w:tc>
      </w:tr>
      <w:tr w:rsidR="00366CB9" w14:paraId="0B7254E0" w14:textId="77777777" w:rsidTr="007751D5">
        <w:trPr>
          <w:trHeight w:hRule="exact" w:val="706"/>
        </w:trPr>
        <w:tc>
          <w:tcPr>
            <w:tcW w:w="1701" w:type="dxa"/>
            <w:tcBorders>
              <w:top w:val="single" w:sz="8" w:space="0" w:color="00B050"/>
            </w:tcBorders>
            <w:shd w:val="clear" w:color="auto" w:fill="FFFFFF"/>
            <w:vAlign w:val="center"/>
          </w:tcPr>
          <w:p w14:paraId="275E1988" w14:textId="77777777" w:rsidR="00366CB9" w:rsidRPr="00E80D3A" w:rsidRDefault="009D0C1D" w:rsidP="00C670F3">
            <w:pPr>
              <w:pStyle w:val="a6"/>
              <w:shd w:val="clear" w:color="auto" w:fill="auto"/>
              <w:rPr>
                <w:sz w:val="18"/>
                <w:szCs w:val="24"/>
              </w:rPr>
            </w:pPr>
            <w:r w:rsidRPr="00E80D3A">
              <w:rPr>
                <w:b w:val="0"/>
                <w:color w:val="000000"/>
                <w:sz w:val="18"/>
                <w:szCs w:val="24"/>
              </w:rPr>
              <w:t>Бедаквілін</w:t>
            </w:r>
          </w:p>
        </w:tc>
        <w:tc>
          <w:tcPr>
            <w:tcW w:w="1380" w:type="dxa"/>
            <w:tcBorders>
              <w:top w:val="single" w:sz="8" w:space="0" w:color="00B050"/>
            </w:tcBorders>
            <w:shd w:val="clear" w:color="auto" w:fill="FFFFFF"/>
            <w:vAlign w:val="center"/>
          </w:tcPr>
          <w:p w14:paraId="60064168"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1, 3, 5 %</w:t>
            </w:r>
          </w:p>
        </w:tc>
        <w:tc>
          <w:tcPr>
            <w:tcW w:w="1752" w:type="dxa"/>
            <w:tcBorders>
              <w:top w:val="single" w:sz="8" w:space="0" w:color="00B050"/>
              <w:bottom w:val="single" w:sz="8" w:space="0" w:color="00B050"/>
            </w:tcBorders>
            <w:shd w:val="clear" w:color="auto" w:fill="FFFFFF"/>
            <w:vAlign w:val="bottom"/>
          </w:tcPr>
          <w:p w14:paraId="6B082C2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Se: 67,9</w:t>
            </w:r>
          </w:p>
          <w:p w14:paraId="33932AFD"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(42,6-93,2)</w:t>
            </w:r>
          </w:p>
        </w:tc>
        <w:tc>
          <w:tcPr>
            <w:tcW w:w="1747" w:type="dxa"/>
            <w:tcBorders>
              <w:top w:val="single" w:sz="8" w:space="0" w:color="00B050"/>
              <w:bottom w:val="single" w:sz="8" w:space="0" w:color="00B050"/>
            </w:tcBorders>
            <w:shd w:val="clear" w:color="auto" w:fill="FFFFFF"/>
            <w:vAlign w:val="center"/>
          </w:tcPr>
          <w:p w14:paraId="2FE4FCC2"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3 (31)</w:t>
            </w:r>
          </w:p>
        </w:tc>
        <w:tc>
          <w:tcPr>
            <w:tcW w:w="1622" w:type="dxa"/>
            <w:tcBorders>
              <w:top w:val="single" w:sz="8" w:space="0" w:color="00B050"/>
              <w:bottom w:val="single" w:sz="8" w:space="0" w:color="00B050"/>
            </w:tcBorders>
            <w:shd w:val="clear" w:color="auto" w:fill="FFFFFF"/>
            <w:vAlign w:val="center"/>
          </w:tcPr>
          <w:p w14:paraId="7EC177F0"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Низька</w:t>
            </w:r>
          </w:p>
        </w:tc>
        <w:tc>
          <w:tcPr>
            <w:tcW w:w="1934" w:type="dxa"/>
            <w:tcBorders>
              <w:top w:val="single" w:sz="8" w:space="0" w:color="00B050"/>
              <w:bottom w:val="single" w:sz="8" w:space="0" w:color="00B050"/>
            </w:tcBorders>
            <w:shd w:val="clear" w:color="auto" w:fill="FFFFFF"/>
            <w:vAlign w:val="center"/>
          </w:tcPr>
          <w:p w14:paraId="5F232DBE"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7/ХН: 3</w:t>
            </w:r>
          </w:p>
        </w:tc>
        <w:tc>
          <w:tcPr>
            <w:tcW w:w="1939" w:type="dxa"/>
            <w:tcBorders>
              <w:top w:val="single" w:sz="8" w:space="0" w:color="00B050"/>
              <w:bottom w:val="single" w:sz="8" w:space="0" w:color="00B050"/>
            </w:tcBorders>
            <w:shd w:val="clear" w:color="auto" w:fill="FFFFFF"/>
            <w:vAlign w:val="center"/>
          </w:tcPr>
          <w:p w14:paraId="639EC01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20/ХН: 10</w:t>
            </w:r>
          </w:p>
        </w:tc>
        <w:tc>
          <w:tcPr>
            <w:tcW w:w="1939" w:type="dxa"/>
            <w:tcBorders>
              <w:top w:val="single" w:sz="8" w:space="0" w:color="00B050"/>
              <w:bottom w:val="single" w:sz="8" w:space="0" w:color="00B050"/>
            </w:tcBorders>
            <w:shd w:val="clear" w:color="auto" w:fill="FFFFFF"/>
            <w:vAlign w:val="center"/>
          </w:tcPr>
          <w:p w14:paraId="5C3C2C0A"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ІП: 34/ХН: 16</w:t>
            </w:r>
          </w:p>
        </w:tc>
      </w:tr>
      <w:tr w:rsidR="00366CB9" w14:paraId="1E33BC9F" w14:textId="77777777" w:rsidTr="007751D5">
        <w:trPr>
          <w:trHeight w:hRule="exact" w:val="720"/>
        </w:trPr>
        <w:tc>
          <w:tcPr>
            <w:tcW w:w="1701" w:type="dxa"/>
            <w:tcBorders>
              <w:bottom w:val="single" w:sz="8" w:space="0" w:color="00B050"/>
            </w:tcBorders>
            <w:shd w:val="clear" w:color="auto" w:fill="FFFFFF"/>
          </w:tcPr>
          <w:p w14:paraId="3C2ED5AA" w14:textId="77777777" w:rsidR="00366CB9" w:rsidRPr="00E80D3A" w:rsidRDefault="00366CB9" w:rsidP="00C670F3">
            <w:pPr>
              <w:rPr>
                <w:sz w:val="18"/>
              </w:rPr>
            </w:pPr>
          </w:p>
        </w:tc>
        <w:tc>
          <w:tcPr>
            <w:tcW w:w="1380" w:type="dxa"/>
            <w:tcBorders>
              <w:bottom w:val="single" w:sz="8" w:space="0" w:color="00B050"/>
            </w:tcBorders>
            <w:shd w:val="clear" w:color="auto" w:fill="FFFFFF"/>
          </w:tcPr>
          <w:p w14:paraId="6BC7AEC0" w14:textId="77777777" w:rsidR="00366CB9" w:rsidRPr="00E80D3A" w:rsidRDefault="00366CB9" w:rsidP="00C670F3">
            <w:pPr>
              <w:rPr>
                <w:sz w:val="18"/>
              </w:rPr>
            </w:pPr>
          </w:p>
        </w:tc>
        <w:tc>
          <w:tcPr>
            <w:tcW w:w="1752" w:type="dxa"/>
            <w:tcBorders>
              <w:top w:val="single" w:sz="8" w:space="0" w:color="00B050"/>
              <w:bottom w:val="single" w:sz="8" w:space="0" w:color="00B050"/>
            </w:tcBorders>
            <w:shd w:val="clear" w:color="auto" w:fill="FFFFFF"/>
            <w:vAlign w:val="bottom"/>
          </w:tcPr>
          <w:p w14:paraId="6687ED57"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Sp: 97,0</w:t>
            </w:r>
          </w:p>
          <w:p w14:paraId="07A90A8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(94,3-99,7)</w:t>
            </w:r>
          </w:p>
        </w:tc>
        <w:tc>
          <w:tcPr>
            <w:tcW w:w="1747" w:type="dxa"/>
            <w:tcBorders>
              <w:top w:val="single" w:sz="8" w:space="0" w:color="00B050"/>
              <w:bottom w:val="single" w:sz="8" w:space="0" w:color="00B050"/>
            </w:tcBorders>
            <w:shd w:val="clear" w:color="auto" w:fill="FFFFFF"/>
            <w:vAlign w:val="center"/>
          </w:tcPr>
          <w:p w14:paraId="7B05DAC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4 (519)</w:t>
            </w:r>
          </w:p>
        </w:tc>
        <w:tc>
          <w:tcPr>
            <w:tcW w:w="1622" w:type="dxa"/>
            <w:tcBorders>
              <w:top w:val="single" w:sz="8" w:space="0" w:color="00B050"/>
              <w:bottom w:val="single" w:sz="8" w:space="0" w:color="00B050"/>
            </w:tcBorders>
            <w:shd w:val="clear" w:color="auto" w:fill="FFFFFF"/>
            <w:vAlign w:val="center"/>
          </w:tcPr>
          <w:p w14:paraId="2AA6AFD4"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Висока</w:t>
            </w:r>
          </w:p>
        </w:tc>
        <w:tc>
          <w:tcPr>
            <w:tcW w:w="1934" w:type="dxa"/>
            <w:tcBorders>
              <w:top w:val="single" w:sz="8" w:space="0" w:color="00B050"/>
              <w:bottom w:val="single" w:sz="8" w:space="0" w:color="00B050"/>
            </w:tcBorders>
            <w:shd w:val="clear" w:color="auto" w:fill="FFFFFF"/>
            <w:vAlign w:val="center"/>
          </w:tcPr>
          <w:p w14:paraId="57B42005"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960 / ХП: 30</w:t>
            </w:r>
          </w:p>
        </w:tc>
        <w:tc>
          <w:tcPr>
            <w:tcW w:w="1939" w:type="dxa"/>
            <w:tcBorders>
              <w:top w:val="single" w:sz="8" w:space="0" w:color="00B050"/>
              <w:bottom w:val="single" w:sz="8" w:space="0" w:color="00B050"/>
            </w:tcBorders>
            <w:shd w:val="clear" w:color="auto" w:fill="FFFFFF"/>
            <w:vAlign w:val="center"/>
          </w:tcPr>
          <w:p w14:paraId="343D4F03"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941 / ХП: 29</w:t>
            </w:r>
          </w:p>
        </w:tc>
        <w:tc>
          <w:tcPr>
            <w:tcW w:w="1939" w:type="dxa"/>
            <w:tcBorders>
              <w:top w:val="single" w:sz="8" w:space="0" w:color="00B050"/>
              <w:bottom w:val="single" w:sz="8" w:space="0" w:color="00B050"/>
            </w:tcBorders>
            <w:shd w:val="clear" w:color="auto" w:fill="FFFFFF"/>
            <w:vAlign w:val="center"/>
          </w:tcPr>
          <w:p w14:paraId="2F0CEED9" w14:textId="77777777" w:rsidR="00366CB9" w:rsidRPr="00E80D3A" w:rsidRDefault="009D0C1D" w:rsidP="00C670F3">
            <w:pPr>
              <w:pStyle w:val="a6"/>
              <w:shd w:val="clear" w:color="auto" w:fill="auto"/>
              <w:jc w:val="center"/>
              <w:rPr>
                <w:sz w:val="18"/>
                <w:szCs w:val="24"/>
              </w:rPr>
            </w:pPr>
            <w:r w:rsidRPr="00E80D3A">
              <w:rPr>
                <w:b w:val="0"/>
                <w:color w:val="000000"/>
                <w:sz w:val="18"/>
                <w:szCs w:val="24"/>
              </w:rPr>
              <w:t>ІН: 922 / ХП: 28</w:t>
            </w:r>
          </w:p>
        </w:tc>
      </w:tr>
    </w:tbl>
    <w:tbl>
      <w:tblPr>
        <w:tblOverlap w:val="never"/>
        <w:tblW w:w="0" w:type="auto"/>
        <w:tblLayout w:type="fixed"/>
        <w:tblCellMar>
          <w:left w:w="10" w:type="dxa"/>
          <w:right w:w="10" w:type="dxa"/>
        </w:tblCellMar>
        <w:tblLook w:val="0000" w:firstRow="0" w:lastRow="0" w:firstColumn="0" w:lastColumn="0" w:noHBand="0" w:noVBand="0"/>
      </w:tblPr>
      <w:tblGrid>
        <w:gridCol w:w="187"/>
      </w:tblGrid>
      <w:tr w:rsidR="00366CB9" w14:paraId="1292BD05" w14:textId="77777777" w:rsidTr="00D74C3C">
        <w:trPr>
          <w:trHeight w:hRule="exact" w:val="4247"/>
        </w:trPr>
        <w:tc>
          <w:tcPr>
            <w:tcW w:w="187" w:type="dxa"/>
            <w:shd w:val="clear" w:color="auto" w:fill="FFFFFF"/>
            <w:textDirection w:val="tbRl"/>
          </w:tcPr>
          <w:p w14:paraId="41D7E5AC" w14:textId="77777777" w:rsidR="00366CB9" w:rsidRDefault="009D0C1D" w:rsidP="00425523">
            <w:pPr>
              <w:pStyle w:val="a6"/>
              <w:framePr w:w="187" w:h="4459" w:wrap="none" w:vAnchor="page" w:hAnchor="page" w:x="685" w:y="6646"/>
              <w:shd w:val="clear" w:color="auto" w:fill="auto"/>
              <w:rPr>
                <w:sz w:val="15"/>
                <w:szCs w:val="15"/>
              </w:rPr>
            </w:pPr>
            <w:r>
              <w:rPr>
                <w:b w:val="0"/>
                <w:color w:val="019648"/>
                <w:sz w:val="15"/>
              </w:rPr>
              <w:t>3. Стратегії та міркування щодо діагностичного тестування</w:t>
            </w:r>
          </w:p>
        </w:tc>
      </w:tr>
      <w:tr w:rsidR="00366CB9" w14:paraId="5F0815AC" w14:textId="77777777">
        <w:trPr>
          <w:trHeight w:hRule="exact" w:val="542"/>
        </w:trPr>
        <w:tc>
          <w:tcPr>
            <w:tcW w:w="187" w:type="dxa"/>
            <w:shd w:val="clear" w:color="auto" w:fill="FFFFFF"/>
            <w:textDirection w:val="tbRl"/>
          </w:tcPr>
          <w:p w14:paraId="226A31E0" w14:textId="77777777" w:rsidR="00366CB9" w:rsidRDefault="009D0C1D" w:rsidP="00425523">
            <w:pPr>
              <w:pStyle w:val="a6"/>
              <w:framePr w:w="187" w:h="4459" w:wrap="none" w:vAnchor="page" w:hAnchor="page" w:x="685" w:y="6646"/>
              <w:shd w:val="clear" w:color="auto" w:fill="auto"/>
              <w:jc w:val="right"/>
              <w:rPr>
                <w:sz w:val="15"/>
                <w:szCs w:val="15"/>
              </w:rPr>
            </w:pPr>
            <w:r>
              <w:rPr>
                <w:b w:val="0"/>
                <w:color w:val="019648"/>
                <w:sz w:val="15"/>
              </w:rPr>
              <w:t>75</w:t>
            </w:r>
          </w:p>
        </w:tc>
      </w:tr>
    </w:tbl>
    <w:p w14:paraId="54344345" w14:textId="77777777" w:rsidR="00366CB9" w:rsidRDefault="00366CB9" w:rsidP="00425523">
      <w:pPr>
        <w:spacing w:line="1" w:lineRule="exact"/>
        <w:sectPr w:rsidR="00366CB9" w:rsidSect="00D74C3C">
          <w:type w:val="nextColumn"/>
          <w:pgSz w:w="16840" w:h="11913" w:orient="landscape"/>
          <w:pgMar w:top="1406" w:right="1321" w:bottom="284" w:left="1503" w:header="0" w:footer="6" w:gutter="0"/>
          <w:paperSrc w:first="15" w:other="15"/>
          <w:cols w:space="720"/>
          <w:noEndnote/>
          <w:docGrid w:linePitch="360"/>
        </w:sectPr>
      </w:pPr>
    </w:p>
    <w:p w14:paraId="74059B75"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598"/>
        <w:gridCol w:w="1483"/>
        <w:gridCol w:w="1752"/>
        <w:gridCol w:w="1747"/>
        <w:gridCol w:w="1622"/>
        <w:gridCol w:w="1934"/>
        <w:gridCol w:w="1939"/>
        <w:gridCol w:w="1939"/>
      </w:tblGrid>
      <w:tr w:rsidR="00366CB9" w14:paraId="0E23B5A1" w14:textId="77777777" w:rsidTr="007751D5">
        <w:trPr>
          <w:trHeight w:hRule="exact" w:val="970"/>
        </w:trPr>
        <w:tc>
          <w:tcPr>
            <w:tcW w:w="1598"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629DF34" w14:textId="77777777" w:rsidR="00366CB9" w:rsidRPr="00154801" w:rsidRDefault="009D0C1D" w:rsidP="006E22E5">
            <w:pPr>
              <w:pStyle w:val="a6"/>
              <w:shd w:val="clear" w:color="auto" w:fill="auto"/>
              <w:rPr>
                <w:sz w:val="18"/>
                <w:szCs w:val="24"/>
              </w:rPr>
            </w:pPr>
            <w:r w:rsidRPr="00154801">
              <w:rPr>
                <w:color w:val="FFFFFF"/>
                <w:sz w:val="18"/>
                <w:szCs w:val="24"/>
              </w:rPr>
              <w:t>Лікарський засіб</w:t>
            </w:r>
          </w:p>
        </w:tc>
        <w:tc>
          <w:tcPr>
            <w:tcW w:w="1483"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F647F91" w14:textId="0C09855F" w:rsidR="00366CB9" w:rsidRPr="00154801" w:rsidRDefault="009D0C1D" w:rsidP="006E22E5">
            <w:pPr>
              <w:pStyle w:val="a6"/>
              <w:shd w:val="clear" w:color="auto" w:fill="auto"/>
              <w:spacing w:line="276" w:lineRule="auto"/>
              <w:rPr>
                <w:sz w:val="18"/>
                <w:szCs w:val="24"/>
              </w:rPr>
            </w:pPr>
            <w:r w:rsidRPr="00154801">
              <w:rPr>
                <w:color w:val="FFFFFF"/>
                <w:sz w:val="18"/>
                <w:szCs w:val="24"/>
              </w:rPr>
              <w:t>Поширеність резистент</w:t>
            </w:r>
            <w:r w:rsidR="006E22E5" w:rsidRPr="00154801">
              <w:rPr>
                <w:color w:val="FFFFFF"/>
                <w:sz w:val="18"/>
                <w:szCs w:val="24"/>
              </w:rPr>
              <w:t>-</w:t>
            </w:r>
            <w:r w:rsidRPr="00154801">
              <w:rPr>
                <w:color w:val="FFFFFF"/>
                <w:sz w:val="18"/>
                <w:szCs w:val="24"/>
              </w:rPr>
              <w:t>ності</w:t>
            </w:r>
          </w:p>
        </w:tc>
        <w:tc>
          <w:tcPr>
            <w:tcW w:w="175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D7EC7ED" w14:textId="77777777" w:rsidR="00366CB9" w:rsidRPr="00154801" w:rsidRDefault="009D0C1D" w:rsidP="006E22E5">
            <w:pPr>
              <w:pStyle w:val="a6"/>
              <w:shd w:val="clear" w:color="auto" w:fill="auto"/>
              <w:rPr>
                <w:sz w:val="18"/>
                <w:szCs w:val="24"/>
              </w:rPr>
            </w:pPr>
            <w:r w:rsidRPr="00154801">
              <w:rPr>
                <w:color w:val="FFFFFF"/>
                <w:sz w:val="18"/>
                <w:szCs w:val="24"/>
              </w:rPr>
              <w:t>Точність тесту</w:t>
            </w:r>
          </w:p>
          <w:p w14:paraId="73C8984D" w14:textId="77777777" w:rsidR="00366CB9" w:rsidRPr="00154801" w:rsidRDefault="009D0C1D" w:rsidP="006E22E5">
            <w:pPr>
              <w:pStyle w:val="a6"/>
              <w:shd w:val="clear" w:color="auto" w:fill="auto"/>
              <w:rPr>
                <w:sz w:val="18"/>
                <w:szCs w:val="24"/>
              </w:rPr>
            </w:pPr>
            <w:r w:rsidRPr="00154801">
              <w:rPr>
                <w:color w:val="FFFFFF"/>
                <w:sz w:val="18"/>
                <w:szCs w:val="24"/>
              </w:rPr>
              <w:t>% (95 % ДІ)</w:t>
            </w:r>
            <w:r w:rsidRPr="00154801">
              <w:rPr>
                <w:color w:val="FFFFFF"/>
                <w:sz w:val="18"/>
                <w:szCs w:val="24"/>
                <w:vertAlign w:val="superscript"/>
              </w:rPr>
              <w:t>a</w:t>
            </w:r>
          </w:p>
        </w:tc>
        <w:tc>
          <w:tcPr>
            <w:tcW w:w="1747"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187AD91" w14:textId="77777777" w:rsidR="00366CB9" w:rsidRPr="00154801" w:rsidRDefault="009D0C1D" w:rsidP="006E22E5">
            <w:pPr>
              <w:pStyle w:val="a6"/>
              <w:shd w:val="clear" w:color="auto" w:fill="auto"/>
              <w:rPr>
                <w:sz w:val="18"/>
                <w:szCs w:val="24"/>
              </w:rPr>
            </w:pPr>
            <w:r w:rsidRPr="00154801">
              <w:rPr>
                <w:color w:val="FFFFFF"/>
                <w:sz w:val="18"/>
                <w:szCs w:val="24"/>
              </w:rPr>
              <w:t>Дослідження</w:t>
            </w:r>
          </w:p>
          <w:p w14:paraId="7D1A8D95" w14:textId="77777777" w:rsidR="00366CB9" w:rsidRPr="00154801" w:rsidRDefault="009D0C1D" w:rsidP="006E22E5">
            <w:pPr>
              <w:pStyle w:val="a6"/>
              <w:shd w:val="clear" w:color="auto" w:fill="auto"/>
              <w:rPr>
                <w:sz w:val="18"/>
                <w:szCs w:val="24"/>
              </w:rPr>
            </w:pPr>
            <w:r w:rsidRPr="00154801">
              <w:rPr>
                <w:color w:val="FFFFFF"/>
                <w:sz w:val="18"/>
                <w:szCs w:val="24"/>
              </w:rPr>
              <w:t>(учасники)</w:t>
            </w:r>
          </w:p>
        </w:tc>
        <w:tc>
          <w:tcPr>
            <w:tcW w:w="162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EB67B58" w14:textId="77777777" w:rsidR="00366CB9" w:rsidRPr="00154801" w:rsidRDefault="009D0C1D" w:rsidP="006E22E5">
            <w:pPr>
              <w:pStyle w:val="a6"/>
              <w:shd w:val="clear" w:color="auto" w:fill="auto"/>
              <w:spacing w:line="276" w:lineRule="auto"/>
              <w:rPr>
                <w:sz w:val="18"/>
                <w:szCs w:val="24"/>
              </w:rPr>
            </w:pPr>
            <w:r w:rsidRPr="00154801">
              <w:rPr>
                <w:color w:val="FFFFFF"/>
                <w:sz w:val="18"/>
                <w:szCs w:val="24"/>
              </w:rPr>
              <w:t>Достовірність доказів</w:t>
            </w:r>
          </w:p>
        </w:tc>
        <w:tc>
          <w:tcPr>
            <w:tcW w:w="193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9A6E6AA" w14:textId="77777777" w:rsidR="00366CB9" w:rsidRPr="00154801" w:rsidRDefault="009D0C1D" w:rsidP="006E22E5">
            <w:pPr>
              <w:pStyle w:val="a6"/>
              <w:shd w:val="clear" w:color="auto" w:fill="auto"/>
              <w:spacing w:line="276" w:lineRule="auto"/>
              <w:rPr>
                <w:sz w:val="18"/>
                <w:szCs w:val="24"/>
              </w:rPr>
            </w:pPr>
            <w:r w:rsidRPr="00154801">
              <w:rPr>
                <w:color w:val="FFFFFF"/>
                <w:sz w:val="18"/>
                <w:szCs w:val="24"/>
              </w:rPr>
              <w:t>Нижня межа поширеності</w:t>
            </w:r>
          </w:p>
        </w:tc>
        <w:tc>
          <w:tcPr>
            <w:tcW w:w="1939"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2EBDFCC" w14:textId="77777777" w:rsidR="00366CB9" w:rsidRPr="00154801" w:rsidRDefault="009D0C1D" w:rsidP="006E22E5">
            <w:pPr>
              <w:pStyle w:val="a6"/>
              <w:shd w:val="clear" w:color="auto" w:fill="auto"/>
              <w:spacing w:line="276" w:lineRule="auto"/>
              <w:rPr>
                <w:sz w:val="18"/>
                <w:szCs w:val="24"/>
              </w:rPr>
            </w:pPr>
            <w:r w:rsidRPr="00154801">
              <w:rPr>
                <w:color w:val="FFFFFF"/>
                <w:sz w:val="18"/>
                <w:szCs w:val="24"/>
              </w:rPr>
              <w:t>Середня межа поширеності</w:t>
            </w:r>
          </w:p>
        </w:tc>
        <w:tc>
          <w:tcPr>
            <w:tcW w:w="1939"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DF57F5C" w14:textId="77777777" w:rsidR="00366CB9" w:rsidRPr="00154801" w:rsidRDefault="009D0C1D" w:rsidP="006E22E5">
            <w:pPr>
              <w:pStyle w:val="a6"/>
              <w:shd w:val="clear" w:color="auto" w:fill="auto"/>
              <w:spacing w:line="276" w:lineRule="auto"/>
              <w:rPr>
                <w:sz w:val="18"/>
                <w:szCs w:val="24"/>
              </w:rPr>
            </w:pPr>
            <w:r w:rsidRPr="00154801">
              <w:rPr>
                <w:color w:val="FFFFFF"/>
                <w:sz w:val="18"/>
                <w:szCs w:val="24"/>
              </w:rPr>
              <w:t>Вища межа поширеності</w:t>
            </w:r>
          </w:p>
        </w:tc>
      </w:tr>
      <w:tr w:rsidR="00366CB9" w14:paraId="276FB497" w14:textId="77777777" w:rsidTr="007751D5">
        <w:trPr>
          <w:trHeight w:hRule="exact" w:val="715"/>
        </w:trPr>
        <w:tc>
          <w:tcPr>
            <w:tcW w:w="1598" w:type="dxa"/>
            <w:tcBorders>
              <w:top w:val="single" w:sz="8" w:space="0" w:color="00B050"/>
            </w:tcBorders>
            <w:shd w:val="clear" w:color="auto" w:fill="FFFFFF"/>
            <w:vAlign w:val="center"/>
          </w:tcPr>
          <w:p w14:paraId="0AFBA6BA" w14:textId="77777777" w:rsidR="00366CB9" w:rsidRPr="00154801" w:rsidRDefault="009D0C1D" w:rsidP="00C670F3">
            <w:pPr>
              <w:pStyle w:val="a6"/>
              <w:shd w:val="clear" w:color="auto" w:fill="auto"/>
              <w:rPr>
                <w:sz w:val="18"/>
                <w:szCs w:val="24"/>
              </w:rPr>
            </w:pPr>
            <w:r w:rsidRPr="00154801">
              <w:rPr>
                <w:b w:val="0"/>
                <w:color w:val="000000"/>
                <w:sz w:val="18"/>
                <w:szCs w:val="24"/>
              </w:rPr>
              <w:t>Лінезолід</w:t>
            </w:r>
          </w:p>
        </w:tc>
        <w:tc>
          <w:tcPr>
            <w:tcW w:w="1483" w:type="dxa"/>
            <w:tcBorders>
              <w:top w:val="single" w:sz="8" w:space="0" w:color="00B050"/>
            </w:tcBorders>
            <w:shd w:val="clear" w:color="auto" w:fill="FFFFFF"/>
            <w:vAlign w:val="center"/>
          </w:tcPr>
          <w:p w14:paraId="7337DAC0"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1, 3, 5 %</w:t>
            </w:r>
          </w:p>
        </w:tc>
        <w:tc>
          <w:tcPr>
            <w:tcW w:w="1752" w:type="dxa"/>
            <w:tcBorders>
              <w:top w:val="single" w:sz="8" w:space="0" w:color="00B050"/>
              <w:bottom w:val="single" w:sz="8" w:space="0" w:color="00B050"/>
            </w:tcBorders>
            <w:shd w:val="clear" w:color="auto" w:fill="FFFFFF"/>
            <w:vAlign w:val="bottom"/>
          </w:tcPr>
          <w:p w14:paraId="40CFE5E5"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Se: 68,9</w:t>
            </w:r>
          </w:p>
          <w:p w14:paraId="02B35CA2"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(38,7-99,1)</w:t>
            </w:r>
          </w:p>
        </w:tc>
        <w:tc>
          <w:tcPr>
            <w:tcW w:w="1747" w:type="dxa"/>
            <w:tcBorders>
              <w:top w:val="single" w:sz="8" w:space="0" w:color="00B050"/>
              <w:bottom w:val="single" w:sz="8" w:space="0" w:color="00B050"/>
            </w:tcBorders>
            <w:shd w:val="clear" w:color="auto" w:fill="FFFFFF"/>
            <w:vAlign w:val="center"/>
          </w:tcPr>
          <w:p w14:paraId="35F56F8B"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4 (31)</w:t>
            </w:r>
          </w:p>
        </w:tc>
        <w:tc>
          <w:tcPr>
            <w:tcW w:w="1622" w:type="dxa"/>
            <w:tcBorders>
              <w:top w:val="single" w:sz="8" w:space="0" w:color="00B050"/>
              <w:bottom w:val="single" w:sz="8" w:space="0" w:color="00B050"/>
            </w:tcBorders>
            <w:shd w:val="clear" w:color="auto" w:fill="FFFFFF"/>
            <w:vAlign w:val="center"/>
          </w:tcPr>
          <w:p w14:paraId="23C50649"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Низька</w:t>
            </w:r>
          </w:p>
        </w:tc>
        <w:tc>
          <w:tcPr>
            <w:tcW w:w="1934" w:type="dxa"/>
            <w:tcBorders>
              <w:top w:val="single" w:sz="8" w:space="0" w:color="00B050"/>
              <w:bottom w:val="single" w:sz="8" w:space="0" w:color="00B050"/>
            </w:tcBorders>
            <w:shd w:val="clear" w:color="auto" w:fill="FFFFFF"/>
            <w:vAlign w:val="center"/>
          </w:tcPr>
          <w:p w14:paraId="588EE061"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ІП: 7/ХН: 3</w:t>
            </w:r>
          </w:p>
        </w:tc>
        <w:tc>
          <w:tcPr>
            <w:tcW w:w="1939" w:type="dxa"/>
            <w:tcBorders>
              <w:top w:val="single" w:sz="8" w:space="0" w:color="00B050"/>
              <w:bottom w:val="single" w:sz="8" w:space="0" w:color="00B050"/>
            </w:tcBorders>
            <w:shd w:val="clear" w:color="auto" w:fill="FFFFFF"/>
            <w:vAlign w:val="center"/>
          </w:tcPr>
          <w:p w14:paraId="7C42DC7A"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ІП: 21/ХН: 9</w:t>
            </w:r>
          </w:p>
        </w:tc>
        <w:tc>
          <w:tcPr>
            <w:tcW w:w="1939" w:type="dxa"/>
            <w:tcBorders>
              <w:top w:val="single" w:sz="8" w:space="0" w:color="00B050"/>
              <w:bottom w:val="single" w:sz="8" w:space="0" w:color="00B050"/>
            </w:tcBorders>
            <w:shd w:val="clear" w:color="auto" w:fill="FFFFFF"/>
            <w:vAlign w:val="center"/>
          </w:tcPr>
          <w:p w14:paraId="2C111C19"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ІП: 34/ХН: 16</w:t>
            </w:r>
          </w:p>
        </w:tc>
      </w:tr>
      <w:tr w:rsidR="00366CB9" w14:paraId="1E5D0B83" w14:textId="77777777" w:rsidTr="007751D5">
        <w:trPr>
          <w:trHeight w:hRule="exact" w:val="710"/>
        </w:trPr>
        <w:tc>
          <w:tcPr>
            <w:tcW w:w="1598" w:type="dxa"/>
            <w:tcBorders>
              <w:bottom w:val="single" w:sz="8" w:space="0" w:color="00B050"/>
            </w:tcBorders>
            <w:shd w:val="clear" w:color="auto" w:fill="FFFFFF"/>
          </w:tcPr>
          <w:p w14:paraId="036FBF9A" w14:textId="77777777" w:rsidR="00366CB9" w:rsidRPr="00154801" w:rsidRDefault="00366CB9" w:rsidP="00C670F3">
            <w:pPr>
              <w:rPr>
                <w:sz w:val="18"/>
              </w:rPr>
            </w:pPr>
          </w:p>
        </w:tc>
        <w:tc>
          <w:tcPr>
            <w:tcW w:w="1483" w:type="dxa"/>
            <w:tcBorders>
              <w:bottom w:val="single" w:sz="8" w:space="0" w:color="00B050"/>
            </w:tcBorders>
            <w:shd w:val="clear" w:color="auto" w:fill="FFFFFF"/>
          </w:tcPr>
          <w:p w14:paraId="71163A01" w14:textId="77777777" w:rsidR="00366CB9" w:rsidRPr="00154801" w:rsidRDefault="00366CB9" w:rsidP="00C670F3">
            <w:pPr>
              <w:rPr>
                <w:sz w:val="18"/>
              </w:rPr>
            </w:pPr>
          </w:p>
        </w:tc>
        <w:tc>
          <w:tcPr>
            <w:tcW w:w="1752" w:type="dxa"/>
            <w:tcBorders>
              <w:top w:val="single" w:sz="8" w:space="0" w:color="00B050"/>
              <w:bottom w:val="single" w:sz="8" w:space="0" w:color="00B050"/>
            </w:tcBorders>
            <w:shd w:val="clear" w:color="auto" w:fill="FFFFFF"/>
            <w:vAlign w:val="bottom"/>
          </w:tcPr>
          <w:p w14:paraId="7CBC2801"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Sp: 99,8</w:t>
            </w:r>
          </w:p>
          <w:p w14:paraId="5957A114"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(99,6-100)</w:t>
            </w:r>
          </w:p>
        </w:tc>
        <w:tc>
          <w:tcPr>
            <w:tcW w:w="1747" w:type="dxa"/>
            <w:tcBorders>
              <w:top w:val="single" w:sz="8" w:space="0" w:color="00B050"/>
              <w:bottom w:val="single" w:sz="8" w:space="0" w:color="00B050"/>
            </w:tcBorders>
            <w:shd w:val="clear" w:color="auto" w:fill="FFFFFF"/>
            <w:vAlign w:val="center"/>
          </w:tcPr>
          <w:p w14:paraId="11CB59B4"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6 (1093)</w:t>
            </w:r>
          </w:p>
        </w:tc>
        <w:tc>
          <w:tcPr>
            <w:tcW w:w="1622" w:type="dxa"/>
            <w:tcBorders>
              <w:top w:val="single" w:sz="8" w:space="0" w:color="00B050"/>
              <w:bottom w:val="single" w:sz="8" w:space="0" w:color="00B050"/>
            </w:tcBorders>
            <w:shd w:val="clear" w:color="auto" w:fill="FFFFFF"/>
            <w:vAlign w:val="center"/>
          </w:tcPr>
          <w:p w14:paraId="413D1546"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Висока</w:t>
            </w:r>
          </w:p>
        </w:tc>
        <w:tc>
          <w:tcPr>
            <w:tcW w:w="1934" w:type="dxa"/>
            <w:tcBorders>
              <w:top w:val="single" w:sz="8" w:space="0" w:color="00B050"/>
              <w:bottom w:val="single" w:sz="8" w:space="0" w:color="00B050"/>
            </w:tcBorders>
            <w:shd w:val="clear" w:color="auto" w:fill="FFFFFF"/>
            <w:vAlign w:val="center"/>
          </w:tcPr>
          <w:p w14:paraId="5F65F1D3"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ІН: 990 / ХП: 0</w:t>
            </w:r>
          </w:p>
        </w:tc>
        <w:tc>
          <w:tcPr>
            <w:tcW w:w="1939" w:type="dxa"/>
            <w:tcBorders>
              <w:top w:val="single" w:sz="8" w:space="0" w:color="00B050"/>
              <w:bottom w:val="single" w:sz="8" w:space="0" w:color="00B050"/>
            </w:tcBorders>
            <w:shd w:val="clear" w:color="auto" w:fill="FFFFFF"/>
            <w:vAlign w:val="center"/>
          </w:tcPr>
          <w:p w14:paraId="64FB0BDC"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ІН: 970 / ХП: 0</w:t>
            </w:r>
          </w:p>
        </w:tc>
        <w:tc>
          <w:tcPr>
            <w:tcW w:w="1939" w:type="dxa"/>
            <w:tcBorders>
              <w:top w:val="single" w:sz="8" w:space="0" w:color="00B050"/>
              <w:bottom w:val="single" w:sz="8" w:space="0" w:color="00B050"/>
            </w:tcBorders>
            <w:shd w:val="clear" w:color="auto" w:fill="FFFFFF"/>
            <w:vAlign w:val="center"/>
          </w:tcPr>
          <w:p w14:paraId="0E02D975"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ІН: 950 / ХП: 0</w:t>
            </w:r>
          </w:p>
        </w:tc>
      </w:tr>
      <w:tr w:rsidR="00366CB9" w14:paraId="1912AEB4" w14:textId="77777777" w:rsidTr="007751D5">
        <w:trPr>
          <w:trHeight w:hRule="exact" w:val="710"/>
        </w:trPr>
        <w:tc>
          <w:tcPr>
            <w:tcW w:w="1598" w:type="dxa"/>
            <w:tcBorders>
              <w:top w:val="single" w:sz="8" w:space="0" w:color="00B050"/>
            </w:tcBorders>
            <w:shd w:val="clear" w:color="auto" w:fill="FFFFFF"/>
            <w:vAlign w:val="center"/>
          </w:tcPr>
          <w:p w14:paraId="728F684B" w14:textId="77777777" w:rsidR="00366CB9" w:rsidRPr="00154801" w:rsidRDefault="009D0C1D" w:rsidP="00C670F3">
            <w:pPr>
              <w:pStyle w:val="a6"/>
              <w:shd w:val="clear" w:color="auto" w:fill="auto"/>
              <w:rPr>
                <w:sz w:val="18"/>
                <w:szCs w:val="24"/>
              </w:rPr>
            </w:pPr>
            <w:r w:rsidRPr="00154801">
              <w:rPr>
                <w:b w:val="0"/>
                <w:color w:val="000000"/>
                <w:sz w:val="18"/>
                <w:szCs w:val="24"/>
              </w:rPr>
              <w:t>Клофазимін</w:t>
            </w:r>
          </w:p>
        </w:tc>
        <w:tc>
          <w:tcPr>
            <w:tcW w:w="1483" w:type="dxa"/>
            <w:tcBorders>
              <w:top w:val="single" w:sz="8" w:space="0" w:color="00B050"/>
            </w:tcBorders>
            <w:shd w:val="clear" w:color="auto" w:fill="FFFFFF"/>
            <w:vAlign w:val="center"/>
          </w:tcPr>
          <w:p w14:paraId="02A0FEEF"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1, 3, 5 %</w:t>
            </w:r>
          </w:p>
        </w:tc>
        <w:tc>
          <w:tcPr>
            <w:tcW w:w="1752" w:type="dxa"/>
            <w:tcBorders>
              <w:top w:val="single" w:sz="8" w:space="0" w:color="00B050"/>
              <w:bottom w:val="single" w:sz="8" w:space="0" w:color="00B050"/>
            </w:tcBorders>
            <w:shd w:val="clear" w:color="auto" w:fill="FFFFFF"/>
            <w:vAlign w:val="bottom"/>
          </w:tcPr>
          <w:p w14:paraId="7560C9B3"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Se: 70,4</w:t>
            </w:r>
          </w:p>
          <w:p w14:paraId="1D26BEAF"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(34,6-100)</w:t>
            </w:r>
          </w:p>
        </w:tc>
        <w:tc>
          <w:tcPr>
            <w:tcW w:w="1747" w:type="dxa"/>
            <w:tcBorders>
              <w:top w:val="single" w:sz="8" w:space="0" w:color="00B050"/>
              <w:bottom w:val="single" w:sz="8" w:space="0" w:color="00B050"/>
            </w:tcBorders>
            <w:shd w:val="clear" w:color="auto" w:fill="FFFFFF"/>
            <w:vAlign w:val="center"/>
          </w:tcPr>
          <w:p w14:paraId="726E0448"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4 (36)</w:t>
            </w:r>
          </w:p>
        </w:tc>
        <w:tc>
          <w:tcPr>
            <w:tcW w:w="1622" w:type="dxa"/>
            <w:tcBorders>
              <w:top w:val="single" w:sz="8" w:space="0" w:color="00B050"/>
              <w:bottom w:val="single" w:sz="8" w:space="0" w:color="00B050"/>
            </w:tcBorders>
            <w:shd w:val="clear" w:color="auto" w:fill="FFFFFF"/>
            <w:vAlign w:val="center"/>
          </w:tcPr>
          <w:p w14:paraId="01A72DA7"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Низька</w:t>
            </w:r>
          </w:p>
        </w:tc>
        <w:tc>
          <w:tcPr>
            <w:tcW w:w="1934" w:type="dxa"/>
            <w:tcBorders>
              <w:top w:val="single" w:sz="8" w:space="0" w:color="00B050"/>
              <w:bottom w:val="single" w:sz="8" w:space="0" w:color="00B050"/>
            </w:tcBorders>
            <w:shd w:val="clear" w:color="auto" w:fill="FFFFFF"/>
            <w:vAlign w:val="center"/>
          </w:tcPr>
          <w:p w14:paraId="058F1DF0"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ІП: 7/ХН: 3</w:t>
            </w:r>
          </w:p>
        </w:tc>
        <w:tc>
          <w:tcPr>
            <w:tcW w:w="1939" w:type="dxa"/>
            <w:tcBorders>
              <w:top w:val="single" w:sz="8" w:space="0" w:color="00B050"/>
              <w:bottom w:val="single" w:sz="8" w:space="0" w:color="00B050"/>
            </w:tcBorders>
            <w:shd w:val="clear" w:color="auto" w:fill="FFFFFF"/>
            <w:vAlign w:val="center"/>
          </w:tcPr>
          <w:p w14:paraId="5E7C317D"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ІП: 21/ХН: 9</w:t>
            </w:r>
          </w:p>
        </w:tc>
        <w:tc>
          <w:tcPr>
            <w:tcW w:w="1939" w:type="dxa"/>
            <w:tcBorders>
              <w:top w:val="single" w:sz="8" w:space="0" w:color="00B050"/>
              <w:bottom w:val="single" w:sz="8" w:space="0" w:color="00B050"/>
            </w:tcBorders>
            <w:shd w:val="clear" w:color="auto" w:fill="FFFFFF"/>
            <w:vAlign w:val="center"/>
          </w:tcPr>
          <w:p w14:paraId="5D8381AD"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ІП: 35/ХН: 15</w:t>
            </w:r>
          </w:p>
        </w:tc>
      </w:tr>
      <w:tr w:rsidR="00366CB9" w14:paraId="6A711FBD" w14:textId="77777777" w:rsidTr="007751D5">
        <w:trPr>
          <w:trHeight w:hRule="exact" w:val="706"/>
        </w:trPr>
        <w:tc>
          <w:tcPr>
            <w:tcW w:w="1598" w:type="dxa"/>
            <w:tcBorders>
              <w:bottom w:val="single" w:sz="8" w:space="0" w:color="00B050"/>
            </w:tcBorders>
            <w:shd w:val="clear" w:color="auto" w:fill="FFFFFF"/>
          </w:tcPr>
          <w:p w14:paraId="7CC4F598" w14:textId="77777777" w:rsidR="00366CB9" w:rsidRPr="00154801" w:rsidRDefault="00366CB9" w:rsidP="00C670F3">
            <w:pPr>
              <w:rPr>
                <w:sz w:val="18"/>
              </w:rPr>
            </w:pPr>
          </w:p>
        </w:tc>
        <w:tc>
          <w:tcPr>
            <w:tcW w:w="1483" w:type="dxa"/>
            <w:tcBorders>
              <w:bottom w:val="single" w:sz="8" w:space="0" w:color="00B050"/>
            </w:tcBorders>
            <w:shd w:val="clear" w:color="auto" w:fill="FFFFFF"/>
          </w:tcPr>
          <w:p w14:paraId="2B0ECFFE" w14:textId="77777777" w:rsidR="00366CB9" w:rsidRPr="00154801" w:rsidRDefault="00366CB9" w:rsidP="00C670F3">
            <w:pPr>
              <w:rPr>
                <w:sz w:val="18"/>
              </w:rPr>
            </w:pPr>
          </w:p>
        </w:tc>
        <w:tc>
          <w:tcPr>
            <w:tcW w:w="1752" w:type="dxa"/>
            <w:tcBorders>
              <w:top w:val="single" w:sz="8" w:space="0" w:color="00B050"/>
              <w:bottom w:val="single" w:sz="8" w:space="0" w:color="00B050"/>
            </w:tcBorders>
            <w:shd w:val="clear" w:color="auto" w:fill="FFFFFF"/>
            <w:vAlign w:val="bottom"/>
          </w:tcPr>
          <w:p w14:paraId="724DFBD7"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Sp: 96,3</w:t>
            </w:r>
          </w:p>
          <w:p w14:paraId="34C36CA1"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(93,2-99,3)</w:t>
            </w:r>
          </w:p>
        </w:tc>
        <w:tc>
          <w:tcPr>
            <w:tcW w:w="1747" w:type="dxa"/>
            <w:tcBorders>
              <w:top w:val="single" w:sz="8" w:space="0" w:color="00B050"/>
              <w:bottom w:val="single" w:sz="8" w:space="0" w:color="00B050"/>
            </w:tcBorders>
            <w:shd w:val="clear" w:color="auto" w:fill="FFFFFF"/>
            <w:vAlign w:val="center"/>
          </w:tcPr>
          <w:p w14:paraId="482B2A57"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6 (789)</w:t>
            </w:r>
          </w:p>
        </w:tc>
        <w:tc>
          <w:tcPr>
            <w:tcW w:w="1622" w:type="dxa"/>
            <w:tcBorders>
              <w:top w:val="single" w:sz="8" w:space="0" w:color="00B050"/>
              <w:bottom w:val="single" w:sz="8" w:space="0" w:color="00B050"/>
            </w:tcBorders>
            <w:shd w:val="clear" w:color="auto" w:fill="FFFFFF"/>
            <w:vAlign w:val="center"/>
          </w:tcPr>
          <w:p w14:paraId="3B041AE1"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Висока</w:t>
            </w:r>
          </w:p>
        </w:tc>
        <w:tc>
          <w:tcPr>
            <w:tcW w:w="1934" w:type="dxa"/>
            <w:tcBorders>
              <w:top w:val="single" w:sz="8" w:space="0" w:color="00B050"/>
              <w:bottom w:val="single" w:sz="8" w:space="0" w:color="00B050"/>
            </w:tcBorders>
            <w:shd w:val="clear" w:color="auto" w:fill="FFFFFF"/>
            <w:vAlign w:val="center"/>
          </w:tcPr>
          <w:p w14:paraId="27880A53"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ІН: 950 / ХП: 40</w:t>
            </w:r>
          </w:p>
        </w:tc>
        <w:tc>
          <w:tcPr>
            <w:tcW w:w="1939" w:type="dxa"/>
            <w:tcBorders>
              <w:top w:val="single" w:sz="8" w:space="0" w:color="00B050"/>
              <w:bottom w:val="single" w:sz="8" w:space="0" w:color="00B050"/>
            </w:tcBorders>
            <w:shd w:val="clear" w:color="auto" w:fill="FFFFFF"/>
            <w:vAlign w:val="center"/>
          </w:tcPr>
          <w:p w14:paraId="2900CACD"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ІН: 931 / ХП: 39</w:t>
            </w:r>
          </w:p>
        </w:tc>
        <w:tc>
          <w:tcPr>
            <w:tcW w:w="1939" w:type="dxa"/>
            <w:tcBorders>
              <w:top w:val="single" w:sz="8" w:space="0" w:color="00B050"/>
              <w:bottom w:val="single" w:sz="8" w:space="0" w:color="00B050"/>
            </w:tcBorders>
            <w:shd w:val="clear" w:color="auto" w:fill="FFFFFF"/>
            <w:vAlign w:val="center"/>
          </w:tcPr>
          <w:p w14:paraId="1E70DA3D"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ІН: 912 / ХП: 38</w:t>
            </w:r>
          </w:p>
        </w:tc>
      </w:tr>
      <w:tr w:rsidR="00366CB9" w14:paraId="41BA5FDF" w14:textId="77777777" w:rsidTr="007751D5">
        <w:trPr>
          <w:trHeight w:hRule="exact" w:val="710"/>
        </w:trPr>
        <w:tc>
          <w:tcPr>
            <w:tcW w:w="1598" w:type="dxa"/>
            <w:tcBorders>
              <w:top w:val="single" w:sz="8" w:space="0" w:color="00B050"/>
            </w:tcBorders>
            <w:shd w:val="clear" w:color="auto" w:fill="FFFFFF"/>
            <w:vAlign w:val="center"/>
          </w:tcPr>
          <w:p w14:paraId="10DB7DBD" w14:textId="77777777" w:rsidR="00366CB9" w:rsidRPr="00154801" w:rsidRDefault="009D0C1D" w:rsidP="00C670F3">
            <w:pPr>
              <w:pStyle w:val="a6"/>
              <w:shd w:val="clear" w:color="auto" w:fill="auto"/>
              <w:rPr>
                <w:sz w:val="18"/>
                <w:szCs w:val="24"/>
              </w:rPr>
            </w:pPr>
            <w:r w:rsidRPr="00154801">
              <w:rPr>
                <w:b w:val="0"/>
                <w:color w:val="000000"/>
                <w:sz w:val="18"/>
                <w:szCs w:val="24"/>
              </w:rPr>
              <w:t>Амікацин</w:t>
            </w:r>
          </w:p>
        </w:tc>
        <w:tc>
          <w:tcPr>
            <w:tcW w:w="1483" w:type="dxa"/>
            <w:tcBorders>
              <w:top w:val="single" w:sz="8" w:space="0" w:color="00B050"/>
            </w:tcBorders>
            <w:shd w:val="clear" w:color="auto" w:fill="FFFFFF"/>
            <w:vAlign w:val="center"/>
          </w:tcPr>
          <w:p w14:paraId="4F737A99"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5, 10, 15 %</w:t>
            </w:r>
          </w:p>
        </w:tc>
        <w:tc>
          <w:tcPr>
            <w:tcW w:w="1752" w:type="dxa"/>
            <w:tcBorders>
              <w:top w:val="single" w:sz="8" w:space="0" w:color="00B050"/>
              <w:bottom w:val="single" w:sz="8" w:space="0" w:color="00B050"/>
            </w:tcBorders>
            <w:shd w:val="clear" w:color="auto" w:fill="FFFFFF"/>
            <w:vAlign w:val="bottom"/>
          </w:tcPr>
          <w:p w14:paraId="1C332F9A"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Se: 87,4</w:t>
            </w:r>
          </w:p>
          <w:p w14:paraId="72B5EF9F"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(74,5-100)</w:t>
            </w:r>
          </w:p>
        </w:tc>
        <w:tc>
          <w:tcPr>
            <w:tcW w:w="1747" w:type="dxa"/>
            <w:tcBorders>
              <w:top w:val="single" w:sz="8" w:space="0" w:color="00B050"/>
              <w:bottom w:val="single" w:sz="8" w:space="0" w:color="00B050"/>
            </w:tcBorders>
            <w:shd w:val="clear" w:color="auto" w:fill="FFFFFF"/>
            <w:vAlign w:val="center"/>
          </w:tcPr>
          <w:p w14:paraId="48B6AE4F"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5 (115)</w:t>
            </w:r>
          </w:p>
        </w:tc>
        <w:tc>
          <w:tcPr>
            <w:tcW w:w="1622" w:type="dxa"/>
            <w:tcBorders>
              <w:top w:val="single" w:sz="8" w:space="0" w:color="00B050"/>
              <w:bottom w:val="single" w:sz="8" w:space="0" w:color="00B050"/>
            </w:tcBorders>
            <w:shd w:val="clear" w:color="auto" w:fill="FFFFFF"/>
            <w:vAlign w:val="center"/>
          </w:tcPr>
          <w:p w14:paraId="2349D6CE"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Дуже низька</w:t>
            </w:r>
          </w:p>
        </w:tc>
        <w:tc>
          <w:tcPr>
            <w:tcW w:w="1934" w:type="dxa"/>
            <w:tcBorders>
              <w:top w:val="single" w:sz="8" w:space="0" w:color="00B050"/>
              <w:bottom w:val="single" w:sz="8" w:space="0" w:color="00B050"/>
            </w:tcBorders>
            <w:shd w:val="clear" w:color="auto" w:fill="FFFFFF"/>
            <w:vAlign w:val="center"/>
          </w:tcPr>
          <w:p w14:paraId="62C268F6"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ІП: 44/ХН: 6</w:t>
            </w:r>
          </w:p>
        </w:tc>
        <w:tc>
          <w:tcPr>
            <w:tcW w:w="1939" w:type="dxa"/>
            <w:tcBorders>
              <w:top w:val="single" w:sz="8" w:space="0" w:color="00B050"/>
              <w:bottom w:val="single" w:sz="8" w:space="0" w:color="00B050"/>
            </w:tcBorders>
            <w:shd w:val="clear" w:color="auto" w:fill="FFFFFF"/>
            <w:vAlign w:val="center"/>
          </w:tcPr>
          <w:p w14:paraId="5741942F"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ІП: 87/ХН: 13</w:t>
            </w:r>
          </w:p>
        </w:tc>
        <w:tc>
          <w:tcPr>
            <w:tcW w:w="1939" w:type="dxa"/>
            <w:tcBorders>
              <w:top w:val="single" w:sz="8" w:space="0" w:color="00B050"/>
              <w:bottom w:val="single" w:sz="8" w:space="0" w:color="00B050"/>
            </w:tcBorders>
            <w:shd w:val="clear" w:color="auto" w:fill="FFFFFF"/>
            <w:vAlign w:val="center"/>
          </w:tcPr>
          <w:p w14:paraId="09DEC1B8"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ІП: 131/ХН: 19</w:t>
            </w:r>
          </w:p>
        </w:tc>
      </w:tr>
      <w:tr w:rsidR="00366CB9" w14:paraId="3FFC5F7F" w14:textId="77777777" w:rsidTr="007751D5">
        <w:trPr>
          <w:trHeight w:hRule="exact" w:val="706"/>
        </w:trPr>
        <w:tc>
          <w:tcPr>
            <w:tcW w:w="1598" w:type="dxa"/>
            <w:tcBorders>
              <w:bottom w:val="single" w:sz="8" w:space="0" w:color="00B050"/>
            </w:tcBorders>
            <w:shd w:val="clear" w:color="auto" w:fill="FFFFFF"/>
          </w:tcPr>
          <w:p w14:paraId="25FCD869" w14:textId="77777777" w:rsidR="00366CB9" w:rsidRPr="00154801" w:rsidRDefault="00366CB9" w:rsidP="00C670F3">
            <w:pPr>
              <w:rPr>
                <w:sz w:val="18"/>
              </w:rPr>
            </w:pPr>
          </w:p>
        </w:tc>
        <w:tc>
          <w:tcPr>
            <w:tcW w:w="1483" w:type="dxa"/>
            <w:tcBorders>
              <w:bottom w:val="single" w:sz="8" w:space="0" w:color="00B050"/>
            </w:tcBorders>
            <w:shd w:val="clear" w:color="auto" w:fill="FFFFFF"/>
          </w:tcPr>
          <w:p w14:paraId="70070B49" w14:textId="77777777" w:rsidR="00366CB9" w:rsidRPr="00154801" w:rsidRDefault="00366CB9" w:rsidP="00C670F3">
            <w:pPr>
              <w:rPr>
                <w:sz w:val="18"/>
              </w:rPr>
            </w:pPr>
          </w:p>
        </w:tc>
        <w:tc>
          <w:tcPr>
            <w:tcW w:w="1752" w:type="dxa"/>
            <w:tcBorders>
              <w:top w:val="single" w:sz="8" w:space="0" w:color="00B050"/>
              <w:bottom w:val="single" w:sz="8" w:space="0" w:color="00B050"/>
            </w:tcBorders>
            <w:shd w:val="clear" w:color="auto" w:fill="FFFFFF"/>
            <w:vAlign w:val="bottom"/>
          </w:tcPr>
          <w:p w14:paraId="5948D2E0"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Sp: 99,0</w:t>
            </w:r>
          </w:p>
          <w:p w14:paraId="59CEAFD1"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(98,4-99,6)</w:t>
            </w:r>
          </w:p>
        </w:tc>
        <w:tc>
          <w:tcPr>
            <w:tcW w:w="1747" w:type="dxa"/>
            <w:tcBorders>
              <w:top w:val="single" w:sz="8" w:space="0" w:color="00B050"/>
              <w:bottom w:val="single" w:sz="8" w:space="0" w:color="00B050"/>
            </w:tcBorders>
            <w:shd w:val="clear" w:color="auto" w:fill="FFFFFF"/>
            <w:vAlign w:val="center"/>
          </w:tcPr>
          <w:p w14:paraId="693BD9F6"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8 (1003)</w:t>
            </w:r>
          </w:p>
        </w:tc>
        <w:tc>
          <w:tcPr>
            <w:tcW w:w="1622" w:type="dxa"/>
            <w:tcBorders>
              <w:top w:val="single" w:sz="8" w:space="0" w:color="00B050"/>
              <w:bottom w:val="single" w:sz="8" w:space="0" w:color="00B050"/>
            </w:tcBorders>
            <w:shd w:val="clear" w:color="auto" w:fill="FFFFFF"/>
            <w:vAlign w:val="center"/>
          </w:tcPr>
          <w:p w14:paraId="3825A7EE"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Помірна</w:t>
            </w:r>
          </w:p>
        </w:tc>
        <w:tc>
          <w:tcPr>
            <w:tcW w:w="1934" w:type="dxa"/>
            <w:tcBorders>
              <w:top w:val="single" w:sz="8" w:space="0" w:color="00B050"/>
              <w:bottom w:val="single" w:sz="8" w:space="0" w:color="00B050"/>
            </w:tcBorders>
            <w:shd w:val="clear" w:color="auto" w:fill="FFFFFF"/>
            <w:vAlign w:val="center"/>
          </w:tcPr>
          <w:p w14:paraId="17A82F14"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ІН: 941 / ХП: 9</w:t>
            </w:r>
          </w:p>
        </w:tc>
        <w:tc>
          <w:tcPr>
            <w:tcW w:w="1939" w:type="dxa"/>
            <w:tcBorders>
              <w:top w:val="single" w:sz="8" w:space="0" w:color="00B050"/>
              <w:bottom w:val="single" w:sz="8" w:space="0" w:color="00B050"/>
            </w:tcBorders>
            <w:shd w:val="clear" w:color="auto" w:fill="FFFFFF"/>
            <w:vAlign w:val="center"/>
          </w:tcPr>
          <w:p w14:paraId="2A22CF09"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ІН: 891 / ХП: 9</w:t>
            </w:r>
          </w:p>
        </w:tc>
        <w:tc>
          <w:tcPr>
            <w:tcW w:w="1939" w:type="dxa"/>
            <w:tcBorders>
              <w:top w:val="single" w:sz="8" w:space="0" w:color="00B050"/>
              <w:bottom w:val="single" w:sz="8" w:space="0" w:color="00B050"/>
            </w:tcBorders>
            <w:shd w:val="clear" w:color="auto" w:fill="FFFFFF"/>
            <w:vAlign w:val="center"/>
          </w:tcPr>
          <w:p w14:paraId="146D4BA9"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ІН: 842 / ХП: 8</w:t>
            </w:r>
          </w:p>
        </w:tc>
      </w:tr>
      <w:tr w:rsidR="00366CB9" w14:paraId="556F8867" w14:textId="77777777" w:rsidTr="007751D5">
        <w:trPr>
          <w:trHeight w:hRule="exact" w:val="710"/>
        </w:trPr>
        <w:tc>
          <w:tcPr>
            <w:tcW w:w="1598" w:type="dxa"/>
            <w:tcBorders>
              <w:top w:val="single" w:sz="8" w:space="0" w:color="00B050"/>
            </w:tcBorders>
            <w:shd w:val="clear" w:color="auto" w:fill="FFFFFF"/>
            <w:vAlign w:val="center"/>
          </w:tcPr>
          <w:p w14:paraId="4FE86174" w14:textId="77777777" w:rsidR="00366CB9" w:rsidRPr="00154801" w:rsidRDefault="009D0C1D" w:rsidP="00C670F3">
            <w:pPr>
              <w:pStyle w:val="a6"/>
              <w:shd w:val="clear" w:color="auto" w:fill="auto"/>
              <w:rPr>
                <w:sz w:val="18"/>
                <w:szCs w:val="24"/>
              </w:rPr>
            </w:pPr>
            <w:r w:rsidRPr="00154801">
              <w:rPr>
                <w:b w:val="0"/>
                <w:color w:val="000000"/>
                <w:sz w:val="18"/>
                <w:szCs w:val="24"/>
              </w:rPr>
              <w:t>Етамбутол</w:t>
            </w:r>
          </w:p>
        </w:tc>
        <w:tc>
          <w:tcPr>
            <w:tcW w:w="1483" w:type="dxa"/>
            <w:tcBorders>
              <w:top w:val="single" w:sz="8" w:space="0" w:color="00B050"/>
            </w:tcBorders>
            <w:shd w:val="clear" w:color="auto" w:fill="FFFFFF"/>
            <w:vAlign w:val="center"/>
          </w:tcPr>
          <w:p w14:paraId="20EF8293"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10, 30, 50 %</w:t>
            </w:r>
          </w:p>
        </w:tc>
        <w:tc>
          <w:tcPr>
            <w:tcW w:w="1752" w:type="dxa"/>
            <w:tcBorders>
              <w:top w:val="single" w:sz="8" w:space="0" w:color="00B050"/>
              <w:bottom w:val="single" w:sz="8" w:space="0" w:color="00B050"/>
            </w:tcBorders>
            <w:shd w:val="clear" w:color="auto" w:fill="FFFFFF"/>
            <w:vAlign w:val="bottom"/>
          </w:tcPr>
          <w:p w14:paraId="1F70F64E"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Se: 96,7</w:t>
            </w:r>
          </w:p>
          <w:p w14:paraId="4BA5CAF4"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(95,0-98,4)</w:t>
            </w:r>
          </w:p>
        </w:tc>
        <w:tc>
          <w:tcPr>
            <w:tcW w:w="1747" w:type="dxa"/>
            <w:tcBorders>
              <w:top w:val="single" w:sz="8" w:space="0" w:color="00B050"/>
              <w:bottom w:val="single" w:sz="8" w:space="0" w:color="00B050"/>
            </w:tcBorders>
            <w:shd w:val="clear" w:color="auto" w:fill="FFFFFF"/>
            <w:vAlign w:val="center"/>
          </w:tcPr>
          <w:p w14:paraId="3267CA75"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4 (431)</w:t>
            </w:r>
          </w:p>
        </w:tc>
        <w:tc>
          <w:tcPr>
            <w:tcW w:w="1622" w:type="dxa"/>
            <w:tcBorders>
              <w:top w:val="single" w:sz="8" w:space="0" w:color="00B050"/>
              <w:bottom w:val="single" w:sz="8" w:space="0" w:color="00B050"/>
            </w:tcBorders>
            <w:shd w:val="clear" w:color="auto" w:fill="FFFFFF"/>
            <w:vAlign w:val="center"/>
          </w:tcPr>
          <w:p w14:paraId="52CEBFD9"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Помірна</w:t>
            </w:r>
          </w:p>
        </w:tc>
        <w:tc>
          <w:tcPr>
            <w:tcW w:w="1934" w:type="dxa"/>
            <w:tcBorders>
              <w:top w:val="single" w:sz="8" w:space="0" w:color="00B050"/>
              <w:bottom w:val="single" w:sz="8" w:space="0" w:color="00B050"/>
            </w:tcBorders>
            <w:shd w:val="clear" w:color="auto" w:fill="FFFFFF"/>
            <w:vAlign w:val="center"/>
          </w:tcPr>
          <w:p w14:paraId="60A2BD66"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ІП: 97/ХН: 3</w:t>
            </w:r>
          </w:p>
        </w:tc>
        <w:tc>
          <w:tcPr>
            <w:tcW w:w="1939" w:type="dxa"/>
            <w:tcBorders>
              <w:top w:val="single" w:sz="8" w:space="0" w:color="00B050"/>
              <w:bottom w:val="single" w:sz="8" w:space="0" w:color="00B050"/>
            </w:tcBorders>
            <w:shd w:val="clear" w:color="auto" w:fill="FFFFFF"/>
            <w:vAlign w:val="center"/>
          </w:tcPr>
          <w:p w14:paraId="5E48DC87"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ІП: 291/ХН: 9</w:t>
            </w:r>
          </w:p>
        </w:tc>
        <w:tc>
          <w:tcPr>
            <w:tcW w:w="1939" w:type="dxa"/>
            <w:tcBorders>
              <w:top w:val="single" w:sz="8" w:space="0" w:color="00B050"/>
              <w:bottom w:val="single" w:sz="8" w:space="0" w:color="00B050"/>
            </w:tcBorders>
            <w:shd w:val="clear" w:color="auto" w:fill="FFFFFF"/>
            <w:vAlign w:val="center"/>
          </w:tcPr>
          <w:p w14:paraId="2C410528"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ІП: 485/ХН: 15</w:t>
            </w:r>
          </w:p>
        </w:tc>
      </w:tr>
      <w:tr w:rsidR="00366CB9" w14:paraId="7E5BF518" w14:textId="77777777" w:rsidTr="007751D5">
        <w:trPr>
          <w:trHeight w:hRule="exact" w:val="706"/>
        </w:trPr>
        <w:tc>
          <w:tcPr>
            <w:tcW w:w="1598" w:type="dxa"/>
            <w:tcBorders>
              <w:bottom w:val="single" w:sz="8" w:space="0" w:color="00B050"/>
            </w:tcBorders>
            <w:shd w:val="clear" w:color="auto" w:fill="FFFFFF"/>
          </w:tcPr>
          <w:p w14:paraId="32D0AC17" w14:textId="77777777" w:rsidR="00366CB9" w:rsidRPr="00154801" w:rsidRDefault="00366CB9" w:rsidP="00C670F3">
            <w:pPr>
              <w:rPr>
                <w:sz w:val="18"/>
              </w:rPr>
            </w:pPr>
          </w:p>
        </w:tc>
        <w:tc>
          <w:tcPr>
            <w:tcW w:w="1483" w:type="dxa"/>
            <w:tcBorders>
              <w:bottom w:val="single" w:sz="8" w:space="0" w:color="00B050"/>
            </w:tcBorders>
            <w:shd w:val="clear" w:color="auto" w:fill="FFFFFF"/>
          </w:tcPr>
          <w:p w14:paraId="0A66AB93" w14:textId="77777777" w:rsidR="00366CB9" w:rsidRPr="00154801" w:rsidRDefault="00366CB9" w:rsidP="00C670F3">
            <w:pPr>
              <w:rPr>
                <w:sz w:val="18"/>
              </w:rPr>
            </w:pPr>
          </w:p>
        </w:tc>
        <w:tc>
          <w:tcPr>
            <w:tcW w:w="1752" w:type="dxa"/>
            <w:tcBorders>
              <w:top w:val="single" w:sz="8" w:space="0" w:color="00B050"/>
              <w:bottom w:val="single" w:sz="8" w:space="0" w:color="00B050"/>
            </w:tcBorders>
            <w:shd w:val="clear" w:color="auto" w:fill="FFFFFF"/>
            <w:vAlign w:val="bottom"/>
          </w:tcPr>
          <w:p w14:paraId="1FD0E93E"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Sp: 98,4</w:t>
            </w:r>
          </w:p>
          <w:p w14:paraId="2C90A3E6"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(96,1-100)</w:t>
            </w:r>
          </w:p>
        </w:tc>
        <w:tc>
          <w:tcPr>
            <w:tcW w:w="1747" w:type="dxa"/>
            <w:tcBorders>
              <w:top w:val="single" w:sz="8" w:space="0" w:color="00B050"/>
              <w:bottom w:val="single" w:sz="8" w:space="0" w:color="00B050"/>
            </w:tcBorders>
            <w:shd w:val="clear" w:color="auto" w:fill="FFFFFF"/>
            <w:vAlign w:val="center"/>
          </w:tcPr>
          <w:p w14:paraId="43EC871F"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4 (123)</w:t>
            </w:r>
          </w:p>
        </w:tc>
        <w:tc>
          <w:tcPr>
            <w:tcW w:w="1622" w:type="dxa"/>
            <w:tcBorders>
              <w:top w:val="single" w:sz="8" w:space="0" w:color="00B050"/>
              <w:bottom w:val="single" w:sz="8" w:space="0" w:color="00B050"/>
            </w:tcBorders>
            <w:shd w:val="clear" w:color="auto" w:fill="FFFFFF"/>
            <w:vAlign w:val="center"/>
          </w:tcPr>
          <w:p w14:paraId="64087E8F"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Помірна</w:t>
            </w:r>
          </w:p>
        </w:tc>
        <w:tc>
          <w:tcPr>
            <w:tcW w:w="1934" w:type="dxa"/>
            <w:tcBorders>
              <w:top w:val="single" w:sz="8" w:space="0" w:color="00B050"/>
              <w:bottom w:val="single" w:sz="8" w:space="0" w:color="00B050"/>
            </w:tcBorders>
            <w:shd w:val="clear" w:color="auto" w:fill="FFFFFF"/>
            <w:vAlign w:val="center"/>
          </w:tcPr>
          <w:p w14:paraId="34EC2D09"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ІН: 882 / ХП: 18</w:t>
            </w:r>
          </w:p>
        </w:tc>
        <w:tc>
          <w:tcPr>
            <w:tcW w:w="1939" w:type="dxa"/>
            <w:tcBorders>
              <w:top w:val="single" w:sz="8" w:space="0" w:color="00B050"/>
              <w:bottom w:val="single" w:sz="8" w:space="0" w:color="00B050"/>
            </w:tcBorders>
            <w:shd w:val="clear" w:color="auto" w:fill="FFFFFF"/>
            <w:vAlign w:val="center"/>
          </w:tcPr>
          <w:p w14:paraId="63887A20"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ІН: 686 / ХП: 14</w:t>
            </w:r>
          </w:p>
        </w:tc>
        <w:tc>
          <w:tcPr>
            <w:tcW w:w="1939" w:type="dxa"/>
            <w:tcBorders>
              <w:top w:val="single" w:sz="8" w:space="0" w:color="00B050"/>
              <w:bottom w:val="single" w:sz="8" w:space="0" w:color="00B050"/>
            </w:tcBorders>
            <w:shd w:val="clear" w:color="auto" w:fill="FFFFFF"/>
            <w:vAlign w:val="center"/>
          </w:tcPr>
          <w:p w14:paraId="05C1FEE3"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ІН: 490 / ХП: 10</w:t>
            </w:r>
          </w:p>
        </w:tc>
      </w:tr>
      <w:tr w:rsidR="00366CB9" w14:paraId="5B6402BD" w14:textId="77777777" w:rsidTr="007751D5">
        <w:trPr>
          <w:trHeight w:hRule="exact" w:val="710"/>
        </w:trPr>
        <w:tc>
          <w:tcPr>
            <w:tcW w:w="1598" w:type="dxa"/>
            <w:tcBorders>
              <w:top w:val="single" w:sz="8" w:space="0" w:color="00B050"/>
            </w:tcBorders>
            <w:shd w:val="clear" w:color="auto" w:fill="FFFFFF"/>
            <w:vAlign w:val="center"/>
          </w:tcPr>
          <w:p w14:paraId="28D6A77C" w14:textId="77777777" w:rsidR="00366CB9" w:rsidRPr="00154801" w:rsidRDefault="009D0C1D" w:rsidP="00C670F3">
            <w:pPr>
              <w:pStyle w:val="a6"/>
              <w:shd w:val="clear" w:color="auto" w:fill="auto"/>
              <w:rPr>
                <w:sz w:val="18"/>
                <w:szCs w:val="24"/>
              </w:rPr>
            </w:pPr>
            <w:r w:rsidRPr="00154801">
              <w:rPr>
                <w:b w:val="0"/>
                <w:color w:val="000000"/>
                <w:sz w:val="18"/>
                <w:szCs w:val="24"/>
              </w:rPr>
              <w:t>Стрептоміцин</w:t>
            </w:r>
          </w:p>
        </w:tc>
        <w:tc>
          <w:tcPr>
            <w:tcW w:w="1483" w:type="dxa"/>
            <w:tcBorders>
              <w:top w:val="single" w:sz="8" w:space="0" w:color="00B050"/>
            </w:tcBorders>
            <w:shd w:val="clear" w:color="auto" w:fill="FFFFFF"/>
            <w:vAlign w:val="center"/>
          </w:tcPr>
          <w:p w14:paraId="4DE40CFF"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10, 30, 50 %</w:t>
            </w:r>
          </w:p>
        </w:tc>
        <w:tc>
          <w:tcPr>
            <w:tcW w:w="1752" w:type="dxa"/>
            <w:tcBorders>
              <w:top w:val="single" w:sz="8" w:space="0" w:color="00B050"/>
              <w:bottom w:val="single" w:sz="8" w:space="0" w:color="00B050"/>
            </w:tcBorders>
            <w:shd w:val="clear" w:color="auto" w:fill="FFFFFF"/>
            <w:vAlign w:val="bottom"/>
          </w:tcPr>
          <w:p w14:paraId="40D38162"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Se: 98,1</w:t>
            </w:r>
          </w:p>
          <w:p w14:paraId="0D1751EA"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(96,1-100)</w:t>
            </w:r>
          </w:p>
        </w:tc>
        <w:tc>
          <w:tcPr>
            <w:tcW w:w="1747" w:type="dxa"/>
            <w:tcBorders>
              <w:top w:val="single" w:sz="8" w:space="0" w:color="00B050"/>
              <w:bottom w:val="single" w:sz="8" w:space="0" w:color="00B050"/>
            </w:tcBorders>
            <w:shd w:val="clear" w:color="auto" w:fill="FFFFFF"/>
            <w:vAlign w:val="center"/>
          </w:tcPr>
          <w:p w14:paraId="52AE3228"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5 (493)</w:t>
            </w:r>
          </w:p>
        </w:tc>
        <w:tc>
          <w:tcPr>
            <w:tcW w:w="1622" w:type="dxa"/>
            <w:tcBorders>
              <w:top w:val="single" w:sz="8" w:space="0" w:color="00B050"/>
              <w:bottom w:val="single" w:sz="8" w:space="0" w:color="00B050"/>
            </w:tcBorders>
            <w:shd w:val="clear" w:color="auto" w:fill="FFFFFF"/>
            <w:vAlign w:val="center"/>
          </w:tcPr>
          <w:p w14:paraId="7FC7128D"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Висока</w:t>
            </w:r>
          </w:p>
        </w:tc>
        <w:tc>
          <w:tcPr>
            <w:tcW w:w="1934" w:type="dxa"/>
            <w:tcBorders>
              <w:top w:val="single" w:sz="8" w:space="0" w:color="00B050"/>
              <w:bottom w:val="single" w:sz="8" w:space="0" w:color="00B050"/>
            </w:tcBorders>
            <w:shd w:val="clear" w:color="auto" w:fill="FFFFFF"/>
            <w:vAlign w:val="center"/>
          </w:tcPr>
          <w:p w14:paraId="131FAC41"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ІП: 98/ХН: 2</w:t>
            </w:r>
          </w:p>
        </w:tc>
        <w:tc>
          <w:tcPr>
            <w:tcW w:w="1939" w:type="dxa"/>
            <w:tcBorders>
              <w:top w:val="single" w:sz="8" w:space="0" w:color="00B050"/>
              <w:bottom w:val="single" w:sz="8" w:space="0" w:color="00B050"/>
            </w:tcBorders>
            <w:shd w:val="clear" w:color="auto" w:fill="FFFFFF"/>
            <w:vAlign w:val="center"/>
          </w:tcPr>
          <w:p w14:paraId="411FE4FF"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ІП: 294/ХН: 6</w:t>
            </w:r>
          </w:p>
        </w:tc>
        <w:tc>
          <w:tcPr>
            <w:tcW w:w="1939" w:type="dxa"/>
            <w:tcBorders>
              <w:top w:val="single" w:sz="8" w:space="0" w:color="00B050"/>
              <w:bottom w:val="single" w:sz="8" w:space="0" w:color="00B050"/>
            </w:tcBorders>
            <w:shd w:val="clear" w:color="auto" w:fill="FFFFFF"/>
            <w:vAlign w:val="center"/>
          </w:tcPr>
          <w:p w14:paraId="7FA0EAFE"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ІП: 490/ХН: 10</w:t>
            </w:r>
          </w:p>
        </w:tc>
      </w:tr>
      <w:tr w:rsidR="00366CB9" w14:paraId="1131FBE1" w14:textId="77777777" w:rsidTr="007751D5">
        <w:trPr>
          <w:trHeight w:hRule="exact" w:val="706"/>
        </w:trPr>
        <w:tc>
          <w:tcPr>
            <w:tcW w:w="1598" w:type="dxa"/>
            <w:tcBorders>
              <w:bottom w:val="single" w:sz="8" w:space="0" w:color="00B050"/>
            </w:tcBorders>
            <w:shd w:val="clear" w:color="auto" w:fill="FFFFFF"/>
          </w:tcPr>
          <w:p w14:paraId="26C9FF3A" w14:textId="77777777" w:rsidR="00366CB9" w:rsidRPr="00154801" w:rsidRDefault="00366CB9" w:rsidP="00C670F3">
            <w:pPr>
              <w:rPr>
                <w:sz w:val="18"/>
              </w:rPr>
            </w:pPr>
          </w:p>
        </w:tc>
        <w:tc>
          <w:tcPr>
            <w:tcW w:w="1483" w:type="dxa"/>
            <w:tcBorders>
              <w:bottom w:val="single" w:sz="8" w:space="0" w:color="00B050"/>
            </w:tcBorders>
            <w:shd w:val="clear" w:color="auto" w:fill="FFFFFF"/>
          </w:tcPr>
          <w:p w14:paraId="2E51237F" w14:textId="77777777" w:rsidR="00366CB9" w:rsidRPr="00154801" w:rsidRDefault="00366CB9" w:rsidP="00C670F3">
            <w:pPr>
              <w:rPr>
                <w:sz w:val="18"/>
              </w:rPr>
            </w:pPr>
          </w:p>
        </w:tc>
        <w:tc>
          <w:tcPr>
            <w:tcW w:w="1752" w:type="dxa"/>
            <w:tcBorders>
              <w:top w:val="single" w:sz="8" w:space="0" w:color="00B050"/>
              <w:bottom w:val="single" w:sz="8" w:space="0" w:color="00B050"/>
            </w:tcBorders>
            <w:shd w:val="clear" w:color="auto" w:fill="FFFFFF"/>
            <w:vAlign w:val="bottom"/>
          </w:tcPr>
          <w:p w14:paraId="79CB874A"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Sp: 75,0</w:t>
            </w:r>
          </w:p>
          <w:p w14:paraId="10121F04"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(59,5-90,5)</w:t>
            </w:r>
          </w:p>
        </w:tc>
        <w:tc>
          <w:tcPr>
            <w:tcW w:w="1747" w:type="dxa"/>
            <w:tcBorders>
              <w:top w:val="single" w:sz="8" w:space="0" w:color="00B050"/>
              <w:bottom w:val="single" w:sz="8" w:space="0" w:color="00B050"/>
            </w:tcBorders>
            <w:shd w:val="clear" w:color="auto" w:fill="FFFFFF"/>
            <w:vAlign w:val="center"/>
          </w:tcPr>
          <w:p w14:paraId="223C9D1E"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5 (250)</w:t>
            </w:r>
          </w:p>
        </w:tc>
        <w:tc>
          <w:tcPr>
            <w:tcW w:w="1622" w:type="dxa"/>
            <w:tcBorders>
              <w:top w:val="single" w:sz="8" w:space="0" w:color="00B050"/>
              <w:bottom w:val="single" w:sz="8" w:space="0" w:color="00B050"/>
            </w:tcBorders>
            <w:shd w:val="clear" w:color="auto" w:fill="FFFFFF"/>
            <w:vAlign w:val="center"/>
          </w:tcPr>
          <w:p w14:paraId="0A645860"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Низька</w:t>
            </w:r>
          </w:p>
        </w:tc>
        <w:tc>
          <w:tcPr>
            <w:tcW w:w="1934" w:type="dxa"/>
            <w:tcBorders>
              <w:top w:val="single" w:sz="8" w:space="0" w:color="00B050"/>
              <w:bottom w:val="single" w:sz="8" w:space="0" w:color="00B050"/>
            </w:tcBorders>
            <w:shd w:val="clear" w:color="auto" w:fill="FFFFFF"/>
            <w:vAlign w:val="center"/>
          </w:tcPr>
          <w:p w14:paraId="469F117F"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ІН: 675 / ХП: 225</w:t>
            </w:r>
          </w:p>
        </w:tc>
        <w:tc>
          <w:tcPr>
            <w:tcW w:w="1939" w:type="dxa"/>
            <w:tcBorders>
              <w:top w:val="single" w:sz="8" w:space="0" w:color="00B050"/>
              <w:bottom w:val="single" w:sz="8" w:space="0" w:color="00B050"/>
            </w:tcBorders>
            <w:shd w:val="clear" w:color="auto" w:fill="FFFFFF"/>
            <w:vAlign w:val="center"/>
          </w:tcPr>
          <w:p w14:paraId="5F6F1EEF"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ІН: 525 / ХП: 175</w:t>
            </w:r>
          </w:p>
        </w:tc>
        <w:tc>
          <w:tcPr>
            <w:tcW w:w="1939" w:type="dxa"/>
            <w:tcBorders>
              <w:top w:val="single" w:sz="8" w:space="0" w:color="00B050"/>
              <w:bottom w:val="single" w:sz="8" w:space="0" w:color="00B050"/>
            </w:tcBorders>
            <w:shd w:val="clear" w:color="auto" w:fill="FFFFFF"/>
            <w:vAlign w:val="center"/>
          </w:tcPr>
          <w:p w14:paraId="4502A2F2" w14:textId="77777777" w:rsidR="00366CB9" w:rsidRPr="00154801" w:rsidRDefault="009D0C1D" w:rsidP="00C670F3">
            <w:pPr>
              <w:pStyle w:val="a6"/>
              <w:shd w:val="clear" w:color="auto" w:fill="auto"/>
              <w:jc w:val="center"/>
              <w:rPr>
                <w:sz w:val="18"/>
                <w:szCs w:val="24"/>
              </w:rPr>
            </w:pPr>
            <w:r w:rsidRPr="00154801">
              <w:rPr>
                <w:b w:val="0"/>
                <w:color w:val="000000"/>
                <w:sz w:val="18"/>
                <w:szCs w:val="24"/>
              </w:rPr>
              <w:t>ІН: 375 / ХП: 125</w:t>
            </w:r>
          </w:p>
        </w:tc>
      </w:tr>
      <w:tr w:rsidR="00366CB9" w14:paraId="21FC7F90" w14:textId="77777777" w:rsidTr="007751D5">
        <w:trPr>
          <w:trHeight w:hRule="exact" w:val="1591"/>
        </w:trPr>
        <w:tc>
          <w:tcPr>
            <w:tcW w:w="14014" w:type="dxa"/>
            <w:gridSpan w:val="8"/>
            <w:tcBorders>
              <w:top w:val="single" w:sz="8" w:space="0" w:color="00B050"/>
            </w:tcBorders>
            <w:shd w:val="clear" w:color="auto" w:fill="FFFFFF"/>
            <w:vAlign w:val="bottom"/>
          </w:tcPr>
          <w:p w14:paraId="459891AC" w14:textId="77777777" w:rsidR="00366CB9" w:rsidRDefault="009D0C1D" w:rsidP="00C670F3">
            <w:pPr>
              <w:pStyle w:val="a6"/>
              <w:shd w:val="clear" w:color="auto" w:fill="auto"/>
              <w:spacing w:after="40" w:line="266" w:lineRule="auto"/>
              <w:rPr>
                <w:sz w:val="17"/>
                <w:szCs w:val="17"/>
              </w:rPr>
            </w:pPr>
            <w:r>
              <w:rPr>
                <w:b w:val="0"/>
                <w:color w:val="000000"/>
                <w:sz w:val="17"/>
              </w:rPr>
              <w:t>ДІ: довірчий інтервал; ХН: хибнонегативний; ХП: хибнопозитивний; ГРК: група з розробки керівництва; МЛС/Риф-ТБ: туберкульоз із множинною лікарською стійкістю або рифампіцин-резистентний туберкульоз; СНП: секвенування наступного покоління; Se: чутливість; Sp: специфічність; ТБ: туберкульоз; ІН: істинно негативний; ІП: істинно позитивний.</w:t>
            </w:r>
          </w:p>
          <w:p w14:paraId="09195066" w14:textId="77777777" w:rsidR="00366CB9" w:rsidRDefault="009D0C1D" w:rsidP="00C670F3">
            <w:pPr>
              <w:pStyle w:val="a6"/>
              <w:shd w:val="clear" w:color="auto" w:fill="auto"/>
              <w:spacing w:after="40" w:line="266" w:lineRule="auto"/>
              <w:rPr>
                <w:sz w:val="17"/>
                <w:szCs w:val="17"/>
              </w:rPr>
            </w:pPr>
            <w:r>
              <w:rPr>
                <w:b w:val="0"/>
                <w:color w:val="000000"/>
                <w:sz w:val="17"/>
              </w:rPr>
              <w:t>Лікарський засіб: RIF: рифампіцин.</w:t>
            </w:r>
          </w:p>
          <w:p w14:paraId="2B2E1586" w14:textId="5D1C9388" w:rsidR="00366CB9" w:rsidRDefault="009D0C1D" w:rsidP="00C670F3">
            <w:pPr>
              <w:pStyle w:val="a6"/>
              <w:shd w:val="clear" w:color="auto" w:fill="auto"/>
              <w:spacing w:after="40" w:line="266" w:lineRule="auto"/>
              <w:ind w:left="140" w:hanging="140"/>
              <w:jc w:val="both"/>
              <w:rPr>
                <w:sz w:val="17"/>
                <w:szCs w:val="17"/>
              </w:rPr>
            </w:pPr>
            <w:r>
              <w:rPr>
                <w:b w:val="0"/>
                <w:color w:val="000000"/>
                <w:sz w:val="17"/>
                <w:vertAlign w:val="superscript"/>
              </w:rPr>
              <w:t>a</w:t>
            </w:r>
            <w:r w:rsidR="006E22E5">
              <w:tab/>
            </w:r>
            <w:r>
              <w:rPr>
                <w:b w:val="0"/>
                <w:color w:val="000000"/>
                <w:sz w:val="17"/>
              </w:rPr>
              <w:t>Чутливість та специфічність є об’єднаними показниками, розрахованими для рекомендацій класу рішень в рамках цільового СНП, проведених для ГРК у 2024 році. У наступному виданні цього довідника об’єднані показники чутливості та специфічності буде оновлено для включення значень для додаткових рекомендованих рішень.</w:t>
            </w:r>
          </w:p>
        </w:tc>
      </w:tr>
    </w:tbl>
    <w:tbl>
      <w:tblPr>
        <w:tblOverlap w:val="never"/>
        <w:tblW w:w="0" w:type="auto"/>
        <w:tblLayout w:type="fixed"/>
        <w:tblCellMar>
          <w:left w:w="10" w:type="dxa"/>
          <w:right w:w="10" w:type="dxa"/>
        </w:tblCellMar>
        <w:tblLook w:val="0000" w:firstRow="0" w:lastRow="0" w:firstColumn="0" w:lastColumn="0" w:noHBand="0" w:noVBand="0"/>
      </w:tblPr>
      <w:tblGrid>
        <w:gridCol w:w="197"/>
      </w:tblGrid>
      <w:tr w:rsidR="00366CB9" w14:paraId="67BB5296" w14:textId="77777777">
        <w:trPr>
          <w:trHeight w:hRule="exact" w:val="586"/>
        </w:trPr>
        <w:tc>
          <w:tcPr>
            <w:tcW w:w="197" w:type="dxa"/>
            <w:shd w:val="clear" w:color="auto" w:fill="FFFFFF"/>
            <w:textDirection w:val="tbRl"/>
          </w:tcPr>
          <w:p w14:paraId="6EB66E88" w14:textId="77777777" w:rsidR="00366CB9" w:rsidRDefault="009D0C1D" w:rsidP="00425523">
            <w:pPr>
              <w:pStyle w:val="a6"/>
              <w:framePr w:w="197" w:h="5333" w:wrap="none" w:vAnchor="page" w:hAnchor="page" w:x="676" w:y="806"/>
              <w:shd w:val="clear" w:color="auto" w:fill="auto"/>
              <w:rPr>
                <w:sz w:val="15"/>
                <w:szCs w:val="15"/>
              </w:rPr>
            </w:pPr>
            <w:r>
              <w:rPr>
                <w:b w:val="0"/>
                <w:color w:val="019648"/>
                <w:sz w:val="15"/>
              </w:rPr>
              <w:t>76</w:t>
            </w:r>
          </w:p>
        </w:tc>
      </w:tr>
      <w:tr w:rsidR="00366CB9" w14:paraId="2490CBB0" w14:textId="77777777" w:rsidTr="006E22E5">
        <w:trPr>
          <w:trHeight w:hRule="exact" w:val="5226"/>
        </w:trPr>
        <w:tc>
          <w:tcPr>
            <w:tcW w:w="197" w:type="dxa"/>
            <w:shd w:val="clear" w:color="auto" w:fill="FFFFFF"/>
            <w:textDirection w:val="tbRl"/>
          </w:tcPr>
          <w:p w14:paraId="185C3603" w14:textId="77777777" w:rsidR="00366CB9" w:rsidRDefault="009D0C1D" w:rsidP="00425523">
            <w:pPr>
              <w:pStyle w:val="a6"/>
              <w:framePr w:w="197" w:h="5333" w:wrap="none" w:vAnchor="page" w:hAnchor="page" w:x="676" w:y="806"/>
              <w:shd w:val="clear" w:color="auto" w:fill="auto"/>
              <w:rPr>
                <w:sz w:val="15"/>
                <w:szCs w:val="15"/>
              </w:rPr>
            </w:pPr>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p>
        </w:tc>
      </w:tr>
    </w:tbl>
    <w:p w14:paraId="61E2D40F" w14:textId="77777777" w:rsidR="00366CB9" w:rsidRDefault="00366CB9" w:rsidP="00425523">
      <w:pPr>
        <w:spacing w:line="1" w:lineRule="exact"/>
        <w:sectPr w:rsidR="00366CB9" w:rsidSect="00C670F3">
          <w:type w:val="nextColumn"/>
          <w:pgSz w:w="16840" w:h="11913" w:orient="landscape"/>
          <w:pgMar w:top="1406" w:right="1321" w:bottom="851" w:left="1503" w:header="0" w:footer="6" w:gutter="0"/>
          <w:paperSrc w:first="15" w:other="15"/>
          <w:cols w:space="720"/>
          <w:noEndnote/>
          <w:docGrid w:linePitch="360"/>
        </w:sectPr>
      </w:pPr>
    </w:p>
    <w:p w14:paraId="55EE3B55" w14:textId="77777777" w:rsidR="00366CB9" w:rsidRDefault="00366CB9" w:rsidP="00425523">
      <w:pPr>
        <w:spacing w:line="1" w:lineRule="exact"/>
      </w:pPr>
    </w:p>
    <w:p w14:paraId="2F671DB2" w14:textId="77777777" w:rsidR="00366CB9" w:rsidRDefault="009D0C1D" w:rsidP="00A31BA7">
      <w:pPr>
        <w:pStyle w:val="22"/>
        <w:numPr>
          <w:ilvl w:val="1"/>
          <w:numId w:val="9"/>
        </w:numPr>
        <w:shd w:val="clear" w:color="auto" w:fill="auto"/>
        <w:tabs>
          <w:tab w:val="left" w:pos="692"/>
        </w:tabs>
        <w:spacing w:after="140" w:line="264" w:lineRule="auto"/>
        <w:jc w:val="both"/>
      </w:pPr>
      <w:bookmarkStart w:id="87" w:name="bookmark85"/>
      <w:bookmarkStart w:id="88" w:name="bookmark86"/>
      <w:bookmarkStart w:id="89" w:name="bookmark84"/>
      <w:r>
        <w:t>Планування та впровадження якісних послуг з тестування на виявлення ТБ</w:t>
      </w:r>
      <w:bookmarkEnd w:id="87"/>
      <w:bookmarkEnd w:id="88"/>
      <w:bookmarkEnd w:id="89"/>
    </w:p>
    <w:p w14:paraId="21EB0C22" w14:textId="77777777" w:rsidR="00366CB9" w:rsidRPr="00154801" w:rsidRDefault="009D0C1D" w:rsidP="00A31BA7">
      <w:pPr>
        <w:pStyle w:val="1"/>
        <w:shd w:val="clear" w:color="auto" w:fill="auto"/>
        <w:spacing w:after="140" w:line="324" w:lineRule="auto"/>
        <w:jc w:val="both"/>
        <w:rPr>
          <w:sz w:val="18"/>
          <w:szCs w:val="18"/>
        </w:rPr>
      </w:pPr>
      <w:r w:rsidRPr="00154801">
        <w:rPr>
          <w:sz w:val="18"/>
          <w:szCs w:val="18"/>
        </w:rPr>
        <w:t>В рамках ширшої системи управління якістю (СУЯ) для послуг з тестування, забезпечення якості (ЗЯ) визначається як набір планових та систематичних заходів для забезпечення дотримання організаційних вимог до якості; це дозволяє лабораторіям підтримувати точність, надійність та відтворюваність результатів. Основні заходи ЗЯ включають підготовку та оцінку компетентності персоналу, перевірку та технічне обслуговування обладнання, валідацію методів, тестування партій реактивів, рутинні процедури КЯ, ЗОЯ, наприклад, кваліфікаційні випробування, контроль показників якості та дії з безперервного покращення якості. Циклічний зворотний зв’язок та коригуючі дії мають важливе значення для підтримки та зміцнення процесів ЗЯ. Ці важливі заходи підвищують довіру клініцистів та пацієнтів, які користуються діагностичними послугами для прийняття рішень щодо догляду та лікування, що може підвищити попит на клінічні тести та їхній вплив на лікування пацієнтів.</w:t>
      </w:r>
    </w:p>
    <w:p w14:paraId="513D3F5B" w14:textId="77777777" w:rsidR="00366CB9" w:rsidRPr="00154801" w:rsidRDefault="009D0C1D" w:rsidP="00A31BA7">
      <w:pPr>
        <w:pStyle w:val="1"/>
        <w:shd w:val="clear" w:color="auto" w:fill="auto"/>
        <w:spacing w:after="140" w:line="324" w:lineRule="auto"/>
        <w:jc w:val="both"/>
        <w:rPr>
          <w:sz w:val="18"/>
          <w:szCs w:val="18"/>
        </w:rPr>
      </w:pPr>
      <w:r w:rsidRPr="00154801">
        <w:rPr>
          <w:sz w:val="18"/>
          <w:szCs w:val="18"/>
        </w:rPr>
        <w:t>Ключові поточні проблеми ЗЯ у разі обмежених ресурсів включають неузгоджену практику, відсутність систематичного збору або контролю лабораторних показників, недостатнє виділення ресурсів для КЯ та ЗОЯ, а також мінливість у якості та своєчасності підготовки та оцінки компетенцій персоналу з тестування та клінічного персоналу.</w:t>
      </w:r>
    </w:p>
    <w:p w14:paraId="35B45915" w14:textId="77777777" w:rsidR="00366CB9" w:rsidRPr="00154801" w:rsidRDefault="009D0C1D" w:rsidP="00A31BA7">
      <w:pPr>
        <w:pStyle w:val="1"/>
        <w:shd w:val="clear" w:color="auto" w:fill="auto"/>
        <w:spacing w:after="240" w:line="324" w:lineRule="auto"/>
        <w:jc w:val="both"/>
        <w:rPr>
          <w:sz w:val="18"/>
          <w:szCs w:val="18"/>
        </w:rPr>
      </w:pPr>
      <w:r w:rsidRPr="00154801">
        <w:rPr>
          <w:sz w:val="18"/>
          <w:szCs w:val="18"/>
        </w:rPr>
        <w:t xml:space="preserve">Для вирішення цих проблем в рамках програм необхідно переглядати та передбачати бюджет на потреби у ЗЯ на ранніх етапах процесів перегляду, вибору та визначення тестів. У </w:t>
      </w:r>
      <w:hyperlink w:anchor="bookmark203" w:tooltip="Поточний документ">
        <w:r w:rsidR="00366CB9" w:rsidRPr="00154801">
          <w:rPr>
            <w:b/>
            <w:sz w:val="18"/>
            <w:szCs w:val="18"/>
          </w:rPr>
          <w:t>Додатку 1</w:t>
        </w:r>
      </w:hyperlink>
      <w:r w:rsidRPr="00154801">
        <w:rPr>
          <w:sz w:val="18"/>
          <w:szCs w:val="18"/>
        </w:rPr>
        <w:t xml:space="preserve"> описані бюджетні міркування щодо тестів на ТБ, та інструмент планування та бюджетування в рамках ГЛІ (</w:t>
      </w:r>
      <w:hyperlink w:anchor="bookmark198" w:tooltip="Поточний документ">
        <w:r w:rsidR="00366CB9" w:rsidRPr="00154801">
          <w:rPr>
            <w:sz w:val="18"/>
            <w:szCs w:val="18"/>
          </w:rPr>
          <w:t>55</w:t>
        </w:r>
      </w:hyperlink>
      <w:r w:rsidRPr="00154801">
        <w:rPr>
          <w:sz w:val="18"/>
          <w:szCs w:val="18"/>
        </w:rPr>
        <w:t>) для прогнозування витрат, пов’язаних з тестуванням, включаючи необхідні та рекомендовані міркування щодо вартості конкретного тесту. Крім того, в рамках ГЛІ було створено інформаційні панелі ЗОЯ та програми для тестів на ТБ (з детальною та контактною інформацією для лікарів), щоб допомогти у виборі та плануванні бюджету на надання послуг із ЗОЯ (</w:t>
      </w:r>
      <w:hyperlink w:anchor="bookmark198" w:tooltip="Поточний документ">
        <w:r w:rsidR="00366CB9" w:rsidRPr="00154801">
          <w:rPr>
            <w:sz w:val="18"/>
            <w:szCs w:val="18"/>
          </w:rPr>
          <w:t>56</w:t>
        </w:r>
      </w:hyperlink>
      <w:r w:rsidRPr="00154801">
        <w:rPr>
          <w:sz w:val="18"/>
          <w:szCs w:val="18"/>
        </w:rPr>
        <w:t>). Нарешті, під час впровадження тестування вимагається тісна співпраця між програмами тестування та клінічними програмами, а також між програмами боротьби з ТБ та іншими захворюваннями, щоб допомогти у повідомленні про діяльність із ЗЯ, пов’язану з вибором, визначенням, підготовкою, використанням та вимірюванням показників тесту. Див. подальші практичні міркування щодо ЗЯ конкретних тестів на веб-сайті ГЛІ в рамках Партнерства «Зупинимо туберкульоз» (</w:t>
      </w:r>
      <w:hyperlink w:anchor="bookmark193" w:tooltip="Поточний документ">
        <w:r w:rsidR="00366CB9" w:rsidRPr="00154801">
          <w:rPr>
            <w:sz w:val="18"/>
            <w:szCs w:val="18"/>
          </w:rPr>
          <w:t>12</w:t>
        </w:r>
      </w:hyperlink>
      <w:r w:rsidRPr="00154801">
        <w:rPr>
          <w:sz w:val="18"/>
          <w:szCs w:val="18"/>
        </w:rPr>
        <w:t>),секретаріатом якого є ВООЗ.</w:t>
      </w:r>
    </w:p>
    <w:p w14:paraId="62CA37FE" w14:textId="77777777" w:rsidR="00366CB9" w:rsidRDefault="009D0C1D" w:rsidP="00A31BA7">
      <w:pPr>
        <w:pStyle w:val="22"/>
        <w:numPr>
          <w:ilvl w:val="1"/>
          <w:numId w:val="9"/>
        </w:numPr>
        <w:shd w:val="clear" w:color="auto" w:fill="auto"/>
        <w:tabs>
          <w:tab w:val="left" w:pos="687"/>
        </w:tabs>
        <w:spacing w:after="140" w:line="264" w:lineRule="auto"/>
        <w:jc w:val="both"/>
      </w:pPr>
      <w:bookmarkStart w:id="90" w:name="bookmark88"/>
      <w:bookmarkStart w:id="91" w:name="bookmark89"/>
      <w:bookmarkStart w:id="92" w:name="bookmark87"/>
      <w:r>
        <w:t>Супутнє тестування для покращення виявлення випадків у дітей та людей (будь-якого віку), які живуть з ВІЛ</w:t>
      </w:r>
      <w:bookmarkEnd w:id="90"/>
      <w:bookmarkEnd w:id="91"/>
      <w:bookmarkEnd w:id="92"/>
    </w:p>
    <w:p w14:paraId="02D3026A" w14:textId="77777777" w:rsidR="00366CB9" w:rsidRPr="00154801" w:rsidRDefault="009D0C1D" w:rsidP="00A31BA7">
      <w:pPr>
        <w:pStyle w:val="1"/>
        <w:shd w:val="clear" w:color="auto" w:fill="auto"/>
        <w:spacing w:line="324" w:lineRule="auto"/>
        <w:jc w:val="both"/>
        <w:rPr>
          <w:sz w:val="18"/>
          <w:szCs w:val="18"/>
        </w:rPr>
      </w:pPr>
      <w:r w:rsidRPr="00154801">
        <w:rPr>
          <w:sz w:val="18"/>
          <w:szCs w:val="18"/>
        </w:rPr>
        <w:t>Застосування mWRD як початкового тесту для діагностики ТБ суттєво підвищує чутливість процесу діагностики порівняно із застосуванням мікроскопії мазка мокротиння (</w:t>
      </w:r>
      <w:hyperlink w:anchor="bookmark198" w:tooltip="Поточний документ">
        <w:r w:rsidR="00366CB9" w:rsidRPr="00154801">
          <w:rPr>
            <w:sz w:val="18"/>
            <w:szCs w:val="18"/>
          </w:rPr>
          <w:t>57</w:t>
        </w:r>
      </w:hyperlink>
      <w:r w:rsidRPr="00154801">
        <w:rPr>
          <w:sz w:val="18"/>
          <w:szCs w:val="18"/>
        </w:rPr>
        <w:t>). Однак певні субпопуляції можуть не отримати безпосередньої користі від високої чутливості молекулярних тестів. Наприклад, людям, які живуть з ВІЛ (особливо з активною формою), важко виділити мокротиння; аналогічним чином, діти, особливо у віці до 5 років, часто не можуть виділяти мокротиння належним чином. Крім того, якщо людина, яка живе з ВІЛ, або маленька дитина може виділяти мокротиння, у ньому часто міститься низька або змінна кількість мікобактерій. Це означає, що може бути важко підтвердити ТБ бактеріологічно; включення альтернативних типів зразків, що можна зібрати неінвазивним способом, може вирішити деякі з цих проблем, покращити процес бактеріологічного підтвердження захворювання та пришвидшити встановлення діагнозу.</w:t>
      </w:r>
    </w:p>
    <w:p w14:paraId="741048A3" w14:textId="77777777" w:rsidR="00366CB9" w:rsidRDefault="00366CB9" w:rsidP="00425523">
      <w:pPr>
        <w:spacing w:line="1" w:lineRule="exact"/>
        <w:sectPr w:rsidR="00366CB9" w:rsidSect="006E22E5">
          <w:footerReference w:type="default" r:id="rId106"/>
          <w:pgSz w:w="11911" w:h="17036"/>
          <w:pgMar w:top="1469" w:right="1378" w:bottom="142" w:left="1372" w:header="0" w:footer="3" w:gutter="0"/>
          <w:paperSrc w:first="15" w:other="15"/>
          <w:cols w:space="720"/>
          <w:noEndnote/>
          <w:docGrid w:linePitch="360"/>
        </w:sectPr>
      </w:pPr>
    </w:p>
    <w:p w14:paraId="2FBF94E5" w14:textId="77777777" w:rsidR="00366CB9" w:rsidRDefault="00366CB9" w:rsidP="00425523">
      <w:pPr>
        <w:spacing w:line="1" w:lineRule="exact"/>
      </w:pPr>
    </w:p>
    <w:p w14:paraId="63BFF386" w14:textId="77777777" w:rsidR="00366CB9" w:rsidRPr="00154801" w:rsidRDefault="009D0C1D" w:rsidP="00A31BA7">
      <w:pPr>
        <w:pStyle w:val="1"/>
        <w:shd w:val="clear" w:color="auto" w:fill="auto"/>
        <w:spacing w:after="140" w:line="324" w:lineRule="auto"/>
        <w:jc w:val="both"/>
        <w:rPr>
          <w:sz w:val="18"/>
          <w:szCs w:val="18"/>
        </w:rPr>
      </w:pPr>
      <w:r w:rsidRPr="00154801">
        <w:rPr>
          <w:sz w:val="18"/>
          <w:szCs w:val="18"/>
        </w:rPr>
        <w:t>Щоб оцінити, чи підвищує тестування кількох типів зразків («супутнє тестування) точність діагностики. Тому ВООЗ ініціювала систематичний огляд у 2024 році, в якому ГРК оцінила докази для трьох груп ризику: дорослі та підлітки, які живуть з ВІЛ, діти у віці до 10 років з негативним або невідомим ВІЛ-статусом, та діти, які живуть з ВІЛ. Тести, для яких були доступні дані, включали LC-aNAAT (застосовувався для дихальних проб та зразків калу) та LF-LAM сечі для ВІЛ-позитивних осіб. ГРК оцінила такі комбінації:</w:t>
      </w:r>
    </w:p>
    <w:p w14:paraId="1027F33D" w14:textId="77777777" w:rsidR="00154801" w:rsidRDefault="009D0C1D" w:rsidP="00154801">
      <w:pPr>
        <w:pStyle w:val="1"/>
        <w:shd w:val="clear" w:color="auto" w:fill="auto"/>
        <w:tabs>
          <w:tab w:val="left" w:pos="284"/>
        </w:tabs>
        <w:spacing w:line="324" w:lineRule="auto"/>
        <w:jc w:val="both"/>
        <w:rPr>
          <w:sz w:val="18"/>
          <w:szCs w:val="18"/>
        </w:rPr>
      </w:pPr>
      <w:r w:rsidRPr="00154801">
        <w:rPr>
          <w:color w:val="019648"/>
          <w:sz w:val="18"/>
          <w:szCs w:val="18"/>
        </w:rPr>
        <w:t xml:space="preserve">• </w:t>
      </w:r>
      <w:r w:rsidR="00154801">
        <w:tab/>
      </w:r>
      <w:r w:rsidRPr="00154801">
        <w:rPr>
          <w:sz w:val="18"/>
          <w:szCs w:val="18"/>
        </w:rPr>
        <w:t>дорослі та підлітки з ВІЛ – LC-aNAAT на одному зразку з дихальних шляхів та LF-LAM сечі;</w:t>
      </w:r>
    </w:p>
    <w:p w14:paraId="55EE4FD1" w14:textId="67AB2B5F" w:rsidR="00366CB9" w:rsidRPr="00154801" w:rsidRDefault="009D0C1D" w:rsidP="00154801">
      <w:pPr>
        <w:pStyle w:val="1"/>
        <w:shd w:val="clear" w:color="auto" w:fill="auto"/>
        <w:tabs>
          <w:tab w:val="left" w:pos="284"/>
        </w:tabs>
        <w:spacing w:line="324" w:lineRule="auto"/>
        <w:jc w:val="both"/>
        <w:rPr>
          <w:sz w:val="18"/>
          <w:szCs w:val="18"/>
        </w:rPr>
      </w:pPr>
      <w:r w:rsidRPr="00154801">
        <w:rPr>
          <w:color w:val="019648"/>
          <w:sz w:val="18"/>
          <w:szCs w:val="18"/>
        </w:rPr>
        <w:t xml:space="preserve">• </w:t>
      </w:r>
      <w:r w:rsidR="00154801">
        <w:tab/>
      </w:r>
      <w:r w:rsidRPr="00154801">
        <w:rPr>
          <w:sz w:val="18"/>
          <w:szCs w:val="18"/>
        </w:rPr>
        <w:t>діти – LC-aNAAT на одній дихальній пробі та одному зразку калу; та</w:t>
      </w:r>
    </w:p>
    <w:p w14:paraId="3278F399" w14:textId="4E37CCBD" w:rsidR="00366CB9" w:rsidRPr="00154801" w:rsidRDefault="009D0C1D" w:rsidP="00154801">
      <w:pPr>
        <w:pStyle w:val="1"/>
        <w:shd w:val="clear" w:color="auto" w:fill="auto"/>
        <w:tabs>
          <w:tab w:val="left" w:pos="284"/>
        </w:tabs>
        <w:spacing w:after="140" w:line="324" w:lineRule="auto"/>
        <w:ind w:left="260" w:hanging="260"/>
        <w:jc w:val="both"/>
        <w:rPr>
          <w:sz w:val="18"/>
          <w:szCs w:val="18"/>
        </w:rPr>
      </w:pPr>
      <w:r w:rsidRPr="00154801">
        <w:rPr>
          <w:color w:val="019648"/>
          <w:sz w:val="18"/>
          <w:szCs w:val="18"/>
        </w:rPr>
        <w:t xml:space="preserve">• </w:t>
      </w:r>
      <w:r w:rsidR="00154801">
        <w:tab/>
      </w:r>
      <w:r w:rsidRPr="00154801">
        <w:rPr>
          <w:sz w:val="18"/>
          <w:szCs w:val="18"/>
        </w:rPr>
        <w:t>діти, які живуть з ВІЛ – LC-aNAAT на одній дихальній пробі та одному зразку калу, а також LF-LAM сечі.</w:t>
      </w:r>
    </w:p>
    <w:p w14:paraId="6525F2EC" w14:textId="77777777" w:rsidR="00366CB9" w:rsidRPr="00154801" w:rsidRDefault="009D0C1D" w:rsidP="00A31BA7">
      <w:pPr>
        <w:pStyle w:val="1"/>
        <w:shd w:val="clear" w:color="auto" w:fill="auto"/>
        <w:spacing w:after="140" w:line="324" w:lineRule="auto"/>
        <w:jc w:val="both"/>
        <w:rPr>
          <w:sz w:val="18"/>
          <w:szCs w:val="18"/>
        </w:rPr>
      </w:pPr>
      <w:r w:rsidRPr="00154801">
        <w:rPr>
          <w:sz w:val="18"/>
          <w:szCs w:val="18"/>
        </w:rPr>
        <w:t>Щодо всіх трьох комбінацій ГРК зробила висновок, що супутнє тестування покращує точність тестування порівняно із застосуванням одного тесту, має помірні вимоги до витрат та може збільшити робоче навантаження на тестування. Враховуючи докази, ГРК видала сильну рекомендацію щодо супутнього тестування LF-LAM сечі та LC-aNAAT на зразках з дихальних шляхів для дорослих та підлітків, які живуть з ВІЛ; а також для LC-aNAAT на дихальних пробах та зразках калу для дітей з негативним або з невідомим ВІЛ-статусом. Однак, для дітей, які живуть з ВІЛ, рекомендація щодо супутнього тестування з LF-LAM сечі та LC-aNAAT на дихальній пробі та зразку калу є умовною через низький рівень достовірності доказів та збільшення кількості хибнопозитивних результатів. Рекомендація щодо застосування LC-aNAAT на зразках з дихальних шляхів у стратегіях супутнього тестування застосовується як до Xpert MTB/RIF Ultra, так і до Truenat MTB Plus та MTB-Rif Dx, тоді як супутнє тестування зразків калу обмежується застосуванням Xpert MTB/RIF Ultra, враховуючи недостатню кількість доказів щодо застосування тестів Truenat з цим типом зразків на момент оцінки доказів (</w:t>
      </w:r>
      <w:hyperlink w:anchor="bookmark193" w:tooltip="Поточний документ">
        <w:r w:rsidR="00366CB9" w:rsidRPr="00154801">
          <w:rPr>
            <w:sz w:val="18"/>
            <w:szCs w:val="18"/>
          </w:rPr>
          <w:t>5</w:t>
        </w:r>
      </w:hyperlink>
      <w:r w:rsidRPr="00154801">
        <w:rPr>
          <w:sz w:val="18"/>
          <w:szCs w:val="18"/>
        </w:rPr>
        <w:t>).</w:t>
      </w:r>
    </w:p>
    <w:p w14:paraId="7BE5265E" w14:textId="77777777" w:rsidR="00366CB9" w:rsidRPr="00154801" w:rsidRDefault="009D0C1D" w:rsidP="00A31BA7">
      <w:pPr>
        <w:pStyle w:val="1"/>
        <w:shd w:val="clear" w:color="auto" w:fill="auto"/>
        <w:spacing w:after="140" w:line="324" w:lineRule="auto"/>
        <w:jc w:val="both"/>
        <w:rPr>
          <w:sz w:val="18"/>
          <w:szCs w:val="18"/>
        </w:rPr>
      </w:pPr>
      <w:r w:rsidRPr="00154801">
        <w:rPr>
          <w:sz w:val="18"/>
          <w:szCs w:val="18"/>
        </w:rPr>
        <w:t xml:space="preserve">Нещодавнє оновлення консолідованих керівних принципів включає ці нові рекомендації щодо супутнього тестування для дітей та осіб (будь-якого віку), які живуть з ВІЛ (див. </w:t>
      </w:r>
      <w:r w:rsidRPr="00154801">
        <w:rPr>
          <w:b/>
          <w:bCs/>
          <w:sz w:val="18"/>
          <w:szCs w:val="18"/>
        </w:rPr>
        <w:t>Таблицю 1.1</w:t>
      </w:r>
      <w:r w:rsidRPr="00154801">
        <w:rPr>
          <w:sz w:val="18"/>
          <w:szCs w:val="18"/>
        </w:rPr>
        <w:t xml:space="preserve"> у керівних принципах (</w:t>
      </w:r>
      <w:hyperlink w:anchor="bookmark193" w:tooltip="Поточний документ">
        <w:r w:rsidR="00366CB9" w:rsidRPr="00154801">
          <w:rPr>
            <w:sz w:val="18"/>
            <w:szCs w:val="18"/>
          </w:rPr>
          <w:t>5</w:t>
        </w:r>
      </w:hyperlink>
      <w:r w:rsidRPr="00154801">
        <w:rPr>
          <w:sz w:val="18"/>
          <w:szCs w:val="18"/>
        </w:rPr>
        <w:t>)). Супутнє тестування передбачає те, що усі тести проводяться якомога швидше. Особам, які мають право на тестування, необхідно надати інформацію, що допоможе їм зрозуміти цей підхід, включаючи потребу в більш ніж одному типі зразків та у подальшому спостереженні. За можливості, всі типи зразків, необхідні для стратегії супутнього тестування, необхідно зібрати під час першого візиту та негайно протестувати або передати на аналіз. Необхідно оцінити потреби у персоналі, щоб переконатись у їхній належності для забору якісних зразків, перенаправлення зразків та будь-яких змін або збільшення об’єму, пов’язаних з експрес-тестуванням. Аналогічним чином, центри забору сечі повинні передбачати приватні зони збору, що оснащені засобами для миття рук, стерильними контейнерами та передбачають чіткі процедури санітарного забору зразків середньої порції сечі, щоб мінімізувати забруднення.</w:t>
      </w:r>
    </w:p>
    <w:p w14:paraId="20FDCDCD" w14:textId="77777777" w:rsidR="00366CB9" w:rsidRPr="00154801" w:rsidRDefault="009D0C1D" w:rsidP="00A31BA7">
      <w:pPr>
        <w:pStyle w:val="1"/>
        <w:shd w:val="clear" w:color="auto" w:fill="auto"/>
        <w:spacing w:line="324" w:lineRule="auto"/>
        <w:jc w:val="both"/>
        <w:rPr>
          <w:sz w:val="18"/>
          <w:szCs w:val="18"/>
        </w:rPr>
      </w:pPr>
      <w:r w:rsidRPr="00154801">
        <w:rPr>
          <w:sz w:val="18"/>
          <w:szCs w:val="18"/>
        </w:rPr>
        <w:t>Позитивний результат тесту є загалом позитивним результатом; цього достатньо для підтвердження ТБ та прийняття рішення щодо лікування з метою уникнення затримки. Не дивлячись на те, що кілька тестів можуть підвищити чутливість процесу діагностики у осіб, які відповідають вимогам, цей підхід має бути узгодженим зі зниженою специфічністю та програмними наслідками (наприклад, вища вартість тестів та доступ до кількох типів зразків та тестів). Важливо контролювати та запобігати втраті зв’язку з пацієнтом для подальшого спостереження в очікуванні другого діагностичного тесту або тесту медикаментозної чутливості, або результатів тестів.</w:t>
      </w:r>
    </w:p>
    <w:p w14:paraId="43CCE972" w14:textId="77777777" w:rsidR="00366CB9" w:rsidRDefault="00366CB9" w:rsidP="00425523">
      <w:pPr>
        <w:spacing w:line="1" w:lineRule="exact"/>
        <w:sectPr w:rsidR="00366CB9" w:rsidSect="00F03360">
          <w:footerReference w:type="even" r:id="rId107"/>
          <w:type w:val="nextColumn"/>
          <w:pgSz w:w="11911" w:h="17036"/>
          <w:pgMar w:top="1469" w:right="1378" w:bottom="851" w:left="1372" w:header="0" w:footer="3" w:gutter="0"/>
          <w:paperSrc w:first="15" w:other="15"/>
          <w:cols w:space="720"/>
          <w:noEndnote/>
          <w:docGrid w:linePitch="360"/>
        </w:sectPr>
      </w:pPr>
    </w:p>
    <w:p w14:paraId="27248831" w14:textId="77777777" w:rsidR="00366CB9" w:rsidRDefault="00366CB9" w:rsidP="00425523">
      <w:pPr>
        <w:spacing w:line="1" w:lineRule="exact"/>
      </w:pPr>
    </w:p>
    <w:p w14:paraId="3F89881B" w14:textId="77777777" w:rsidR="00366CB9" w:rsidRPr="00154801" w:rsidRDefault="009D0C1D" w:rsidP="00A31BA7">
      <w:pPr>
        <w:pStyle w:val="1"/>
        <w:shd w:val="clear" w:color="auto" w:fill="auto"/>
        <w:spacing w:after="140" w:line="324" w:lineRule="auto"/>
        <w:jc w:val="both"/>
        <w:rPr>
          <w:sz w:val="18"/>
          <w:szCs w:val="18"/>
        </w:rPr>
      </w:pPr>
      <w:r w:rsidRPr="00154801">
        <w:rPr>
          <w:sz w:val="18"/>
          <w:szCs w:val="18"/>
        </w:rPr>
        <w:t>LF-LAM є ЕТ, що може проводитись на місці без затримки та давати результати протягом 30 хвилин, тоді як результати LC-aNAAT отримуються пізніше (через ≥ 90 хвилин) при експрес-тестуванні (або ще пізніше, якщо зразки необхідно направити на тестування до іншого центру). Наприклад, супутнє тестування в одному дослідницькому центрі передбачає тестування дорослої людини, яка живе з ВІЛ, на місці за допомогою LF-LAM, тоді як зразок мокротиння передається до дослідницького центру, де проводиться LC-aNAAT. Якщо результат LF-LAM на місці є позитивним, лікування можна розпочати негайно, а пізніше його можна скоригувати на основі результатів статусу резистентності до RIF за допомогою LC-aNAAT. За відсутності LF-LAM, рішення щодо лікування необхідно прийняти лише відповідно до результатів LC-aNAAT; однак, необхідно докласти зусиль для проведення тестування LF-LAM.</w:t>
      </w:r>
    </w:p>
    <w:p w14:paraId="1A375884" w14:textId="77777777" w:rsidR="00366CB9" w:rsidRPr="00154801" w:rsidRDefault="009D0C1D" w:rsidP="00A31BA7">
      <w:pPr>
        <w:pStyle w:val="1"/>
        <w:shd w:val="clear" w:color="auto" w:fill="auto"/>
        <w:spacing w:after="140" w:line="324" w:lineRule="auto"/>
        <w:jc w:val="both"/>
        <w:rPr>
          <w:sz w:val="18"/>
          <w:szCs w:val="18"/>
        </w:rPr>
      </w:pPr>
      <w:r w:rsidRPr="00154801">
        <w:rPr>
          <w:sz w:val="18"/>
          <w:szCs w:val="18"/>
        </w:rPr>
        <w:t>За відсутності тесту, включеного до стратегії супутнього тестування, на місці, не слід виключати застосування існуючих діагностичних інструментів. Наприклад, за наявності LC-mNAAT (тобто TB-LAMP) на місці (тесту, не включеного до цієї рекомендації) та LF-LAM необхідно якнайшвидше провести обидва тести. Отримання позитивного результату тесту вимагає початку лікування. Додатковий зразок необхідно направити на тестування LC-aNAAT, щоб визначити статус резистентності до RIF у пацієнта; це також необхідно у разі негативного результату обох тестів.</w:t>
      </w:r>
    </w:p>
    <w:p w14:paraId="584B7839" w14:textId="77777777" w:rsidR="00366CB9" w:rsidRPr="00154801" w:rsidRDefault="009D0C1D" w:rsidP="00A31BA7">
      <w:pPr>
        <w:pStyle w:val="1"/>
        <w:shd w:val="clear" w:color="auto" w:fill="auto"/>
        <w:spacing w:after="140" w:line="324" w:lineRule="auto"/>
        <w:jc w:val="both"/>
        <w:rPr>
          <w:sz w:val="18"/>
          <w:szCs w:val="18"/>
        </w:rPr>
      </w:pPr>
      <w:r w:rsidRPr="00154801">
        <w:rPr>
          <w:sz w:val="18"/>
          <w:szCs w:val="18"/>
        </w:rPr>
        <w:t>У дітей з негативним або невідомим ВІЛ-статусом один зразок калу та зразок з дихальних шляхів необхідно протестувати за допомогою LC-aNAAT відповідно до стратегії супутнього тестування. Зразки калу можна збирати в периферійних центрах, а за можливості забору зразків з дихальних шляхів у дітей, зразки можна супутньо тестувати за допомогою LC-aNAAT. За неможливості тестування на місці зразки необхідно направити до центру, де проводиться LC-aNAAT. Для дітей, які живуть з ВІЛ, крім дихальних проб та зразків калу необхідно забрати зразок сечі. Тестування LF-LAM необхідно проводити на місці, якщо тест представлено, незалежно від доступності LC-aNAAT, а позитивний результат може призводити до лікування в очікуванні результатів LC-aNAAT.</w:t>
      </w:r>
    </w:p>
    <w:p w14:paraId="62500C5B" w14:textId="77777777" w:rsidR="00366CB9" w:rsidRPr="00154801" w:rsidRDefault="009D0C1D" w:rsidP="00A31BA7">
      <w:pPr>
        <w:pStyle w:val="1"/>
        <w:shd w:val="clear" w:color="auto" w:fill="auto"/>
        <w:spacing w:after="140" w:line="324" w:lineRule="auto"/>
        <w:jc w:val="both"/>
        <w:rPr>
          <w:sz w:val="18"/>
          <w:szCs w:val="18"/>
        </w:rPr>
      </w:pPr>
      <w:r w:rsidRPr="00154801">
        <w:rPr>
          <w:sz w:val="18"/>
          <w:szCs w:val="18"/>
        </w:rPr>
        <w:t>За неможливості забору якісних зразів з дихальних шляхів дитину можна направити до центру, де проводяться спеціалізовані процедури забору зразків з дихальних шляхів у дітей. За відсутності зразка калу та за наявності негативного результату LC-aNAAT необхідно провести додатковий забір дихальних проб (наприклад, індуковане мокротиння, назофарингеальний матеріал або вміст шлунку) для тестування LC-aNAAT у закладі вищого рівня, щоб підвищити ймовірність бактеріологічного підтвердження захворювання та визначити статус резистентності до RIF. За наявності зразка калу та позитивного результату, а також за наявності резистентності до RIF, необхідно розпочати лікування; у такому разі забір зразка з дихальних шляхів не є необхідним.</w:t>
      </w:r>
    </w:p>
    <w:p w14:paraId="33F6DD3F" w14:textId="77777777" w:rsidR="00366CB9" w:rsidRPr="00154801" w:rsidRDefault="009D0C1D" w:rsidP="00A31BA7">
      <w:pPr>
        <w:pStyle w:val="1"/>
        <w:shd w:val="clear" w:color="auto" w:fill="auto"/>
        <w:spacing w:line="324" w:lineRule="auto"/>
        <w:jc w:val="both"/>
        <w:rPr>
          <w:sz w:val="18"/>
          <w:szCs w:val="18"/>
        </w:rPr>
      </w:pPr>
      <w:r w:rsidRPr="00154801">
        <w:rPr>
          <w:sz w:val="18"/>
          <w:szCs w:val="18"/>
        </w:rPr>
        <w:t xml:space="preserve">Через обмежену чутливість доступних діагностичних аналізів у дітей клінічний діагноз має вирішальну роль у діагностиці ТБ. Мета стратегії супутнього тестування у цій популяції – підвищити чутливість тестування, але не можна відкладати діагностику через відсутність типу зразка або тесту, або виключно через негативні результати тесту. Затримка діагностики призводить до підвищення частоти втрати зв’язку з пацієнтом для подальшого спостереження та додаткового навантаження на пацієнтів. Тому лабораторні дослідження у дітей не повинні проводитись окремо, а мають бути частиною процесу клінічної оцінки. Клінічні діагнози, як правило, засновані на ознаках та симптомах, а також на наявності в анамнезі контакту з пацієнтом з ТБ, з рентгенографією органів грудної клітини або без неї. У публікації </w:t>
      </w:r>
      <w:r w:rsidRPr="00154801">
        <w:rPr>
          <w:i/>
          <w:sz w:val="18"/>
          <w:szCs w:val="18"/>
        </w:rPr>
        <w:t>«Операційний довідник ВООЗ щодо туберкульозу: модуль 5: лікування туберкульозу у дітей та підлітків»</w:t>
      </w:r>
      <w:r w:rsidRPr="00154801">
        <w:rPr>
          <w:sz w:val="18"/>
          <w:szCs w:val="18"/>
        </w:rPr>
        <w:t xml:space="preserve"> містяться приклади комплексних алгоритмів прийняття рішень щодо лікування, спрямованих на заохочення фахівців первинної медичної допомоги до прийняття рішення на основі доказів щодо початку лікування ТБ у дітей у віці до 10 років (</w:t>
      </w:r>
      <w:hyperlink w:anchor="bookmark198" w:tooltip="Поточний документ">
        <w:r w:rsidR="00366CB9" w:rsidRPr="00154801">
          <w:rPr>
            <w:sz w:val="18"/>
            <w:szCs w:val="18"/>
          </w:rPr>
          <w:t>58</w:t>
        </w:r>
      </w:hyperlink>
      <w:r w:rsidRPr="00154801">
        <w:rPr>
          <w:sz w:val="18"/>
          <w:szCs w:val="18"/>
        </w:rPr>
        <w:t>).</w:t>
      </w:r>
    </w:p>
    <w:p w14:paraId="209279BA"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2E54A51F" w14:textId="77777777" w:rsidR="00366CB9" w:rsidRDefault="00366CB9" w:rsidP="00425523">
      <w:pPr>
        <w:spacing w:line="1" w:lineRule="exact"/>
      </w:pPr>
    </w:p>
    <w:p w14:paraId="004F53DB" w14:textId="77777777" w:rsidR="00366CB9" w:rsidRDefault="009D0C1D" w:rsidP="00A31BA7">
      <w:pPr>
        <w:pStyle w:val="22"/>
        <w:numPr>
          <w:ilvl w:val="1"/>
          <w:numId w:val="9"/>
        </w:numPr>
        <w:shd w:val="clear" w:color="auto" w:fill="auto"/>
        <w:tabs>
          <w:tab w:val="left" w:pos="687"/>
        </w:tabs>
        <w:spacing w:after="200" w:line="240" w:lineRule="auto"/>
        <w:jc w:val="both"/>
      </w:pPr>
      <w:bookmarkStart w:id="93" w:name="bookmark91"/>
      <w:bookmarkStart w:id="94" w:name="bookmark92"/>
      <w:bookmarkStart w:id="95" w:name="bookmark90"/>
      <w:r>
        <w:t>Тест на виявлення туберкульозної інфекції</w:t>
      </w:r>
      <w:bookmarkEnd w:id="93"/>
      <w:bookmarkEnd w:id="94"/>
      <w:bookmarkEnd w:id="95"/>
    </w:p>
    <w:p w14:paraId="7E50B7DF" w14:textId="77777777" w:rsidR="00366CB9" w:rsidRDefault="009D0C1D" w:rsidP="00A31BA7">
      <w:pPr>
        <w:pStyle w:val="80"/>
        <w:shd w:val="clear" w:color="auto" w:fill="auto"/>
        <w:jc w:val="both"/>
      </w:pPr>
      <w:r>
        <w:t>3.5.1 Якими є переваги та недоліки тестування на виявлення туберкульозної інфекції?</w:t>
      </w:r>
    </w:p>
    <w:p w14:paraId="79AAD282" w14:textId="77777777" w:rsidR="00366CB9" w:rsidRPr="00154801" w:rsidRDefault="009D0C1D" w:rsidP="00A31BA7">
      <w:pPr>
        <w:pStyle w:val="1"/>
        <w:shd w:val="clear" w:color="auto" w:fill="auto"/>
        <w:spacing w:after="140" w:line="324" w:lineRule="auto"/>
        <w:jc w:val="both"/>
        <w:rPr>
          <w:sz w:val="18"/>
          <w:szCs w:val="18"/>
        </w:rPr>
      </w:pPr>
      <w:r w:rsidRPr="00154801">
        <w:rPr>
          <w:sz w:val="18"/>
          <w:szCs w:val="18"/>
        </w:rPr>
        <w:t>Тестування на виявлення туберкульозної інфекції буде ефективним як для окремих осіб, так і в рамках програм, якщо воно визначить осіб, які отримають найбільшу користь від ПЛТ. Для програм інвестиції у тестування на виявлення туберкульозної інфекції будуть виправданими у разі більшої ефективності використання ресурсів для надання ПЛТ, підвищення рівня прийняття та розширення охоплення. Необхідно покрити не лише вартість лікарських засобів, а й людських ресурсів для медичного обстеження, початку ПЛТ та подальшого спостереження. Тестування на виявлення туберкульозної інфекції також знизить непотрібні витрати на лікарські засоби або небажані явища у осіб, які отримують непотрібне лікування. Отже, тестування на виявлення туберкульозної інфекції перед ПЛТ є ефективним способом збільшення співвідношення користь/ризик ПЛТ.</w:t>
      </w:r>
    </w:p>
    <w:p w14:paraId="295AAE0E" w14:textId="77777777" w:rsidR="00366CB9" w:rsidRPr="00154801" w:rsidRDefault="009D0C1D" w:rsidP="00A31BA7">
      <w:pPr>
        <w:pStyle w:val="1"/>
        <w:shd w:val="clear" w:color="auto" w:fill="auto"/>
        <w:spacing w:after="140" w:line="324" w:lineRule="auto"/>
        <w:jc w:val="both"/>
        <w:rPr>
          <w:sz w:val="18"/>
          <w:szCs w:val="18"/>
        </w:rPr>
      </w:pPr>
      <w:r w:rsidRPr="00154801">
        <w:rPr>
          <w:sz w:val="18"/>
          <w:szCs w:val="18"/>
        </w:rPr>
        <w:t>ПЛТ знижує ризик ТБ у людей, які живуть з ВІЛ, особливо у осіб з позитивним результатом ТМЧ. Оновлений систематичний огляд, проведений під час розробки керівних принципів ВООЗ щодо програмного впровадження ПЛТ у 2018 році, чітко продемонстрував переваги систематичного тестування та лікування туберкульозної інфекції у людей, які живуть з ВІЛ, з точки зору поширеності туберкульозної інфекції, ризику прогресування до ТБ та захворюваності на ТБ порівняно із загальною популяцією.</w:t>
      </w:r>
    </w:p>
    <w:p w14:paraId="16D4070F" w14:textId="77777777" w:rsidR="00366CB9" w:rsidRPr="00154801" w:rsidRDefault="009D0C1D" w:rsidP="00A31BA7">
      <w:pPr>
        <w:pStyle w:val="1"/>
        <w:shd w:val="clear" w:color="auto" w:fill="auto"/>
        <w:spacing w:after="140" w:line="324" w:lineRule="auto"/>
        <w:jc w:val="both"/>
        <w:rPr>
          <w:sz w:val="18"/>
          <w:szCs w:val="18"/>
        </w:rPr>
      </w:pPr>
      <w:r w:rsidRPr="00154801">
        <w:rPr>
          <w:sz w:val="18"/>
          <w:szCs w:val="18"/>
        </w:rPr>
        <w:t>У побутових контактів значно вищий ризик прогресування до ТБ, ніж у загальній популяції. Найвищий ризик прогресування до активної форми ТБ спостерігався у контактів у віці до 5 років; тому було опубліковано сильно рекомендацію щодо ПЛТ – незалежно від наявності тестування на виявлення туберкульозної інфекції. Крім того, рекомендація щодо ПЛТ була умовною для побутових контактів інших вікових груп після оцінки співвідношення користь/ризик. У побутових контактів у віці від 5 років тестування на виявлення туберкульозної інфекції перед ПЛТ може бути ефективним, хоча лікування було обґрунтованим навіть без тестування (</w:t>
      </w:r>
      <w:hyperlink w:anchor="bookmark198" w:tooltip="Поточний документ">
        <w:r w:rsidR="00366CB9" w:rsidRPr="00154801">
          <w:rPr>
            <w:sz w:val="18"/>
            <w:szCs w:val="18"/>
          </w:rPr>
          <w:t>59</w:t>
        </w:r>
      </w:hyperlink>
      <w:r w:rsidRPr="00154801">
        <w:rPr>
          <w:sz w:val="18"/>
          <w:szCs w:val="18"/>
        </w:rPr>
        <w:t>).</w:t>
      </w:r>
    </w:p>
    <w:p w14:paraId="5F1F9839" w14:textId="77777777" w:rsidR="00366CB9" w:rsidRPr="00154801" w:rsidRDefault="009D0C1D" w:rsidP="00A31BA7">
      <w:pPr>
        <w:pStyle w:val="1"/>
        <w:shd w:val="clear" w:color="auto" w:fill="auto"/>
        <w:spacing w:after="140" w:line="324" w:lineRule="auto"/>
        <w:jc w:val="both"/>
        <w:rPr>
          <w:sz w:val="18"/>
          <w:szCs w:val="18"/>
        </w:rPr>
      </w:pPr>
      <w:r w:rsidRPr="00154801">
        <w:rPr>
          <w:sz w:val="18"/>
          <w:szCs w:val="18"/>
        </w:rPr>
        <w:t>В інших групах ризику докази користі систематичного тестування на виявлення туберкульозної інфекцію та ПЛТ відрізнялись. Користь суттєво перевищувала ризики у осіб, які починають лікування анти-ФНП, знаходяться на діалізі, готуються до трансплантації органів або переливання крові, або мають силікоз. В інших групах ризику співвідношення користь/ризик було менш чітким. Тому пріоритетність цільових груп для систематичного тестування та ПЛТ на основі індивідуального ризику та місцевого та національного контексту була прийнятною для осіб з туберкульозною інфекцією та ключових зацікавлених сторін, включаючи клініцистів, медсестер та керівників програм.</w:t>
      </w:r>
    </w:p>
    <w:p w14:paraId="5A1FB160" w14:textId="77777777" w:rsidR="00366CB9" w:rsidRPr="00154801" w:rsidRDefault="009D0C1D" w:rsidP="00A31BA7">
      <w:pPr>
        <w:pStyle w:val="1"/>
        <w:shd w:val="clear" w:color="auto" w:fill="auto"/>
        <w:spacing w:after="140" w:line="322" w:lineRule="auto"/>
        <w:jc w:val="both"/>
        <w:rPr>
          <w:sz w:val="18"/>
          <w:szCs w:val="18"/>
        </w:rPr>
      </w:pPr>
      <w:r w:rsidRPr="00154801">
        <w:rPr>
          <w:sz w:val="18"/>
          <w:szCs w:val="18"/>
        </w:rPr>
        <w:t>Тому, ПЛТ матиме найбільшу індивідуальну користь для здоров’я, якщо її вводити для осіб з клінічними або епідеміологічними характеристиками, що підвищують ризик ТБ, та з позитивним результатом тесту на виявлення туберкульозної інфекції (не враховуючи контакти пацієнтів з ТБ у віці до 5 років та людей, які живуть з ВІЛ, для яких тестування не є обов’язковою умовою для ПЛТ).</w:t>
      </w:r>
    </w:p>
    <w:p w14:paraId="0CE49495" w14:textId="77777777" w:rsidR="00366CB9" w:rsidRPr="00154801" w:rsidRDefault="009D0C1D" w:rsidP="00A31BA7">
      <w:pPr>
        <w:pStyle w:val="1"/>
        <w:shd w:val="clear" w:color="auto" w:fill="auto"/>
        <w:spacing w:line="324" w:lineRule="auto"/>
        <w:jc w:val="both"/>
        <w:rPr>
          <w:sz w:val="18"/>
          <w:szCs w:val="18"/>
        </w:rPr>
      </w:pPr>
      <w:r w:rsidRPr="00154801">
        <w:rPr>
          <w:sz w:val="18"/>
          <w:szCs w:val="18"/>
        </w:rPr>
        <w:t>Найбільшим недоліком тестування на виявлення туберкульозної інфекції є можлива суттєва затримка між початковим виявленням особи з ризиком ТБ та початком ПЛТ. У контактів, особливо у маленьких дітей (</w:t>
      </w:r>
      <w:hyperlink w:anchor="bookmark198" w:tooltip="Поточний документ">
        <w:r w:rsidR="00366CB9" w:rsidRPr="00154801">
          <w:rPr>
            <w:sz w:val="18"/>
            <w:szCs w:val="18"/>
          </w:rPr>
          <w:t>59</w:t>
        </w:r>
      </w:hyperlink>
      <w:r w:rsidRPr="00154801">
        <w:rPr>
          <w:sz w:val="18"/>
          <w:szCs w:val="18"/>
        </w:rPr>
        <w:t>) та людей, які живуть з ВІЛ, ТБ може розвиватись швидко після контакту та зараження ТБ. В усіх контактів найвищий ризик</w:t>
      </w:r>
    </w:p>
    <w:p w14:paraId="3824D067"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775BC2B3" w14:textId="77777777" w:rsidR="00366CB9" w:rsidRDefault="00366CB9" w:rsidP="00425523">
      <w:pPr>
        <w:spacing w:line="1" w:lineRule="exact"/>
      </w:pPr>
    </w:p>
    <w:p w14:paraId="16495194" w14:textId="77777777" w:rsidR="00366CB9" w:rsidRPr="00154801" w:rsidRDefault="009D0C1D" w:rsidP="006E22E5">
      <w:pPr>
        <w:pStyle w:val="1"/>
        <w:shd w:val="clear" w:color="auto" w:fill="auto"/>
        <w:spacing w:after="120" w:line="324" w:lineRule="auto"/>
        <w:jc w:val="both"/>
        <w:rPr>
          <w:sz w:val="18"/>
          <w:szCs w:val="18"/>
        </w:rPr>
      </w:pPr>
      <w:r w:rsidRPr="00154801">
        <w:rPr>
          <w:sz w:val="18"/>
          <w:szCs w:val="18"/>
        </w:rPr>
        <w:t>прогресування до ТБ спостерігається протягом перших 6 місяців після контакту (</w:t>
      </w:r>
      <w:hyperlink w:anchor="bookmark197" w:tooltip="Поточний документ">
        <w:r w:rsidR="00366CB9" w:rsidRPr="00154801">
          <w:rPr>
            <w:sz w:val="18"/>
            <w:szCs w:val="18"/>
          </w:rPr>
          <w:t>38,39</w:t>
        </w:r>
      </w:hyperlink>
      <w:r w:rsidRPr="00154801">
        <w:rPr>
          <w:sz w:val="18"/>
          <w:szCs w:val="18"/>
        </w:rPr>
        <w:t>). Отже, швидкий початок ПЛТ має вирішальне значення для запобігання захворюванню на ТБ. Тестування на виявлення туберкульозної інфекції може призвести до суттєвих затримок через відсутність кваліфікованого персоналу для проведення тесту або зчитування результатів шкірного тесту, або через затримки в лабораторній обробці та передачі результатів IGRA. Результати тестування IGRA повинні бути отримані протягом 24-36 годин (не дивлячись на можливі додаткові затримки через перевезення зразків та тестування серій) та протягом 72 годин для TST або TBST; таким чином, тестування на виявлення туберкульозної інфекції не повинно затримувати початок ПЛТ більш ніж на 3 дні після первинної діагностики.</w:t>
      </w:r>
    </w:p>
    <w:p w14:paraId="15CB5AAF" w14:textId="77777777" w:rsidR="00366CB9" w:rsidRPr="00154801" w:rsidRDefault="009D0C1D" w:rsidP="006E22E5">
      <w:pPr>
        <w:pStyle w:val="1"/>
        <w:shd w:val="clear" w:color="auto" w:fill="auto"/>
        <w:spacing w:after="120" w:line="324" w:lineRule="auto"/>
        <w:jc w:val="both"/>
        <w:rPr>
          <w:sz w:val="18"/>
          <w:szCs w:val="18"/>
        </w:rPr>
      </w:pPr>
      <w:r w:rsidRPr="00154801">
        <w:rPr>
          <w:sz w:val="18"/>
          <w:szCs w:val="18"/>
        </w:rPr>
        <w:t>Другою можливою проблемою тестування є більший тягар для пацієнтів, включаючи дискомфорт, страх перед ін’єкціями або забором крові, а також необхідність більшої кількості візитів перед початком ПЛТ (з можливими витратами для пацієнтів, часом, затримками та втратами внаслідок каскадної допомоги). Однак ефективна організація послуг охорони здоров’я може мінімізувати втрату каскадної допомоги, пов’язану з тестуванням (</w:t>
      </w:r>
      <w:hyperlink w:anchor="bookmark197" w:tooltip="Поточний документ">
        <w:r w:rsidR="00366CB9" w:rsidRPr="00154801">
          <w:rPr>
            <w:sz w:val="18"/>
            <w:szCs w:val="18"/>
          </w:rPr>
          <w:t>42</w:t>
        </w:r>
      </w:hyperlink>
      <w:r w:rsidRPr="00154801">
        <w:rPr>
          <w:sz w:val="18"/>
          <w:szCs w:val="18"/>
        </w:rPr>
        <w:t xml:space="preserve">, </w:t>
      </w:r>
      <w:hyperlink w:anchor="bookmark198" w:tooltip="Поточний документ">
        <w:r w:rsidR="00366CB9" w:rsidRPr="00154801">
          <w:rPr>
            <w:sz w:val="18"/>
            <w:szCs w:val="18"/>
          </w:rPr>
          <w:t>60</w:t>
        </w:r>
      </w:hyperlink>
      <w:r w:rsidRPr="00154801">
        <w:rPr>
          <w:sz w:val="18"/>
          <w:szCs w:val="18"/>
        </w:rPr>
        <w:t>), як у країнах з високим рівнем доходу, так і в країнах з низьким та середнім рівнем доходу.</w:t>
      </w:r>
    </w:p>
    <w:p w14:paraId="35629CBA" w14:textId="77777777" w:rsidR="00366CB9" w:rsidRPr="00154801" w:rsidRDefault="009D0C1D" w:rsidP="006E22E5">
      <w:pPr>
        <w:pStyle w:val="1"/>
        <w:shd w:val="clear" w:color="auto" w:fill="auto"/>
        <w:spacing w:after="120" w:line="324" w:lineRule="auto"/>
        <w:jc w:val="both"/>
        <w:rPr>
          <w:sz w:val="18"/>
          <w:szCs w:val="18"/>
        </w:rPr>
      </w:pPr>
      <w:r w:rsidRPr="00154801">
        <w:rPr>
          <w:sz w:val="18"/>
          <w:szCs w:val="18"/>
        </w:rPr>
        <w:t>Хибнонегативні та невизначені результати тестів на виявлення туберкульозної інфекції є третьою можливою проблемою (</w:t>
      </w:r>
      <w:hyperlink w:anchor="bookmark198" w:tooltip="Поточний документ">
        <w:r w:rsidR="00366CB9" w:rsidRPr="00154801">
          <w:rPr>
            <w:sz w:val="18"/>
            <w:szCs w:val="18"/>
          </w:rPr>
          <w:t>61</w:t>
        </w:r>
      </w:hyperlink>
      <w:r w:rsidRPr="00154801">
        <w:rPr>
          <w:sz w:val="18"/>
          <w:szCs w:val="18"/>
        </w:rPr>
        <w:t>). Такі результати тестів частіше зустрічаються у осіб з ослабленим імунітетом. Однак, високий відносний ризик розвитку ТБ у осіб з позитивними результатами тестів на виявлення туберкульозної інфекції порівняно з особами з негативними результатами тестів вказує на те, що хибнонегативні результати не є основними детермінантами, важливими для пацієнтів. Крім того, у деяких осіб з групи ризику (наприклад, контактів похилого віку) може бути негативний результат тесту, але зараження відбудеться пізніше або інфекцію буде виявлено невдовзі після тесту; у такому разі відмова від ПЛТ буде втраченою можливістю захисту від захворювання.</w:t>
      </w:r>
    </w:p>
    <w:p w14:paraId="23236B68" w14:textId="77777777" w:rsidR="00366CB9" w:rsidRDefault="009D0C1D" w:rsidP="006E22E5">
      <w:pPr>
        <w:pStyle w:val="80"/>
        <w:shd w:val="clear" w:color="auto" w:fill="auto"/>
        <w:spacing w:after="120"/>
        <w:jc w:val="both"/>
      </w:pPr>
      <w:r>
        <w:t>3.5.2 Коли не рекомендується тестування на виявлення туберкульозної інфекції?</w:t>
      </w:r>
    </w:p>
    <w:p w14:paraId="20DC3479" w14:textId="77777777" w:rsidR="00366CB9" w:rsidRPr="00154801" w:rsidRDefault="009D0C1D" w:rsidP="006E22E5">
      <w:pPr>
        <w:pStyle w:val="1"/>
        <w:shd w:val="clear" w:color="auto" w:fill="auto"/>
        <w:spacing w:after="120" w:line="324" w:lineRule="auto"/>
        <w:jc w:val="both"/>
        <w:rPr>
          <w:sz w:val="18"/>
          <w:szCs w:val="18"/>
        </w:rPr>
      </w:pPr>
      <w:r w:rsidRPr="00154801">
        <w:rPr>
          <w:sz w:val="18"/>
          <w:szCs w:val="18"/>
        </w:rPr>
        <w:t>У цьому розділі описано різні ситуації, при яких не рекомендується проводити тестування на виявлення туберкульозної інфекції.</w:t>
      </w:r>
    </w:p>
    <w:p w14:paraId="3AD5C892" w14:textId="77777777" w:rsidR="00366CB9" w:rsidRPr="00384EE0" w:rsidRDefault="009D0C1D" w:rsidP="006E22E5">
      <w:pPr>
        <w:pStyle w:val="60"/>
        <w:shd w:val="clear" w:color="auto" w:fill="auto"/>
        <w:spacing w:after="120" w:line="269" w:lineRule="auto"/>
        <w:jc w:val="both"/>
        <w:rPr>
          <w:i/>
          <w:iCs/>
        </w:rPr>
      </w:pPr>
      <w:r>
        <w:rPr>
          <w:i/>
          <w:color w:val="019648"/>
        </w:rPr>
        <w:t>Попередні позитивні результати тестів на виявлення туберкульозної інфекції</w:t>
      </w:r>
    </w:p>
    <w:p w14:paraId="367C4EE0" w14:textId="77777777" w:rsidR="00366CB9" w:rsidRPr="00154801" w:rsidRDefault="009D0C1D" w:rsidP="006E22E5">
      <w:pPr>
        <w:pStyle w:val="1"/>
        <w:shd w:val="clear" w:color="auto" w:fill="auto"/>
        <w:spacing w:after="120" w:line="324" w:lineRule="auto"/>
        <w:jc w:val="both"/>
        <w:rPr>
          <w:sz w:val="18"/>
          <w:szCs w:val="18"/>
        </w:rPr>
      </w:pPr>
      <w:r w:rsidRPr="00154801">
        <w:rPr>
          <w:sz w:val="18"/>
          <w:szCs w:val="18"/>
        </w:rPr>
        <w:t>Якщо зареєстровано попередній позитивний результат тесту на виявлення туберкульозної інфекції або лікування ТБ, то повторне тестування на виявлення туберкульозної інфекції не буде ефективним та його не слід проводити. Залежно від обставин, особу може бути направлено на подальше медичне обстеження. Однак, якщо попередній позитивний результат було повідомлено самостійно та не зареєстровано, рекомендується повторити тест, оскільки у дослідженнях було задокументовано дуже неточні самостійні повідомлення про попередні результати шкірних тестів (</w:t>
      </w:r>
      <w:hyperlink w:anchor="bookmark199" w:tooltip="Поточний документ">
        <w:r w:rsidR="00366CB9" w:rsidRPr="00154801">
          <w:rPr>
            <w:sz w:val="18"/>
            <w:szCs w:val="18"/>
          </w:rPr>
          <w:t>62</w:t>
        </w:r>
      </w:hyperlink>
      <w:r w:rsidRPr="00154801">
        <w:rPr>
          <w:sz w:val="18"/>
          <w:szCs w:val="18"/>
        </w:rPr>
        <w:t>).</w:t>
      </w:r>
    </w:p>
    <w:p w14:paraId="59EAA5F0" w14:textId="77777777" w:rsidR="00366CB9" w:rsidRPr="00384EE0" w:rsidRDefault="009D0C1D" w:rsidP="006E22E5">
      <w:pPr>
        <w:pStyle w:val="60"/>
        <w:shd w:val="clear" w:color="auto" w:fill="auto"/>
        <w:spacing w:after="120" w:line="269" w:lineRule="auto"/>
        <w:jc w:val="both"/>
        <w:rPr>
          <w:i/>
          <w:iCs/>
        </w:rPr>
      </w:pPr>
      <w:r>
        <w:rPr>
          <w:i/>
          <w:color w:val="019648"/>
        </w:rPr>
        <w:t>Супутні або нещодавні вакцинації або вірусні захворювання</w:t>
      </w:r>
    </w:p>
    <w:p w14:paraId="19ECDBBB" w14:textId="77777777" w:rsidR="00366CB9" w:rsidRPr="00154801" w:rsidRDefault="009D0C1D" w:rsidP="006E22E5">
      <w:pPr>
        <w:pStyle w:val="1"/>
        <w:shd w:val="clear" w:color="auto" w:fill="auto"/>
        <w:spacing w:after="120" w:line="324" w:lineRule="auto"/>
        <w:jc w:val="both"/>
        <w:rPr>
          <w:sz w:val="18"/>
          <w:szCs w:val="18"/>
        </w:rPr>
      </w:pPr>
      <w:r w:rsidRPr="00154801">
        <w:rPr>
          <w:sz w:val="18"/>
          <w:szCs w:val="18"/>
        </w:rPr>
        <w:t>Тестування на виявлення туберкульозної інфекції може призвести до хибнонегативних результатів у осіб з певними вірусними захворюваннями (наприклад, кір) або після вакцинації живим вірусом (наприклад, кір або паротит) протягом попередніх 30 днів (</w:t>
      </w:r>
      <w:hyperlink w:anchor="bookmark199" w:tooltip="Поточний документ">
        <w:r w:rsidR="00366CB9" w:rsidRPr="00154801">
          <w:rPr>
            <w:sz w:val="18"/>
            <w:szCs w:val="18"/>
          </w:rPr>
          <w:t>63</w:t>
        </w:r>
      </w:hyperlink>
      <w:r w:rsidRPr="00154801">
        <w:rPr>
          <w:sz w:val="18"/>
          <w:szCs w:val="18"/>
        </w:rPr>
        <w:t>). Це було описано для TST, але подібний ефект з усіма тестами на виявлення туберкульозної інфекції є біологічно прийнятним. Отже, доцільно відкласти тест на виявлення туберкульозної інфекції на 30 днів після зараження або вакцинації. Також тест на виявлення туберкульозної інфекції з негативним результатом можна повторити через 30 днів.</w:t>
      </w:r>
    </w:p>
    <w:p w14:paraId="2EB64BDB" w14:textId="77777777" w:rsidR="00366CB9" w:rsidRPr="00154801" w:rsidRDefault="009D0C1D" w:rsidP="00A31BA7">
      <w:pPr>
        <w:pStyle w:val="1"/>
        <w:shd w:val="clear" w:color="auto" w:fill="auto"/>
        <w:spacing w:line="324" w:lineRule="auto"/>
        <w:jc w:val="both"/>
        <w:rPr>
          <w:sz w:val="18"/>
          <w:szCs w:val="18"/>
        </w:rPr>
      </w:pPr>
      <w:r w:rsidRPr="00154801">
        <w:rPr>
          <w:sz w:val="18"/>
          <w:szCs w:val="18"/>
        </w:rPr>
        <w:t>Поширеним питанням протягом останніх років був вплив COVID-19 або вакцинації на тестування на виявлення туберкульозної інфекції. На сьогодні не опубліковано ніяких досліджень результатів TST або IGRA після вакцинації проти COVID-19. З огляду на імунологічну відповідь на вакцинацію мРНК проти COVID-19, така вакцинація не вплине на результати TST або IGRA (</w:t>
      </w:r>
      <w:hyperlink w:anchor="bookmark199" w:tooltip="Поточний документ">
        <w:r w:rsidR="00366CB9" w:rsidRPr="00154801">
          <w:rPr>
            <w:sz w:val="18"/>
            <w:szCs w:val="18"/>
          </w:rPr>
          <w:t>64</w:t>
        </w:r>
      </w:hyperlink>
      <w:r w:rsidRPr="00154801">
        <w:rPr>
          <w:sz w:val="18"/>
          <w:szCs w:val="18"/>
        </w:rPr>
        <w:t>). Однак, враховуючи, що на результати тестів може (принаймні теоретично) вплинути вакцинація,</w:t>
      </w:r>
    </w:p>
    <w:p w14:paraId="2288EFDF" w14:textId="77777777" w:rsidR="00366CB9" w:rsidRDefault="00366CB9" w:rsidP="00425523">
      <w:pPr>
        <w:spacing w:line="1" w:lineRule="exact"/>
        <w:sectPr w:rsidR="00366CB9" w:rsidSect="006E22E5">
          <w:type w:val="nextColumn"/>
          <w:pgSz w:w="11911" w:h="17036"/>
          <w:pgMar w:top="1276" w:right="1378" w:bottom="25" w:left="1372" w:header="0" w:footer="3" w:gutter="0"/>
          <w:paperSrc w:first="15" w:other="15"/>
          <w:cols w:space="720"/>
          <w:noEndnote/>
          <w:docGrid w:linePitch="360"/>
        </w:sectPr>
      </w:pPr>
    </w:p>
    <w:p w14:paraId="7A66F348" w14:textId="77777777" w:rsidR="00366CB9" w:rsidRDefault="00366CB9" w:rsidP="00425523">
      <w:pPr>
        <w:spacing w:line="1" w:lineRule="exact"/>
      </w:pPr>
    </w:p>
    <w:p w14:paraId="5A9016FA" w14:textId="77777777" w:rsidR="00366CB9" w:rsidRPr="00154801" w:rsidRDefault="009D0C1D" w:rsidP="00A31BA7">
      <w:pPr>
        <w:pStyle w:val="1"/>
        <w:shd w:val="clear" w:color="auto" w:fill="auto"/>
        <w:spacing w:after="160" w:line="326" w:lineRule="auto"/>
        <w:jc w:val="both"/>
        <w:rPr>
          <w:sz w:val="18"/>
          <w:szCs w:val="18"/>
        </w:rPr>
      </w:pPr>
      <w:bookmarkStart w:id="96" w:name="bookmark93"/>
      <w:r w:rsidRPr="00154801">
        <w:rPr>
          <w:sz w:val="18"/>
          <w:szCs w:val="18"/>
        </w:rPr>
        <w:t>доцільно провести тест перед вакцинацією або відкласти тестування на кілька тижнів після вакцинації, за можливості (</w:t>
      </w:r>
      <w:hyperlink w:anchor="bookmark199" w:tooltip="Поточний документ">
        <w:r w:rsidR="00366CB9" w:rsidRPr="00154801">
          <w:rPr>
            <w:sz w:val="18"/>
            <w:szCs w:val="18"/>
          </w:rPr>
          <w:t>65</w:t>
        </w:r>
      </w:hyperlink>
      <w:r w:rsidRPr="00154801">
        <w:rPr>
          <w:sz w:val="18"/>
          <w:szCs w:val="18"/>
        </w:rPr>
        <w:t>).</w:t>
      </w:r>
      <w:bookmarkEnd w:id="96"/>
    </w:p>
    <w:p w14:paraId="64CE5E8B" w14:textId="77777777" w:rsidR="00366CB9" w:rsidRPr="00384EE0" w:rsidRDefault="009D0C1D" w:rsidP="00A31BA7">
      <w:pPr>
        <w:pStyle w:val="60"/>
        <w:shd w:val="clear" w:color="auto" w:fill="auto"/>
        <w:spacing w:after="200" w:line="240" w:lineRule="auto"/>
        <w:jc w:val="both"/>
        <w:rPr>
          <w:i/>
          <w:iCs/>
        </w:rPr>
      </w:pPr>
      <w:r>
        <w:rPr>
          <w:i/>
          <w:color w:val="019648"/>
        </w:rPr>
        <w:t>Клінічне обстеження дорослих з метою діагностики ТБ або контролю відповіді на</w:t>
      </w:r>
      <w:r>
        <w:rPr>
          <w:color w:val="019648"/>
        </w:rPr>
        <w:t xml:space="preserve"> </w:t>
      </w:r>
      <w:r>
        <w:rPr>
          <w:i/>
          <w:color w:val="019648"/>
        </w:rPr>
        <w:t>лікування</w:t>
      </w:r>
    </w:p>
    <w:p w14:paraId="5C0DDFA6" w14:textId="77777777" w:rsidR="00366CB9" w:rsidRPr="00154801" w:rsidRDefault="009D0C1D" w:rsidP="00A31BA7">
      <w:pPr>
        <w:pStyle w:val="1"/>
        <w:shd w:val="clear" w:color="auto" w:fill="auto"/>
        <w:spacing w:after="160" w:line="324" w:lineRule="auto"/>
        <w:jc w:val="both"/>
        <w:rPr>
          <w:sz w:val="18"/>
          <w:szCs w:val="18"/>
        </w:rPr>
      </w:pPr>
      <w:r w:rsidRPr="00154801">
        <w:rPr>
          <w:sz w:val="18"/>
          <w:szCs w:val="18"/>
        </w:rPr>
        <w:t>Тести на виявлення туберкульозної інфекції не слід застосовувати для діагностики ТБ легень або позалегеневого ТБ, а також для діагностики дорослих (включаючи людей, які живуть з ВІЛ) з підозрою на ТБ. Тести на виявлення туберкульозної інфекції не слід застосовувати для скринінгу або для контролю відповіді на лікування ТБ або туберкульозної інфекції.</w:t>
      </w:r>
    </w:p>
    <w:p w14:paraId="1B49C563" w14:textId="77777777" w:rsidR="00366CB9" w:rsidRPr="00384EE0" w:rsidRDefault="009D0C1D" w:rsidP="00A31BA7">
      <w:pPr>
        <w:pStyle w:val="60"/>
        <w:shd w:val="clear" w:color="auto" w:fill="auto"/>
        <w:spacing w:after="160" w:line="269" w:lineRule="auto"/>
        <w:jc w:val="both"/>
        <w:rPr>
          <w:i/>
          <w:iCs/>
        </w:rPr>
      </w:pPr>
      <w:r>
        <w:rPr>
          <w:i/>
          <w:color w:val="019648"/>
        </w:rPr>
        <w:t>Наявність в анамнезі алергічних реакцій на TST або TBST (але можуть застосовуватись IGRA)</w:t>
      </w:r>
    </w:p>
    <w:p w14:paraId="782637E2" w14:textId="77777777" w:rsidR="00366CB9" w:rsidRPr="00154801" w:rsidRDefault="009D0C1D" w:rsidP="00A31BA7">
      <w:pPr>
        <w:pStyle w:val="1"/>
        <w:shd w:val="clear" w:color="auto" w:fill="auto"/>
        <w:spacing w:after="160" w:line="324" w:lineRule="auto"/>
        <w:jc w:val="both"/>
        <w:rPr>
          <w:sz w:val="18"/>
          <w:szCs w:val="18"/>
        </w:rPr>
      </w:pPr>
      <w:r w:rsidRPr="00154801">
        <w:rPr>
          <w:sz w:val="18"/>
          <w:szCs w:val="18"/>
        </w:rPr>
        <w:t>Шкірні тести не рекомендовані людям з алергічною реакцією на TST або TBST в анамнезі. Алергічні реакції на TST (ОБП або аналог), наприклад, генералізований висип, що розвиваються протягом перших 24 годин, спостерігаються менш ніж у 1 % реципієнтів (</w:t>
      </w:r>
      <w:hyperlink w:anchor="bookmark198" w:tooltip="Поточний документ">
        <w:r w:rsidR="00366CB9" w:rsidRPr="00154801">
          <w:rPr>
            <w:sz w:val="18"/>
            <w:szCs w:val="18"/>
          </w:rPr>
          <w:t>46</w:t>
        </w:r>
      </w:hyperlink>
      <w:r w:rsidRPr="00154801">
        <w:rPr>
          <w:sz w:val="18"/>
          <w:szCs w:val="18"/>
        </w:rPr>
        <w:t>). Якщо це було задокументовано в минулому, то краще уникати повторного тесту з тим же туберкуліновим матеріалом. Наразі неясно, чи буде безпечним використання альтернативного туберкулінового матеріалу. Анафілаксія у відповідь на туберкуліновий шкірний тест спостерігається дуже рідко (1 на мільйон) (</w:t>
      </w:r>
      <w:hyperlink w:anchor="bookmark198" w:tooltip="Поточний документ">
        <w:r w:rsidR="00366CB9" w:rsidRPr="00154801">
          <w:rPr>
            <w:sz w:val="18"/>
            <w:szCs w:val="18"/>
          </w:rPr>
          <w:t>47</w:t>
        </w:r>
      </w:hyperlink>
      <w:r w:rsidRPr="00154801">
        <w:rPr>
          <w:sz w:val="18"/>
          <w:szCs w:val="18"/>
        </w:rPr>
        <w:t>); однак, у разі задокументованої анафілаксії у відповідь на TST, не слід проводити шкірний тест на виявлення туберкульозної інфекції, навіть за допомогою туберкулінового шкірного тесту, до отримання додаткової інформації про безпеку.</w:t>
      </w:r>
    </w:p>
    <w:p w14:paraId="6D3ADFE5" w14:textId="77777777" w:rsidR="00366CB9" w:rsidRPr="00154801" w:rsidRDefault="009D0C1D" w:rsidP="00A31BA7">
      <w:pPr>
        <w:pStyle w:val="1"/>
        <w:shd w:val="clear" w:color="auto" w:fill="auto"/>
        <w:spacing w:after="160" w:line="322" w:lineRule="auto"/>
        <w:jc w:val="both"/>
        <w:rPr>
          <w:sz w:val="18"/>
          <w:szCs w:val="18"/>
        </w:rPr>
      </w:pPr>
      <w:r w:rsidRPr="00154801">
        <w:rPr>
          <w:sz w:val="18"/>
          <w:szCs w:val="18"/>
        </w:rPr>
        <w:t>Утрата свідомості після введення TST через вазовагальну реакцію (проста втрата свідомості) зустрічається набагато частіше, ніж анафілаксія.</w:t>
      </w:r>
    </w:p>
    <w:p w14:paraId="06AC4BB5" w14:textId="77777777" w:rsidR="00366CB9" w:rsidRPr="00384EE0" w:rsidRDefault="009D0C1D" w:rsidP="00A31BA7">
      <w:pPr>
        <w:pStyle w:val="60"/>
        <w:shd w:val="clear" w:color="auto" w:fill="auto"/>
        <w:spacing w:after="200"/>
        <w:rPr>
          <w:i/>
          <w:iCs/>
        </w:rPr>
      </w:pPr>
      <w:r>
        <w:rPr>
          <w:i/>
          <w:color w:val="019648"/>
        </w:rPr>
        <w:t>Труднощі при заборі крові у маленьких дітей при застосуванні IGRA (але можна застосовувати TBST)</w:t>
      </w:r>
    </w:p>
    <w:p w14:paraId="1AE10771" w14:textId="77777777" w:rsidR="00366CB9" w:rsidRPr="00154801" w:rsidRDefault="009D0C1D" w:rsidP="00A31BA7">
      <w:pPr>
        <w:pStyle w:val="1"/>
        <w:shd w:val="clear" w:color="auto" w:fill="auto"/>
        <w:spacing w:after="240" w:line="324" w:lineRule="auto"/>
        <w:jc w:val="both"/>
        <w:rPr>
          <w:sz w:val="18"/>
          <w:szCs w:val="18"/>
        </w:rPr>
      </w:pPr>
      <w:r w:rsidRPr="00154801">
        <w:rPr>
          <w:sz w:val="18"/>
          <w:szCs w:val="18"/>
        </w:rPr>
        <w:t>IGRA не слід застосовувати для тестування на виявлення туберкульозної інфекції у дітей у віці від 6 місяців до 2 років через недостатню кількість даних та флеботомію у цій віковій групі. Натомість можна застосовувати TST або TBST. Тестування побутових контактів у віці до 5 років не є передумовою для ПЛТ.</w:t>
      </w:r>
    </w:p>
    <w:p w14:paraId="45E745BA" w14:textId="77777777" w:rsidR="00366CB9" w:rsidRDefault="009D0C1D" w:rsidP="00A31BA7">
      <w:pPr>
        <w:pStyle w:val="22"/>
        <w:numPr>
          <w:ilvl w:val="1"/>
          <w:numId w:val="9"/>
        </w:numPr>
        <w:shd w:val="clear" w:color="auto" w:fill="auto"/>
        <w:tabs>
          <w:tab w:val="left" w:pos="682"/>
        </w:tabs>
        <w:spacing w:line="240" w:lineRule="auto"/>
      </w:pPr>
      <w:bookmarkStart w:id="97" w:name="bookmark94"/>
      <w:bookmarkStart w:id="98" w:name="bookmark95"/>
      <w:r>
        <w:t>Міркування щодо тестування на виявлення кількох захворювань</w:t>
      </w:r>
      <w:bookmarkEnd w:id="97"/>
      <w:bookmarkEnd w:id="98"/>
    </w:p>
    <w:p w14:paraId="546ADBF1" w14:textId="77777777" w:rsidR="00366CB9" w:rsidRPr="00154801" w:rsidRDefault="009D0C1D" w:rsidP="00A31BA7">
      <w:pPr>
        <w:pStyle w:val="1"/>
        <w:shd w:val="clear" w:color="auto" w:fill="auto"/>
        <w:spacing w:after="160" w:line="324" w:lineRule="auto"/>
        <w:jc w:val="both"/>
        <w:rPr>
          <w:sz w:val="18"/>
          <w:szCs w:val="18"/>
        </w:rPr>
      </w:pPr>
      <w:r w:rsidRPr="00154801">
        <w:rPr>
          <w:sz w:val="18"/>
          <w:szCs w:val="18"/>
        </w:rPr>
        <w:t>Потреби у медичній допомозі є різними, а у майбутньому в рамках програм надаватимуться діагностичні послуги, щоб допомогти фахівцям у сфері охорони здоров’я максимально ефективно лікувати пацієнтів. Діагностика ТБ часто починається з оцінки симптомів; вона не є специфічною для ТБ, враховуючи, що кашель та лихоманка перетинаються з COVID-19 та іншими респіраторними інфекціями. Крім того, у осіб з ТБ також може бути ВІЛ, а послуги з лікування обох захворювань, як правило, надаються на однакових рівнях медичної допомоги. Відносні обсяги діагностичних послуг є також досить неоднорідними, та вони можуть бути низькими для конкретного захворювання або надаватись у периферійних центрах охорони здоров’я. Тестування на виявлення кількох захворювань може підвищити рівень використання обмежених інструментів для тестування та інших ресурсів; доступна інформаційна примітка, у якій описані міркування щодо тестування на виявлення кількох захворювань (</w:t>
      </w:r>
      <w:hyperlink w:anchor="bookmark198" w:tooltip="Поточний документ">
        <w:r w:rsidR="00366CB9" w:rsidRPr="00154801">
          <w:rPr>
            <w:sz w:val="18"/>
            <w:szCs w:val="18"/>
          </w:rPr>
          <w:t>59</w:t>
        </w:r>
      </w:hyperlink>
      <w:r w:rsidRPr="00154801">
        <w:rPr>
          <w:sz w:val="18"/>
          <w:szCs w:val="18"/>
        </w:rPr>
        <w:t>).</w:t>
      </w:r>
    </w:p>
    <w:p w14:paraId="2284918E" w14:textId="77777777" w:rsidR="00366CB9" w:rsidRPr="00154801" w:rsidRDefault="009D0C1D" w:rsidP="00A31BA7">
      <w:pPr>
        <w:pStyle w:val="1"/>
        <w:shd w:val="clear" w:color="auto" w:fill="auto"/>
        <w:spacing w:line="324" w:lineRule="auto"/>
        <w:jc w:val="both"/>
        <w:rPr>
          <w:sz w:val="18"/>
          <w:szCs w:val="18"/>
        </w:rPr>
      </w:pPr>
      <w:r w:rsidRPr="00154801">
        <w:rPr>
          <w:sz w:val="18"/>
          <w:szCs w:val="18"/>
        </w:rPr>
        <w:t>Усі наразі рекомендовані методи молекулярної діагностики для первинної діагностики ТБ враховують тест на SARS-CoV-2, що проводиться на тому ж приладі, що й тест на ТБ, хоча деякі з них можуть не бути схвалені до використання регуляторними органами. Деякі платформи також широко використовуються для діагностики та лікування ТБ у людей, які живуть з ВІЛ, тоді як інші використовуються для діагностики інших вірусних патогенів (наприклад, вірусу гепатиту С та вірусу папіломи людини) або виявлення резистентності до протимікробних</w:t>
      </w:r>
    </w:p>
    <w:p w14:paraId="52D0C8BB"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2EB1871A" w14:textId="77777777" w:rsidR="00366CB9" w:rsidRDefault="00366CB9" w:rsidP="00425523">
      <w:pPr>
        <w:spacing w:line="1" w:lineRule="exact"/>
      </w:pPr>
    </w:p>
    <w:p w14:paraId="6B98A9C3" w14:textId="77777777" w:rsidR="00366CB9" w:rsidRPr="00154801" w:rsidRDefault="009D0C1D" w:rsidP="00A31BA7">
      <w:pPr>
        <w:pStyle w:val="1"/>
        <w:shd w:val="clear" w:color="auto" w:fill="auto"/>
        <w:spacing w:line="324" w:lineRule="auto"/>
        <w:jc w:val="both"/>
        <w:rPr>
          <w:sz w:val="18"/>
          <w:szCs w:val="18"/>
        </w:rPr>
      </w:pPr>
      <w:r w:rsidRPr="00154801">
        <w:rPr>
          <w:sz w:val="18"/>
          <w:szCs w:val="18"/>
        </w:rPr>
        <w:t>препаратів серед бактеріальних патогенів. Крім того, один з рекомендованих IGRA також функціонує на платформі, що дозволяє проводити тестування на виявлення інших захворювань; платформи СНП також можуть використовуватись для секвенування будь-яких нуклеїнових кислот, що спостерігаються у зразку. Реакція на пандемію COVID-19 була передумовою для забезпечення потенціалу СНП у багатьох країнах, включаючи КНСД, для проведення епідеміологічного нагляду. Такий потенціал та кваліфікація можуть бути доступні та використовуватись для швидкого впровадження цільового ТМЧ на основі СНП для виявлення ТБ. Якщо планується проведення тестування на виявлення кількох захворювань на одному приладі, рекомендуються платформи з довільним доступом (наприклад, GeneXpert або Truenat), що проводять різні типи тестів в одній серії або одночасно (наприклад, BD MAX або цільове СНП), щоб не допускати затримки результатів пацієнтів.</w:t>
      </w:r>
    </w:p>
    <w:p w14:paraId="5AB59C51"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043AC0A5" w14:textId="77777777" w:rsidR="00366CB9" w:rsidRDefault="00366CB9" w:rsidP="00425523">
      <w:pPr>
        <w:spacing w:line="1" w:lineRule="exact"/>
      </w:pPr>
    </w:p>
    <w:p w14:paraId="5CFD3F06" w14:textId="77777777" w:rsidR="00366CB9" w:rsidRDefault="00366CB9" w:rsidP="00A31BA7"/>
    <w:p w14:paraId="7A67B526"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779D6930" w14:textId="77777777" w:rsidR="00366CB9" w:rsidRDefault="00366CB9" w:rsidP="00425523">
      <w:pPr>
        <w:spacing w:line="1" w:lineRule="exact"/>
      </w:pPr>
    </w:p>
    <w:p w14:paraId="6CD95656" w14:textId="77777777" w:rsidR="00366CB9" w:rsidRDefault="009D0C1D" w:rsidP="00E8720F">
      <w:pPr>
        <w:pStyle w:val="11"/>
        <w:numPr>
          <w:ilvl w:val="0"/>
          <w:numId w:val="9"/>
        </w:numPr>
        <w:shd w:val="clear" w:color="auto" w:fill="auto"/>
        <w:tabs>
          <w:tab w:val="left" w:pos="694"/>
        </w:tabs>
        <w:spacing w:before="0" w:after="700" w:line="259" w:lineRule="auto"/>
      </w:pPr>
      <w:bookmarkStart w:id="99" w:name="bookmark98"/>
      <w:bookmarkStart w:id="100" w:name="bookmark99"/>
      <w:bookmarkStart w:id="101" w:name="bookmark96"/>
      <w:bookmarkStart w:id="102" w:name="bookmark97"/>
      <w:r>
        <w:t>Роль діагностичних тестів у багаторівневій лабораторній мережі</w:t>
      </w:r>
      <w:bookmarkEnd w:id="99"/>
      <w:bookmarkEnd w:id="100"/>
      <w:bookmarkEnd w:id="101"/>
      <w:bookmarkEnd w:id="102"/>
    </w:p>
    <w:p w14:paraId="68D223D7" w14:textId="77777777" w:rsidR="00366CB9" w:rsidRPr="00154801" w:rsidRDefault="009D0C1D" w:rsidP="00E8720F">
      <w:pPr>
        <w:pStyle w:val="1"/>
        <w:shd w:val="clear" w:color="auto" w:fill="auto"/>
        <w:spacing w:after="140" w:line="324" w:lineRule="auto"/>
        <w:jc w:val="both"/>
        <w:rPr>
          <w:sz w:val="18"/>
          <w:szCs w:val="18"/>
        </w:rPr>
      </w:pPr>
      <w:r w:rsidRPr="00154801">
        <w:rPr>
          <w:sz w:val="18"/>
          <w:szCs w:val="18"/>
        </w:rPr>
        <w:t>Діагностичні тести повинні:</w:t>
      </w:r>
    </w:p>
    <w:p w14:paraId="60B5E005" w14:textId="77777777" w:rsidR="00366CB9" w:rsidRPr="00154801" w:rsidRDefault="009D0C1D" w:rsidP="00E8720F">
      <w:pPr>
        <w:pStyle w:val="1"/>
        <w:shd w:val="clear" w:color="auto" w:fill="auto"/>
        <w:spacing w:line="324" w:lineRule="auto"/>
        <w:jc w:val="both"/>
        <w:rPr>
          <w:sz w:val="18"/>
          <w:szCs w:val="18"/>
        </w:rPr>
      </w:pPr>
      <w:r w:rsidRPr="00154801">
        <w:rPr>
          <w:color w:val="019648"/>
          <w:sz w:val="18"/>
          <w:szCs w:val="18"/>
        </w:rPr>
        <w:t xml:space="preserve">• </w:t>
      </w:r>
      <w:r w:rsidRPr="00154801">
        <w:rPr>
          <w:sz w:val="18"/>
          <w:szCs w:val="18"/>
        </w:rPr>
        <w:t>давати точні результати;</w:t>
      </w:r>
    </w:p>
    <w:p w14:paraId="3C6015C1" w14:textId="77777777" w:rsidR="00366CB9" w:rsidRPr="00154801" w:rsidRDefault="009D0C1D" w:rsidP="00E8720F">
      <w:pPr>
        <w:pStyle w:val="1"/>
        <w:shd w:val="clear" w:color="auto" w:fill="auto"/>
        <w:spacing w:line="324" w:lineRule="auto"/>
        <w:jc w:val="both"/>
        <w:rPr>
          <w:sz w:val="18"/>
          <w:szCs w:val="18"/>
        </w:rPr>
      </w:pPr>
      <w:r w:rsidRPr="00154801">
        <w:rPr>
          <w:color w:val="019648"/>
          <w:sz w:val="18"/>
          <w:szCs w:val="18"/>
        </w:rPr>
        <w:t xml:space="preserve">• </w:t>
      </w:r>
      <w:r w:rsidRPr="00154801">
        <w:rPr>
          <w:sz w:val="18"/>
          <w:szCs w:val="18"/>
        </w:rPr>
        <w:t>давати своєчасні результати, що впливають на прийняття клінічних рішень;</w:t>
      </w:r>
    </w:p>
    <w:p w14:paraId="4D2F6335" w14:textId="77777777" w:rsidR="00366CB9" w:rsidRPr="00154801" w:rsidRDefault="009D0C1D" w:rsidP="00E8720F">
      <w:pPr>
        <w:pStyle w:val="1"/>
        <w:shd w:val="clear" w:color="auto" w:fill="auto"/>
        <w:spacing w:line="324" w:lineRule="auto"/>
        <w:jc w:val="both"/>
        <w:rPr>
          <w:sz w:val="18"/>
          <w:szCs w:val="18"/>
        </w:rPr>
      </w:pPr>
      <w:r w:rsidRPr="00154801">
        <w:rPr>
          <w:color w:val="019648"/>
          <w:sz w:val="18"/>
          <w:szCs w:val="18"/>
        </w:rPr>
        <w:t xml:space="preserve">• </w:t>
      </w:r>
      <w:r w:rsidRPr="00154801">
        <w:rPr>
          <w:sz w:val="18"/>
          <w:szCs w:val="18"/>
        </w:rPr>
        <w:t>враховувати потребу; та</w:t>
      </w:r>
    </w:p>
    <w:p w14:paraId="2DFDB6C8" w14:textId="77777777" w:rsidR="00366CB9" w:rsidRPr="00154801" w:rsidRDefault="009D0C1D" w:rsidP="00E8720F">
      <w:pPr>
        <w:pStyle w:val="1"/>
        <w:shd w:val="clear" w:color="auto" w:fill="auto"/>
        <w:spacing w:after="140" w:line="324" w:lineRule="auto"/>
        <w:jc w:val="both"/>
        <w:rPr>
          <w:sz w:val="18"/>
          <w:szCs w:val="18"/>
        </w:rPr>
      </w:pPr>
      <w:r w:rsidRPr="00154801">
        <w:rPr>
          <w:color w:val="019648"/>
          <w:sz w:val="18"/>
          <w:szCs w:val="18"/>
        </w:rPr>
        <w:t xml:space="preserve">• </w:t>
      </w:r>
      <w:r w:rsidRPr="00154801">
        <w:rPr>
          <w:sz w:val="18"/>
          <w:szCs w:val="18"/>
        </w:rPr>
        <w:t>бути якісними, надійними та відтворюваними.</w:t>
      </w:r>
    </w:p>
    <w:p w14:paraId="7959D7EA" w14:textId="77777777" w:rsidR="00366CB9" w:rsidRPr="00154801" w:rsidRDefault="009D0C1D" w:rsidP="00E8720F">
      <w:pPr>
        <w:pStyle w:val="1"/>
        <w:shd w:val="clear" w:color="auto" w:fill="auto"/>
        <w:spacing w:after="140" w:line="324" w:lineRule="auto"/>
        <w:jc w:val="both"/>
        <w:rPr>
          <w:sz w:val="18"/>
          <w:szCs w:val="18"/>
        </w:rPr>
      </w:pPr>
      <w:r w:rsidRPr="00154801">
        <w:rPr>
          <w:sz w:val="18"/>
          <w:szCs w:val="18"/>
        </w:rPr>
        <w:t>Важливо приймати рішення про місце проведення конкретного тесту, оскільки воно може призвести або не призвести до бажаних результатів. Крім того, діагностичний тест не варто розглядати окремо від інших тестів (на ТБ та інші захворювання), що застосовуються для отримання результатів клінічного лікування пацієнтів. Для підтримки цих рішень ВООЗ та ГЛІ опублікували посібник з вибору mWRD (</w:t>
      </w:r>
      <w:hyperlink w:anchor="bookmark196" w:tooltip="Поточний документ">
        <w:r w:rsidR="00366CB9" w:rsidRPr="00154801">
          <w:rPr>
            <w:sz w:val="18"/>
            <w:szCs w:val="18"/>
          </w:rPr>
          <w:t>15</w:t>
        </w:r>
      </w:hyperlink>
      <w:r w:rsidRPr="00154801">
        <w:rPr>
          <w:sz w:val="18"/>
          <w:szCs w:val="18"/>
        </w:rPr>
        <w:t>).</w:t>
      </w:r>
    </w:p>
    <w:p w14:paraId="06BD343B" w14:textId="77777777" w:rsidR="00366CB9" w:rsidRPr="00154801" w:rsidRDefault="009D0C1D" w:rsidP="00E8720F">
      <w:pPr>
        <w:pStyle w:val="1"/>
        <w:shd w:val="clear" w:color="auto" w:fill="auto"/>
        <w:spacing w:after="140" w:line="324" w:lineRule="auto"/>
        <w:jc w:val="both"/>
        <w:rPr>
          <w:sz w:val="18"/>
          <w:szCs w:val="18"/>
        </w:rPr>
      </w:pPr>
      <w:r w:rsidRPr="00154801">
        <w:rPr>
          <w:sz w:val="18"/>
          <w:szCs w:val="18"/>
        </w:rPr>
        <w:t xml:space="preserve">Публікація </w:t>
      </w:r>
      <w:r w:rsidRPr="00154801">
        <w:rPr>
          <w:i/>
          <w:sz w:val="18"/>
          <w:szCs w:val="18"/>
        </w:rPr>
        <w:t>«Стандарт ВООЗ: універсальний доступ до швидкої діагностики туберкульозу» (</w:t>
      </w:r>
      <w:hyperlink w:anchor="bookmark193" w:tooltip="Поточний документ">
        <w:r w:rsidR="00366CB9" w:rsidRPr="00154801">
          <w:rPr>
            <w:i/>
            <w:sz w:val="18"/>
            <w:szCs w:val="18"/>
          </w:rPr>
          <w:t>3</w:t>
        </w:r>
      </w:hyperlink>
      <w:r w:rsidRPr="00154801">
        <w:rPr>
          <w:i/>
          <w:sz w:val="18"/>
          <w:szCs w:val="18"/>
        </w:rPr>
        <w:t>)</w:t>
      </w:r>
      <w:r w:rsidRPr="00154801">
        <w:rPr>
          <w:sz w:val="18"/>
          <w:szCs w:val="18"/>
        </w:rPr>
        <w:t xml:space="preserve"> може бути керівництвом щодо впровадження та контролю покращень у тестуванні на виявлення ТБ та діагностичних мережах для досягнення універсального доступу. Стандарт складається з 12 контрольних показників у 4 етапах (</w:t>
      </w:r>
      <w:hyperlink w:anchor="bookmark101" w:tooltip="Поточний документ">
        <w:r w:rsidR="00366CB9" w:rsidRPr="00154801">
          <w:rPr>
            <w:b/>
            <w:sz w:val="18"/>
            <w:szCs w:val="18"/>
          </w:rPr>
          <w:t>рис. 4.1</w:t>
        </w:r>
      </w:hyperlink>
      <w:r w:rsidRPr="00154801">
        <w:rPr>
          <w:sz w:val="18"/>
          <w:szCs w:val="18"/>
        </w:rPr>
        <w:t>), що вимагає цілісного підходу до діагностики, що охоплює лабораторії, заклади охорони здоров’я та окремих пацієнтів.</w:t>
      </w:r>
    </w:p>
    <w:p w14:paraId="2389779A" w14:textId="77777777" w:rsidR="00366CB9" w:rsidRPr="00154801" w:rsidRDefault="009D0C1D" w:rsidP="00E8720F">
      <w:pPr>
        <w:pStyle w:val="1"/>
        <w:shd w:val="clear" w:color="auto" w:fill="auto"/>
        <w:spacing w:line="324" w:lineRule="auto"/>
        <w:jc w:val="both"/>
        <w:rPr>
          <w:sz w:val="18"/>
          <w:szCs w:val="18"/>
        </w:rPr>
      </w:pPr>
      <w:r w:rsidRPr="00154801">
        <w:rPr>
          <w:sz w:val="18"/>
          <w:szCs w:val="18"/>
        </w:rPr>
        <w:t xml:space="preserve">У багатьох країнах з обмеженими ресурсами або високим тягарем епідемії мережі лабораторій з діагностики ТБ мають пірамідальну структуру, як показано на </w:t>
      </w:r>
      <w:r w:rsidRPr="00154801">
        <w:rPr>
          <w:b/>
          <w:bCs/>
          <w:sz w:val="18"/>
          <w:szCs w:val="18"/>
        </w:rPr>
        <w:t>рис. 4.2</w:t>
      </w:r>
      <w:r w:rsidRPr="00154801">
        <w:rPr>
          <w:sz w:val="18"/>
          <w:szCs w:val="18"/>
        </w:rPr>
        <w:t>. У цій структурі найбільша кількість лабораторій на периферійному рівні (рівень I); помірна кількість проміжних лабораторій (рівень II), розташованих у середніх за площею населених пунктах та закладах охорони здоров’я; та одна центральна лабораторія (рівень III) – або більше однієї у великих країнах – на провінційному, державному або національному рівні. Кожен рівень або ранг має конкретні вимоги до виробничої потужності та біологічної безпеки, визначені за оцінкою ризиків, як зазначено в посібнику ВООЗ з біологічної безпеки для лабораторій з діагностики ТБ (</w:t>
      </w:r>
      <w:hyperlink w:anchor="bookmark198" w:tooltip="Поточний документ">
        <w:r w:rsidR="00366CB9" w:rsidRPr="00154801">
          <w:rPr>
            <w:sz w:val="18"/>
            <w:szCs w:val="18"/>
          </w:rPr>
          <w:t>60</w:t>
        </w:r>
      </w:hyperlink>
      <w:r w:rsidRPr="00154801">
        <w:rPr>
          <w:sz w:val="18"/>
          <w:szCs w:val="18"/>
        </w:rPr>
        <w:t>).</w:t>
      </w:r>
    </w:p>
    <w:p w14:paraId="785DA221" w14:textId="77777777" w:rsidR="00366CB9" w:rsidRDefault="009D0C1D" w:rsidP="00425523">
      <w:pPr>
        <w:spacing w:line="1" w:lineRule="exact"/>
        <w:sectPr w:rsidR="00366CB9" w:rsidSect="00E8720F">
          <w:footerReference w:type="default" r:id="rId108"/>
          <w:type w:val="nextColumn"/>
          <w:pgSz w:w="11911" w:h="17036"/>
          <w:pgMar w:top="2325" w:right="1378" w:bottom="851" w:left="1372" w:header="0" w:footer="6" w:gutter="0"/>
          <w:paperSrc w:first="15" w:other="15"/>
          <w:cols w:space="720"/>
          <w:noEndnote/>
          <w:docGrid w:linePitch="360"/>
        </w:sectPr>
      </w:pPr>
      <w:r>
        <w:rPr>
          <w:noProof/>
        </w:rPr>
        <w:drawing>
          <wp:anchor distT="0" distB="0" distL="0" distR="0" simplePos="0" relativeHeight="251424768" behindDoc="1" locked="0" layoutInCell="1" allowOverlap="1" wp14:anchorId="59B7E2A1" wp14:editId="555A003C">
            <wp:simplePos x="0" y="0"/>
            <wp:positionH relativeFrom="page">
              <wp:align>left</wp:align>
            </wp:positionH>
            <wp:positionV relativeFrom="page">
              <wp:align>top</wp:align>
            </wp:positionV>
            <wp:extent cx="7560000" cy="1472400"/>
            <wp:effectExtent l="0" t="0" r="3175" b="0"/>
            <wp:wrapNone/>
            <wp:docPr id="103" name="Shape 103"/>
            <wp:cNvGraphicFramePr/>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109"/>
                    <a:stretch/>
                  </pic:blipFill>
                  <pic:spPr>
                    <a:xfrm>
                      <a:off x="0" y="0"/>
                      <a:ext cx="7560000" cy="1472400"/>
                    </a:xfrm>
                    <a:prstGeom prst="rect">
                      <a:avLst/>
                    </a:prstGeom>
                  </pic:spPr>
                </pic:pic>
              </a:graphicData>
            </a:graphic>
            <wp14:sizeRelH relativeFrom="margin">
              <wp14:pctWidth>0</wp14:pctWidth>
            </wp14:sizeRelH>
            <wp14:sizeRelV relativeFrom="margin">
              <wp14:pctHeight>0</wp14:pctHeight>
            </wp14:sizeRelV>
          </wp:anchor>
        </w:drawing>
      </w:r>
    </w:p>
    <w:p w14:paraId="3B21C5BF" w14:textId="13CE50FF" w:rsidR="00366CB9" w:rsidRDefault="00942C2A" w:rsidP="00425523">
      <w:pPr>
        <w:spacing w:line="1" w:lineRule="exact"/>
      </w:pPr>
      <w:r>
        <w:rPr>
          <w:noProof/>
        </w:rPr>
        <w:lastRenderedPageBreak/>
        <mc:AlternateContent>
          <mc:Choice Requires="wps">
            <w:drawing>
              <wp:anchor distT="0" distB="0" distL="114300" distR="114300" simplePos="0" relativeHeight="251531264" behindDoc="1" locked="0" layoutInCell="1" allowOverlap="1" wp14:anchorId="47659A99" wp14:editId="1A6CEFCB">
                <wp:simplePos x="0" y="0"/>
                <wp:positionH relativeFrom="page">
                  <wp:posOffset>0</wp:posOffset>
                </wp:positionH>
                <wp:positionV relativeFrom="page">
                  <wp:posOffset>50800</wp:posOffset>
                </wp:positionV>
                <wp:extent cx="7563485" cy="10817860"/>
                <wp:effectExtent l="0" t="0" r="0" b="0"/>
                <wp:wrapNone/>
                <wp:docPr id="105" name="Shape 105"/>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wps:cNvSpPr>
                      <wps:spPr>
                        <a:xfrm>
                          <a:off x="0" y="0"/>
                          <a:ext cx="7563485" cy="10817860"/>
                        </a:xfrm>
                        <a:prstGeom prst="rect">
                          <a:avLst/>
                        </a:prstGeom>
                        <a:solidFill>
                          <a:srgbClr val="FEFEFE"/>
                        </a:solidFill>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0380C8" id="Shape 105" o:spid="_x0000_s1026" style="position:absolute;margin-left:0;margin-top:4pt;width:595.55pt;height:851.8pt;z-index:-251785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" fillcolor="#fefefe" stroked="f">
                <o:lock v:ext="edit" rotation="t" position="t"/>
                <w10:wrap anchorx="page" anchory="page"/>
              </v:rect>
            </w:pict>
          </mc:Fallback>
        </mc:AlternateContent>
      </w:r>
      <w:r w:rsidR="00E8720F">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2170"/>
        <w:gridCol w:w="134"/>
        <w:gridCol w:w="2170"/>
        <w:gridCol w:w="139"/>
        <w:gridCol w:w="2155"/>
        <w:gridCol w:w="163"/>
        <w:gridCol w:w="2155"/>
      </w:tblGrid>
      <w:tr w:rsidR="00366CB9" w14:paraId="7908599E" w14:textId="77777777" w:rsidTr="00764EAF">
        <w:trPr>
          <w:trHeight w:hRule="exact" w:val="681"/>
        </w:trPr>
        <w:tc>
          <w:tcPr>
            <w:tcW w:w="9086" w:type="dxa"/>
            <w:gridSpan w:val="7"/>
            <w:shd w:val="clear" w:color="auto" w:fill="FFFFFF"/>
          </w:tcPr>
          <w:p w14:paraId="19AC10AC" w14:textId="56DACD3C" w:rsidR="00366CB9" w:rsidRPr="00BF6DB7" w:rsidRDefault="009D0C1D" w:rsidP="00E8720F">
            <w:pPr>
              <w:pStyle w:val="a6"/>
              <w:shd w:val="clear" w:color="auto" w:fill="auto"/>
              <w:rPr>
                <w:sz w:val="24"/>
                <w:szCs w:val="24"/>
              </w:rPr>
            </w:pPr>
            <w:bookmarkStart w:id="103" w:name="bookmark100"/>
            <w:bookmarkStart w:id="104" w:name="bookmark101"/>
            <w:r>
              <w:rPr>
                <w:color w:val="636466"/>
                <w:sz w:val="24"/>
              </w:rPr>
              <w:t>Рис. 4.1. 12 контрольних показників, що становлять стандарт ВООЗ, поділені на чотири етапи у діагностичному каскаді</w:t>
            </w:r>
            <w:bookmarkEnd w:id="103"/>
            <w:bookmarkEnd w:id="104"/>
          </w:p>
        </w:tc>
      </w:tr>
      <w:tr w:rsidR="00366CB9" w14:paraId="775CE2C5" w14:textId="77777777" w:rsidTr="00B36D0D">
        <w:trPr>
          <w:trHeight w:hRule="exact" w:val="374"/>
        </w:trPr>
        <w:tc>
          <w:tcPr>
            <w:tcW w:w="2170" w:type="dxa"/>
            <w:shd w:val="clear" w:color="auto" w:fill="084971"/>
          </w:tcPr>
          <w:p w14:paraId="5062F902" w14:textId="45BF852B" w:rsidR="00366CB9" w:rsidRDefault="009D0C1D" w:rsidP="00E8720F">
            <w:pPr>
              <w:pStyle w:val="a6"/>
              <w:shd w:val="clear" w:color="auto" w:fill="auto"/>
              <w:rPr>
                <w:sz w:val="26"/>
                <w:szCs w:val="26"/>
              </w:rPr>
            </w:pPr>
            <w:r>
              <w:rPr>
                <w:color w:val="FFFFFF"/>
                <w:sz w:val="26"/>
              </w:rPr>
              <w:t>ЕТАП 1</w:t>
            </w:r>
          </w:p>
        </w:tc>
        <w:tc>
          <w:tcPr>
            <w:tcW w:w="134" w:type="dxa"/>
            <w:shd w:val="clear" w:color="auto" w:fill="FFFFFF"/>
          </w:tcPr>
          <w:p w14:paraId="7FF7B03E" w14:textId="77777777" w:rsidR="00366CB9" w:rsidRDefault="00366CB9" w:rsidP="00E8720F">
            <w:pPr>
              <w:rPr>
                <w:sz w:val="10"/>
                <w:szCs w:val="10"/>
              </w:rPr>
            </w:pPr>
          </w:p>
        </w:tc>
        <w:tc>
          <w:tcPr>
            <w:tcW w:w="2170" w:type="dxa"/>
            <w:shd w:val="clear" w:color="auto" w:fill="DA461E"/>
          </w:tcPr>
          <w:p w14:paraId="5C3137A7" w14:textId="77777777" w:rsidR="00366CB9" w:rsidRDefault="009D0C1D" w:rsidP="00E8720F">
            <w:pPr>
              <w:pStyle w:val="a6"/>
              <w:shd w:val="clear" w:color="auto" w:fill="auto"/>
              <w:rPr>
                <w:sz w:val="26"/>
                <w:szCs w:val="26"/>
              </w:rPr>
            </w:pPr>
            <w:r>
              <w:rPr>
                <w:color w:val="FFFFFF"/>
                <w:sz w:val="26"/>
              </w:rPr>
              <w:t>ЕТАП 2</w:t>
            </w:r>
          </w:p>
        </w:tc>
        <w:tc>
          <w:tcPr>
            <w:tcW w:w="139" w:type="dxa"/>
            <w:shd w:val="clear" w:color="auto" w:fill="FFFFFF"/>
          </w:tcPr>
          <w:p w14:paraId="6730E8B1" w14:textId="77777777" w:rsidR="00366CB9" w:rsidRDefault="00366CB9" w:rsidP="00E8720F">
            <w:pPr>
              <w:rPr>
                <w:sz w:val="10"/>
                <w:szCs w:val="10"/>
              </w:rPr>
            </w:pPr>
          </w:p>
        </w:tc>
        <w:tc>
          <w:tcPr>
            <w:tcW w:w="2155" w:type="dxa"/>
            <w:shd w:val="clear" w:color="auto" w:fill="0097B4"/>
          </w:tcPr>
          <w:p w14:paraId="5A5BC523" w14:textId="77777777" w:rsidR="00366CB9" w:rsidRDefault="009D0C1D" w:rsidP="00E8720F">
            <w:pPr>
              <w:pStyle w:val="a6"/>
              <w:shd w:val="clear" w:color="auto" w:fill="auto"/>
              <w:rPr>
                <w:sz w:val="26"/>
                <w:szCs w:val="26"/>
              </w:rPr>
            </w:pPr>
            <w:r>
              <w:rPr>
                <w:color w:val="FFFFFF"/>
                <w:sz w:val="26"/>
              </w:rPr>
              <w:t>ЕТАП 3</w:t>
            </w:r>
          </w:p>
        </w:tc>
        <w:tc>
          <w:tcPr>
            <w:tcW w:w="163" w:type="dxa"/>
            <w:shd w:val="clear" w:color="auto" w:fill="FFFFFF"/>
          </w:tcPr>
          <w:p w14:paraId="0DA6ACB4" w14:textId="77777777" w:rsidR="00366CB9" w:rsidRDefault="00366CB9" w:rsidP="00E8720F">
            <w:pPr>
              <w:rPr>
                <w:sz w:val="10"/>
                <w:szCs w:val="10"/>
              </w:rPr>
            </w:pPr>
          </w:p>
        </w:tc>
        <w:tc>
          <w:tcPr>
            <w:tcW w:w="2155" w:type="dxa"/>
            <w:shd w:val="clear" w:color="auto" w:fill="AD176E"/>
          </w:tcPr>
          <w:p w14:paraId="4E3C38D3" w14:textId="77777777" w:rsidR="00366CB9" w:rsidRDefault="009D0C1D" w:rsidP="00E8720F">
            <w:pPr>
              <w:pStyle w:val="a6"/>
              <w:shd w:val="clear" w:color="auto" w:fill="auto"/>
              <w:rPr>
                <w:sz w:val="26"/>
                <w:szCs w:val="26"/>
              </w:rPr>
            </w:pPr>
            <w:r>
              <w:rPr>
                <w:color w:val="FFFFFF"/>
                <w:sz w:val="26"/>
              </w:rPr>
              <w:t>ЕТАП 4</w:t>
            </w:r>
          </w:p>
        </w:tc>
      </w:tr>
      <w:tr w:rsidR="00366CB9" w14:paraId="2A302449" w14:textId="77777777" w:rsidTr="00B36D0D">
        <w:trPr>
          <w:trHeight w:hRule="exact" w:val="1393"/>
        </w:trPr>
        <w:tc>
          <w:tcPr>
            <w:tcW w:w="2170" w:type="dxa"/>
            <w:tcBorders>
              <w:bottom w:val="single" w:sz="8" w:space="0" w:color="1F3864" w:themeColor="accent1" w:themeShade="80"/>
            </w:tcBorders>
            <w:shd w:val="clear" w:color="auto" w:fill="F2F2F5"/>
          </w:tcPr>
          <w:p w14:paraId="4174A3E4" w14:textId="3C001785" w:rsidR="00366CB9" w:rsidRDefault="009D0C1D" w:rsidP="00E8720F">
            <w:pPr>
              <w:pStyle w:val="a6"/>
              <w:shd w:val="clear" w:color="auto" w:fill="auto"/>
              <w:rPr>
                <w:sz w:val="18"/>
                <w:szCs w:val="18"/>
              </w:rPr>
            </w:pPr>
            <w:r>
              <w:rPr>
                <w:color w:val="000000"/>
                <w:sz w:val="22"/>
              </w:rPr>
              <w:t xml:space="preserve">ВИЗНАЧЕННЯ ПІДОЗРИ НА ТБ </w:t>
            </w:r>
            <w:r>
              <w:rPr>
                <w:color w:val="084972"/>
                <w:sz w:val="18"/>
              </w:rPr>
              <w:t>Підвищення кількості осіб з підозрою на ТБ</w:t>
            </w:r>
          </w:p>
        </w:tc>
        <w:tc>
          <w:tcPr>
            <w:tcW w:w="134" w:type="dxa"/>
            <w:shd w:val="clear" w:color="auto" w:fill="FFFFFF"/>
          </w:tcPr>
          <w:p w14:paraId="32C03347" w14:textId="77777777" w:rsidR="00366CB9" w:rsidRDefault="00366CB9" w:rsidP="00E8720F">
            <w:pPr>
              <w:rPr>
                <w:sz w:val="10"/>
                <w:szCs w:val="10"/>
              </w:rPr>
            </w:pPr>
          </w:p>
        </w:tc>
        <w:tc>
          <w:tcPr>
            <w:tcW w:w="2170" w:type="dxa"/>
            <w:tcBorders>
              <w:bottom w:val="single" w:sz="8" w:space="0" w:color="ED7D31" w:themeColor="accent2"/>
            </w:tcBorders>
            <w:shd w:val="clear" w:color="auto" w:fill="FDF1EA"/>
          </w:tcPr>
          <w:p w14:paraId="127BEF48" w14:textId="77777777" w:rsidR="00366CB9" w:rsidRDefault="009D0C1D" w:rsidP="00E8720F">
            <w:pPr>
              <w:pStyle w:val="a6"/>
              <w:shd w:val="clear" w:color="auto" w:fill="auto"/>
              <w:rPr>
                <w:sz w:val="18"/>
                <w:szCs w:val="18"/>
              </w:rPr>
            </w:pPr>
            <w:r>
              <w:rPr>
                <w:color w:val="000000"/>
                <w:sz w:val="22"/>
              </w:rPr>
              <w:t xml:space="preserve">ОЦІНКА ТЕСТУВАННЯ </w:t>
            </w:r>
            <w:r>
              <w:rPr>
                <w:color w:val="DA471F"/>
                <w:sz w:val="18"/>
              </w:rPr>
              <w:t>Підвищення рівня доступу до WRD</w:t>
            </w:r>
          </w:p>
        </w:tc>
        <w:tc>
          <w:tcPr>
            <w:tcW w:w="139" w:type="dxa"/>
            <w:shd w:val="clear" w:color="auto" w:fill="FFFFFF"/>
          </w:tcPr>
          <w:p w14:paraId="37975162" w14:textId="77777777" w:rsidR="00366CB9" w:rsidRDefault="00366CB9" w:rsidP="00E8720F">
            <w:pPr>
              <w:rPr>
                <w:sz w:val="10"/>
                <w:szCs w:val="10"/>
              </w:rPr>
            </w:pPr>
          </w:p>
        </w:tc>
        <w:tc>
          <w:tcPr>
            <w:tcW w:w="2155" w:type="dxa"/>
            <w:tcBorders>
              <w:bottom w:val="single" w:sz="8" w:space="0" w:color="5B9BD5" w:themeColor="accent5"/>
            </w:tcBorders>
            <w:shd w:val="clear" w:color="auto" w:fill="ECF6F8"/>
          </w:tcPr>
          <w:p w14:paraId="53C898FA" w14:textId="4CEBDF28" w:rsidR="00366CB9" w:rsidRDefault="009D0C1D" w:rsidP="00942C2A">
            <w:pPr>
              <w:pStyle w:val="a6"/>
              <w:shd w:val="clear" w:color="auto" w:fill="auto"/>
              <w:rPr>
                <w:sz w:val="22"/>
                <w:szCs w:val="22"/>
              </w:rPr>
            </w:pPr>
            <w:r>
              <w:rPr>
                <w:color w:val="000000"/>
                <w:sz w:val="22"/>
              </w:rPr>
              <w:t>ТЕСТУВАННЯ</w:t>
            </w:r>
          </w:p>
          <w:p w14:paraId="51A180CB" w14:textId="77777777" w:rsidR="00366CB9" w:rsidRDefault="009D0C1D" w:rsidP="00E8720F">
            <w:pPr>
              <w:pStyle w:val="a6"/>
              <w:shd w:val="clear" w:color="auto" w:fill="auto"/>
              <w:rPr>
                <w:sz w:val="18"/>
                <w:szCs w:val="18"/>
              </w:rPr>
            </w:pPr>
            <w:r>
              <w:rPr>
                <w:color w:val="0097B4"/>
                <w:sz w:val="18"/>
              </w:rPr>
              <w:t>Підвищення рівня доступу до WRD та тестування медикаментозної резистентності</w:t>
            </w:r>
          </w:p>
        </w:tc>
        <w:tc>
          <w:tcPr>
            <w:tcW w:w="163" w:type="dxa"/>
            <w:shd w:val="clear" w:color="auto" w:fill="FFFFFF"/>
          </w:tcPr>
          <w:p w14:paraId="3BD6BAA5" w14:textId="77777777" w:rsidR="00366CB9" w:rsidRDefault="00366CB9" w:rsidP="00E8720F">
            <w:pPr>
              <w:rPr>
                <w:sz w:val="10"/>
                <w:szCs w:val="10"/>
              </w:rPr>
            </w:pPr>
          </w:p>
        </w:tc>
        <w:tc>
          <w:tcPr>
            <w:tcW w:w="2155" w:type="dxa"/>
            <w:tcBorders>
              <w:bottom w:val="single" w:sz="8" w:space="0" w:color="CC0066"/>
            </w:tcBorders>
            <w:shd w:val="clear" w:color="auto" w:fill="F7EEF2"/>
          </w:tcPr>
          <w:p w14:paraId="37C3300C" w14:textId="77777777" w:rsidR="00366CB9" w:rsidRDefault="009D0C1D" w:rsidP="00E8720F">
            <w:pPr>
              <w:pStyle w:val="a6"/>
              <w:shd w:val="clear" w:color="auto" w:fill="auto"/>
              <w:rPr>
                <w:sz w:val="22"/>
                <w:szCs w:val="22"/>
              </w:rPr>
            </w:pPr>
            <w:r>
              <w:rPr>
                <w:color w:val="000000"/>
                <w:sz w:val="22"/>
              </w:rPr>
              <w:t>ВСТАНОВЛЕННЯ</w:t>
            </w:r>
          </w:p>
          <w:p w14:paraId="5617099C" w14:textId="77777777" w:rsidR="00366CB9" w:rsidRDefault="009D0C1D" w:rsidP="00E8720F">
            <w:pPr>
              <w:pStyle w:val="a6"/>
              <w:shd w:val="clear" w:color="auto" w:fill="auto"/>
              <w:spacing w:line="226" w:lineRule="auto"/>
              <w:rPr>
                <w:sz w:val="22"/>
                <w:szCs w:val="22"/>
              </w:rPr>
            </w:pPr>
            <w:r>
              <w:rPr>
                <w:color w:val="000000"/>
                <w:sz w:val="22"/>
              </w:rPr>
              <w:t>ДІАГНОЗУ</w:t>
            </w:r>
          </w:p>
          <w:p w14:paraId="4CD889ED" w14:textId="77777777" w:rsidR="00366CB9" w:rsidRDefault="009D0C1D" w:rsidP="00E8720F">
            <w:pPr>
              <w:pStyle w:val="a6"/>
              <w:shd w:val="clear" w:color="auto" w:fill="auto"/>
              <w:rPr>
                <w:sz w:val="18"/>
                <w:szCs w:val="18"/>
              </w:rPr>
            </w:pPr>
            <w:r>
              <w:rPr>
                <w:color w:val="AE176E"/>
                <w:sz w:val="18"/>
              </w:rPr>
              <w:t>Підвищення рівня діагностики на основі WRD</w:t>
            </w:r>
          </w:p>
        </w:tc>
      </w:tr>
      <w:tr w:rsidR="00366CB9" w14:paraId="289C0F74" w14:textId="77777777" w:rsidTr="00B36D0D">
        <w:trPr>
          <w:trHeight w:hRule="exact" w:val="5610"/>
        </w:trPr>
        <w:tc>
          <w:tcPr>
            <w:tcW w:w="2170" w:type="dxa"/>
            <w:tcBorders>
              <w:top w:val="single" w:sz="8" w:space="0" w:color="1F3864" w:themeColor="accent1" w:themeShade="80"/>
            </w:tcBorders>
            <w:shd w:val="clear" w:color="auto" w:fill="FFFFFF"/>
          </w:tcPr>
          <w:p w14:paraId="3D2FF604" w14:textId="6A5EA6E9" w:rsidR="00E8720F" w:rsidRDefault="00E8720F" w:rsidP="00CB4548">
            <w:pPr>
              <w:pStyle w:val="a6"/>
              <w:shd w:val="clear" w:color="auto" w:fill="auto"/>
              <w:spacing w:line="252" w:lineRule="auto"/>
              <w:rPr>
                <w:color w:val="FFFFFF"/>
                <w:spacing w:val="-4"/>
                <w:sz w:val="17"/>
                <w:szCs w:val="17"/>
              </w:rPr>
            </w:pPr>
            <w:r>
              <w:rPr>
                <w:noProof/>
              </w:rPr>
              <mc:AlternateContent>
                <mc:Choice Requires="wpg">
                  <w:drawing>
                    <wp:inline distT="0" distB="0" distL="0" distR="0" wp14:anchorId="4C361721" wp14:editId="195B7646">
                      <wp:extent cx="829945" cy="131384"/>
                      <wp:effectExtent l="0" t="0" r="0" b="2540"/>
                      <wp:docPr id="1213287035" name="Групувати 41"/>
                      <wp:cNvGraphicFramePr/>
                      <a:graphic xmlns:a="http://schemas.openxmlformats.org/drawingml/2006/main">
                        <a:graphicData uri="http://schemas.microsoft.com/office/word/2010/wordprocessingGroup">
                          <wpg:wgp>
                            <wpg:cNvGrpSpPr/>
                            <wpg:grpSpPr>
                              <a:xfrm>
                                <a:off x="0" y="0"/>
                                <a:ext cx="829945" cy="131384"/>
                                <a:chOff x="0" y="59889"/>
                                <a:chExt cx="829947" cy="131445"/>
                              </a:xfrm>
                            </wpg:grpSpPr>
                            <wps:wsp>
                              <wps:cNvPr id="780476340" name="object 17"/>
                              <wps:cNvSpPr/>
                              <wps:spPr>
                                <a:xfrm>
                                  <a:off x="12702" y="59889"/>
                                  <a:ext cx="795655" cy="131445"/>
                                </a:xfrm>
                                <a:custGeom>
                                  <a:avLst/>
                                  <a:gdLst/>
                                  <a:ahLst/>
                                  <a:cxnLst/>
                                  <a:rect l="l" t="t" r="r" b="b"/>
                                  <a:pathLst>
                                    <a:path w="795655" h="131445">
                                      <a:moveTo>
                                        <a:pt x="729843" y="0"/>
                                      </a:moveTo>
                                      <a:lnTo>
                                        <a:pt x="65570" y="0"/>
                                      </a:lnTo>
                                      <a:lnTo>
                                        <a:pt x="40044" y="5153"/>
                                      </a:lnTo>
                                      <a:lnTo>
                                        <a:pt x="19202" y="19207"/>
                                      </a:lnTo>
                                      <a:lnTo>
                                        <a:pt x="5151" y="40049"/>
                                      </a:lnTo>
                                      <a:lnTo>
                                        <a:pt x="0" y="65570"/>
                                      </a:lnTo>
                                      <a:lnTo>
                                        <a:pt x="5151" y="91095"/>
                                      </a:lnTo>
                                      <a:lnTo>
                                        <a:pt x="19202" y="111937"/>
                                      </a:lnTo>
                                      <a:lnTo>
                                        <a:pt x="40044" y="125988"/>
                                      </a:lnTo>
                                      <a:lnTo>
                                        <a:pt x="65570" y="131140"/>
                                      </a:lnTo>
                                      <a:lnTo>
                                        <a:pt x="729843" y="131140"/>
                                      </a:lnTo>
                                      <a:lnTo>
                                        <a:pt x="755369" y="125988"/>
                                      </a:lnTo>
                                      <a:lnTo>
                                        <a:pt x="776211" y="111937"/>
                                      </a:lnTo>
                                      <a:lnTo>
                                        <a:pt x="790261" y="91095"/>
                                      </a:lnTo>
                                      <a:lnTo>
                                        <a:pt x="795413" y="65570"/>
                                      </a:lnTo>
                                      <a:lnTo>
                                        <a:pt x="790261" y="40049"/>
                                      </a:lnTo>
                                      <a:lnTo>
                                        <a:pt x="776211" y="19207"/>
                                      </a:lnTo>
                                      <a:lnTo>
                                        <a:pt x="755369" y="5153"/>
                                      </a:lnTo>
                                      <a:lnTo>
                                        <a:pt x="729843" y="0"/>
                                      </a:lnTo>
                                      <a:close/>
                                    </a:path>
                                  </a:pathLst>
                                </a:custGeom>
                                <a:solidFill>
                                  <a:srgbClr val="084972"/>
                                </a:solidFill>
                              </wps:spPr>
                              <wps:bodyPr wrap="square" lIns="0" tIns="0" rIns="0" bIns="0" rtlCol="0"/>
                            </wps:wsp>
                            <wps:wsp>
                              <wps:cNvPr id="2030132650" name="object 18"/>
                              <wps:cNvSpPr txBox="1"/>
                              <wps:spPr>
                                <a:xfrm>
                                  <a:off x="0" y="93301"/>
                                  <a:ext cx="829947" cy="60038"/>
                                </a:xfrm>
                                <a:prstGeom prst="rect">
                                  <a:avLst/>
                                </a:prstGeom>
                              </wps:spPr>
                              <wps:txbx>
                                <w:txbxContent>
                                  <w:p w14:paraId="73FDCAEC" w14:textId="5508AD40" w:rsidR="009D0C1D" w:rsidRPr="00154801" w:rsidRDefault="009D0C1D" w:rsidP="00E8720F">
                                    <w:pPr>
                                      <w:ind w:left="115"/>
                                      <w:rPr>
                                        <w:b/>
                                        <w:bCs/>
                                        <w:color w:val="FFFFFF"/>
                                        <w:spacing w:val="-4"/>
                                        <w:sz w:val="8"/>
                                        <w:szCs w:val="8"/>
                                      </w:rPr>
                                    </w:pPr>
                                    <w:r w:rsidRPr="00154801">
                                      <w:rPr>
                                        <w:b/>
                                        <w:color w:val="FFFFFF"/>
                                        <w:sz w:val="8"/>
                                        <w:szCs w:val="14"/>
                                      </w:rPr>
                                      <w:t>Контрольний показник 1</w:t>
                                    </w:r>
                                  </w:p>
                                </w:txbxContent>
                              </wps:txbx>
                              <wps:bodyPr vert="horz" wrap="square" lIns="0" tIns="0" rIns="0" bIns="0" rtlCol="0">
                                <a:noAutofit/>
                              </wps:bodyPr>
                            </wps:wsp>
                          </wpg:wgp>
                        </a:graphicData>
                      </a:graphic>
                    </wp:inline>
                  </w:drawing>
                </mc:Choice>
                <mc:Fallback>
                  <w:pict>
                    <v:group w14:anchorId="4C361721" id="Групувати 41" o:spid="_x0000_s1158" style="width:65.35pt;height:10.35pt;mso-position-horizontal-relative:char;mso-position-vertical-relative:line" coordorigin=",598" coordsize="8299,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">
                      <v:shape id="object 17" o:spid="_x0000_s1159" style="position:absolute;left:127;top:598;width:7956;height:1315;visibility:visible;mso-wrap-style:square;v-text-anchor:top" coordsize="79565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" path="m729843,l65570,,40044,5153,19202,19207,5151,40049,,65570,5151,91095r14051,20842l40044,125988r25526,5152l729843,131140r25526,-5152l776211,111937,790261,91095r5152,-25525l790261,40049,776211,19207,755369,5153,729843,xe" fillcolor="#084972" stroked="f">
                        <v:path arrowok="t"/>
                      </v:shape>
                      <v:shape id="object 18" o:spid="_x0000_s1160" type="#_x0000_t202" style="position:absolute;top:933;width:829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" filled="f" stroked="f">
                        <v:textbox inset="0,0,0,0">
                          <w:txbxContent>
                            <w:p w14:paraId="73FDCAEC" w14:textId="5508AD40" w:rsidR="009D0C1D" w:rsidRPr="00154801" w:rsidRDefault="009D0C1D" w:rsidP="00E8720F">
                              <w:pPr>
                                <w:ind w:left="115"/>
                                <w:rPr>
                                  <w:b/>
                                  <w:bCs/>
                                  <w:color w:val="FFFFFF"/>
                                  <w:spacing w:val="-4"/>
                                  <w:sz w:val="8"/>
                                  <w:szCs w:val="8"/>
                                </w:rPr>
                              </w:pPr>
                              <w:r w:rsidRPr="00154801">
                                <w:rPr>
                                  <w:b/>
                                  <w:color w:val="FFFFFF"/>
                                  <w:sz w:val="8"/>
                                  <w:szCs w:val="14"/>
                                </w:rPr>
                                <w:t>Контрольний показник 1</w:t>
                              </w:r>
                            </w:p>
                          </w:txbxContent>
                        </v:textbox>
                      </v:shape>
                      <w10:anchorlock/>
                    </v:group>
                  </w:pict>
                </mc:Fallback>
              </mc:AlternateContent>
            </w:r>
          </w:p>
          <w:p w14:paraId="13ECE089" w14:textId="21686679" w:rsidR="00366CB9" w:rsidRDefault="009D0C1D" w:rsidP="00CB4548">
            <w:pPr>
              <w:pStyle w:val="a6"/>
              <w:shd w:val="clear" w:color="auto" w:fill="auto"/>
              <w:spacing w:line="252" w:lineRule="auto"/>
              <w:rPr>
                <w:b w:val="0"/>
                <w:bCs w:val="0"/>
                <w:color w:val="000000"/>
                <w:sz w:val="15"/>
                <w:szCs w:val="15"/>
              </w:rPr>
            </w:pPr>
            <w:r>
              <w:rPr>
                <w:b w:val="0"/>
                <w:color w:val="000000"/>
                <w:sz w:val="15"/>
              </w:rPr>
              <w:t>Всі побутові контакти, всі ЛЖВІЛ та інші місцеві групи підвищеного ризику проходять скринінг на ТБ.</w:t>
            </w:r>
          </w:p>
          <w:p w14:paraId="1D8C51D4" w14:textId="4273FDB4" w:rsidR="00CB4548" w:rsidRDefault="00CB4548" w:rsidP="00CB4548">
            <w:pPr>
              <w:pStyle w:val="a6"/>
              <w:shd w:val="clear" w:color="auto" w:fill="auto"/>
              <w:spacing w:line="252" w:lineRule="auto"/>
              <w:rPr>
                <w:sz w:val="15"/>
                <w:szCs w:val="15"/>
              </w:rPr>
            </w:pPr>
            <w:r>
              <w:rPr>
                <w:noProof/>
              </w:rPr>
              <mc:AlternateContent>
                <mc:Choice Requires="wpg">
                  <w:drawing>
                    <wp:inline distT="0" distB="0" distL="0" distR="0" wp14:anchorId="76D8AF57" wp14:editId="6A1D3EA8">
                      <wp:extent cx="808355" cy="131384"/>
                      <wp:effectExtent l="0" t="0" r="0" b="2540"/>
                      <wp:docPr id="1390051339" name="Групувати 41"/>
                      <wp:cNvGraphicFramePr/>
                      <a:graphic xmlns:a="http://schemas.openxmlformats.org/drawingml/2006/main">
                        <a:graphicData uri="http://schemas.microsoft.com/office/word/2010/wordprocessingGroup">
                          <wpg:wgp>
                            <wpg:cNvGrpSpPr/>
                            <wpg:grpSpPr>
                              <a:xfrm>
                                <a:off x="0" y="0"/>
                                <a:ext cx="808355" cy="131384"/>
                                <a:chOff x="0" y="59889"/>
                                <a:chExt cx="808357" cy="131445"/>
                              </a:xfrm>
                            </wpg:grpSpPr>
                            <wps:wsp>
                              <wps:cNvPr id="1633737909" name="object 17"/>
                              <wps:cNvSpPr/>
                              <wps:spPr>
                                <a:xfrm>
                                  <a:off x="12702" y="59889"/>
                                  <a:ext cx="795655" cy="131445"/>
                                </a:xfrm>
                                <a:custGeom>
                                  <a:avLst/>
                                  <a:gdLst/>
                                  <a:ahLst/>
                                  <a:cxnLst/>
                                  <a:rect l="l" t="t" r="r" b="b"/>
                                  <a:pathLst>
                                    <a:path w="795655" h="131445">
                                      <a:moveTo>
                                        <a:pt x="729843" y="0"/>
                                      </a:moveTo>
                                      <a:lnTo>
                                        <a:pt x="65570" y="0"/>
                                      </a:lnTo>
                                      <a:lnTo>
                                        <a:pt x="40044" y="5153"/>
                                      </a:lnTo>
                                      <a:lnTo>
                                        <a:pt x="19202" y="19207"/>
                                      </a:lnTo>
                                      <a:lnTo>
                                        <a:pt x="5151" y="40049"/>
                                      </a:lnTo>
                                      <a:lnTo>
                                        <a:pt x="0" y="65570"/>
                                      </a:lnTo>
                                      <a:lnTo>
                                        <a:pt x="5151" y="91095"/>
                                      </a:lnTo>
                                      <a:lnTo>
                                        <a:pt x="19202" y="111937"/>
                                      </a:lnTo>
                                      <a:lnTo>
                                        <a:pt x="40044" y="125988"/>
                                      </a:lnTo>
                                      <a:lnTo>
                                        <a:pt x="65570" y="131140"/>
                                      </a:lnTo>
                                      <a:lnTo>
                                        <a:pt x="729843" y="131140"/>
                                      </a:lnTo>
                                      <a:lnTo>
                                        <a:pt x="755369" y="125988"/>
                                      </a:lnTo>
                                      <a:lnTo>
                                        <a:pt x="776211" y="111937"/>
                                      </a:lnTo>
                                      <a:lnTo>
                                        <a:pt x="790261" y="91095"/>
                                      </a:lnTo>
                                      <a:lnTo>
                                        <a:pt x="795413" y="65570"/>
                                      </a:lnTo>
                                      <a:lnTo>
                                        <a:pt x="790261" y="40049"/>
                                      </a:lnTo>
                                      <a:lnTo>
                                        <a:pt x="776211" y="19207"/>
                                      </a:lnTo>
                                      <a:lnTo>
                                        <a:pt x="755369" y="5153"/>
                                      </a:lnTo>
                                      <a:lnTo>
                                        <a:pt x="729843" y="0"/>
                                      </a:lnTo>
                                      <a:close/>
                                    </a:path>
                                  </a:pathLst>
                                </a:custGeom>
                                <a:solidFill>
                                  <a:srgbClr val="084972"/>
                                </a:solidFill>
                              </wps:spPr>
                              <wps:bodyPr wrap="square" lIns="0" tIns="0" rIns="0" bIns="0" rtlCol="0"/>
                            </wps:wsp>
                            <wps:wsp>
                              <wps:cNvPr id="493917009" name="object 18"/>
                              <wps:cNvSpPr txBox="1"/>
                              <wps:spPr>
                                <a:xfrm>
                                  <a:off x="0" y="89708"/>
                                  <a:ext cx="808357" cy="58447"/>
                                </a:xfrm>
                                <a:prstGeom prst="rect">
                                  <a:avLst/>
                                </a:prstGeom>
                              </wps:spPr>
                              <wps:txbx>
                                <w:txbxContent>
                                  <w:p w14:paraId="7E41EED3" w14:textId="78199B29" w:rsidR="009D0C1D" w:rsidRPr="00154801" w:rsidRDefault="009D0C1D" w:rsidP="00CB4548">
                                    <w:pPr>
                                      <w:ind w:left="115"/>
                                      <w:rPr>
                                        <w:b/>
                                        <w:bCs/>
                                        <w:color w:val="FFFFFF"/>
                                        <w:spacing w:val="-4"/>
                                        <w:sz w:val="8"/>
                                        <w:szCs w:val="8"/>
                                      </w:rPr>
                                    </w:pPr>
                                    <w:r w:rsidRPr="00154801">
                                      <w:rPr>
                                        <w:b/>
                                        <w:color w:val="FFFFFF"/>
                                        <w:sz w:val="8"/>
                                        <w:szCs w:val="8"/>
                                      </w:rPr>
                                      <w:t>Контрольний показник 2</w:t>
                                    </w:r>
                                  </w:p>
                                </w:txbxContent>
                              </wps:txbx>
                              <wps:bodyPr vert="horz" wrap="square" lIns="0" tIns="0" rIns="0" bIns="0" rtlCol="0">
                                <a:spAutoFit/>
                              </wps:bodyPr>
                            </wps:wsp>
                          </wpg:wgp>
                        </a:graphicData>
                      </a:graphic>
                    </wp:inline>
                  </w:drawing>
                </mc:Choice>
                <mc:Fallback>
                  <w:pict>
                    <v:group w14:anchorId="76D8AF57" id="_x0000_s1161" style="width:63.65pt;height:10.35pt;mso-position-horizontal-relative:char;mso-position-vertical-relative:line" coordorigin=",598" coordsize="8083,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">
                      <v:shape id="object 17" o:spid="_x0000_s1162" style="position:absolute;left:127;top:598;width:7956;height:1315;visibility:visible;mso-wrap-style:square;v-text-anchor:top" coordsize="79565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" path="m729843,l65570,,40044,5153,19202,19207,5151,40049,,65570,5151,91095r14051,20842l40044,125988r25526,5152l729843,131140r25526,-5152l776211,111937,790261,91095r5152,-25525l790261,40049,776211,19207,755369,5153,729843,xe" fillcolor="#084972" stroked="f">
                        <v:path arrowok="t"/>
                      </v:shape>
                      <v:shape id="object 18" o:spid="_x0000_s1163" type="#_x0000_t202" style="position:absolute;top:897;width:8083;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" filled="f" stroked="f">
                        <v:textbox style="mso-fit-shape-to-text:t" inset="0,0,0,0">
                          <w:txbxContent>
                            <w:p w14:paraId="7E41EED3" w14:textId="78199B29" w:rsidR="009D0C1D" w:rsidRPr="00154801" w:rsidRDefault="009D0C1D" w:rsidP="00CB4548">
                              <w:pPr>
                                <w:ind w:left="115"/>
                                <w:rPr>
                                  <w:b/>
                                  <w:bCs/>
                                  <w:color w:val="FFFFFF"/>
                                  <w:spacing w:val="-4"/>
                                  <w:sz w:val="8"/>
                                  <w:szCs w:val="8"/>
                                </w:rPr>
                              </w:pPr>
                              <w:r w:rsidRPr="00154801">
                                <w:rPr>
                                  <w:b/>
                                  <w:color w:val="FFFFFF"/>
                                  <w:sz w:val="8"/>
                                  <w:szCs w:val="8"/>
                                </w:rPr>
                                <w:t>Контрольний показник 2</w:t>
                              </w:r>
                            </w:p>
                          </w:txbxContent>
                        </v:textbox>
                      </v:shape>
                      <w10:anchorlock/>
                    </v:group>
                  </w:pict>
                </mc:Fallback>
              </mc:AlternateContent>
            </w:r>
          </w:p>
          <w:p w14:paraId="016E9D59" w14:textId="77777777" w:rsidR="00366CB9" w:rsidRDefault="009D0C1D" w:rsidP="00CB4548">
            <w:pPr>
              <w:pStyle w:val="a6"/>
              <w:shd w:val="clear" w:color="auto" w:fill="auto"/>
              <w:rPr>
                <w:sz w:val="15"/>
                <w:szCs w:val="15"/>
              </w:rPr>
            </w:pPr>
            <w:r>
              <w:rPr>
                <w:b w:val="0"/>
                <w:color w:val="000000"/>
                <w:sz w:val="15"/>
              </w:rPr>
              <w:t>У всіх районах РОГК регулярно застосовується в рамках</w:t>
            </w:r>
          </w:p>
          <w:p w14:paraId="0B970DF1" w14:textId="77777777" w:rsidR="00366CB9" w:rsidRDefault="009D0C1D" w:rsidP="00CB4548">
            <w:pPr>
              <w:pStyle w:val="a6"/>
              <w:shd w:val="clear" w:color="auto" w:fill="auto"/>
              <w:rPr>
                <w:sz w:val="15"/>
                <w:szCs w:val="15"/>
              </w:rPr>
            </w:pPr>
            <w:r>
              <w:rPr>
                <w:b w:val="0"/>
                <w:color w:val="000000"/>
                <w:sz w:val="15"/>
              </w:rPr>
              <w:t>скринінгу на ТБ.</w:t>
            </w:r>
          </w:p>
        </w:tc>
        <w:tc>
          <w:tcPr>
            <w:tcW w:w="134" w:type="dxa"/>
            <w:shd w:val="clear" w:color="auto" w:fill="FFFFFF"/>
          </w:tcPr>
          <w:p w14:paraId="3CFE8947" w14:textId="77777777" w:rsidR="00366CB9" w:rsidRDefault="00366CB9" w:rsidP="00CB4548">
            <w:pPr>
              <w:rPr>
                <w:sz w:val="10"/>
                <w:szCs w:val="10"/>
              </w:rPr>
            </w:pPr>
          </w:p>
        </w:tc>
        <w:tc>
          <w:tcPr>
            <w:tcW w:w="2170" w:type="dxa"/>
            <w:tcBorders>
              <w:top w:val="single" w:sz="8" w:space="0" w:color="ED7D31" w:themeColor="accent2"/>
            </w:tcBorders>
            <w:shd w:val="clear" w:color="auto" w:fill="FFFFFF"/>
          </w:tcPr>
          <w:p w14:paraId="2A3D744B" w14:textId="4D8200B2" w:rsidR="00CB4548" w:rsidRDefault="00CB4548" w:rsidP="00CB4548">
            <w:pPr>
              <w:pStyle w:val="a6"/>
              <w:shd w:val="clear" w:color="auto" w:fill="auto"/>
              <w:spacing w:line="252" w:lineRule="auto"/>
              <w:rPr>
                <w:b w:val="0"/>
                <w:bCs w:val="0"/>
                <w:color w:val="000000"/>
                <w:sz w:val="15"/>
                <w:szCs w:val="15"/>
              </w:rPr>
            </w:pPr>
            <w:r>
              <w:rPr>
                <w:noProof/>
              </w:rPr>
              <mc:AlternateContent>
                <mc:Choice Requires="wpg">
                  <w:drawing>
                    <wp:inline distT="0" distB="0" distL="0" distR="0" wp14:anchorId="0F6185FB" wp14:editId="59C1B6D5">
                      <wp:extent cx="1080655" cy="234950"/>
                      <wp:effectExtent l="0" t="0" r="5715" b="0"/>
                      <wp:docPr id="1497023700" name="Групувати 41"/>
                      <wp:cNvGraphicFramePr/>
                      <a:graphic xmlns:a="http://schemas.openxmlformats.org/drawingml/2006/main">
                        <a:graphicData uri="http://schemas.microsoft.com/office/word/2010/wordprocessingGroup">
                          <wpg:wgp>
                            <wpg:cNvGrpSpPr/>
                            <wpg:grpSpPr>
                              <a:xfrm>
                                <a:off x="0" y="0"/>
                                <a:ext cx="1080655" cy="234950"/>
                                <a:chOff x="0" y="59889"/>
                                <a:chExt cx="808357" cy="204479"/>
                              </a:xfrm>
                            </wpg:grpSpPr>
                            <wps:wsp>
                              <wps:cNvPr id="1133801591" name="object 17"/>
                              <wps:cNvSpPr/>
                              <wps:spPr>
                                <a:xfrm>
                                  <a:off x="12702" y="59889"/>
                                  <a:ext cx="795655" cy="131445"/>
                                </a:xfrm>
                                <a:custGeom>
                                  <a:avLst/>
                                  <a:gdLst/>
                                  <a:ahLst/>
                                  <a:cxnLst/>
                                  <a:rect l="l" t="t" r="r" b="b"/>
                                  <a:pathLst>
                                    <a:path w="795655" h="131445">
                                      <a:moveTo>
                                        <a:pt x="729843" y="0"/>
                                      </a:moveTo>
                                      <a:lnTo>
                                        <a:pt x="65570" y="0"/>
                                      </a:lnTo>
                                      <a:lnTo>
                                        <a:pt x="40044" y="5153"/>
                                      </a:lnTo>
                                      <a:lnTo>
                                        <a:pt x="19202" y="19207"/>
                                      </a:lnTo>
                                      <a:lnTo>
                                        <a:pt x="5151" y="40049"/>
                                      </a:lnTo>
                                      <a:lnTo>
                                        <a:pt x="0" y="65570"/>
                                      </a:lnTo>
                                      <a:lnTo>
                                        <a:pt x="5151" y="91095"/>
                                      </a:lnTo>
                                      <a:lnTo>
                                        <a:pt x="19202" y="111937"/>
                                      </a:lnTo>
                                      <a:lnTo>
                                        <a:pt x="40044" y="125988"/>
                                      </a:lnTo>
                                      <a:lnTo>
                                        <a:pt x="65570" y="131140"/>
                                      </a:lnTo>
                                      <a:lnTo>
                                        <a:pt x="729843" y="131140"/>
                                      </a:lnTo>
                                      <a:lnTo>
                                        <a:pt x="755369" y="125988"/>
                                      </a:lnTo>
                                      <a:lnTo>
                                        <a:pt x="776211" y="111937"/>
                                      </a:lnTo>
                                      <a:lnTo>
                                        <a:pt x="790261" y="91095"/>
                                      </a:lnTo>
                                      <a:lnTo>
                                        <a:pt x="795413" y="65570"/>
                                      </a:lnTo>
                                      <a:lnTo>
                                        <a:pt x="790261" y="40049"/>
                                      </a:lnTo>
                                      <a:lnTo>
                                        <a:pt x="776211" y="19207"/>
                                      </a:lnTo>
                                      <a:lnTo>
                                        <a:pt x="755369" y="5153"/>
                                      </a:lnTo>
                                      <a:lnTo>
                                        <a:pt x="729843" y="0"/>
                                      </a:lnTo>
                                      <a:close/>
                                    </a:path>
                                  </a:pathLst>
                                </a:custGeom>
                                <a:solidFill>
                                  <a:srgbClr val="DA471F"/>
                                </a:solidFill>
                              </wps:spPr>
                              <wps:bodyPr wrap="square" lIns="0" tIns="0" rIns="0" bIns="0" rtlCol="0"/>
                            </wps:wsp>
                            <wps:wsp>
                              <wps:cNvPr id="1930295479" name="object 18"/>
                              <wps:cNvSpPr txBox="1"/>
                              <wps:spPr>
                                <a:xfrm>
                                  <a:off x="0" y="93339"/>
                                  <a:ext cx="808357" cy="171029"/>
                                </a:xfrm>
                                <a:prstGeom prst="rect">
                                  <a:avLst/>
                                </a:prstGeom>
                              </wps:spPr>
                              <wps:txbx>
                                <w:txbxContent>
                                  <w:p w14:paraId="12A31E9E" w14:textId="1B2AD5AB" w:rsidR="009D0C1D" w:rsidRPr="00154801" w:rsidRDefault="009D0C1D" w:rsidP="00942C2A">
                                    <w:pPr>
                                      <w:ind w:left="115"/>
                                      <w:rPr>
                                        <w:b/>
                                        <w:bCs/>
                                        <w:color w:val="FFFFFF"/>
                                        <w:spacing w:val="-4"/>
                                        <w:sz w:val="8"/>
                                        <w:szCs w:val="8"/>
                                      </w:rPr>
                                    </w:pPr>
                                    <w:r w:rsidRPr="00154801">
                                      <w:rPr>
                                        <w:b/>
                                        <w:color w:val="FFFFFF"/>
                                        <w:sz w:val="8"/>
                                        <w:szCs w:val="8"/>
                                      </w:rPr>
                                      <w:t>Контрольний показник 3</w:t>
                                    </w:r>
                                  </w:p>
                                </w:txbxContent>
                              </wps:txbx>
                              <wps:bodyPr vert="horz" wrap="square" lIns="0" tIns="0" rIns="0" bIns="0" rtlCol="0">
                                <a:noAutofit/>
                              </wps:bodyPr>
                            </wps:wsp>
                          </wpg:wgp>
                        </a:graphicData>
                      </a:graphic>
                    </wp:inline>
                  </w:drawing>
                </mc:Choice>
                <mc:Fallback>
                  <w:pict>
                    <v:group w14:anchorId="0F6185FB" id="_x0000_s1164" style="width:85.1pt;height:18.5pt;mso-position-horizontal-relative:char;mso-position-vertical-relative:line" coordorigin=",598" coordsize="8083,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">
                      <v:shape id="object 17" o:spid="_x0000_s1165" style="position:absolute;left:127;top:598;width:7956;height:1315;visibility:visible;mso-wrap-style:square;v-text-anchor:top" coordsize="79565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" path="m729843,l65570,,40044,5153,19202,19207,5151,40049,,65570,5151,91095r14051,20842l40044,125988r25526,5152l729843,131140r25526,-5152l776211,111937,790261,91095r5152,-25525l790261,40049,776211,19207,755369,5153,729843,xe" fillcolor="#da471f" stroked="f">
                        <v:path arrowok="t"/>
                      </v:shape>
                      <v:shape id="object 18" o:spid="_x0000_s1166" type="#_x0000_t202" style="position:absolute;top:933;width:8083;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" filled="f" stroked="f">
                        <v:textbox inset="0,0,0,0">
                          <w:txbxContent>
                            <w:p w14:paraId="12A31E9E" w14:textId="1B2AD5AB" w:rsidR="009D0C1D" w:rsidRPr="00154801" w:rsidRDefault="009D0C1D" w:rsidP="00942C2A">
                              <w:pPr>
                                <w:ind w:left="115"/>
                                <w:rPr>
                                  <w:b/>
                                  <w:bCs/>
                                  <w:color w:val="FFFFFF"/>
                                  <w:spacing w:val="-4"/>
                                  <w:sz w:val="8"/>
                                  <w:szCs w:val="8"/>
                                </w:rPr>
                              </w:pPr>
                              <w:r w:rsidRPr="00154801">
                                <w:rPr>
                                  <w:b/>
                                  <w:color w:val="FFFFFF"/>
                                  <w:sz w:val="8"/>
                                  <w:szCs w:val="8"/>
                                </w:rPr>
                                <w:t>Контрольний показник 3</w:t>
                              </w:r>
                            </w:p>
                          </w:txbxContent>
                        </v:textbox>
                      </v:shape>
                      <w10:anchorlock/>
                    </v:group>
                  </w:pict>
                </mc:Fallback>
              </mc:AlternateContent>
            </w:r>
          </w:p>
          <w:p w14:paraId="0BE54D03" w14:textId="7E3DF719" w:rsidR="00366CB9" w:rsidRDefault="009D0C1D" w:rsidP="00CB4548">
            <w:pPr>
              <w:pStyle w:val="a6"/>
              <w:shd w:val="clear" w:color="auto" w:fill="auto"/>
              <w:spacing w:line="252" w:lineRule="auto"/>
              <w:rPr>
                <w:sz w:val="15"/>
                <w:szCs w:val="15"/>
              </w:rPr>
            </w:pPr>
            <w:r>
              <w:rPr>
                <w:b w:val="0"/>
                <w:color w:val="000000"/>
                <w:sz w:val="15"/>
              </w:rPr>
              <w:t>В усіх закладах усіх районів алгоритм діагностики ТБ вимагає WRD як початкового діагностичного тесту для всіх осіб з підозрою на ТБ, включаючи дітей та ЛЖВІЛ (у комбінації з ліпоарабіноманнановим тестом бокового зсуву [LF-LAM]) та позалегеневим ТБ.</w:t>
            </w:r>
          </w:p>
          <w:p w14:paraId="113F0630" w14:textId="2B9DD274" w:rsidR="00CB4548" w:rsidRDefault="00CB4548" w:rsidP="00CB4548">
            <w:pPr>
              <w:pStyle w:val="a6"/>
              <w:shd w:val="clear" w:color="auto" w:fill="auto"/>
              <w:spacing w:line="252" w:lineRule="auto"/>
              <w:rPr>
                <w:b w:val="0"/>
                <w:bCs w:val="0"/>
                <w:color w:val="000000"/>
                <w:sz w:val="15"/>
                <w:szCs w:val="15"/>
              </w:rPr>
            </w:pPr>
            <w:r>
              <w:rPr>
                <w:noProof/>
              </w:rPr>
              <mc:AlternateContent>
                <mc:Choice Requires="wpg">
                  <w:drawing>
                    <wp:inline distT="0" distB="0" distL="0" distR="0" wp14:anchorId="609F6BE7" wp14:editId="17D7EB5F">
                      <wp:extent cx="845185" cy="131384"/>
                      <wp:effectExtent l="0" t="0" r="0" b="2540"/>
                      <wp:docPr id="63980017" name="Групувати 41"/>
                      <wp:cNvGraphicFramePr/>
                      <a:graphic xmlns:a="http://schemas.openxmlformats.org/drawingml/2006/main">
                        <a:graphicData uri="http://schemas.microsoft.com/office/word/2010/wordprocessingGroup">
                          <wpg:wgp>
                            <wpg:cNvGrpSpPr/>
                            <wpg:grpSpPr>
                              <a:xfrm>
                                <a:off x="0" y="0"/>
                                <a:ext cx="845185" cy="131384"/>
                                <a:chOff x="0" y="59889"/>
                                <a:chExt cx="845187" cy="131445"/>
                              </a:xfrm>
                            </wpg:grpSpPr>
                            <wps:wsp>
                              <wps:cNvPr id="781301311" name="object 17"/>
                              <wps:cNvSpPr/>
                              <wps:spPr>
                                <a:xfrm>
                                  <a:off x="12702" y="59889"/>
                                  <a:ext cx="795655" cy="131445"/>
                                </a:xfrm>
                                <a:custGeom>
                                  <a:avLst/>
                                  <a:gdLst/>
                                  <a:ahLst/>
                                  <a:cxnLst/>
                                  <a:rect l="l" t="t" r="r" b="b"/>
                                  <a:pathLst>
                                    <a:path w="795655" h="131445">
                                      <a:moveTo>
                                        <a:pt x="729843" y="0"/>
                                      </a:moveTo>
                                      <a:lnTo>
                                        <a:pt x="65570" y="0"/>
                                      </a:lnTo>
                                      <a:lnTo>
                                        <a:pt x="40044" y="5153"/>
                                      </a:lnTo>
                                      <a:lnTo>
                                        <a:pt x="19202" y="19207"/>
                                      </a:lnTo>
                                      <a:lnTo>
                                        <a:pt x="5151" y="40049"/>
                                      </a:lnTo>
                                      <a:lnTo>
                                        <a:pt x="0" y="65570"/>
                                      </a:lnTo>
                                      <a:lnTo>
                                        <a:pt x="5151" y="91095"/>
                                      </a:lnTo>
                                      <a:lnTo>
                                        <a:pt x="19202" y="111937"/>
                                      </a:lnTo>
                                      <a:lnTo>
                                        <a:pt x="40044" y="125988"/>
                                      </a:lnTo>
                                      <a:lnTo>
                                        <a:pt x="65570" y="131140"/>
                                      </a:lnTo>
                                      <a:lnTo>
                                        <a:pt x="729843" y="131140"/>
                                      </a:lnTo>
                                      <a:lnTo>
                                        <a:pt x="755369" y="125988"/>
                                      </a:lnTo>
                                      <a:lnTo>
                                        <a:pt x="776211" y="111937"/>
                                      </a:lnTo>
                                      <a:lnTo>
                                        <a:pt x="790261" y="91095"/>
                                      </a:lnTo>
                                      <a:lnTo>
                                        <a:pt x="795413" y="65570"/>
                                      </a:lnTo>
                                      <a:lnTo>
                                        <a:pt x="790261" y="40049"/>
                                      </a:lnTo>
                                      <a:lnTo>
                                        <a:pt x="776211" y="19207"/>
                                      </a:lnTo>
                                      <a:lnTo>
                                        <a:pt x="755369" y="5153"/>
                                      </a:lnTo>
                                      <a:lnTo>
                                        <a:pt x="729843" y="0"/>
                                      </a:lnTo>
                                      <a:close/>
                                    </a:path>
                                  </a:pathLst>
                                </a:custGeom>
                                <a:solidFill>
                                  <a:srgbClr val="DA471F"/>
                                </a:solidFill>
                              </wps:spPr>
                              <wps:bodyPr wrap="square" lIns="0" tIns="0" rIns="0" bIns="0" rtlCol="0"/>
                            </wps:wsp>
                            <wps:wsp>
                              <wps:cNvPr id="1949888428" name="object 18"/>
                              <wps:cNvSpPr txBox="1"/>
                              <wps:spPr>
                                <a:xfrm>
                                  <a:off x="0" y="88973"/>
                                  <a:ext cx="845187" cy="58447"/>
                                </a:xfrm>
                                <a:prstGeom prst="rect">
                                  <a:avLst/>
                                </a:prstGeom>
                              </wps:spPr>
                              <wps:txbx>
                                <w:txbxContent>
                                  <w:p w14:paraId="39DD1F5A" w14:textId="4CB029AA" w:rsidR="009D0C1D" w:rsidRPr="00154801" w:rsidRDefault="009D0C1D" w:rsidP="00CB4548">
                                    <w:pPr>
                                      <w:ind w:left="115"/>
                                      <w:rPr>
                                        <w:b/>
                                        <w:bCs/>
                                        <w:color w:val="FFFFFF"/>
                                        <w:spacing w:val="-4"/>
                                        <w:sz w:val="8"/>
                                        <w:szCs w:val="8"/>
                                      </w:rPr>
                                    </w:pPr>
                                    <w:r w:rsidRPr="00154801">
                                      <w:rPr>
                                        <w:b/>
                                        <w:color w:val="FFFFFF"/>
                                        <w:sz w:val="8"/>
                                        <w:szCs w:val="8"/>
                                      </w:rPr>
                                      <w:t>Контрольний показник 4</w:t>
                                    </w:r>
                                  </w:p>
                                </w:txbxContent>
                              </wps:txbx>
                              <wps:bodyPr vert="horz" wrap="square" lIns="0" tIns="0" rIns="0" bIns="0" rtlCol="0">
                                <a:spAutoFit/>
                              </wps:bodyPr>
                            </wps:wsp>
                          </wpg:wgp>
                        </a:graphicData>
                      </a:graphic>
                    </wp:inline>
                  </w:drawing>
                </mc:Choice>
                <mc:Fallback>
                  <w:pict>
                    <v:group w14:anchorId="609F6BE7" id="_x0000_s1167" style="width:66.55pt;height:10.35pt;mso-position-horizontal-relative:char;mso-position-vertical-relative:line" coordorigin=",598" coordsize="8451,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">
                      <v:shape id="object 17" o:spid="_x0000_s1168" style="position:absolute;left:127;top:598;width:7956;height:1315;visibility:visible;mso-wrap-style:square;v-text-anchor:top" coordsize="79565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" path="m729843,l65570,,40044,5153,19202,19207,5151,40049,,65570,5151,91095r14051,20842l40044,125988r25526,5152l729843,131140r25526,-5152l776211,111937,790261,91095r5152,-25525l790261,40049,776211,19207,755369,5153,729843,xe" fillcolor="#da471f" stroked="f">
                        <v:path arrowok="t"/>
                      </v:shape>
                      <v:shape id="object 18" o:spid="_x0000_s1169" type="#_x0000_t202" style="position:absolute;top:889;width:8451;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" filled="f" stroked="f">
                        <v:textbox style="mso-fit-shape-to-text:t" inset="0,0,0,0">
                          <w:txbxContent>
                            <w:p w14:paraId="39DD1F5A" w14:textId="4CB029AA" w:rsidR="009D0C1D" w:rsidRPr="00154801" w:rsidRDefault="009D0C1D" w:rsidP="00CB4548">
                              <w:pPr>
                                <w:ind w:left="115"/>
                                <w:rPr>
                                  <w:b/>
                                  <w:bCs/>
                                  <w:color w:val="FFFFFF"/>
                                  <w:spacing w:val="-4"/>
                                  <w:sz w:val="8"/>
                                  <w:szCs w:val="8"/>
                                </w:rPr>
                              </w:pPr>
                              <w:r w:rsidRPr="00154801">
                                <w:rPr>
                                  <w:b/>
                                  <w:color w:val="FFFFFF"/>
                                  <w:sz w:val="8"/>
                                  <w:szCs w:val="8"/>
                                </w:rPr>
                                <w:t>Контрольний показник 4</w:t>
                              </w:r>
                            </w:p>
                          </w:txbxContent>
                        </v:textbox>
                      </v:shape>
                      <w10:anchorlock/>
                    </v:group>
                  </w:pict>
                </mc:Fallback>
              </mc:AlternateContent>
            </w:r>
          </w:p>
          <w:p w14:paraId="76C83092" w14:textId="35B238EF" w:rsidR="00366CB9" w:rsidRDefault="009D0C1D" w:rsidP="00CB4548">
            <w:pPr>
              <w:pStyle w:val="a6"/>
              <w:shd w:val="clear" w:color="auto" w:fill="auto"/>
              <w:spacing w:line="252" w:lineRule="auto"/>
              <w:rPr>
                <w:b w:val="0"/>
                <w:bCs w:val="0"/>
                <w:color w:val="000000"/>
                <w:sz w:val="15"/>
                <w:szCs w:val="15"/>
              </w:rPr>
            </w:pPr>
            <w:r>
              <w:rPr>
                <w:b w:val="0"/>
                <w:color w:val="000000"/>
                <w:sz w:val="15"/>
              </w:rPr>
              <w:t>Усі заклади первинної медико-санітарної допомоги повинні мати доступ до WRD (на місці або за перенаправленням).</w:t>
            </w:r>
          </w:p>
          <w:p w14:paraId="0CDAE2CA" w14:textId="04B3F2A9" w:rsidR="00CB4548" w:rsidRDefault="00CB4548" w:rsidP="00CB4548">
            <w:pPr>
              <w:pStyle w:val="a6"/>
              <w:shd w:val="clear" w:color="auto" w:fill="auto"/>
              <w:spacing w:line="252" w:lineRule="auto"/>
              <w:rPr>
                <w:sz w:val="15"/>
                <w:szCs w:val="15"/>
              </w:rPr>
            </w:pPr>
            <w:r>
              <w:rPr>
                <w:noProof/>
              </w:rPr>
              <mc:AlternateContent>
                <mc:Choice Requires="wpg">
                  <w:drawing>
                    <wp:inline distT="0" distB="0" distL="0" distR="0" wp14:anchorId="0670EF60" wp14:editId="51D2F98F">
                      <wp:extent cx="870585" cy="131384"/>
                      <wp:effectExtent l="0" t="0" r="0" b="2540"/>
                      <wp:docPr id="1116537866" name="Групувати 41"/>
                      <wp:cNvGraphicFramePr/>
                      <a:graphic xmlns:a="http://schemas.openxmlformats.org/drawingml/2006/main">
                        <a:graphicData uri="http://schemas.microsoft.com/office/word/2010/wordprocessingGroup">
                          <wpg:wgp>
                            <wpg:cNvGrpSpPr/>
                            <wpg:grpSpPr>
                              <a:xfrm>
                                <a:off x="0" y="0"/>
                                <a:ext cx="870585" cy="131384"/>
                                <a:chOff x="0" y="59889"/>
                                <a:chExt cx="870587" cy="131445"/>
                              </a:xfrm>
                            </wpg:grpSpPr>
                            <wps:wsp>
                              <wps:cNvPr id="642163436" name="object 17"/>
                              <wps:cNvSpPr/>
                              <wps:spPr>
                                <a:xfrm>
                                  <a:off x="12702" y="59889"/>
                                  <a:ext cx="795655" cy="131445"/>
                                </a:xfrm>
                                <a:custGeom>
                                  <a:avLst/>
                                  <a:gdLst/>
                                  <a:ahLst/>
                                  <a:cxnLst/>
                                  <a:rect l="l" t="t" r="r" b="b"/>
                                  <a:pathLst>
                                    <a:path w="795655" h="131445">
                                      <a:moveTo>
                                        <a:pt x="729843" y="0"/>
                                      </a:moveTo>
                                      <a:lnTo>
                                        <a:pt x="65570" y="0"/>
                                      </a:lnTo>
                                      <a:lnTo>
                                        <a:pt x="40044" y="5153"/>
                                      </a:lnTo>
                                      <a:lnTo>
                                        <a:pt x="19202" y="19207"/>
                                      </a:lnTo>
                                      <a:lnTo>
                                        <a:pt x="5151" y="40049"/>
                                      </a:lnTo>
                                      <a:lnTo>
                                        <a:pt x="0" y="65570"/>
                                      </a:lnTo>
                                      <a:lnTo>
                                        <a:pt x="5151" y="91095"/>
                                      </a:lnTo>
                                      <a:lnTo>
                                        <a:pt x="19202" y="111937"/>
                                      </a:lnTo>
                                      <a:lnTo>
                                        <a:pt x="40044" y="125988"/>
                                      </a:lnTo>
                                      <a:lnTo>
                                        <a:pt x="65570" y="131140"/>
                                      </a:lnTo>
                                      <a:lnTo>
                                        <a:pt x="729843" y="131140"/>
                                      </a:lnTo>
                                      <a:lnTo>
                                        <a:pt x="755369" y="125988"/>
                                      </a:lnTo>
                                      <a:lnTo>
                                        <a:pt x="776211" y="111937"/>
                                      </a:lnTo>
                                      <a:lnTo>
                                        <a:pt x="790261" y="91095"/>
                                      </a:lnTo>
                                      <a:lnTo>
                                        <a:pt x="795413" y="65570"/>
                                      </a:lnTo>
                                      <a:lnTo>
                                        <a:pt x="790261" y="40049"/>
                                      </a:lnTo>
                                      <a:lnTo>
                                        <a:pt x="776211" y="19207"/>
                                      </a:lnTo>
                                      <a:lnTo>
                                        <a:pt x="755369" y="5153"/>
                                      </a:lnTo>
                                      <a:lnTo>
                                        <a:pt x="729843" y="0"/>
                                      </a:lnTo>
                                      <a:close/>
                                    </a:path>
                                  </a:pathLst>
                                </a:custGeom>
                                <a:solidFill>
                                  <a:srgbClr val="DA471F"/>
                                </a:solidFill>
                              </wps:spPr>
                              <wps:bodyPr wrap="square" lIns="0" tIns="0" rIns="0" bIns="0" rtlCol="0"/>
                            </wps:wsp>
                            <wps:wsp>
                              <wps:cNvPr id="189513285" name="object 18"/>
                              <wps:cNvSpPr txBox="1"/>
                              <wps:spPr>
                                <a:xfrm>
                                  <a:off x="0" y="74520"/>
                                  <a:ext cx="870587" cy="58447"/>
                                </a:xfrm>
                                <a:prstGeom prst="rect">
                                  <a:avLst/>
                                </a:prstGeom>
                              </wps:spPr>
                              <wps:txbx>
                                <w:txbxContent>
                                  <w:p w14:paraId="443B14E2" w14:textId="2F3E2154" w:rsidR="009D0C1D" w:rsidRPr="00580723" w:rsidRDefault="009D0C1D" w:rsidP="00CB4548">
                                    <w:pPr>
                                      <w:ind w:left="115"/>
                                      <w:rPr>
                                        <w:b/>
                                        <w:bCs/>
                                        <w:color w:val="FFFFFF"/>
                                        <w:spacing w:val="-4"/>
                                        <w:sz w:val="8"/>
                                        <w:szCs w:val="8"/>
                                      </w:rPr>
                                    </w:pPr>
                                    <w:r w:rsidRPr="00580723">
                                      <w:rPr>
                                        <w:b/>
                                        <w:color w:val="FFFFFF"/>
                                        <w:sz w:val="8"/>
                                        <w:szCs w:val="8"/>
                                      </w:rPr>
                                      <w:t>Контрольний показник 5</w:t>
                                    </w:r>
                                  </w:p>
                                </w:txbxContent>
                              </wps:txbx>
                              <wps:bodyPr vert="horz" wrap="square" lIns="0" tIns="0" rIns="0" bIns="0" rtlCol="0">
                                <a:spAutoFit/>
                              </wps:bodyPr>
                            </wps:wsp>
                          </wpg:wgp>
                        </a:graphicData>
                      </a:graphic>
                    </wp:inline>
                  </w:drawing>
                </mc:Choice>
                <mc:Fallback>
                  <w:pict>
                    <v:group w14:anchorId="0670EF60" id="_x0000_s1170" style="width:68.55pt;height:10.35pt;mso-position-horizontal-relative:char;mso-position-vertical-relative:line" coordorigin=",598" coordsize="8705,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">
                      <v:shape id="object 17" o:spid="_x0000_s1171" style="position:absolute;left:127;top:598;width:7956;height:1315;visibility:visible;mso-wrap-style:square;v-text-anchor:top" coordsize="79565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" path="m729843,l65570,,40044,5153,19202,19207,5151,40049,,65570,5151,91095r14051,20842l40044,125988r25526,5152l729843,131140r25526,-5152l776211,111937,790261,91095r5152,-25525l790261,40049,776211,19207,755369,5153,729843,xe" fillcolor="#da471f" stroked="f">
                        <v:path arrowok="t"/>
                      </v:shape>
                      <v:shape id="object 18" o:spid="_x0000_s1172" type="#_x0000_t202" style="position:absolute;top:745;width:870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" filled="f" stroked="f">
                        <v:textbox style="mso-fit-shape-to-text:t" inset="0,0,0,0">
                          <w:txbxContent>
                            <w:p w14:paraId="443B14E2" w14:textId="2F3E2154" w:rsidR="009D0C1D" w:rsidRPr="00580723" w:rsidRDefault="009D0C1D" w:rsidP="00CB4548">
                              <w:pPr>
                                <w:ind w:left="115"/>
                                <w:rPr>
                                  <w:b/>
                                  <w:bCs/>
                                  <w:color w:val="FFFFFF"/>
                                  <w:spacing w:val="-4"/>
                                  <w:sz w:val="8"/>
                                  <w:szCs w:val="8"/>
                                </w:rPr>
                              </w:pPr>
                              <w:r w:rsidRPr="00580723">
                                <w:rPr>
                                  <w:b/>
                                  <w:color w:val="FFFFFF"/>
                                  <w:sz w:val="8"/>
                                  <w:szCs w:val="8"/>
                                </w:rPr>
                                <w:t>Контрольний показник 5</w:t>
                              </w:r>
                            </w:p>
                          </w:txbxContent>
                        </v:textbox>
                      </v:shape>
                      <w10:anchorlock/>
                    </v:group>
                  </w:pict>
                </mc:Fallback>
              </mc:AlternateContent>
            </w:r>
          </w:p>
          <w:p w14:paraId="78FC51FD" w14:textId="77777777" w:rsidR="00366CB9" w:rsidRDefault="009D0C1D" w:rsidP="00CB4548">
            <w:pPr>
              <w:pStyle w:val="a6"/>
              <w:shd w:val="clear" w:color="auto" w:fill="auto"/>
              <w:spacing w:line="252" w:lineRule="auto"/>
              <w:rPr>
                <w:b w:val="0"/>
                <w:bCs w:val="0"/>
                <w:color w:val="000000"/>
                <w:sz w:val="15"/>
                <w:szCs w:val="15"/>
              </w:rPr>
            </w:pPr>
            <w:r>
              <w:rPr>
                <w:b w:val="0"/>
                <w:color w:val="000000"/>
                <w:sz w:val="15"/>
              </w:rPr>
              <w:t>Всі люди, хворі на ТБ, повинні мати доступ до WRD як первинного діагностичного тесту.</w:t>
            </w:r>
          </w:p>
          <w:p w14:paraId="1A56CB01" w14:textId="24097AA6" w:rsidR="00CB4548" w:rsidRDefault="00CB4548" w:rsidP="00CB4548">
            <w:pPr>
              <w:pStyle w:val="a6"/>
              <w:shd w:val="clear" w:color="auto" w:fill="auto"/>
              <w:spacing w:line="252" w:lineRule="auto"/>
              <w:rPr>
                <w:sz w:val="15"/>
                <w:szCs w:val="15"/>
              </w:rPr>
            </w:pPr>
            <w:r>
              <w:rPr>
                <w:noProof/>
              </w:rPr>
              <mc:AlternateContent>
                <mc:Choice Requires="wpg">
                  <w:drawing>
                    <wp:inline distT="0" distB="0" distL="0" distR="0" wp14:anchorId="1AB2FB36" wp14:editId="7774C5D0">
                      <wp:extent cx="845185" cy="131384"/>
                      <wp:effectExtent l="0" t="0" r="0" b="2540"/>
                      <wp:docPr id="311007811" name="Групувати 41"/>
                      <wp:cNvGraphicFramePr/>
                      <a:graphic xmlns:a="http://schemas.openxmlformats.org/drawingml/2006/main">
                        <a:graphicData uri="http://schemas.microsoft.com/office/word/2010/wordprocessingGroup">
                          <wpg:wgp>
                            <wpg:cNvGrpSpPr/>
                            <wpg:grpSpPr>
                              <a:xfrm>
                                <a:off x="0" y="0"/>
                                <a:ext cx="845185" cy="131384"/>
                                <a:chOff x="0" y="59889"/>
                                <a:chExt cx="845187" cy="131445"/>
                              </a:xfrm>
                            </wpg:grpSpPr>
                            <wps:wsp>
                              <wps:cNvPr id="1016311538" name="object 17"/>
                              <wps:cNvSpPr/>
                              <wps:spPr>
                                <a:xfrm>
                                  <a:off x="12702" y="59889"/>
                                  <a:ext cx="795655" cy="131445"/>
                                </a:xfrm>
                                <a:custGeom>
                                  <a:avLst/>
                                  <a:gdLst/>
                                  <a:ahLst/>
                                  <a:cxnLst/>
                                  <a:rect l="l" t="t" r="r" b="b"/>
                                  <a:pathLst>
                                    <a:path w="795655" h="131445">
                                      <a:moveTo>
                                        <a:pt x="729843" y="0"/>
                                      </a:moveTo>
                                      <a:lnTo>
                                        <a:pt x="65570" y="0"/>
                                      </a:lnTo>
                                      <a:lnTo>
                                        <a:pt x="40044" y="5153"/>
                                      </a:lnTo>
                                      <a:lnTo>
                                        <a:pt x="19202" y="19207"/>
                                      </a:lnTo>
                                      <a:lnTo>
                                        <a:pt x="5151" y="40049"/>
                                      </a:lnTo>
                                      <a:lnTo>
                                        <a:pt x="0" y="65570"/>
                                      </a:lnTo>
                                      <a:lnTo>
                                        <a:pt x="5151" y="91095"/>
                                      </a:lnTo>
                                      <a:lnTo>
                                        <a:pt x="19202" y="111937"/>
                                      </a:lnTo>
                                      <a:lnTo>
                                        <a:pt x="40044" y="125988"/>
                                      </a:lnTo>
                                      <a:lnTo>
                                        <a:pt x="65570" y="131140"/>
                                      </a:lnTo>
                                      <a:lnTo>
                                        <a:pt x="729843" y="131140"/>
                                      </a:lnTo>
                                      <a:lnTo>
                                        <a:pt x="755369" y="125988"/>
                                      </a:lnTo>
                                      <a:lnTo>
                                        <a:pt x="776211" y="111937"/>
                                      </a:lnTo>
                                      <a:lnTo>
                                        <a:pt x="790261" y="91095"/>
                                      </a:lnTo>
                                      <a:lnTo>
                                        <a:pt x="795413" y="65570"/>
                                      </a:lnTo>
                                      <a:lnTo>
                                        <a:pt x="790261" y="40049"/>
                                      </a:lnTo>
                                      <a:lnTo>
                                        <a:pt x="776211" y="19207"/>
                                      </a:lnTo>
                                      <a:lnTo>
                                        <a:pt x="755369" y="5153"/>
                                      </a:lnTo>
                                      <a:lnTo>
                                        <a:pt x="729843" y="0"/>
                                      </a:lnTo>
                                      <a:close/>
                                    </a:path>
                                  </a:pathLst>
                                </a:custGeom>
                                <a:solidFill>
                                  <a:srgbClr val="DA471F"/>
                                </a:solidFill>
                              </wps:spPr>
                              <wps:bodyPr wrap="square" lIns="0" tIns="0" rIns="0" bIns="0" rtlCol="0"/>
                            </wps:wsp>
                            <wps:wsp>
                              <wps:cNvPr id="211372383" name="object 18"/>
                              <wps:cNvSpPr txBox="1"/>
                              <wps:spPr>
                                <a:xfrm>
                                  <a:off x="0" y="86077"/>
                                  <a:ext cx="845187" cy="58447"/>
                                </a:xfrm>
                                <a:prstGeom prst="rect">
                                  <a:avLst/>
                                </a:prstGeom>
                              </wps:spPr>
                              <wps:txbx>
                                <w:txbxContent>
                                  <w:p w14:paraId="0EB6AECC" w14:textId="07D165A8" w:rsidR="009D0C1D" w:rsidRPr="00580723" w:rsidRDefault="009D0C1D" w:rsidP="00CB4548">
                                    <w:pPr>
                                      <w:ind w:left="115"/>
                                      <w:rPr>
                                        <w:b/>
                                        <w:bCs/>
                                        <w:color w:val="FFFFFF"/>
                                        <w:spacing w:val="-4"/>
                                        <w:sz w:val="8"/>
                                        <w:szCs w:val="8"/>
                                      </w:rPr>
                                    </w:pPr>
                                    <w:r w:rsidRPr="00580723">
                                      <w:rPr>
                                        <w:b/>
                                        <w:color w:val="FFFFFF"/>
                                        <w:sz w:val="8"/>
                                        <w:szCs w:val="14"/>
                                      </w:rPr>
                                      <w:t>Контрольний показник 6</w:t>
                                    </w:r>
                                  </w:p>
                                </w:txbxContent>
                              </wps:txbx>
                              <wps:bodyPr vert="horz" wrap="square" lIns="0" tIns="0" rIns="0" bIns="0" rtlCol="0">
                                <a:spAutoFit/>
                              </wps:bodyPr>
                            </wps:wsp>
                          </wpg:wgp>
                        </a:graphicData>
                      </a:graphic>
                    </wp:inline>
                  </w:drawing>
                </mc:Choice>
                <mc:Fallback>
                  <w:pict>
                    <v:group w14:anchorId="1AB2FB36" id="_x0000_s1173" style="width:66.55pt;height:10.35pt;mso-position-horizontal-relative:char;mso-position-vertical-relative:line" coordorigin=",598" coordsize="8451,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">
                      <v:shape id="object 17" o:spid="_x0000_s1174" style="position:absolute;left:127;top:598;width:7956;height:1315;visibility:visible;mso-wrap-style:square;v-text-anchor:top" coordsize="79565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" path="m729843,l65570,,40044,5153,19202,19207,5151,40049,,65570,5151,91095r14051,20842l40044,125988r25526,5152l729843,131140r25526,-5152l776211,111937,790261,91095r5152,-25525l790261,40049,776211,19207,755369,5153,729843,xe" fillcolor="#da471f" stroked="f">
                        <v:path arrowok="t"/>
                      </v:shape>
                      <v:shape id="object 18" o:spid="_x0000_s1175" type="#_x0000_t202" style="position:absolute;top:860;width:8451;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" filled="f" stroked="f">
                        <v:textbox style="mso-fit-shape-to-text:t" inset="0,0,0,0">
                          <w:txbxContent>
                            <w:p w14:paraId="0EB6AECC" w14:textId="07D165A8" w:rsidR="009D0C1D" w:rsidRPr="00580723" w:rsidRDefault="009D0C1D" w:rsidP="00CB4548">
                              <w:pPr>
                                <w:ind w:left="115"/>
                                <w:rPr>
                                  <w:b/>
                                  <w:bCs/>
                                  <w:color w:val="FFFFFF"/>
                                  <w:spacing w:val="-4"/>
                                  <w:sz w:val="8"/>
                                  <w:szCs w:val="8"/>
                                </w:rPr>
                              </w:pPr>
                              <w:r w:rsidRPr="00580723">
                                <w:rPr>
                                  <w:b/>
                                  <w:color w:val="FFFFFF"/>
                                  <w:sz w:val="8"/>
                                  <w:szCs w:val="14"/>
                                </w:rPr>
                                <w:t>Контрольний показник 6</w:t>
                              </w:r>
                            </w:p>
                          </w:txbxContent>
                        </v:textbox>
                      </v:shape>
                      <w10:anchorlock/>
                    </v:group>
                  </w:pict>
                </mc:Fallback>
              </mc:AlternateContent>
            </w:r>
          </w:p>
          <w:p w14:paraId="02E247FB" w14:textId="77777777" w:rsidR="00366CB9" w:rsidRDefault="009D0C1D" w:rsidP="00CB4548">
            <w:pPr>
              <w:pStyle w:val="a6"/>
              <w:shd w:val="clear" w:color="auto" w:fill="auto"/>
              <w:spacing w:line="252" w:lineRule="auto"/>
              <w:rPr>
                <w:sz w:val="15"/>
                <w:szCs w:val="15"/>
              </w:rPr>
            </w:pPr>
            <w:r>
              <w:rPr>
                <w:b w:val="0"/>
                <w:color w:val="000000"/>
                <w:sz w:val="15"/>
              </w:rPr>
              <w:t>Згідно з останніми даними, діагностичний потенціал для WRD тестування відповідає очікуваним потребам, в тому числі при пікових навантаженнях.</w:t>
            </w:r>
          </w:p>
        </w:tc>
        <w:tc>
          <w:tcPr>
            <w:tcW w:w="139" w:type="dxa"/>
            <w:shd w:val="clear" w:color="auto" w:fill="FFFFFF"/>
          </w:tcPr>
          <w:p w14:paraId="3DF01F68" w14:textId="77777777" w:rsidR="00366CB9" w:rsidRDefault="00366CB9" w:rsidP="00CB4548">
            <w:pPr>
              <w:rPr>
                <w:sz w:val="10"/>
                <w:szCs w:val="10"/>
              </w:rPr>
            </w:pPr>
          </w:p>
        </w:tc>
        <w:tc>
          <w:tcPr>
            <w:tcW w:w="2155" w:type="dxa"/>
            <w:tcBorders>
              <w:top w:val="single" w:sz="8" w:space="0" w:color="5B9BD5" w:themeColor="accent5"/>
            </w:tcBorders>
            <w:shd w:val="clear" w:color="auto" w:fill="FFFFFF"/>
          </w:tcPr>
          <w:p w14:paraId="3F8187DB" w14:textId="653D2387" w:rsidR="00CB4548" w:rsidRDefault="00CB4548" w:rsidP="00CB4548">
            <w:pPr>
              <w:pStyle w:val="a6"/>
              <w:shd w:val="clear" w:color="auto" w:fill="auto"/>
              <w:spacing w:line="254" w:lineRule="auto"/>
              <w:rPr>
                <w:b w:val="0"/>
                <w:bCs w:val="0"/>
                <w:color w:val="000000"/>
                <w:sz w:val="15"/>
                <w:szCs w:val="15"/>
              </w:rPr>
            </w:pPr>
            <w:r>
              <w:rPr>
                <w:noProof/>
              </w:rPr>
              <mc:AlternateContent>
                <mc:Choice Requires="wpg">
                  <w:drawing>
                    <wp:inline distT="0" distB="0" distL="0" distR="0" wp14:anchorId="7588E368" wp14:editId="0771072A">
                      <wp:extent cx="841375" cy="131384"/>
                      <wp:effectExtent l="0" t="0" r="0" b="2540"/>
                      <wp:docPr id="87090205" name="Групувати 41"/>
                      <wp:cNvGraphicFramePr/>
                      <a:graphic xmlns:a="http://schemas.openxmlformats.org/drawingml/2006/main">
                        <a:graphicData uri="http://schemas.microsoft.com/office/word/2010/wordprocessingGroup">
                          <wpg:wgp>
                            <wpg:cNvGrpSpPr/>
                            <wpg:grpSpPr>
                              <a:xfrm>
                                <a:off x="0" y="0"/>
                                <a:ext cx="841375" cy="131384"/>
                                <a:chOff x="0" y="59889"/>
                                <a:chExt cx="841377" cy="131445"/>
                              </a:xfrm>
                            </wpg:grpSpPr>
                            <wps:wsp>
                              <wps:cNvPr id="482884136" name="object 17"/>
                              <wps:cNvSpPr/>
                              <wps:spPr>
                                <a:xfrm>
                                  <a:off x="12702" y="59889"/>
                                  <a:ext cx="795655" cy="131445"/>
                                </a:xfrm>
                                <a:custGeom>
                                  <a:avLst/>
                                  <a:gdLst/>
                                  <a:ahLst/>
                                  <a:cxnLst/>
                                  <a:rect l="l" t="t" r="r" b="b"/>
                                  <a:pathLst>
                                    <a:path w="795655" h="131445">
                                      <a:moveTo>
                                        <a:pt x="729843" y="0"/>
                                      </a:moveTo>
                                      <a:lnTo>
                                        <a:pt x="65570" y="0"/>
                                      </a:lnTo>
                                      <a:lnTo>
                                        <a:pt x="40044" y="5153"/>
                                      </a:lnTo>
                                      <a:lnTo>
                                        <a:pt x="19202" y="19207"/>
                                      </a:lnTo>
                                      <a:lnTo>
                                        <a:pt x="5151" y="40049"/>
                                      </a:lnTo>
                                      <a:lnTo>
                                        <a:pt x="0" y="65570"/>
                                      </a:lnTo>
                                      <a:lnTo>
                                        <a:pt x="5151" y="91095"/>
                                      </a:lnTo>
                                      <a:lnTo>
                                        <a:pt x="19202" y="111937"/>
                                      </a:lnTo>
                                      <a:lnTo>
                                        <a:pt x="40044" y="125988"/>
                                      </a:lnTo>
                                      <a:lnTo>
                                        <a:pt x="65570" y="131140"/>
                                      </a:lnTo>
                                      <a:lnTo>
                                        <a:pt x="729843" y="131140"/>
                                      </a:lnTo>
                                      <a:lnTo>
                                        <a:pt x="755369" y="125988"/>
                                      </a:lnTo>
                                      <a:lnTo>
                                        <a:pt x="776211" y="111937"/>
                                      </a:lnTo>
                                      <a:lnTo>
                                        <a:pt x="790261" y="91095"/>
                                      </a:lnTo>
                                      <a:lnTo>
                                        <a:pt x="795413" y="65570"/>
                                      </a:lnTo>
                                      <a:lnTo>
                                        <a:pt x="790261" y="40049"/>
                                      </a:lnTo>
                                      <a:lnTo>
                                        <a:pt x="776211" y="19207"/>
                                      </a:lnTo>
                                      <a:lnTo>
                                        <a:pt x="755369" y="5153"/>
                                      </a:lnTo>
                                      <a:lnTo>
                                        <a:pt x="729843" y="0"/>
                                      </a:lnTo>
                                      <a:close/>
                                    </a:path>
                                  </a:pathLst>
                                </a:custGeom>
                                <a:solidFill>
                                  <a:srgbClr val="0097B4"/>
                                </a:solidFill>
                              </wps:spPr>
                              <wps:bodyPr wrap="square" lIns="0" tIns="0" rIns="0" bIns="0" rtlCol="0"/>
                            </wps:wsp>
                            <wps:wsp>
                              <wps:cNvPr id="1819804336" name="object 18"/>
                              <wps:cNvSpPr txBox="1"/>
                              <wps:spPr>
                                <a:xfrm>
                                  <a:off x="0" y="87231"/>
                                  <a:ext cx="841377" cy="58447"/>
                                </a:xfrm>
                                <a:prstGeom prst="rect">
                                  <a:avLst/>
                                </a:prstGeom>
                              </wps:spPr>
                              <wps:txbx>
                                <w:txbxContent>
                                  <w:p w14:paraId="6745C515" w14:textId="6934CD93" w:rsidR="009D0C1D" w:rsidRPr="00580723" w:rsidRDefault="009D0C1D" w:rsidP="00CB4548">
                                    <w:pPr>
                                      <w:ind w:left="115"/>
                                      <w:rPr>
                                        <w:b/>
                                        <w:bCs/>
                                        <w:color w:val="FFFFFF"/>
                                        <w:spacing w:val="-4"/>
                                        <w:sz w:val="8"/>
                                        <w:szCs w:val="8"/>
                                      </w:rPr>
                                    </w:pPr>
                                    <w:r w:rsidRPr="00580723">
                                      <w:rPr>
                                        <w:b/>
                                        <w:color w:val="FFFFFF"/>
                                        <w:sz w:val="8"/>
                                        <w:szCs w:val="14"/>
                                      </w:rPr>
                                      <w:t>Контрольний показник 7</w:t>
                                    </w:r>
                                  </w:p>
                                </w:txbxContent>
                              </wps:txbx>
                              <wps:bodyPr vert="horz" wrap="square" lIns="0" tIns="0" rIns="0" bIns="0" rtlCol="0">
                                <a:spAutoFit/>
                              </wps:bodyPr>
                            </wps:wsp>
                          </wpg:wgp>
                        </a:graphicData>
                      </a:graphic>
                    </wp:inline>
                  </w:drawing>
                </mc:Choice>
                <mc:Fallback>
                  <w:pict>
                    <v:group w14:anchorId="7588E368" id="_x0000_s1176" style="width:66.25pt;height:10.35pt;mso-position-horizontal-relative:char;mso-position-vertical-relative:line" coordorigin=",598" coordsize="8413,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">
                      <v:shape id="object 17" o:spid="_x0000_s1177" style="position:absolute;left:127;top:598;width:7956;height:1315;visibility:visible;mso-wrap-style:square;v-text-anchor:top" coordsize="79565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" path="m729843,l65570,,40044,5153,19202,19207,5151,40049,,65570,5151,91095r14051,20842l40044,125988r25526,5152l729843,131140r25526,-5152l776211,111937,790261,91095r5152,-25525l790261,40049,776211,19207,755369,5153,729843,xe" fillcolor="#0097b4" stroked="f">
                        <v:path arrowok="t"/>
                      </v:shape>
                      <v:shape id="object 18" o:spid="_x0000_s1178" type="#_x0000_t202" style="position:absolute;top:872;width:8413;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" filled="f" stroked="f">
                        <v:textbox style="mso-fit-shape-to-text:t" inset="0,0,0,0">
                          <w:txbxContent>
                            <w:p w14:paraId="6745C515" w14:textId="6934CD93" w:rsidR="009D0C1D" w:rsidRPr="00580723" w:rsidRDefault="009D0C1D" w:rsidP="00CB4548">
                              <w:pPr>
                                <w:ind w:left="115"/>
                                <w:rPr>
                                  <w:b/>
                                  <w:bCs/>
                                  <w:color w:val="FFFFFF"/>
                                  <w:spacing w:val="-4"/>
                                  <w:sz w:val="8"/>
                                  <w:szCs w:val="8"/>
                                </w:rPr>
                              </w:pPr>
                              <w:r w:rsidRPr="00580723">
                                <w:rPr>
                                  <w:b/>
                                  <w:color w:val="FFFFFF"/>
                                  <w:sz w:val="8"/>
                                  <w:szCs w:val="14"/>
                                </w:rPr>
                                <w:t>Контрольний показник 7</w:t>
                              </w:r>
                            </w:p>
                          </w:txbxContent>
                        </v:textbox>
                      </v:shape>
                      <w10:anchorlock/>
                    </v:group>
                  </w:pict>
                </mc:Fallback>
              </mc:AlternateContent>
            </w:r>
          </w:p>
          <w:p w14:paraId="3FF1AD9A" w14:textId="7A0C28AE" w:rsidR="00366CB9" w:rsidRDefault="009D0C1D" w:rsidP="00CB4548">
            <w:pPr>
              <w:pStyle w:val="a6"/>
              <w:shd w:val="clear" w:color="auto" w:fill="auto"/>
              <w:spacing w:line="254" w:lineRule="auto"/>
              <w:rPr>
                <w:sz w:val="15"/>
                <w:szCs w:val="15"/>
              </w:rPr>
            </w:pPr>
            <w:r>
              <w:rPr>
                <w:b w:val="0"/>
                <w:color w:val="000000"/>
                <w:sz w:val="15"/>
              </w:rPr>
              <w:t>Всі функціональні інструменти мають похибку ≤ 5 %.</w:t>
            </w:r>
          </w:p>
          <w:p w14:paraId="348BE67A" w14:textId="12C4D1E7" w:rsidR="00CB4548" w:rsidRDefault="00CB4548" w:rsidP="00CB4548">
            <w:pPr>
              <w:pStyle w:val="a6"/>
              <w:shd w:val="clear" w:color="auto" w:fill="auto"/>
              <w:spacing w:line="252" w:lineRule="auto"/>
              <w:rPr>
                <w:b w:val="0"/>
                <w:bCs w:val="0"/>
                <w:color w:val="000000"/>
                <w:sz w:val="15"/>
                <w:szCs w:val="15"/>
              </w:rPr>
            </w:pPr>
            <w:r>
              <w:rPr>
                <w:noProof/>
              </w:rPr>
              <mc:AlternateContent>
                <mc:Choice Requires="wpg">
                  <w:drawing>
                    <wp:inline distT="0" distB="0" distL="0" distR="0" wp14:anchorId="23B53BEC" wp14:editId="23A30F71">
                      <wp:extent cx="841375" cy="131384"/>
                      <wp:effectExtent l="0" t="0" r="0" b="2540"/>
                      <wp:docPr id="1410375943" name="Групувати 41"/>
                      <wp:cNvGraphicFramePr/>
                      <a:graphic xmlns:a="http://schemas.openxmlformats.org/drawingml/2006/main">
                        <a:graphicData uri="http://schemas.microsoft.com/office/word/2010/wordprocessingGroup">
                          <wpg:wgp>
                            <wpg:cNvGrpSpPr/>
                            <wpg:grpSpPr>
                              <a:xfrm>
                                <a:off x="0" y="0"/>
                                <a:ext cx="841375" cy="131384"/>
                                <a:chOff x="0" y="59889"/>
                                <a:chExt cx="841377" cy="131445"/>
                              </a:xfrm>
                            </wpg:grpSpPr>
                            <wps:wsp>
                              <wps:cNvPr id="1686454867" name="object 17"/>
                              <wps:cNvSpPr/>
                              <wps:spPr>
                                <a:xfrm>
                                  <a:off x="12702" y="59889"/>
                                  <a:ext cx="795655" cy="131445"/>
                                </a:xfrm>
                                <a:custGeom>
                                  <a:avLst/>
                                  <a:gdLst/>
                                  <a:ahLst/>
                                  <a:cxnLst/>
                                  <a:rect l="l" t="t" r="r" b="b"/>
                                  <a:pathLst>
                                    <a:path w="795655" h="131445">
                                      <a:moveTo>
                                        <a:pt x="729843" y="0"/>
                                      </a:moveTo>
                                      <a:lnTo>
                                        <a:pt x="65570" y="0"/>
                                      </a:lnTo>
                                      <a:lnTo>
                                        <a:pt x="40044" y="5153"/>
                                      </a:lnTo>
                                      <a:lnTo>
                                        <a:pt x="19202" y="19207"/>
                                      </a:lnTo>
                                      <a:lnTo>
                                        <a:pt x="5151" y="40049"/>
                                      </a:lnTo>
                                      <a:lnTo>
                                        <a:pt x="0" y="65570"/>
                                      </a:lnTo>
                                      <a:lnTo>
                                        <a:pt x="5151" y="91095"/>
                                      </a:lnTo>
                                      <a:lnTo>
                                        <a:pt x="19202" y="111937"/>
                                      </a:lnTo>
                                      <a:lnTo>
                                        <a:pt x="40044" y="125988"/>
                                      </a:lnTo>
                                      <a:lnTo>
                                        <a:pt x="65570" y="131140"/>
                                      </a:lnTo>
                                      <a:lnTo>
                                        <a:pt x="729843" y="131140"/>
                                      </a:lnTo>
                                      <a:lnTo>
                                        <a:pt x="755369" y="125988"/>
                                      </a:lnTo>
                                      <a:lnTo>
                                        <a:pt x="776211" y="111937"/>
                                      </a:lnTo>
                                      <a:lnTo>
                                        <a:pt x="790261" y="91095"/>
                                      </a:lnTo>
                                      <a:lnTo>
                                        <a:pt x="795413" y="65570"/>
                                      </a:lnTo>
                                      <a:lnTo>
                                        <a:pt x="790261" y="40049"/>
                                      </a:lnTo>
                                      <a:lnTo>
                                        <a:pt x="776211" y="19207"/>
                                      </a:lnTo>
                                      <a:lnTo>
                                        <a:pt x="755369" y="5153"/>
                                      </a:lnTo>
                                      <a:lnTo>
                                        <a:pt x="729843" y="0"/>
                                      </a:lnTo>
                                      <a:close/>
                                    </a:path>
                                  </a:pathLst>
                                </a:custGeom>
                                <a:solidFill>
                                  <a:srgbClr val="0097B4"/>
                                </a:solidFill>
                              </wps:spPr>
                              <wps:bodyPr wrap="square" lIns="0" tIns="0" rIns="0" bIns="0" rtlCol="0"/>
                            </wps:wsp>
                            <wps:wsp>
                              <wps:cNvPr id="2098899375" name="object 18"/>
                              <wps:cNvSpPr txBox="1"/>
                              <wps:spPr>
                                <a:xfrm>
                                  <a:off x="0" y="93632"/>
                                  <a:ext cx="841377" cy="58447"/>
                                </a:xfrm>
                                <a:prstGeom prst="rect">
                                  <a:avLst/>
                                </a:prstGeom>
                              </wps:spPr>
                              <wps:txbx>
                                <w:txbxContent>
                                  <w:p w14:paraId="7615A13F" w14:textId="3296CA56" w:rsidR="009D0C1D" w:rsidRPr="00580723" w:rsidRDefault="009D0C1D" w:rsidP="00CB4548">
                                    <w:pPr>
                                      <w:ind w:left="115"/>
                                      <w:rPr>
                                        <w:b/>
                                        <w:bCs/>
                                        <w:color w:val="FFFFFF"/>
                                        <w:spacing w:val="-4"/>
                                        <w:sz w:val="8"/>
                                        <w:szCs w:val="8"/>
                                      </w:rPr>
                                    </w:pPr>
                                    <w:r w:rsidRPr="00580723">
                                      <w:rPr>
                                        <w:b/>
                                        <w:color w:val="FFFFFF"/>
                                        <w:sz w:val="8"/>
                                        <w:szCs w:val="14"/>
                                      </w:rPr>
                                      <w:t>Контрольний показник 8</w:t>
                                    </w:r>
                                  </w:p>
                                </w:txbxContent>
                              </wps:txbx>
                              <wps:bodyPr vert="horz" wrap="square" lIns="0" tIns="0" rIns="0" bIns="0" rtlCol="0">
                                <a:spAutoFit/>
                              </wps:bodyPr>
                            </wps:wsp>
                          </wpg:wgp>
                        </a:graphicData>
                      </a:graphic>
                    </wp:inline>
                  </w:drawing>
                </mc:Choice>
                <mc:Fallback>
                  <w:pict>
                    <v:group w14:anchorId="23B53BEC" id="_x0000_s1179" style="width:66.25pt;height:10.35pt;mso-position-horizontal-relative:char;mso-position-vertical-relative:line" coordorigin=",598" coordsize="8413,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">
                      <v:shape id="object 17" o:spid="_x0000_s1180" style="position:absolute;left:127;top:598;width:7956;height:1315;visibility:visible;mso-wrap-style:square;v-text-anchor:top" coordsize="79565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" path="m729843,l65570,,40044,5153,19202,19207,5151,40049,,65570,5151,91095r14051,20842l40044,125988r25526,5152l729843,131140r25526,-5152l776211,111937,790261,91095r5152,-25525l790261,40049,776211,19207,755369,5153,729843,xe" fillcolor="#0097b4" stroked="f">
                        <v:path arrowok="t"/>
                      </v:shape>
                      <v:shape id="object 18" o:spid="_x0000_s1181" type="#_x0000_t202" style="position:absolute;top:936;width:8413;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" filled="f" stroked="f">
                        <v:textbox style="mso-fit-shape-to-text:t" inset="0,0,0,0">
                          <w:txbxContent>
                            <w:p w14:paraId="7615A13F" w14:textId="3296CA56" w:rsidR="009D0C1D" w:rsidRPr="00580723" w:rsidRDefault="009D0C1D" w:rsidP="00CB4548">
                              <w:pPr>
                                <w:ind w:left="115"/>
                                <w:rPr>
                                  <w:b/>
                                  <w:bCs/>
                                  <w:color w:val="FFFFFF"/>
                                  <w:spacing w:val="-4"/>
                                  <w:sz w:val="8"/>
                                  <w:szCs w:val="8"/>
                                </w:rPr>
                              </w:pPr>
                              <w:r w:rsidRPr="00580723">
                                <w:rPr>
                                  <w:b/>
                                  <w:color w:val="FFFFFF"/>
                                  <w:sz w:val="8"/>
                                  <w:szCs w:val="14"/>
                                </w:rPr>
                                <w:t>Контрольний показник 8</w:t>
                              </w:r>
                            </w:p>
                          </w:txbxContent>
                        </v:textbox>
                      </v:shape>
                      <w10:anchorlock/>
                    </v:group>
                  </w:pict>
                </mc:Fallback>
              </mc:AlternateContent>
            </w:r>
          </w:p>
          <w:p w14:paraId="359DCF1A" w14:textId="2C041AFB" w:rsidR="00366CB9" w:rsidRDefault="009D0C1D" w:rsidP="00CB4548">
            <w:pPr>
              <w:pStyle w:val="a6"/>
              <w:shd w:val="clear" w:color="auto" w:fill="auto"/>
              <w:spacing w:line="252" w:lineRule="auto"/>
              <w:rPr>
                <w:sz w:val="15"/>
                <w:szCs w:val="15"/>
              </w:rPr>
            </w:pPr>
            <w:r>
              <w:rPr>
                <w:b w:val="0"/>
                <w:color w:val="000000"/>
                <w:sz w:val="15"/>
              </w:rPr>
              <w:t>Всі особи з підозрою на туберкульоз проходять тестування WRD.</w:t>
            </w:r>
          </w:p>
          <w:p w14:paraId="67365AA9" w14:textId="6D895593" w:rsidR="00CB4548" w:rsidRDefault="00CB4548" w:rsidP="00CB4548">
            <w:pPr>
              <w:pStyle w:val="a6"/>
              <w:shd w:val="clear" w:color="auto" w:fill="auto"/>
              <w:rPr>
                <w:b w:val="0"/>
                <w:bCs w:val="0"/>
                <w:color w:val="000000"/>
                <w:sz w:val="15"/>
                <w:szCs w:val="15"/>
              </w:rPr>
            </w:pPr>
            <w:r>
              <w:rPr>
                <w:noProof/>
              </w:rPr>
              <mc:AlternateContent>
                <mc:Choice Requires="wpg">
                  <w:drawing>
                    <wp:inline distT="0" distB="0" distL="0" distR="0" wp14:anchorId="48A4D86C" wp14:editId="5292578E">
                      <wp:extent cx="808355" cy="131384"/>
                      <wp:effectExtent l="0" t="0" r="0" b="2540"/>
                      <wp:docPr id="1444965339" name="Групувати 41"/>
                      <wp:cNvGraphicFramePr/>
                      <a:graphic xmlns:a="http://schemas.openxmlformats.org/drawingml/2006/main">
                        <a:graphicData uri="http://schemas.microsoft.com/office/word/2010/wordprocessingGroup">
                          <wpg:wgp>
                            <wpg:cNvGrpSpPr/>
                            <wpg:grpSpPr>
                              <a:xfrm>
                                <a:off x="0" y="0"/>
                                <a:ext cx="808355" cy="131384"/>
                                <a:chOff x="0" y="59889"/>
                                <a:chExt cx="808357" cy="131445"/>
                              </a:xfrm>
                            </wpg:grpSpPr>
                            <wps:wsp>
                              <wps:cNvPr id="72211972" name="object 17"/>
                              <wps:cNvSpPr/>
                              <wps:spPr>
                                <a:xfrm>
                                  <a:off x="12702" y="59889"/>
                                  <a:ext cx="795655" cy="131445"/>
                                </a:xfrm>
                                <a:custGeom>
                                  <a:avLst/>
                                  <a:gdLst/>
                                  <a:ahLst/>
                                  <a:cxnLst/>
                                  <a:rect l="l" t="t" r="r" b="b"/>
                                  <a:pathLst>
                                    <a:path w="795655" h="131445">
                                      <a:moveTo>
                                        <a:pt x="729843" y="0"/>
                                      </a:moveTo>
                                      <a:lnTo>
                                        <a:pt x="65570" y="0"/>
                                      </a:lnTo>
                                      <a:lnTo>
                                        <a:pt x="40044" y="5153"/>
                                      </a:lnTo>
                                      <a:lnTo>
                                        <a:pt x="19202" y="19207"/>
                                      </a:lnTo>
                                      <a:lnTo>
                                        <a:pt x="5151" y="40049"/>
                                      </a:lnTo>
                                      <a:lnTo>
                                        <a:pt x="0" y="65570"/>
                                      </a:lnTo>
                                      <a:lnTo>
                                        <a:pt x="5151" y="91095"/>
                                      </a:lnTo>
                                      <a:lnTo>
                                        <a:pt x="19202" y="111937"/>
                                      </a:lnTo>
                                      <a:lnTo>
                                        <a:pt x="40044" y="125988"/>
                                      </a:lnTo>
                                      <a:lnTo>
                                        <a:pt x="65570" y="131140"/>
                                      </a:lnTo>
                                      <a:lnTo>
                                        <a:pt x="729843" y="131140"/>
                                      </a:lnTo>
                                      <a:lnTo>
                                        <a:pt x="755369" y="125988"/>
                                      </a:lnTo>
                                      <a:lnTo>
                                        <a:pt x="776211" y="111937"/>
                                      </a:lnTo>
                                      <a:lnTo>
                                        <a:pt x="790261" y="91095"/>
                                      </a:lnTo>
                                      <a:lnTo>
                                        <a:pt x="795413" y="65570"/>
                                      </a:lnTo>
                                      <a:lnTo>
                                        <a:pt x="790261" y="40049"/>
                                      </a:lnTo>
                                      <a:lnTo>
                                        <a:pt x="776211" y="19207"/>
                                      </a:lnTo>
                                      <a:lnTo>
                                        <a:pt x="755369" y="5153"/>
                                      </a:lnTo>
                                      <a:lnTo>
                                        <a:pt x="729843" y="0"/>
                                      </a:lnTo>
                                      <a:close/>
                                    </a:path>
                                  </a:pathLst>
                                </a:custGeom>
                                <a:solidFill>
                                  <a:srgbClr val="0097B4"/>
                                </a:solidFill>
                              </wps:spPr>
                              <wps:bodyPr wrap="square" lIns="0" tIns="0" rIns="0" bIns="0" rtlCol="0"/>
                            </wps:wsp>
                            <wps:wsp>
                              <wps:cNvPr id="845861773" name="object 18"/>
                              <wps:cNvSpPr txBox="1"/>
                              <wps:spPr>
                                <a:xfrm>
                                  <a:off x="0" y="89708"/>
                                  <a:ext cx="808357" cy="58447"/>
                                </a:xfrm>
                                <a:prstGeom prst="rect">
                                  <a:avLst/>
                                </a:prstGeom>
                              </wps:spPr>
                              <wps:txbx>
                                <w:txbxContent>
                                  <w:p w14:paraId="2B40FCFB" w14:textId="75201BF6" w:rsidR="009D0C1D" w:rsidRPr="00580723" w:rsidRDefault="009D0C1D" w:rsidP="00CB4548">
                                    <w:pPr>
                                      <w:ind w:left="115"/>
                                      <w:rPr>
                                        <w:b/>
                                        <w:bCs/>
                                        <w:color w:val="FFFFFF"/>
                                        <w:spacing w:val="-4"/>
                                        <w:sz w:val="8"/>
                                        <w:szCs w:val="8"/>
                                      </w:rPr>
                                    </w:pPr>
                                    <w:r w:rsidRPr="00580723">
                                      <w:rPr>
                                        <w:b/>
                                        <w:color w:val="FFFFFF"/>
                                        <w:sz w:val="8"/>
                                        <w:szCs w:val="14"/>
                                      </w:rPr>
                                      <w:t>Контрольний показник 9</w:t>
                                    </w:r>
                                  </w:p>
                                </w:txbxContent>
                              </wps:txbx>
                              <wps:bodyPr vert="horz" wrap="square" lIns="0" tIns="0" rIns="0" bIns="0" rtlCol="0">
                                <a:spAutoFit/>
                              </wps:bodyPr>
                            </wps:wsp>
                          </wpg:wgp>
                        </a:graphicData>
                      </a:graphic>
                    </wp:inline>
                  </w:drawing>
                </mc:Choice>
                <mc:Fallback>
                  <w:pict>
                    <v:group w14:anchorId="48A4D86C" id="_x0000_s1182" style="width:63.65pt;height:10.35pt;mso-position-horizontal-relative:char;mso-position-vertical-relative:line" coordorigin=",598" coordsize="8083,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">
                      <v:shape id="object 17" o:spid="_x0000_s1183" style="position:absolute;left:127;top:598;width:7956;height:1315;visibility:visible;mso-wrap-style:square;v-text-anchor:top" coordsize="79565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" path="m729843,l65570,,40044,5153,19202,19207,5151,40049,,65570,5151,91095r14051,20842l40044,125988r25526,5152l729843,131140r25526,-5152l776211,111937,790261,91095r5152,-25525l790261,40049,776211,19207,755369,5153,729843,xe" fillcolor="#0097b4" stroked="f">
                        <v:path arrowok="t"/>
                      </v:shape>
                      <v:shape id="object 18" o:spid="_x0000_s1184" type="#_x0000_t202" style="position:absolute;top:897;width:8083;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" filled="f" stroked="f">
                        <v:textbox style="mso-fit-shape-to-text:t" inset="0,0,0,0">
                          <w:txbxContent>
                            <w:p w14:paraId="2B40FCFB" w14:textId="75201BF6" w:rsidR="009D0C1D" w:rsidRPr="00580723" w:rsidRDefault="009D0C1D" w:rsidP="00CB4548">
                              <w:pPr>
                                <w:ind w:left="115"/>
                                <w:rPr>
                                  <w:b/>
                                  <w:bCs/>
                                  <w:color w:val="FFFFFF"/>
                                  <w:spacing w:val="-4"/>
                                  <w:sz w:val="8"/>
                                  <w:szCs w:val="8"/>
                                </w:rPr>
                              </w:pPr>
                              <w:r w:rsidRPr="00580723">
                                <w:rPr>
                                  <w:b/>
                                  <w:color w:val="FFFFFF"/>
                                  <w:sz w:val="8"/>
                                  <w:szCs w:val="14"/>
                                </w:rPr>
                                <w:t>Контрольний показник 9</w:t>
                              </w:r>
                            </w:p>
                          </w:txbxContent>
                        </v:textbox>
                      </v:shape>
                      <w10:anchorlock/>
                    </v:group>
                  </w:pict>
                </mc:Fallback>
              </mc:AlternateContent>
            </w:r>
          </w:p>
          <w:p w14:paraId="021EF057" w14:textId="0765CB56" w:rsidR="00366CB9" w:rsidRDefault="009D0C1D" w:rsidP="00CB4548">
            <w:pPr>
              <w:pStyle w:val="a6"/>
              <w:shd w:val="clear" w:color="auto" w:fill="auto"/>
              <w:rPr>
                <w:sz w:val="15"/>
                <w:szCs w:val="15"/>
              </w:rPr>
            </w:pPr>
            <w:r>
              <w:rPr>
                <w:b w:val="0"/>
                <w:color w:val="000000"/>
                <w:sz w:val="15"/>
              </w:rPr>
              <w:t>Усі пацієнти з бактеріологічно підтвердженим ТБ проходять універсальне тестування медикаментозної чутливості.</w:t>
            </w:r>
          </w:p>
        </w:tc>
        <w:tc>
          <w:tcPr>
            <w:tcW w:w="163" w:type="dxa"/>
            <w:shd w:val="clear" w:color="auto" w:fill="FFFFFF"/>
          </w:tcPr>
          <w:p w14:paraId="77F6EF8D" w14:textId="77777777" w:rsidR="00366CB9" w:rsidRDefault="00366CB9" w:rsidP="00CB4548">
            <w:pPr>
              <w:rPr>
                <w:sz w:val="10"/>
                <w:szCs w:val="10"/>
              </w:rPr>
            </w:pPr>
          </w:p>
        </w:tc>
        <w:tc>
          <w:tcPr>
            <w:tcW w:w="2155" w:type="dxa"/>
            <w:tcBorders>
              <w:top w:val="single" w:sz="8" w:space="0" w:color="CC0066"/>
            </w:tcBorders>
            <w:shd w:val="clear" w:color="auto" w:fill="FFFFFF"/>
          </w:tcPr>
          <w:p w14:paraId="57F768A3" w14:textId="617AB03C" w:rsidR="00CB4548" w:rsidRDefault="00CB4548" w:rsidP="00CB4548">
            <w:pPr>
              <w:pStyle w:val="a6"/>
              <w:shd w:val="clear" w:color="auto" w:fill="auto"/>
              <w:spacing w:line="252" w:lineRule="auto"/>
              <w:rPr>
                <w:b w:val="0"/>
                <w:bCs w:val="0"/>
                <w:color w:val="000000"/>
                <w:sz w:val="15"/>
                <w:szCs w:val="15"/>
              </w:rPr>
            </w:pPr>
            <w:r>
              <w:rPr>
                <w:noProof/>
              </w:rPr>
              <mc:AlternateContent>
                <mc:Choice Requires="wpg">
                  <w:drawing>
                    <wp:inline distT="0" distB="0" distL="0" distR="0" wp14:anchorId="3AC7E1C9" wp14:editId="46B66027">
                      <wp:extent cx="821226" cy="131384"/>
                      <wp:effectExtent l="0" t="0" r="0" b="2540"/>
                      <wp:docPr id="1509372698" name="Групувати 41"/>
                      <wp:cNvGraphicFramePr/>
                      <a:graphic xmlns:a="http://schemas.openxmlformats.org/drawingml/2006/main">
                        <a:graphicData uri="http://schemas.microsoft.com/office/word/2010/wordprocessingGroup">
                          <wpg:wgp>
                            <wpg:cNvGrpSpPr/>
                            <wpg:grpSpPr>
                              <a:xfrm>
                                <a:off x="0" y="0"/>
                                <a:ext cx="821226" cy="131384"/>
                                <a:chOff x="0" y="59785"/>
                                <a:chExt cx="821228" cy="131445"/>
                              </a:xfrm>
                            </wpg:grpSpPr>
                            <wps:wsp>
                              <wps:cNvPr id="799171096" name="object 17"/>
                              <wps:cNvSpPr/>
                              <wps:spPr>
                                <a:xfrm>
                                  <a:off x="12682" y="59785"/>
                                  <a:ext cx="808546" cy="131445"/>
                                </a:xfrm>
                                <a:custGeom>
                                  <a:avLst/>
                                  <a:gdLst/>
                                  <a:ahLst/>
                                  <a:cxnLst/>
                                  <a:rect l="l" t="t" r="r" b="b"/>
                                  <a:pathLst>
                                    <a:path w="795655" h="131445">
                                      <a:moveTo>
                                        <a:pt x="729843" y="0"/>
                                      </a:moveTo>
                                      <a:lnTo>
                                        <a:pt x="65570" y="0"/>
                                      </a:lnTo>
                                      <a:lnTo>
                                        <a:pt x="40044" y="5153"/>
                                      </a:lnTo>
                                      <a:lnTo>
                                        <a:pt x="19202" y="19207"/>
                                      </a:lnTo>
                                      <a:lnTo>
                                        <a:pt x="5151" y="40049"/>
                                      </a:lnTo>
                                      <a:lnTo>
                                        <a:pt x="0" y="65570"/>
                                      </a:lnTo>
                                      <a:lnTo>
                                        <a:pt x="5151" y="91095"/>
                                      </a:lnTo>
                                      <a:lnTo>
                                        <a:pt x="19202" y="111937"/>
                                      </a:lnTo>
                                      <a:lnTo>
                                        <a:pt x="40044" y="125988"/>
                                      </a:lnTo>
                                      <a:lnTo>
                                        <a:pt x="65570" y="131140"/>
                                      </a:lnTo>
                                      <a:lnTo>
                                        <a:pt x="729843" y="131140"/>
                                      </a:lnTo>
                                      <a:lnTo>
                                        <a:pt x="755369" y="125988"/>
                                      </a:lnTo>
                                      <a:lnTo>
                                        <a:pt x="776211" y="111937"/>
                                      </a:lnTo>
                                      <a:lnTo>
                                        <a:pt x="790261" y="91095"/>
                                      </a:lnTo>
                                      <a:lnTo>
                                        <a:pt x="795413" y="65570"/>
                                      </a:lnTo>
                                      <a:lnTo>
                                        <a:pt x="790261" y="40049"/>
                                      </a:lnTo>
                                      <a:lnTo>
                                        <a:pt x="776211" y="19207"/>
                                      </a:lnTo>
                                      <a:lnTo>
                                        <a:pt x="755369" y="5153"/>
                                      </a:lnTo>
                                      <a:lnTo>
                                        <a:pt x="729843" y="0"/>
                                      </a:lnTo>
                                      <a:close/>
                                    </a:path>
                                  </a:pathLst>
                                </a:custGeom>
                                <a:solidFill>
                                  <a:srgbClr val="AE176E"/>
                                </a:solidFill>
                              </wps:spPr>
                              <wps:bodyPr wrap="square" lIns="0" tIns="0" rIns="0" bIns="0" rtlCol="0"/>
                            </wps:wsp>
                            <wps:wsp>
                              <wps:cNvPr id="500330732" name="object 18"/>
                              <wps:cNvSpPr txBox="1"/>
                              <wps:spPr>
                                <a:xfrm>
                                  <a:off x="0" y="84176"/>
                                  <a:ext cx="821057" cy="58447"/>
                                </a:xfrm>
                                <a:prstGeom prst="rect">
                                  <a:avLst/>
                                </a:prstGeom>
                              </wps:spPr>
                              <wps:txbx>
                                <w:txbxContent>
                                  <w:p w14:paraId="49760743" w14:textId="304E9748" w:rsidR="009D0C1D" w:rsidRPr="00580723" w:rsidRDefault="009D0C1D" w:rsidP="00CB4548">
                                    <w:pPr>
                                      <w:ind w:left="115"/>
                                      <w:rPr>
                                        <w:b/>
                                        <w:bCs/>
                                        <w:color w:val="FFFFFF"/>
                                        <w:spacing w:val="-4"/>
                                        <w:sz w:val="8"/>
                                        <w:szCs w:val="8"/>
                                      </w:rPr>
                                    </w:pPr>
                                    <w:r w:rsidRPr="00580723">
                                      <w:rPr>
                                        <w:b/>
                                        <w:color w:val="FFFFFF"/>
                                        <w:sz w:val="8"/>
                                        <w:szCs w:val="14"/>
                                      </w:rPr>
                                      <w:t>Контрольний показник 10</w:t>
                                    </w:r>
                                  </w:p>
                                </w:txbxContent>
                              </wps:txbx>
                              <wps:bodyPr vert="horz" wrap="square" lIns="0" tIns="0" rIns="0" bIns="0" rtlCol="0">
                                <a:spAutoFit/>
                              </wps:bodyPr>
                            </wps:wsp>
                          </wpg:wgp>
                        </a:graphicData>
                      </a:graphic>
                    </wp:inline>
                  </w:drawing>
                </mc:Choice>
                <mc:Fallback>
                  <w:pict>
                    <v:group w14:anchorId="3AC7E1C9" id="_x0000_s1185" style="width:64.65pt;height:10.35pt;mso-position-horizontal-relative:char;mso-position-vertical-relative:line" coordorigin=",597" coordsize="8212,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">
                      <v:shape id="object 17" o:spid="_x0000_s1186" style="position:absolute;left:126;top:597;width:8086;height:1315;visibility:visible;mso-wrap-style:square;v-text-anchor:top" coordsize="79565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" path="m729843,l65570,,40044,5153,19202,19207,5151,40049,,65570,5151,91095r14051,20842l40044,125988r25526,5152l729843,131140r25526,-5152l776211,111937,790261,91095r5152,-25525l790261,40049,776211,19207,755369,5153,729843,xe" fillcolor="#ae176e" stroked="f">
                        <v:path arrowok="t"/>
                      </v:shape>
                      <v:shape id="object 18" o:spid="_x0000_s1187" type="#_x0000_t202" style="position:absolute;top:841;width:82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" filled="f" stroked="f">
                        <v:textbox style="mso-fit-shape-to-text:t" inset="0,0,0,0">
                          <w:txbxContent>
                            <w:p w14:paraId="49760743" w14:textId="304E9748" w:rsidR="009D0C1D" w:rsidRPr="00580723" w:rsidRDefault="009D0C1D" w:rsidP="00CB4548">
                              <w:pPr>
                                <w:ind w:left="115"/>
                                <w:rPr>
                                  <w:b/>
                                  <w:bCs/>
                                  <w:color w:val="FFFFFF"/>
                                  <w:spacing w:val="-4"/>
                                  <w:sz w:val="8"/>
                                  <w:szCs w:val="8"/>
                                </w:rPr>
                              </w:pPr>
                              <w:r w:rsidRPr="00580723">
                                <w:rPr>
                                  <w:b/>
                                  <w:color w:val="FFFFFF"/>
                                  <w:sz w:val="8"/>
                                  <w:szCs w:val="14"/>
                                </w:rPr>
                                <w:t>Контрольний показник 10</w:t>
                              </w:r>
                            </w:p>
                          </w:txbxContent>
                        </v:textbox>
                      </v:shape>
                      <w10:anchorlock/>
                    </v:group>
                  </w:pict>
                </mc:Fallback>
              </mc:AlternateContent>
            </w:r>
          </w:p>
          <w:p w14:paraId="5750EC09" w14:textId="1EDE79E7" w:rsidR="00366CB9" w:rsidRDefault="009D0C1D" w:rsidP="00CB4548">
            <w:pPr>
              <w:pStyle w:val="a6"/>
              <w:shd w:val="clear" w:color="auto" w:fill="auto"/>
              <w:spacing w:line="252" w:lineRule="auto"/>
              <w:rPr>
                <w:b w:val="0"/>
                <w:bCs w:val="0"/>
                <w:color w:val="000000"/>
                <w:sz w:val="15"/>
                <w:szCs w:val="15"/>
              </w:rPr>
            </w:pPr>
            <w:r>
              <w:rPr>
                <w:b w:val="0"/>
                <w:color w:val="000000"/>
                <w:sz w:val="15"/>
              </w:rPr>
              <w:t>Усім пацієнтам з ТБ легень надається первинний результат ТМЧ, з метою поінформування про діагноз.</w:t>
            </w:r>
          </w:p>
          <w:p w14:paraId="2887D3B2" w14:textId="4CCEDCBF" w:rsidR="00CB4548" w:rsidRDefault="00CB4548" w:rsidP="00CB4548">
            <w:pPr>
              <w:pStyle w:val="a6"/>
              <w:shd w:val="clear" w:color="auto" w:fill="auto"/>
              <w:spacing w:line="252" w:lineRule="auto"/>
              <w:rPr>
                <w:sz w:val="15"/>
                <w:szCs w:val="15"/>
              </w:rPr>
            </w:pPr>
            <w:r>
              <w:rPr>
                <w:noProof/>
              </w:rPr>
              <mc:AlternateContent>
                <mc:Choice Requires="wpg">
                  <w:drawing>
                    <wp:inline distT="0" distB="0" distL="0" distR="0" wp14:anchorId="36F7660D" wp14:editId="4CCCF2A3">
                      <wp:extent cx="845185" cy="131384"/>
                      <wp:effectExtent l="0" t="0" r="0" b="2540"/>
                      <wp:docPr id="487862126" name="Групувати 41"/>
                      <wp:cNvGraphicFramePr/>
                      <a:graphic xmlns:a="http://schemas.openxmlformats.org/drawingml/2006/main">
                        <a:graphicData uri="http://schemas.microsoft.com/office/word/2010/wordprocessingGroup">
                          <wpg:wgp>
                            <wpg:cNvGrpSpPr/>
                            <wpg:grpSpPr>
                              <a:xfrm>
                                <a:off x="0" y="0"/>
                                <a:ext cx="845185" cy="131384"/>
                                <a:chOff x="0" y="59785"/>
                                <a:chExt cx="845187" cy="131445"/>
                              </a:xfrm>
                            </wpg:grpSpPr>
                            <wps:wsp>
                              <wps:cNvPr id="2084614899" name="object 17"/>
                              <wps:cNvSpPr/>
                              <wps:spPr>
                                <a:xfrm>
                                  <a:off x="12682" y="59785"/>
                                  <a:ext cx="808546" cy="131445"/>
                                </a:xfrm>
                                <a:custGeom>
                                  <a:avLst/>
                                  <a:gdLst/>
                                  <a:ahLst/>
                                  <a:cxnLst/>
                                  <a:rect l="l" t="t" r="r" b="b"/>
                                  <a:pathLst>
                                    <a:path w="795655" h="131445">
                                      <a:moveTo>
                                        <a:pt x="729843" y="0"/>
                                      </a:moveTo>
                                      <a:lnTo>
                                        <a:pt x="65570" y="0"/>
                                      </a:lnTo>
                                      <a:lnTo>
                                        <a:pt x="40044" y="5153"/>
                                      </a:lnTo>
                                      <a:lnTo>
                                        <a:pt x="19202" y="19207"/>
                                      </a:lnTo>
                                      <a:lnTo>
                                        <a:pt x="5151" y="40049"/>
                                      </a:lnTo>
                                      <a:lnTo>
                                        <a:pt x="0" y="65570"/>
                                      </a:lnTo>
                                      <a:lnTo>
                                        <a:pt x="5151" y="91095"/>
                                      </a:lnTo>
                                      <a:lnTo>
                                        <a:pt x="19202" y="111937"/>
                                      </a:lnTo>
                                      <a:lnTo>
                                        <a:pt x="40044" y="125988"/>
                                      </a:lnTo>
                                      <a:lnTo>
                                        <a:pt x="65570" y="131140"/>
                                      </a:lnTo>
                                      <a:lnTo>
                                        <a:pt x="729843" y="131140"/>
                                      </a:lnTo>
                                      <a:lnTo>
                                        <a:pt x="755369" y="125988"/>
                                      </a:lnTo>
                                      <a:lnTo>
                                        <a:pt x="776211" y="111937"/>
                                      </a:lnTo>
                                      <a:lnTo>
                                        <a:pt x="790261" y="91095"/>
                                      </a:lnTo>
                                      <a:lnTo>
                                        <a:pt x="795413" y="65570"/>
                                      </a:lnTo>
                                      <a:lnTo>
                                        <a:pt x="790261" y="40049"/>
                                      </a:lnTo>
                                      <a:lnTo>
                                        <a:pt x="776211" y="19207"/>
                                      </a:lnTo>
                                      <a:lnTo>
                                        <a:pt x="755369" y="5153"/>
                                      </a:lnTo>
                                      <a:lnTo>
                                        <a:pt x="729843" y="0"/>
                                      </a:lnTo>
                                      <a:close/>
                                    </a:path>
                                  </a:pathLst>
                                </a:custGeom>
                                <a:solidFill>
                                  <a:srgbClr val="AE176E"/>
                                </a:solidFill>
                              </wps:spPr>
                              <wps:bodyPr wrap="square" lIns="0" tIns="0" rIns="0" bIns="0" rtlCol="0"/>
                            </wps:wsp>
                            <wps:wsp>
                              <wps:cNvPr id="1745363693" name="object 18"/>
                              <wps:cNvSpPr txBox="1"/>
                              <wps:spPr>
                                <a:xfrm>
                                  <a:off x="0" y="86643"/>
                                  <a:ext cx="845187" cy="58447"/>
                                </a:xfrm>
                                <a:prstGeom prst="rect">
                                  <a:avLst/>
                                </a:prstGeom>
                              </wps:spPr>
                              <wps:txbx>
                                <w:txbxContent>
                                  <w:p w14:paraId="7DD12D33" w14:textId="20F941E9" w:rsidR="009D0C1D" w:rsidRPr="00580723" w:rsidRDefault="009D0C1D" w:rsidP="00CB4548">
                                    <w:pPr>
                                      <w:ind w:left="115"/>
                                      <w:rPr>
                                        <w:b/>
                                        <w:bCs/>
                                        <w:color w:val="FFFFFF"/>
                                        <w:spacing w:val="-4"/>
                                        <w:sz w:val="8"/>
                                        <w:szCs w:val="8"/>
                                      </w:rPr>
                                    </w:pPr>
                                    <w:r w:rsidRPr="00580723">
                                      <w:rPr>
                                        <w:b/>
                                        <w:color w:val="FFFFFF"/>
                                        <w:sz w:val="8"/>
                                        <w:szCs w:val="14"/>
                                      </w:rPr>
                                      <w:t>Контрольний показник 11</w:t>
                                    </w:r>
                                  </w:p>
                                </w:txbxContent>
                              </wps:txbx>
                              <wps:bodyPr vert="horz" wrap="square" lIns="0" tIns="0" rIns="0" bIns="0" rtlCol="0">
                                <a:spAutoFit/>
                              </wps:bodyPr>
                            </wps:wsp>
                          </wpg:wgp>
                        </a:graphicData>
                      </a:graphic>
                    </wp:inline>
                  </w:drawing>
                </mc:Choice>
                <mc:Fallback>
                  <w:pict>
                    <v:group w14:anchorId="36F7660D" id="_x0000_s1188" style="width:66.55pt;height:10.35pt;mso-position-horizontal-relative:char;mso-position-vertical-relative:line" coordorigin=",597" coordsize="8451,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">
                      <v:shape id="object 17" o:spid="_x0000_s1189" style="position:absolute;left:126;top:597;width:8086;height:1315;visibility:visible;mso-wrap-style:square;v-text-anchor:top" coordsize="79565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" path="m729843,l65570,,40044,5153,19202,19207,5151,40049,,65570,5151,91095r14051,20842l40044,125988r25526,5152l729843,131140r25526,-5152l776211,111937,790261,91095r5152,-25525l790261,40049,776211,19207,755369,5153,729843,xe" fillcolor="#ae176e" stroked="f">
                        <v:path arrowok="t"/>
                      </v:shape>
                      <v:shape id="object 18" o:spid="_x0000_s1190" type="#_x0000_t202" style="position:absolute;top:866;width:845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" filled="f" stroked="f">
                        <v:textbox style="mso-fit-shape-to-text:t" inset="0,0,0,0">
                          <w:txbxContent>
                            <w:p w14:paraId="7DD12D33" w14:textId="20F941E9" w:rsidR="009D0C1D" w:rsidRPr="00580723" w:rsidRDefault="009D0C1D" w:rsidP="00CB4548">
                              <w:pPr>
                                <w:ind w:left="115"/>
                                <w:rPr>
                                  <w:b/>
                                  <w:bCs/>
                                  <w:color w:val="FFFFFF"/>
                                  <w:spacing w:val="-4"/>
                                  <w:sz w:val="8"/>
                                  <w:szCs w:val="8"/>
                                </w:rPr>
                              </w:pPr>
                              <w:r w:rsidRPr="00580723">
                                <w:rPr>
                                  <w:b/>
                                  <w:color w:val="FFFFFF"/>
                                  <w:sz w:val="8"/>
                                  <w:szCs w:val="14"/>
                                </w:rPr>
                                <w:t>Контрольний показник 11</w:t>
                              </w:r>
                            </w:p>
                          </w:txbxContent>
                        </v:textbox>
                      </v:shape>
                      <w10:anchorlock/>
                    </v:group>
                  </w:pict>
                </mc:Fallback>
              </mc:AlternateContent>
            </w:r>
          </w:p>
          <w:p w14:paraId="567BF0C2" w14:textId="77777777" w:rsidR="00366CB9" w:rsidRDefault="009D0C1D" w:rsidP="00CB4548">
            <w:pPr>
              <w:pStyle w:val="a6"/>
              <w:shd w:val="clear" w:color="auto" w:fill="auto"/>
              <w:rPr>
                <w:b w:val="0"/>
                <w:bCs w:val="0"/>
                <w:color w:val="000000"/>
                <w:sz w:val="15"/>
                <w:szCs w:val="15"/>
              </w:rPr>
            </w:pPr>
            <w:r>
              <w:rPr>
                <w:b w:val="0"/>
                <w:color w:val="000000"/>
                <w:sz w:val="15"/>
              </w:rPr>
              <w:t>Усі райони відстежують рівень позитивних результатів тестів, щоб оптимізувати стратегії скринінгу та тестування.</w:t>
            </w:r>
          </w:p>
          <w:p w14:paraId="74662739" w14:textId="57589A15" w:rsidR="00CB4548" w:rsidRDefault="00CB4548" w:rsidP="00CB4548">
            <w:pPr>
              <w:pStyle w:val="a6"/>
              <w:shd w:val="clear" w:color="auto" w:fill="auto"/>
              <w:rPr>
                <w:sz w:val="15"/>
                <w:szCs w:val="15"/>
              </w:rPr>
            </w:pPr>
            <w:r>
              <w:rPr>
                <w:noProof/>
              </w:rPr>
              <mc:AlternateContent>
                <mc:Choice Requires="wpg">
                  <w:drawing>
                    <wp:inline distT="0" distB="0" distL="0" distR="0" wp14:anchorId="7D1BF31D" wp14:editId="3524C96D">
                      <wp:extent cx="821226" cy="131384"/>
                      <wp:effectExtent l="0" t="0" r="0" b="2540"/>
                      <wp:docPr id="1789246029" name="Групувати 41"/>
                      <wp:cNvGraphicFramePr/>
                      <a:graphic xmlns:a="http://schemas.openxmlformats.org/drawingml/2006/main">
                        <a:graphicData uri="http://schemas.microsoft.com/office/word/2010/wordprocessingGroup">
                          <wpg:wgp>
                            <wpg:cNvGrpSpPr/>
                            <wpg:grpSpPr>
                              <a:xfrm>
                                <a:off x="0" y="0"/>
                                <a:ext cx="821226" cy="131384"/>
                                <a:chOff x="0" y="59785"/>
                                <a:chExt cx="821228" cy="131445"/>
                              </a:xfrm>
                            </wpg:grpSpPr>
                            <wps:wsp>
                              <wps:cNvPr id="30052277" name="object 17"/>
                              <wps:cNvSpPr/>
                              <wps:spPr>
                                <a:xfrm>
                                  <a:off x="12682" y="59785"/>
                                  <a:ext cx="808546" cy="131445"/>
                                </a:xfrm>
                                <a:custGeom>
                                  <a:avLst/>
                                  <a:gdLst/>
                                  <a:ahLst/>
                                  <a:cxnLst/>
                                  <a:rect l="l" t="t" r="r" b="b"/>
                                  <a:pathLst>
                                    <a:path w="795655" h="131445">
                                      <a:moveTo>
                                        <a:pt x="729843" y="0"/>
                                      </a:moveTo>
                                      <a:lnTo>
                                        <a:pt x="65570" y="0"/>
                                      </a:lnTo>
                                      <a:lnTo>
                                        <a:pt x="40044" y="5153"/>
                                      </a:lnTo>
                                      <a:lnTo>
                                        <a:pt x="19202" y="19207"/>
                                      </a:lnTo>
                                      <a:lnTo>
                                        <a:pt x="5151" y="40049"/>
                                      </a:lnTo>
                                      <a:lnTo>
                                        <a:pt x="0" y="65570"/>
                                      </a:lnTo>
                                      <a:lnTo>
                                        <a:pt x="5151" y="91095"/>
                                      </a:lnTo>
                                      <a:lnTo>
                                        <a:pt x="19202" y="111937"/>
                                      </a:lnTo>
                                      <a:lnTo>
                                        <a:pt x="40044" y="125988"/>
                                      </a:lnTo>
                                      <a:lnTo>
                                        <a:pt x="65570" y="131140"/>
                                      </a:lnTo>
                                      <a:lnTo>
                                        <a:pt x="729843" y="131140"/>
                                      </a:lnTo>
                                      <a:lnTo>
                                        <a:pt x="755369" y="125988"/>
                                      </a:lnTo>
                                      <a:lnTo>
                                        <a:pt x="776211" y="111937"/>
                                      </a:lnTo>
                                      <a:lnTo>
                                        <a:pt x="790261" y="91095"/>
                                      </a:lnTo>
                                      <a:lnTo>
                                        <a:pt x="795413" y="65570"/>
                                      </a:lnTo>
                                      <a:lnTo>
                                        <a:pt x="790261" y="40049"/>
                                      </a:lnTo>
                                      <a:lnTo>
                                        <a:pt x="776211" y="19207"/>
                                      </a:lnTo>
                                      <a:lnTo>
                                        <a:pt x="755369" y="5153"/>
                                      </a:lnTo>
                                      <a:lnTo>
                                        <a:pt x="729843" y="0"/>
                                      </a:lnTo>
                                      <a:close/>
                                    </a:path>
                                  </a:pathLst>
                                </a:custGeom>
                                <a:solidFill>
                                  <a:srgbClr val="AE176E"/>
                                </a:solidFill>
                              </wps:spPr>
                              <wps:bodyPr wrap="square" lIns="0" tIns="0" rIns="0" bIns="0" rtlCol="0"/>
                            </wps:wsp>
                            <wps:wsp>
                              <wps:cNvPr id="670278137" name="object 18"/>
                              <wps:cNvSpPr txBox="1"/>
                              <wps:spPr>
                                <a:xfrm>
                                  <a:off x="0" y="89732"/>
                                  <a:ext cx="821057" cy="58447"/>
                                </a:xfrm>
                                <a:prstGeom prst="rect">
                                  <a:avLst/>
                                </a:prstGeom>
                              </wps:spPr>
                              <wps:txbx>
                                <w:txbxContent>
                                  <w:p w14:paraId="5ACDE8CC" w14:textId="5593ED1D" w:rsidR="009D0C1D" w:rsidRPr="00580723" w:rsidRDefault="009D0C1D" w:rsidP="00CB4548">
                                    <w:pPr>
                                      <w:ind w:left="115"/>
                                      <w:rPr>
                                        <w:b/>
                                        <w:bCs/>
                                        <w:color w:val="FFFFFF"/>
                                        <w:spacing w:val="-4"/>
                                        <w:sz w:val="8"/>
                                        <w:szCs w:val="8"/>
                                      </w:rPr>
                                    </w:pPr>
                                    <w:r w:rsidRPr="00580723">
                                      <w:rPr>
                                        <w:b/>
                                        <w:color w:val="FFFFFF"/>
                                        <w:sz w:val="8"/>
                                        <w:szCs w:val="14"/>
                                      </w:rPr>
                                      <w:t>Контрольний показник 12</w:t>
                                    </w:r>
                                  </w:p>
                                </w:txbxContent>
                              </wps:txbx>
                              <wps:bodyPr vert="horz" wrap="square" lIns="0" tIns="0" rIns="0" bIns="0" rtlCol="0">
                                <a:spAutoFit/>
                              </wps:bodyPr>
                            </wps:wsp>
                          </wpg:wgp>
                        </a:graphicData>
                      </a:graphic>
                    </wp:inline>
                  </w:drawing>
                </mc:Choice>
                <mc:Fallback>
                  <w:pict>
                    <v:group w14:anchorId="7D1BF31D" id="_x0000_s1191" style="width:64.65pt;height:10.35pt;mso-position-horizontal-relative:char;mso-position-vertical-relative:line" coordorigin=",597" coordsize="8212,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">
                      <v:shape id="object 17" o:spid="_x0000_s1192" style="position:absolute;left:126;top:597;width:8086;height:1315;visibility:visible;mso-wrap-style:square;v-text-anchor:top" coordsize="79565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" path="m729843,l65570,,40044,5153,19202,19207,5151,40049,,65570,5151,91095r14051,20842l40044,125988r25526,5152l729843,131140r25526,-5152l776211,111937,790261,91095r5152,-25525l790261,40049,776211,19207,755369,5153,729843,xe" fillcolor="#ae176e" stroked="f">
                        <v:path arrowok="t"/>
                      </v:shape>
                      <v:shape id="object 18" o:spid="_x0000_s1193" type="#_x0000_t202" style="position:absolute;top:897;width:821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" filled="f" stroked="f">
                        <v:textbox style="mso-fit-shape-to-text:t" inset="0,0,0,0">
                          <w:txbxContent>
                            <w:p w14:paraId="5ACDE8CC" w14:textId="5593ED1D" w:rsidR="009D0C1D" w:rsidRPr="00580723" w:rsidRDefault="009D0C1D" w:rsidP="00CB4548">
                              <w:pPr>
                                <w:ind w:left="115"/>
                                <w:rPr>
                                  <w:b/>
                                  <w:bCs/>
                                  <w:color w:val="FFFFFF"/>
                                  <w:spacing w:val="-4"/>
                                  <w:sz w:val="8"/>
                                  <w:szCs w:val="8"/>
                                </w:rPr>
                              </w:pPr>
                              <w:r w:rsidRPr="00580723">
                                <w:rPr>
                                  <w:b/>
                                  <w:color w:val="FFFFFF"/>
                                  <w:sz w:val="8"/>
                                  <w:szCs w:val="14"/>
                                </w:rPr>
                                <w:t>Контрольний показник 12</w:t>
                              </w:r>
                            </w:p>
                          </w:txbxContent>
                        </v:textbox>
                      </v:shape>
                      <w10:anchorlock/>
                    </v:group>
                  </w:pict>
                </mc:Fallback>
              </mc:AlternateContent>
            </w:r>
          </w:p>
          <w:p w14:paraId="6BD013FF" w14:textId="77777777" w:rsidR="00366CB9" w:rsidRDefault="009D0C1D" w:rsidP="00CB4548">
            <w:pPr>
              <w:pStyle w:val="a6"/>
              <w:shd w:val="clear" w:color="auto" w:fill="auto"/>
              <w:spacing w:line="252" w:lineRule="auto"/>
              <w:rPr>
                <w:sz w:val="15"/>
                <w:szCs w:val="15"/>
              </w:rPr>
            </w:pPr>
            <w:r>
              <w:rPr>
                <w:b w:val="0"/>
                <w:color w:val="000000"/>
                <w:sz w:val="15"/>
              </w:rPr>
              <w:t>Для усіх лабораторій з тестування на виявлення ТБ тривалість циклу обробки ≥ 80 % результатів, отриманих за допомогою WRD, має складати ≤ 48 год.</w:t>
            </w:r>
          </w:p>
        </w:tc>
      </w:tr>
      <w:tr w:rsidR="00366CB9" w14:paraId="3C0C2A8C" w14:textId="77777777" w:rsidTr="00764EAF">
        <w:trPr>
          <w:trHeight w:hRule="exact" w:val="810"/>
        </w:trPr>
        <w:tc>
          <w:tcPr>
            <w:tcW w:w="9086" w:type="dxa"/>
            <w:gridSpan w:val="7"/>
            <w:shd w:val="clear" w:color="auto" w:fill="FFFFFF"/>
          </w:tcPr>
          <w:p w14:paraId="0609ABB0" w14:textId="77777777" w:rsidR="00366CB9" w:rsidRDefault="009D0C1D" w:rsidP="00E8720F">
            <w:pPr>
              <w:pStyle w:val="a6"/>
              <w:shd w:val="clear" w:color="auto" w:fill="auto"/>
              <w:spacing w:line="266" w:lineRule="auto"/>
              <w:rPr>
                <w:sz w:val="17"/>
                <w:szCs w:val="17"/>
              </w:rPr>
            </w:pPr>
            <w:r>
              <w:rPr>
                <w:b w:val="0"/>
                <w:color w:val="000000"/>
                <w:sz w:val="17"/>
              </w:rPr>
              <w:t>LF-LAM: ліпоарабіноманнановий тест бокового зсуву; ЛЖВІЛ: люди, які живуть з вірусом імунодефіциту людини; ТБ: туберкульоз; ВООЗ: Всесвітня організація охорони здоров’я; WRD: експрес-тест для діагностики туберкульозу, рекомендований ВООЗ.</w:t>
            </w:r>
          </w:p>
        </w:tc>
      </w:tr>
      <w:tr w:rsidR="00366CB9" w14:paraId="0DCFAE46" w14:textId="77777777" w:rsidTr="00764EAF">
        <w:trPr>
          <w:trHeight w:hRule="exact" w:val="4762"/>
        </w:trPr>
        <w:tc>
          <w:tcPr>
            <w:tcW w:w="9086" w:type="dxa"/>
            <w:gridSpan w:val="7"/>
            <w:shd w:val="clear" w:color="auto" w:fill="FFFFFF"/>
          </w:tcPr>
          <w:p w14:paraId="39C90BC2" w14:textId="77777777" w:rsidR="00366CB9" w:rsidRDefault="009D0C1D" w:rsidP="00E8720F">
            <w:pPr>
              <w:pStyle w:val="a6"/>
              <w:shd w:val="clear" w:color="auto" w:fill="auto"/>
              <w:spacing w:after="160"/>
              <w:rPr>
                <w:sz w:val="36"/>
                <w:szCs w:val="36"/>
              </w:rPr>
            </w:pPr>
            <w:bookmarkStart w:id="105" w:name="bookmark102"/>
            <w:r>
              <w:rPr>
                <w:b w:val="0"/>
                <w:color w:val="019648"/>
                <w:sz w:val="36"/>
              </w:rPr>
              <w:t>4.1 Периферійний рівень</w:t>
            </w:r>
            <w:bookmarkEnd w:id="105"/>
          </w:p>
          <w:p w14:paraId="70D4F594" w14:textId="77777777" w:rsidR="00366CB9" w:rsidRPr="00764EAF" w:rsidRDefault="009D0C1D" w:rsidP="00E8720F">
            <w:pPr>
              <w:pStyle w:val="a6"/>
              <w:shd w:val="clear" w:color="auto" w:fill="auto"/>
              <w:spacing w:after="160" w:line="326" w:lineRule="auto"/>
              <w:rPr>
                <w:sz w:val="18"/>
                <w:szCs w:val="18"/>
              </w:rPr>
            </w:pPr>
            <w:r w:rsidRPr="00764EAF">
              <w:rPr>
                <w:b w:val="0"/>
                <w:color w:val="000000"/>
                <w:sz w:val="18"/>
                <w:szCs w:val="24"/>
              </w:rPr>
              <w:t>На периферійному рівні (рівень I) лабораторії надають основні діагностичні тести, зосереджуючись на початковому тестуванні для швидкого виявлення ТБ (та резистентності до RIF):</w:t>
            </w:r>
          </w:p>
          <w:p w14:paraId="34DE2262" w14:textId="58488EC1" w:rsidR="00366CB9" w:rsidRPr="00764EAF" w:rsidRDefault="009D0C1D" w:rsidP="00E8720F">
            <w:pPr>
              <w:pStyle w:val="a6"/>
              <w:shd w:val="clear" w:color="auto" w:fill="auto"/>
              <w:spacing w:line="324" w:lineRule="auto"/>
              <w:ind w:left="200" w:hanging="200"/>
              <w:jc w:val="both"/>
              <w:rPr>
                <w:sz w:val="18"/>
                <w:szCs w:val="18"/>
              </w:rPr>
            </w:pPr>
            <w:r w:rsidRPr="00764EAF">
              <w:rPr>
                <w:b w:val="0"/>
                <w:color w:val="019648"/>
                <w:sz w:val="18"/>
                <w:szCs w:val="24"/>
              </w:rPr>
              <w:t xml:space="preserve">• </w:t>
            </w:r>
            <w:r w:rsidR="00942C2A" w:rsidRPr="00764EAF">
              <w:rPr>
                <w:sz w:val="24"/>
                <w:szCs w:val="24"/>
              </w:rPr>
              <w:tab/>
            </w:r>
            <w:r w:rsidRPr="00764EAF">
              <w:rPr>
                <w:b w:val="0"/>
                <w:color w:val="000000"/>
                <w:sz w:val="18"/>
                <w:szCs w:val="24"/>
              </w:rPr>
              <w:t>LF-LAM є єдиним тестом (ЕТ) з боковим зсувом, що не передбачає приладів, що дає результати протягом 25-30 хвилин в умовах клініки. Таким чином, дослідницькі центри, де проводиться антиретровірусна терапія, або аналогічні центри догляду за людьми, які живуть з ВІЛ, є прикладами відповідних дослідницьких центрів. Тест рекомендується у комбінації з LC-aNAAT у дорослих, підлітків та дітей, які живуть з ВІЛ. Тому також необхідно проводити забір зразків мокротиння та калу, а зразки перенаправляти на тестування LC-aNAAT.</w:t>
            </w:r>
          </w:p>
          <w:p w14:paraId="48D9C791" w14:textId="0597C074" w:rsidR="00366CB9" w:rsidRPr="00764EAF" w:rsidRDefault="009D0C1D" w:rsidP="00E8720F">
            <w:pPr>
              <w:pStyle w:val="a6"/>
              <w:shd w:val="clear" w:color="auto" w:fill="auto"/>
              <w:spacing w:line="324" w:lineRule="auto"/>
              <w:ind w:left="200" w:hanging="200"/>
              <w:jc w:val="both"/>
              <w:rPr>
                <w:sz w:val="18"/>
                <w:szCs w:val="18"/>
              </w:rPr>
            </w:pPr>
            <w:r>
              <w:rPr>
                <w:b w:val="0"/>
                <w:color w:val="019648"/>
                <w:sz w:val="20"/>
              </w:rPr>
              <w:t xml:space="preserve">• </w:t>
            </w:r>
            <w:r w:rsidR="00942C2A">
              <w:tab/>
            </w:r>
            <w:r w:rsidRPr="00764EAF">
              <w:rPr>
                <w:b w:val="0"/>
                <w:color w:val="000000"/>
                <w:sz w:val="18"/>
                <w:szCs w:val="24"/>
              </w:rPr>
              <w:t>LC-aNAAT підходять для децентралізованих лабораторій та є ефективними у чутливому виявленні ТБ з супутнім або контрольним тестуванням медикаментозної резистентності в тому ж дослідницькому центрі. Попередні або існуючі центри мікроскопії мазка забезпечують LC-aNAAT, оскільки популяція є однаковою, а вимоги до виробничих потужностей є подібними.</w:t>
            </w:r>
          </w:p>
          <w:p w14:paraId="65C9E7D4" w14:textId="05ECC02B" w:rsidR="00366CB9" w:rsidRDefault="009D0C1D" w:rsidP="00E8720F">
            <w:pPr>
              <w:pStyle w:val="a6"/>
              <w:shd w:val="clear" w:color="auto" w:fill="auto"/>
              <w:spacing w:after="160" w:line="324" w:lineRule="auto"/>
              <w:ind w:left="460" w:hanging="240"/>
              <w:rPr>
                <w:sz w:val="20"/>
                <w:szCs w:val="20"/>
              </w:rPr>
            </w:pPr>
            <w:r w:rsidRPr="00764EAF">
              <w:rPr>
                <w:b w:val="0"/>
                <w:color w:val="019648"/>
                <w:sz w:val="18"/>
                <w:szCs w:val="24"/>
              </w:rPr>
              <w:t xml:space="preserve">– </w:t>
            </w:r>
            <w:r w:rsidRPr="00764EAF">
              <w:rPr>
                <w:b w:val="0"/>
                <w:color w:val="000000"/>
                <w:sz w:val="18"/>
                <w:szCs w:val="24"/>
              </w:rPr>
              <w:t>LC-aNAAT, що функціонують від акумулятора (наприклад, аналізи Truenat), можуть бути ефективними у дослідницьких центрах з перебоями у живленні (</w:t>
            </w:r>
            <w:hyperlink w:anchor="bookmark198" w:tooltip="Поточний документ">
              <w:r w:rsidR="00366CB9" w:rsidRPr="00764EAF">
                <w:rPr>
                  <w:b w:val="0"/>
                  <w:color w:val="000000"/>
                  <w:sz w:val="18"/>
                  <w:szCs w:val="24"/>
                </w:rPr>
                <w:t>61</w:t>
              </w:r>
            </w:hyperlink>
            <w:r w:rsidRPr="00764EAF">
              <w:rPr>
                <w:b w:val="0"/>
                <w:color w:val="000000"/>
                <w:sz w:val="18"/>
                <w:szCs w:val="24"/>
              </w:rPr>
              <w:t>).</w:t>
            </w:r>
          </w:p>
        </w:tc>
      </w:tr>
    </w:tbl>
    <w:p w14:paraId="735D6960" w14:textId="6694EB3D" w:rsidR="00366CB9" w:rsidRDefault="00764EAF" w:rsidP="00425523">
      <w:pPr>
        <w:spacing w:line="1" w:lineRule="exact"/>
        <w:sectPr w:rsidR="00366CB9" w:rsidSect="00942C2A">
          <w:type w:val="nextColumn"/>
          <w:pgSz w:w="11911" w:h="17036"/>
          <w:pgMar w:top="1469" w:right="1378" w:bottom="142" w:left="1372" w:header="0" w:footer="3" w:gutter="0"/>
          <w:paperSrc w:first="15" w:other="15"/>
          <w:cols w:space="720"/>
          <w:noEndnote/>
          <w:docGrid w:linePitch="360"/>
        </w:sectPr>
      </w:pPr>
      <w:r w:rsidRPr="00764EAF">
        <w:rPr>
          <w:noProof/>
        </w:rPr>
        <mc:AlternateContent>
          <mc:Choice Requires="wps">
            <w:drawing>
              <wp:anchor distT="0" distB="0" distL="114300" distR="114300" simplePos="0" relativeHeight="251901952" behindDoc="0" locked="0" layoutInCell="1" allowOverlap="1" wp14:anchorId="1AF595D9" wp14:editId="2C1950EB">
                <wp:simplePos x="0" y="0"/>
                <wp:positionH relativeFrom="column">
                  <wp:posOffset>-532553</wp:posOffset>
                </wp:positionH>
                <wp:positionV relativeFrom="paragraph">
                  <wp:posOffset>617220</wp:posOffset>
                </wp:positionV>
                <wp:extent cx="3467102" cy="262255"/>
                <wp:effectExtent l="0" t="0" r="19050" b="23495"/>
                <wp:wrapNone/>
                <wp:docPr id="940137309" name="Надпись 546"/>
                <wp:cNvGraphicFramePr/>
                <a:graphic xmlns:a="http://schemas.openxmlformats.org/drawingml/2006/main">
                  <a:graphicData uri="http://schemas.microsoft.com/office/word/2010/wordprocessingShape">
                    <wps:wsp>
                      <wps:cNvSpPr txBox="1"/>
                      <wps:spPr>
                        <a:xfrm>
                          <a:off x="0" y="0"/>
                          <a:ext cx="3467102" cy="262255"/>
                        </a:xfrm>
                        <a:prstGeom prst="rect">
                          <a:avLst/>
                        </a:prstGeom>
                        <a:solidFill>
                          <a:schemeClr val="lt1"/>
                        </a:solidFill>
                        <a:ln w="6350">
                          <a:solidFill>
                            <a:schemeClr val="bg1"/>
                          </a:solidFill>
                        </a:ln>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265"/>
                            </w:tblGrid>
                            <w:tr w:rsidR="009D0C1D" w:rsidRPr="00FC26B4" w14:paraId="0A307188" w14:textId="77777777" w:rsidTr="009D0C1D">
                              <w:trPr>
                                <w:trHeight w:hRule="exact" w:val="197"/>
                              </w:trPr>
                              <w:tc>
                                <w:tcPr>
                                  <w:tcW w:w="547" w:type="dxa"/>
                                  <w:shd w:val="clear" w:color="auto" w:fill="FFFFFF"/>
                                </w:tcPr>
                                <w:p w14:paraId="1458FD66" w14:textId="381DEDCA" w:rsidR="009D0C1D" w:rsidRPr="00FC26B4" w:rsidRDefault="009D0C1D" w:rsidP="00764EAF">
                                  <w:pPr>
                                    <w:rPr>
                                      <w:color w:val="019648"/>
                                      <w:sz w:val="15"/>
                                      <w:szCs w:val="15"/>
                                    </w:rPr>
                                  </w:pPr>
                                  <w:r>
                                    <w:rPr>
                                      <w:color w:val="019648"/>
                                      <w:sz w:val="15"/>
                                    </w:rPr>
                                    <w:t>86</w:t>
                                  </w:r>
                                </w:p>
                              </w:tc>
                              <w:tc>
                                <w:tcPr>
                                  <w:tcW w:w="5265" w:type="dxa"/>
                                  <w:shd w:val="clear" w:color="auto" w:fill="FFFFFF"/>
                                </w:tcPr>
                                <w:p w14:paraId="34FDDDBD" w14:textId="77777777" w:rsidR="009D0C1D" w:rsidRPr="00FC26B4" w:rsidRDefault="009D0C1D" w:rsidP="00764EAF">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1F379172" w14:textId="630E03C7" w:rsidR="009D0C1D" w:rsidRDefault="009D0C1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AF595D9" id="Надпись 546" o:spid="_x0000_s1194" type="#_x0000_t202" style="position:absolute;margin-left:-41.95pt;margin-top:48.6pt;width:273pt;height:20.6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" fillcolor="white [3201]" strokecolor="white [3212]" strokeweight=".5p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265"/>
                      </w:tblGrid>
                      <w:tr w:rsidR="009D0C1D" w:rsidRPr="00FC26B4" w14:paraId="0A307188" w14:textId="77777777" w:rsidTr="009D0C1D">
                        <w:trPr>
                          <w:trHeight w:hRule="exact" w:val="197"/>
                        </w:trPr>
                        <w:tc>
                          <w:tcPr>
                            <w:tcW w:w="547" w:type="dxa"/>
                            <w:shd w:val="clear" w:color="auto" w:fill="FFFFFF"/>
                          </w:tcPr>
                          <w:p w14:paraId="1458FD66" w14:textId="381DEDCA" w:rsidR="009D0C1D" w:rsidRPr="00FC26B4" w:rsidRDefault="009D0C1D" w:rsidP="00764EAF">
                            <w:pPr>
                              <w:rPr>
                                <w:color w:val="019648"/>
                                <w:sz w:val="15"/>
                                <w:szCs w:val="15"/>
                              </w:rPr>
                            </w:pPr>
                            <w:r>
                              <w:rPr>
                                <w:color w:val="019648"/>
                                <w:sz w:val="15"/>
                              </w:rPr>
                              <w:t>86</w:t>
                            </w:r>
                          </w:p>
                        </w:tc>
                        <w:tc>
                          <w:tcPr>
                            <w:tcW w:w="5265" w:type="dxa"/>
                            <w:shd w:val="clear" w:color="auto" w:fill="FFFFFF"/>
                          </w:tcPr>
                          <w:p w14:paraId="34FDDDBD" w14:textId="77777777" w:rsidR="009D0C1D" w:rsidRPr="00FC26B4" w:rsidRDefault="009D0C1D" w:rsidP="00764EAF">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1F379172" w14:textId="630E03C7" w:rsidR="009D0C1D" w:rsidRDefault="009D0C1D"/>
                  </w:txbxContent>
                </v:textbox>
              </v:shape>
            </w:pict>
          </mc:Fallback>
        </mc:AlternateContent>
      </w:r>
    </w:p>
    <w:p w14:paraId="61A07FAF" w14:textId="77777777" w:rsidR="00366CB9" w:rsidRDefault="00366CB9" w:rsidP="00425523">
      <w:pPr>
        <w:spacing w:line="1" w:lineRule="exact"/>
      </w:pPr>
    </w:p>
    <w:p w14:paraId="654F477F" w14:textId="77777777" w:rsidR="00366CB9" w:rsidRPr="00764EAF" w:rsidRDefault="009D0C1D" w:rsidP="00E8720F">
      <w:pPr>
        <w:pStyle w:val="1"/>
        <w:shd w:val="clear" w:color="auto" w:fill="auto"/>
        <w:spacing w:line="324" w:lineRule="auto"/>
        <w:ind w:left="540" w:hanging="260"/>
        <w:jc w:val="both"/>
        <w:rPr>
          <w:sz w:val="18"/>
          <w:szCs w:val="18"/>
        </w:rPr>
      </w:pPr>
      <w:bookmarkStart w:id="106" w:name="bookmark103"/>
      <w:r w:rsidRPr="00764EAF">
        <w:rPr>
          <w:color w:val="019648"/>
          <w:sz w:val="18"/>
          <w:szCs w:val="18"/>
        </w:rPr>
        <w:t xml:space="preserve">– </w:t>
      </w:r>
      <w:r w:rsidRPr="00764EAF">
        <w:rPr>
          <w:sz w:val="18"/>
          <w:szCs w:val="18"/>
        </w:rPr>
        <w:t>LC-aNAAT для подальшого тестування зразків від пацієнтів з підтвердженим ТБ та резистентністю до RIF також можуть проводитись на місці для швидшого отримання результатів резистентності для INH, FQ, ETO та AMK без перенаправлення зразків. Однак, поточний тест «у межах класу» Xpert MTB/XDR вимагає іншого типу модуля GeneXpert (10-кольорового), ніж тест Xpert Ultra (6-колірний). Враховуючи, що кількість тестів, що вимагаються протягом певного періоду, буде значно меншою, ніж кількість тестів для початкової діагностики ТБ, програми можуть замінити один або декілька 6-колірних модулів на один або декілька 10-колірних модулів на існуючих приладах GeneXpert, щоб уникнути заміни повністю функціональних приладів. Крім того, оскільки тест допомагає швидко отримати результати для лікування МЛС/Риф-ТБ, дослідницьким центрам, де медикаментозна резистентність є більш поширеною або де проводиться лікування, можуть віддавати пріоритет у тестуванні за допомогою Xpert MTB/XDR.</w:t>
      </w:r>
      <w:bookmarkEnd w:id="106"/>
    </w:p>
    <w:p w14:paraId="2D76B4B2" w14:textId="21E927BE" w:rsidR="00366CB9" w:rsidRPr="00764EAF" w:rsidRDefault="009D0C1D" w:rsidP="00E8720F">
      <w:pPr>
        <w:pStyle w:val="1"/>
        <w:shd w:val="clear" w:color="auto" w:fill="auto"/>
        <w:spacing w:line="324" w:lineRule="auto"/>
        <w:ind w:left="280" w:hanging="280"/>
        <w:jc w:val="both"/>
        <w:rPr>
          <w:sz w:val="18"/>
          <w:szCs w:val="18"/>
        </w:rPr>
      </w:pPr>
      <w:r w:rsidRPr="00764EAF">
        <w:rPr>
          <w:color w:val="019648"/>
          <w:sz w:val="18"/>
          <w:szCs w:val="18"/>
        </w:rPr>
        <w:t>•</w:t>
      </w:r>
      <w:r w:rsidR="00764EAF" w:rsidRPr="00764EAF">
        <w:rPr>
          <w:sz w:val="18"/>
          <w:szCs w:val="18"/>
        </w:rPr>
        <w:tab/>
      </w:r>
      <w:r w:rsidRPr="00764EAF">
        <w:rPr>
          <w:sz w:val="18"/>
          <w:szCs w:val="18"/>
        </w:rPr>
        <w:t>LC-mNAAT (TB-LAMP) також надаються на периферійному лабораторному рівні. Цей клас є менш автоматизованим та передбачає більше етапів тестування, ніж LC-aNAAT, але є також дешевшим за LC-aNAAT та надає результати там, де блоки живлення можуть відрізнятись або їх можна зараджати за допомогою сонячних панелей (</w:t>
      </w:r>
      <w:hyperlink w:anchor="bookmark198" w:tooltip="Поточний документ">
        <w:r w:rsidR="00366CB9" w:rsidRPr="00764EAF">
          <w:rPr>
            <w:sz w:val="18"/>
            <w:szCs w:val="18"/>
          </w:rPr>
          <w:t>62</w:t>
        </w:r>
      </w:hyperlink>
      <w:r w:rsidRPr="00764EAF">
        <w:rPr>
          <w:sz w:val="18"/>
          <w:szCs w:val="18"/>
        </w:rPr>
        <w:t>). Однак, оскільки він не демонструє резистентність до RIF, необхідно розглянути альтернативний тест або механізм перенаправлення зразків у популяціях з високим ризиком МЛС-ТБ та у разі помірної або високої клінічної передбачуваності ЛС-ТБ, особливо там, де подальше тестування на виявлення резистентності до RIF неможливе.</w:t>
      </w:r>
    </w:p>
    <w:p w14:paraId="3DFED72C" w14:textId="7F219B76" w:rsidR="00366CB9" w:rsidRPr="00764EAF" w:rsidRDefault="009D0C1D" w:rsidP="00E8720F">
      <w:pPr>
        <w:pStyle w:val="1"/>
        <w:shd w:val="clear" w:color="auto" w:fill="auto"/>
        <w:spacing w:after="240" w:line="324" w:lineRule="auto"/>
        <w:ind w:left="280" w:hanging="280"/>
        <w:jc w:val="both"/>
        <w:rPr>
          <w:sz w:val="18"/>
          <w:szCs w:val="18"/>
        </w:rPr>
      </w:pPr>
      <w:r w:rsidRPr="00764EAF">
        <w:rPr>
          <w:color w:val="019648"/>
          <w:sz w:val="18"/>
          <w:szCs w:val="18"/>
        </w:rPr>
        <w:t>•</w:t>
      </w:r>
      <w:r w:rsidR="00764EAF" w:rsidRPr="00764EAF">
        <w:rPr>
          <w:sz w:val="18"/>
          <w:szCs w:val="18"/>
        </w:rPr>
        <w:tab/>
      </w:r>
      <w:r w:rsidRPr="00764EAF">
        <w:rPr>
          <w:sz w:val="18"/>
          <w:szCs w:val="18"/>
        </w:rPr>
        <w:t>Шкірні тести на виявлення туберкульозної інфекції можна застосовувати у периферійних умовах завдяки простоті застосування. Враховуючи інкубаційний період та необхідність візиту подальшого спостереження, необхідно зробити доступ до тесту наближеним до місця перебування цільової популяції. Важливо забезпечити умови зберігання (2-8 °C) для проведення TST або TBST, а також належну підготовку персоналу щодо проведення тесту та зчитування результатів.</w:t>
      </w:r>
    </w:p>
    <w:p w14:paraId="749189E6" w14:textId="77777777" w:rsidR="00366CB9" w:rsidRDefault="009D0C1D" w:rsidP="00E8720F">
      <w:pPr>
        <w:pStyle w:val="22"/>
        <w:numPr>
          <w:ilvl w:val="0"/>
          <w:numId w:val="10"/>
        </w:numPr>
        <w:shd w:val="clear" w:color="auto" w:fill="auto"/>
        <w:tabs>
          <w:tab w:val="left" w:pos="697"/>
        </w:tabs>
        <w:spacing w:line="240" w:lineRule="auto"/>
        <w:jc w:val="both"/>
      </w:pPr>
      <w:bookmarkStart w:id="107" w:name="bookmark104"/>
      <w:bookmarkStart w:id="108" w:name="bookmark105"/>
      <w:r>
        <w:t>Проміжний рівень</w:t>
      </w:r>
      <w:bookmarkEnd w:id="107"/>
      <w:bookmarkEnd w:id="108"/>
    </w:p>
    <w:p w14:paraId="0E64315F" w14:textId="77777777" w:rsidR="00366CB9" w:rsidRPr="00764EAF" w:rsidRDefault="009D0C1D" w:rsidP="00E8720F">
      <w:pPr>
        <w:pStyle w:val="1"/>
        <w:shd w:val="clear" w:color="auto" w:fill="auto"/>
        <w:spacing w:after="160" w:line="324" w:lineRule="auto"/>
        <w:jc w:val="both"/>
        <w:rPr>
          <w:sz w:val="18"/>
          <w:szCs w:val="18"/>
        </w:rPr>
      </w:pPr>
      <w:r w:rsidRPr="00764EAF">
        <w:rPr>
          <w:sz w:val="18"/>
          <w:szCs w:val="18"/>
        </w:rPr>
        <w:t>На проміжному рівні (рівень II) пропонуються технології, що потребують складніших виробничих потужностей, кваліфікації або запобіжних заходів з біологічної безпеки. Важливим аспектом лабораторій цього рівня є необхідність надійних та швидких мереж перевезення для передачі зразків з периферійних лабораторій до проміжної лабораторії та з проміжної лабораторії до центральної лабораторії. Комбінація ефективної системи перенаправлення зразків з централізованим тестуванням може бути економічно ефективною, коли навантаження є низьким; вона також може бути більш сталою при нестачі кваліфікованого персоналу для розширення та підтримки великої, якісної мережі на периферійному рівні:</w:t>
      </w:r>
    </w:p>
    <w:p w14:paraId="34C6C3E2" w14:textId="5E6CE96C" w:rsidR="00366CB9" w:rsidRPr="00764EAF" w:rsidRDefault="009D0C1D" w:rsidP="00E8720F">
      <w:pPr>
        <w:pStyle w:val="1"/>
        <w:shd w:val="clear" w:color="auto" w:fill="auto"/>
        <w:spacing w:line="324" w:lineRule="auto"/>
        <w:ind w:left="280" w:hanging="280"/>
        <w:jc w:val="both"/>
        <w:rPr>
          <w:sz w:val="18"/>
          <w:szCs w:val="18"/>
        </w:rPr>
      </w:pPr>
      <w:r w:rsidRPr="00764EAF">
        <w:rPr>
          <w:color w:val="019648"/>
          <w:sz w:val="18"/>
          <w:szCs w:val="18"/>
        </w:rPr>
        <w:t xml:space="preserve">• </w:t>
      </w:r>
      <w:r w:rsidR="00764EAF" w:rsidRPr="00764EAF">
        <w:rPr>
          <w:sz w:val="18"/>
          <w:szCs w:val="18"/>
        </w:rPr>
        <w:tab/>
      </w:r>
      <w:r w:rsidRPr="00764EAF">
        <w:rPr>
          <w:sz w:val="18"/>
          <w:szCs w:val="18"/>
        </w:rPr>
        <w:t>Нові MC-aNAAT застосовуються на цьому рівні. Ці тести вимагають лабораторних виробничих потужностей, що передбачає прилади розміром від менше 1 м завширшки (94 × 75,4 × 72,4 см) до понад 4 м завширшки (429 × 216 × 129 см). Пропускна здатність цього класу технологій залежить від опрацювання до 24 зразків (кілька захворювань) за один цикл до 96 зразків (одне захворювання) за цикл. Таким чином, залежно від конкретного продукту та умов, ці тести можна віднести до рівня II або рівня III.</w:t>
      </w:r>
    </w:p>
    <w:p w14:paraId="48557BAF" w14:textId="7FAF1470" w:rsidR="00366CB9" w:rsidRPr="00764EAF" w:rsidRDefault="009D0C1D" w:rsidP="00E8720F">
      <w:pPr>
        <w:pStyle w:val="1"/>
        <w:shd w:val="clear" w:color="auto" w:fill="auto"/>
        <w:spacing w:line="324" w:lineRule="auto"/>
        <w:ind w:left="280" w:hanging="280"/>
        <w:jc w:val="both"/>
        <w:rPr>
          <w:sz w:val="18"/>
          <w:szCs w:val="18"/>
        </w:rPr>
      </w:pPr>
      <w:r w:rsidRPr="00764EAF">
        <w:rPr>
          <w:color w:val="019648"/>
          <w:sz w:val="18"/>
          <w:szCs w:val="18"/>
        </w:rPr>
        <w:t xml:space="preserve">• </w:t>
      </w:r>
      <w:r w:rsidR="00764EAF" w:rsidRPr="00764EAF">
        <w:rPr>
          <w:sz w:val="18"/>
          <w:szCs w:val="18"/>
        </w:rPr>
        <w:tab/>
      </w:r>
      <w:r w:rsidRPr="00764EAF">
        <w:rPr>
          <w:sz w:val="18"/>
          <w:szCs w:val="18"/>
        </w:rPr>
        <w:t>На цьому рівні також можливий посів на рідких або твердих середовищах, або FL-LPA або SL-LPA (або обидва) з використанням зразків мокротиння, але такі тести поступово замінюють на більш автоматизовані та швидкі альтернативи.</w:t>
      </w:r>
    </w:p>
    <w:p w14:paraId="1276C676" w14:textId="77777777" w:rsidR="00366CB9" w:rsidRDefault="00366CB9" w:rsidP="00425523">
      <w:pPr>
        <w:spacing w:line="1" w:lineRule="exact"/>
        <w:sectPr w:rsidR="00366CB9" w:rsidSect="00F03360">
          <w:footerReference w:type="default" r:id="rId110"/>
          <w:type w:val="nextColumn"/>
          <w:pgSz w:w="11911" w:h="17036"/>
          <w:pgMar w:top="1469" w:right="1378" w:bottom="851" w:left="1372" w:header="0" w:footer="3" w:gutter="0"/>
          <w:paperSrc w:first="15" w:other="15"/>
          <w:cols w:space="720"/>
          <w:noEndnote/>
          <w:docGrid w:linePitch="360"/>
        </w:sectPr>
      </w:pPr>
    </w:p>
    <w:p w14:paraId="71A86731" w14:textId="77777777" w:rsidR="00366CB9" w:rsidRDefault="00366CB9" w:rsidP="00425523">
      <w:pPr>
        <w:spacing w:line="1" w:lineRule="exact"/>
      </w:pPr>
    </w:p>
    <w:tbl>
      <w:tblPr>
        <w:tblOverlap w:val="never"/>
        <w:tblW w:w="9178" w:type="dxa"/>
        <w:tblLayout w:type="fixed"/>
        <w:tblCellMar>
          <w:left w:w="10" w:type="dxa"/>
          <w:right w:w="10" w:type="dxa"/>
        </w:tblCellMar>
        <w:tblLook w:val="0000" w:firstRow="0" w:lastRow="0" w:firstColumn="0" w:lastColumn="0" w:noHBand="0" w:noVBand="0"/>
      </w:tblPr>
      <w:tblGrid>
        <w:gridCol w:w="9178"/>
      </w:tblGrid>
      <w:tr w:rsidR="00366CB9" w14:paraId="050A1444" w14:textId="77777777" w:rsidTr="004F6FB8">
        <w:trPr>
          <w:trHeight w:hRule="exact" w:val="6854"/>
        </w:trPr>
        <w:tc>
          <w:tcPr>
            <w:tcW w:w="9178" w:type="dxa"/>
            <w:shd w:val="clear" w:color="auto" w:fill="FFFFFF"/>
          </w:tcPr>
          <w:p w14:paraId="648BCA32" w14:textId="67D6F597" w:rsidR="00366CB9" w:rsidRPr="00764EAF" w:rsidRDefault="009D0C1D" w:rsidP="00E8720F">
            <w:pPr>
              <w:pStyle w:val="a6"/>
              <w:shd w:val="clear" w:color="auto" w:fill="auto"/>
              <w:spacing w:after="240" w:line="324" w:lineRule="auto"/>
              <w:ind w:left="220" w:hanging="220"/>
              <w:jc w:val="both"/>
              <w:rPr>
                <w:sz w:val="18"/>
                <w:szCs w:val="18"/>
              </w:rPr>
            </w:pPr>
            <w:bookmarkStart w:id="109" w:name="bookmark106"/>
            <w:r>
              <w:rPr>
                <w:b w:val="0"/>
                <w:color w:val="019648"/>
                <w:sz w:val="20"/>
              </w:rPr>
              <w:t xml:space="preserve">• </w:t>
            </w:r>
            <w:r w:rsidR="00764EAF">
              <w:tab/>
            </w:r>
            <w:r w:rsidRPr="00764EAF">
              <w:rPr>
                <w:b w:val="0"/>
                <w:color w:val="000000"/>
                <w:sz w:val="18"/>
                <w:szCs w:val="24"/>
              </w:rPr>
              <w:t>IGRA також застосовуються на цьому рівні системи охорони здоров’я. Процедура тестування передбачає кілька етапів; для отримання результатів потрібен зчитувач ELISA або аналізатор CLIA, що проходить технічне обслуговування та калібрування.</w:t>
            </w:r>
            <w:bookmarkEnd w:id="109"/>
          </w:p>
          <w:p w14:paraId="61D8C2B1" w14:textId="77777777" w:rsidR="00366CB9" w:rsidRDefault="009D0C1D" w:rsidP="00E8720F">
            <w:pPr>
              <w:pStyle w:val="a6"/>
              <w:shd w:val="clear" w:color="auto" w:fill="auto"/>
              <w:spacing w:after="160"/>
              <w:jc w:val="both"/>
              <w:rPr>
                <w:sz w:val="36"/>
                <w:szCs w:val="36"/>
              </w:rPr>
            </w:pPr>
            <w:bookmarkStart w:id="110" w:name="bookmark107"/>
            <w:r>
              <w:rPr>
                <w:b w:val="0"/>
                <w:color w:val="019648"/>
                <w:sz w:val="36"/>
              </w:rPr>
              <w:t>4.3 Центральний рівень</w:t>
            </w:r>
            <w:bookmarkEnd w:id="110"/>
          </w:p>
          <w:p w14:paraId="53B1FB08" w14:textId="77777777" w:rsidR="00366CB9" w:rsidRPr="00764EAF" w:rsidRDefault="009D0C1D" w:rsidP="00E8720F">
            <w:pPr>
              <w:pStyle w:val="a6"/>
              <w:shd w:val="clear" w:color="auto" w:fill="auto"/>
              <w:spacing w:after="160" w:line="324" w:lineRule="auto"/>
              <w:jc w:val="both"/>
              <w:rPr>
                <w:sz w:val="18"/>
                <w:szCs w:val="18"/>
              </w:rPr>
            </w:pPr>
            <w:r w:rsidRPr="00764EAF">
              <w:rPr>
                <w:b w:val="0"/>
                <w:color w:val="000000"/>
                <w:sz w:val="18"/>
                <w:szCs w:val="24"/>
              </w:rPr>
              <w:t>Центральний рівень (рівень III) передбачає тестування, що вимагає передових навичок, виробничих потужностей та запобіжних заходів з біологічної безпеки. На цьому рівні можливе тестування для усунення невідповідних результатів, виявлення та усунення несправностей, підготовки для інших рівнів, ЗЯ та моніторинг, а також епідеміологічний нагляд.</w:t>
            </w:r>
          </w:p>
          <w:p w14:paraId="6DF84FF9" w14:textId="76269EA5" w:rsidR="00366CB9" w:rsidRPr="00764EAF" w:rsidRDefault="009D0C1D" w:rsidP="00E8720F">
            <w:pPr>
              <w:pStyle w:val="a6"/>
              <w:shd w:val="clear" w:color="auto" w:fill="auto"/>
              <w:spacing w:line="324" w:lineRule="auto"/>
              <w:ind w:left="220" w:hanging="220"/>
              <w:jc w:val="both"/>
              <w:rPr>
                <w:sz w:val="18"/>
                <w:szCs w:val="18"/>
              </w:rPr>
            </w:pPr>
            <w:r w:rsidRPr="00764EAF">
              <w:rPr>
                <w:b w:val="0"/>
                <w:color w:val="019648"/>
                <w:sz w:val="18"/>
                <w:szCs w:val="24"/>
              </w:rPr>
              <w:t xml:space="preserve">• </w:t>
            </w:r>
            <w:r w:rsidR="00764EAF" w:rsidRPr="00764EAF">
              <w:rPr>
                <w:sz w:val="24"/>
                <w:szCs w:val="24"/>
              </w:rPr>
              <w:tab/>
            </w:r>
            <w:r w:rsidRPr="00764EAF">
              <w:rPr>
                <w:b w:val="0"/>
                <w:color w:val="000000"/>
                <w:sz w:val="18"/>
                <w:szCs w:val="24"/>
              </w:rPr>
              <w:t>На цьому рівні застосовуються HC-rNAAT, включаючи тести FL-LPA, SL-LPA та PZA-LPA (</w:t>
            </w:r>
            <w:hyperlink w:anchor="bookmark27" w:tooltip="Поточний документ">
              <w:r w:rsidR="00366CB9" w:rsidRPr="00764EAF">
                <w:rPr>
                  <w:color w:val="000000"/>
                  <w:sz w:val="18"/>
                  <w:szCs w:val="24"/>
                </w:rPr>
                <w:t>Таблиця 2.1</w:t>
              </w:r>
            </w:hyperlink>
            <w:r w:rsidRPr="00764EAF">
              <w:rPr>
                <w:b w:val="0"/>
                <w:color w:val="000000"/>
                <w:sz w:val="18"/>
                <w:szCs w:val="24"/>
              </w:rPr>
              <w:t>). MC-aNAAT з високою пропускною здатністю також застосовуються на цьому рівні, особливо у міських умовах з високим робочим навантаженням.</w:t>
            </w:r>
          </w:p>
          <w:p w14:paraId="6A20FD23" w14:textId="6D418638" w:rsidR="00366CB9" w:rsidRPr="00764EAF" w:rsidRDefault="009D0C1D" w:rsidP="00E8720F">
            <w:pPr>
              <w:pStyle w:val="a6"/>
              <w:shd w:val="clear" w:color="auto" w:fill="auto"/>
              <w:spacing w:line="324" w:lineRule="auto"/>
              <w:ind w:left="220" w:hanging="220"/>
              <w:jc w:val="both"/>
              <w:rPr>
                <w:sz w:val="18"/>
                <w:szCs w:val="18"/>
              </w:rPr>
            </w:pPr>
            <w:r w:rsidRPr="00764EAF">
              <w:rPr>
                <w:b w:val="0"/>
                <w:color w:val="019648"/>
                <w:sz w:val="18"/>
                <w:szCs w:val="24"/>
              </w:rPr>
              <w:t xml:space="preserve">• </w:t>
            </w:r>
            <w:r w:rsidR="00764EAF" w:rsidRPr="00764EAF">
              <w:rPr>
                <w:sz w:val="24"/>
                <w:szCs w:val="24"/>
              </w:rPr>
              <w:tab/>
            </w:r>
            <w:r w:rsidRPr="00764EAF">
              <w:rPr>
                <w:b w:val="0"/>
                <w:color w:val="000000"/>
                <w:sz w:val="18"/>
                <w:szCs w:val="24"/>
              </w:rPr>
              <w:t>На цьому рівні має забезпечуватись культуральне та фенотипове ТМЧ за допомогою твердих або рідких середовищ. Як мінімум, необхідно забезпечити фенотипове ТМЧ для нових та перепрофільованих препаратів.</w:t>
            </w:r>
          </w:p>
          <w:p w14:paraId="0E9C2752" w14:textId="055812BB" w:rsidR="00366CB9" w:rsidRPr="00764EAF" w:rsidRDefault="009D0C1D" w:rsidP="00E8720F">
            <w:pPr>
              <w:pStyle w:val="a6"/>
              <w:shd w:val="clear" w:color="auto" w:fill="auto"/>
              <w:spacing w:after="240" w:line="324" w:lineRule="auto"/>
              <w:ind w:left="220" w:hanging="220"/>
              <w:jc w:val="both"/>
              <w:rPr>
                <w:sz w:val="18"/>
                <w:szCs w:val="18"/>
              </w:rPr>
            </w:pPr>
            <w:r w:rsidRPr="00764EAF">
              <w:rPr>
                <w:b w:val="0"/>
                <w:color w:val="019648"/>
                <w:sz w:val="18"/>
                <w:szCs w:val="24"/>
              </w:rPr>
              <w:t xml:space="preserve">• </w:t>
            </w:r>
            <w:r w:rsidR="00764EAF" w:rsidRPr="00764EAF">
              <w:rPr>
                <w:sz w:val="24"/>
                <w:szCs w:val="24"/>
              </w:rPr>
              <w:tab/>
            </w:r>
            <w:r w:rsidRPr="00764EAF">
              <w:rPr>
                <w:b w:val="0"/>
                <w:color w:val="000000"/>
                <w:sz w:val="18"/>
                <w:szCs w:val="24"/>
              </w:rPr>
              <w:t>Можливості для секвенування (цільового або ПГС) стають дуже важливими. Тести в рамках цільового СНП є тестами високої складності; вони найбільше підходять для централізованих лабораторій з кваліфікованим персоналом та спеціальними виробничими потужностями, включаючи інформаційні технології (ІТ) та пристрої для зберігання даних.</w:t>
            </w:r>
          </w:p>
          <w:p w14:paraId="179D3515" w14:textId="77777777" w:rsidR="00366CB9" w:rsidRPr="00BF6DB7" w:rsidRDefault="009D0C1D" w:rsidP="00E8720F">
            <w:pPr>
              <w:pStyle w:val="a6"/>
              <w:shd w:val="clear" w:color="auto" w:fill="auto"/>
              <w:spacing w:after="200"/>
              <w:jc w:val="both"/>
              <w:rPr>
                <w:sz w:val="24"/>
                <w:szCs w:val="24"/>
              </w:rPr>
            </w:pPr>
            <w:bookmarkStart w:id="111" w:name="bookmark108"/>
            <w:r>
              <w:rPr>
                <w:color w:val="636466"/>
                <w:sz w:val="24"/>
              </w:rPr>
              <w:t>Рис. 4.2. Організація мережі діагностичного тестування на виявлення ТБ</w:t>
            </w:r>
            <w:bookmarkEnd w:id="111"/>
          </w:p>
        </w:tc>
      </w:tr>
      <w:tr w:rsidR="00366CB9" w14:paraId="27B9B79A" w14:textId="77777777" w:rsidTr="00BF6DB7">
        <w:trPr>
          <w:trHeight w:hRule="exact" w:val="5352"/>
        </w:trPr>
        <w:tc>
          <w:tcPr>
            <w:tcW w:w="9178" w:type="dxa"/>
            <w:shd w:val="clear" w:color="auto" w:fill="FFFFFF"/>
          </w:tcPr>
          <w:p w14:paraId="6EB81991" w14:textId="1773A65D" w:rsidR="00366CB9" w:rsidRDefault="00764EAF" w:rsidP="00E8720F">
            <w:pPr>
              <w:rPr>
                <w:sz w:val="2"/>
                <w:szCs w:val="2"/>
              </w:rPr>
            </w:pPr>
            <w:r>
              <w:rPr>
                <w:noProof/>
              </w:rPr>
              <mc:AlternateContent>
                <mc:Choice Requires="wps">
                  <w:drawing>
                    <wp:anchor distT="0" distB="0" distL="114300" distR="114300" simplePos="0" relativeHeight="251536384" behindDoc="0" locked="0" layoutInCell="1" allowOverlap="1" wp14:anchorId="2AE7A8AE" wp14:editId="54D63954">
                      <wp:simplePos x="0" y="0"/>
                      <wp:positionH relativeFrom="column">
                        <wp:posOffset>2531745</wp:posOffset>
                      </wp:positionH>
                      <wp:positionV relativeFrom="paragraph">
                        <wp:posOffset>1394460</wp:posOffset>
                      </wp:positionV>
                      <wp:extent cx="846667" cy="122555"/>
                      <wp:effectExtent l="0" t="0" r="0" b="0"/>
                      <wp:wrapNone/>
                      <wp:docPr id="851640719" name="Прямокутник 208492036"/>
                      <wp:cNvGraphicFramePr/>
                      <a:graphic xmlns:a="http://schemas.openxmlformats.org/drawingml/2006/main">
                        <a:graphicData uri="http://schemas.microsoft.com/office/word/2010/wordprocessingShape">
                          <wps:wsp>
                            <wps:cNvSpPr/>
                            <wps:spPr>
                              <a:xfrm>
                                <a:off x="0" y="0"/>
                                <a:ext cx="846667" cy="122555"/>
                              </a:xfrm>
                              <a:prstGeom prst="rect">
                                <a:avLst/>
                              </a:prstGeom>
                              <a:solidFill>
                                <a:srgbClr val="9BCD9A"/>
                              </a:solidFill>
                            </wps:spPr>
                            <wps:txbx>
                              <w:txbxContent>
                                <w:p w14:paraId="6FD03CD1" w14:textId="77777777" w:rsidR="009D0C1D" w:rsidRPr="00764EAF" w:rsidRDefault="009D0C1D" w:rsidP="00764EAF">
                                  <w:pPr>
                                    <w:jc w:val="cente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0"/>
                                    </w:rPr>
                                    <w:t>ПРОМІЖНИЙ</w:t>
                                  </w:r>
                                </w:p>
                              </w:txbxContent>
                            </wps:txbx>
                            <wps:bodyPr wrap="square" lIns="0" tIns="0" rIns="0" bIns="0">
                              <a:noAutofit/>
                            </wps:bodyPr>
                          </wps:wsp>
                        </a:graphicData>
                      </a:graphic>
                      <wp14:sizeRelH relativeFrom="margin">
                        <wp14:pctWidth>0</wp14:pctWidth>
                      </wp14:sizeRelH>
                    </wp:anchor>
                  </w:drawing>
                </mc:Choice>
                <mc:Fallback>
                  <w:pict>
                    <v:rect w14:anchorId="2AE7A8AE" id="Прямокутник 208492036" o:spid="_x0000_s1195" style="position:absolute;margin-left:199.35pt;margin-top:109.8pt;width:66.65pt;height:9.65pt;z-index:25153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" fillcolor="#9bcd9a" stroked="f">
                      <v:textbox inset="0,0,0,0">
                        <w:txbxContent>
                          <w:p w14:paraId="6FD03CD1" w14:textId="77777777" w:rsidR="009D0C1D" w:rsidRPr="00764EAF" w:rsidRDefault="009D0C1D" w:rsidP="00764EAF">
                            <w:pPr>
                              <w:jc w:val="cente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0"/>
                              </w:rPr>
                              <w:t>ПРОМІЖНИЙ</w:t>
                            </w:r>
                          </w:p>
                        </w:txbxContent>
                      </v:textbox>
                    </v:rect>
                  </w:pict>
                </mc:Fallback>
              </mc:AlternateContent>
            </w:r>
            <w:r>
              <w:rPr>
                <w:noProof/>
              </w:rPr>
              <mc:AlternateContent>
                <mc:Choice Requires="wps">
                  <w:drawing>
                    <wp:anchor distT="0" distB="0" distL="114300" distR="114300" simplePos="0" relativeHeight="251532288" behindDoc="0" locked="0" layoutInCell="1" allowOverlap="1" wp14:anchorId="2CA2E2EE" wp14:editId="3DAA87A6">
                      <wp:simplePos x="0" y="0"/>
                      <wp:positionH relativeFrom="column">
                        <wp:posOffset>2094230</wp:posOffset>
                      </wp:positionH>
                      <wp:positionV relativeFrom="paragraph">
                        <wp:posOffset>2639060</wp:posOffset>
                      </wp:positionV>
                      <wp:extent cx="1778000" cy="276648"/>
                      <wp:effectExtent l="0" t="0" r="0" b="9525"/>
                      <wp:wrapNone/>
                      <wp:docPr id="376282079" name="Прямокутник 1270533105"/>
                      <wp:cNvGraphicFramePr/>
                      <a:graphic xmlns:a="http://schemas.openxmlformats.org/drawingml/2006/main">
                        <a:graphicData uri="http://schemas.microsoft.com/office/word/2010/wordprocessingShape">
                          <wps:wsp>
                            <wps:cNvSpPr/>
                            <wps:spPr>
                              <a:xfrm>
                                <a:off x="0" y="0"/>
                                <a:ext cx="1778000" cy="276648"/>
                              </a:xfrm>
                              <a:prstGeom prst="rect">
                                <a:avLst/>
                              </a:prstGeom>
                              <a:solidFill>
                                <a:srgbClr val="CDE7CE"/>
                              </a:solidFill>
                            </wps:spPr>
                            <wps:txbx>
                              <w:txbxContent>
                                <w:p w14:paraId="772C4AA1" w14:textId="77777777" w:rsidR="009D0C1D" w:rsidRPr="00764EAF" w:rsidRDefault="009D0C1D" w:rsidP="00764EAF">
                                  <w:pPr>
                                    <w:jc w:val="cente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0"/>
                                    </w:rPr>
                                    <w:t>Підрайонні рівні та рівні громад</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CA2E2EE" id="Прямокутник 1270533105" o:spid="_x0000_s1196" style="position:absolute;margin-left:164.9pt;margin-top:207.8pt;width:140pt;height:21.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" fillcolor="#cde7ce" stroked="f">
                      <v:textbox inset="0,0,0,0">
                        <w:txbxContent>
                          <w:p w14:paraId="772C4AA1" w14:textId="77777777" w:rsidR="009D0C1D" w:rsidRPr="00764EAF" w:rsidRDefault="009D0C1D" w:rsidP="00764EAF">
                            <w:pPr>
                              <w:jc w:val="cente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0"/>
                              </w:rPr>
                              <w:t>Підрайонні рівні та рівні громад</w:t>
                            </w:r>
                          </w:p>
                        </w:txbxContent>
                      </v:textbox>
                    </v:rect>
                  </w:pict>
                </mc:Fallback>
              </mc:AlternateContent>
            </w:r>
            <w:r>
              <w:rPr>
                <w:noProof/>
              </w:rPr>
              <mc:AlternateContent>
                <mc:Choice Requires="wps">
                  <w:drawing>
                    <wp:anchor distT="0" distB="0" distL="114300" distR="114300" simplePos="0" relativeHeight="251538432" behindDoc="0" locked="0" layoutInCell="1" allowOverlap="1" wp14:anchorId="6A067639" wp14:editId="6B7A9FF3">
                      <wp:simplePos x="0" y="0"/>
                      <wp:positionH relativeFrom="column">
                        <wp:posOffset>2636097</wp:posOffset>
                      </wp:positionH>
                      <wp:positionV relativeFrom="paragraph">
                        <wp:posOffset>2376593</wp:posOffset>
                      </wp:positionV>
                      <wp:extent cx="787188" cy="169334"/>
                      <wp:effectExtent l="0" t="0" r="0" b="2540"/>
                      <wp:wrapNone/>
                      <wp:docPr id="1257714515" name="Прямокутник 1014277609"/>
                      <wp:cNvGraphicFramePr/>
                      <a:graphic xmlns:a="http://schemas.openxmlformats.org/drawingml/2006/main">
                        <a:graphicData uri="http://schemas.microsoft.com/office/word/2010/wordprocessingShape">
                          <wps:wsp>
                            <wps:cNvSpPr/>
                            <wps:spPr>
                              <a:xfrm>
                                <a:off x="0" y="0"/>
                                <a:ext cx="787188" cy="169334"/>
                              </a:xfrm>
                              <a:prstGeom prst="rect">
                                <a:avLst/>
                              </a:prstGeom>
                              <a:solidFill>
                                <a:srgbClr val="CDE7CE"/>
                              </a:solidFill>
                            </wps:spPr>
                            <wps:txbx>
                              <w:txbxContent>
                                <w:p w14:paraId="3DAA5518" w14:textId="77777777" w:rsidR="009D0C1D" w:rsidRPr="00764EAF" w:rsidRDefault="009D0C1D" w:rsidP="004F6FB8">
                                  <w:pP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0"/>
                                    </w:rPr>
                                    <w:t>ПЕРИФЕРІЙНИЙ</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A067639" id="Прямокутник 1014277609" o:spid="_x0000_s1197" style="position:absolute;margin-left:207.55pt;margin-top:187.15pt;width:62pt;height:13.3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" fillcolor="#cde7ce" stroked="f">
                      <v:textbox inset="0,0,0,0">
                        <w:txbxContent>
                          <w:p w14:paraId="3DAA5518" w14:textId="77777777" w:rsidR="009D0C1D" w:rsidRPr="00764EAF" w:rsidRDefault="009D0C1D" w:rsidP="004F6FB8">
                            <w:pP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0"/>
                              </w:rPr>
                              <w:t>ПЕРИФЕРІЙНИЙ</w:t>
                            </w:r>
                          </w:p>
                        </w:txbxContent>
                      </v:textbox>
                    </v:rect>
                  </w:pict>
                </mc:Fallback>
              </mc:AlternateContent>
            </w:r>
            <w:r>
              <w:rPr>
                <w:noProof/>
              </w:rPr>
              <mc:AlternateContent>
                <mc:Choice Requires="wps">
                  <w:drawing>
                    <wp:anchor distT="0" distB="0" distL="114300" distR="114300" simplePos="0" relativeHeight="251534336" behindDoc="0" locked="0" layoutInCell="1" allowOverlap="1" wp14:anchorId="1D4242B2" wp14:editId="60DF5DA6">
                      <wp:simplePos x="0" y="0"/>
                      <wp:positionH relativeFrom="column">
                        <wp:posOffset>2255097</wp:posOffset>
                      </wp:positionH>
                      <wp:positionV relativeFrom="paragraph">
                        <wp:posOffset>1656927</wp:posOffset>
                      </wp:positionV>
                      <wp:extent cx="1350010" cy="270933"/>
                      <wp:effectExtent l="0" t="0" r="2540" b="0"/>
                      <wp:wrapNone/>
                      <wp:docPr id="699948457" name="Прямокутник 1093913374"/>
                      <wp:cNvGraphicFramePr/>
                      <a:graphic xmlns:a="http://schemas.openxmlformats.org/drawingml/2006/main">
                        <a:graphicData uri="http://schemas.microsoft.com/office/word/2010/wordprocessingShape">
                          <wps:wsp>
                            <wps:cNvSpPr/>
                            <wps:spPr>
                              <a:xfrm>
                                <a:off x="0" y="0"/>
                                <a:ext cx="1350010" cy="270933"/>
                              </a:xfrm>
                              <a:prstGeom prst="rect">
                                <a:avLst/>
                              </a:prstGeom>
                              <a:solidFill>
                                <a:srgbClr val="9BCD9A"/>
                              </a:solidFill>
                            </wps:spPr>
                            <wps:txbx>
                              <w:txbxContent>
                                <w:p w14:paraId="5687C7BD" w14:textId="77777777" w:rsidR="009D0C1D" w:rsidRPr="00764EAF" w:rsidRDefault="009D0C1D" w:rsidP="004F6FB8">
                                  <w:pP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0"/>
                                    </w:rPr>
                                    <w:t>Регіональний та районний рівні</w:t>
                                  </w:r>
                                </w:p>
                              </w:txbxContent>
                            </wps:txbx>
                            <wps:bodyPr wrap="square" lIns="0" tIns="0" rIns="0" bIns="0">
                              <a:noAutofit/>
                            </wps:bodyPr>
                          </wps:wsp>
                        </a:graphicData>
                      </a:graphic>
                      <wp14:sizeRelV relativeFrom="margin">
                        <wp14:pctHeight>0</wp14:pctHeight>
                      </wp14:sizeRelV>
                    </wp:anchor>
                  </w:drawing>
                </mc:Choice>
                <mc:Fallback>
                  <w:pict>
                    <v:rect w14:anchorId="1D4242B2" id="Прямокутник 1093913374" o:spid="_x0000_s1198" style="position:absolute;margin-left:177.55pt;margin-top:130.45pt;width:106.3pt;height:21.35pt;z-index:25153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" fillcolor="#9bcd9a" stroked="f">
                      <v:textbox inset="0,0,0,0">
                        <w:txbxContent>
                          <w:p w14:paraId="5687C7BD" w14:textId="77777777" w:rsidR="009D0C1D" w:rsidRPr="00764EAF" w:rsidRDefault="009D0C1D" w:rsidP="004F6FB8">
                            <w:pP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0"/>
                              </w:rPr>
                              <w:t>Регіональний та районний рівні</w:t>
                            </w:r>
                          </w:p>
                        </w:txbxContent>
                      </v:textbox>
                    </v:rect>
                  </w:pict>
                </mc:Fallback>
              </mc:AlternateContent>
            </w:r>
            <w:r>
              <w:rPr>
                <w:noProof/>
              </w:rPr>
              <mc:AlternateContent>
                <mc:Choice Requires="wps">
                  <w:drawing>
                    <wp:anchor distT="0" distB="0" distL="114300" distR="114300" simplePos="0" relativeHeight="251540480" behindDoc="0" locked="0" layoutInCell="1" allowOverlap="1" wp14:anchorId="39C49F0E" wp14:editId="22D17067">
                      <wp:simplePos x="0" y="0"/>
                      <wp:positionH relativeFrom="column">
                        <wp:posOffset>2530898</wp:posOffset>
                      </wp:positionH>
                      <wp:positionV relativeFrom="paragraph">
                        <wp:posOffset>826558</wp:posOffset>
                      </wp:positionV>
                      <wp:extent cx="798195" cy="163195"/>
                      <wp:effectExtent l="0" t="0" r="1905" b="8255"/>
                      <wp:wrapNone/>
                      <wp:docPr id="1607168538" name="Прямокутник 121225497"/>
                      <wp:cNvGraphicFramePr/>
                      <a:graphic xmlns:a="http://schemas.openxmlformats.org/drawingml/2006/main">
                        <a:graphicData uri="http://schemas.microsoft.com/office/word/2010/wordprocessingShape">
                          <wps:wsp>
                            <wps:cNvSpPr/>
                            <wps:spPr>
                              <a:xfrm>
                                <a:off x="0" y="0"/>
                                <a:ext cx="798195" cy="163195"/>
                              </a:xfrm>
                              <a:prstGeom prst="rect">
                                <a:avLst/>
                              </a:prstGeom>
                              <a:solidFill>
                                <a:srgbClr val="67B368"/>
                              </a:solidFill>
                            </wps:spPr>
                            <wps:txbx>
                              <w:txbxContent>
                                <w:p w14:paraId="440499E5" w14:textId="77777777" w:rsidR="009D0C1D" w:rsidRPr="00764EAF" w:rsidRDefault="009D0C1D" w:rsidP="00764EAF">
                                  <w:pPr>
                                    <w:jc w:val="cente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0"/>
                                    </w:rPr>
                                    <w:t>Еталонний рівень</w:t>
                                  </w:r>
                                </w:p>
                              </w:txbxContent>
                            </wps:txbx>
                            <wps:bodyPr wrap="square" lIns="0" tIns="0" rIns="0" bIns="0">
                              <a:noAutofit/>
                            </wps:bodyPr>
                          </wps:wsp>
                        </a:graphicData>
                      </a:graphic>
                      <wp14:sizeRelV relativeFrom="margin">
                        <wp14:pctHeight>0</wp14:pctHeight>
                      </wp14:sizeRelV>
                    </wp:anchor>
                  </w:drawing>
                </mc:Choice>
                <mc:Fallback>
                  <w:pict>
                    <v:rect w14:anchorId="39C49F0E" id="Прямокутник 121225497" o:spid="_x0000_s1199" style="position:absolute;margin-left:199.3pt;margin-top:65.1pt;width:62.85pt;height:12.85pt;z-index:25154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" fillcolor="#67b368" stroked="f">
                      <v:textbox inset="0,0,0,0">
                        <w:txbxContent>
                          <w:p w14:paraId="440499E5" w14:textId="77777777" w:rsidR="009D0C1D" w:rsidRPr="00764EAF" w:rsidRDefault="009D0C1D" w:rsidP="00764EAF">
                            <w:pPr>
                              <w:jc w:val="cente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0"/>
                              </w:rPr>
                              <w:t>Еталонний рівень</w:t>
                            </w:r>
                          </w:p>
                        </w:txbxContent>
                      </v:textbox>
                    </v:rect>
                  </w:pict>
                </mc:Fallback>
              </mc:AlternateContent>
            </w:r>
            <w:r>
              <w:rPr>
                <w:noProof/>
              </w:rPr>
              <mc:AlternateContent>
                <mc:Choice Requires="wps">
                  <w:drawing>
                    <wp:anchor distT="0" distB="0" distL="114300" distR="114300" simplePos="0" relativeHeight="251542528" behindDoc="0" locked="0" layoutInCell="1" allowOverlap="1" wp14:anchorId="4565BB95" wp14:editId="2F4ED87B">
                      <wp:simplePos x="0" y="0"/>
                      <wp:positionH relativeFrom="column">
                        <wp:posOffset>2657899</wp:posOffset>
                      </wp:positionH>
                      <wp:positionV relativeFrom="paragraph">
                        <wp:posOffset>607060</wp:posOffset>
                      </wp:positionV>
                      <wp:extent cx="565997" cy="176530"/>
                      <wp:effectExtent l="0" t="0" r="5715" b="0"/>
                      <wp:wrapNone/>
                      <wp:docPr id="2072215527" name="Прямокутник 504858296"/>
                      <wp:cNvGraphicFramePr/>
                      <a:graphic xmlns:a="http://schemas.openxmlformats.org/drawingml/2006/main">
                        <a:graphicData uri="http://schemas.microsoft.com/office/word/2010/wordprocessingShape">
                          <wps:wsp>
                            <wps:cNvSpPr/>
                            <wps:spPr>
                              <a:xfrm>
                                <a:off x="0" y="0"/>
                                <a:ext cx="565997" cy="176530"/>
                              </a:xfrm>
                              <a:prstGeom prst="rect">
                                <a:avLst/>
                              </a:prstGeom>
                              <a:solidFill>
                                <a:srgbClr val="67B368"/>
                              </a:solidFill>
                            </wps:spPr>
                            <wps:txbx>
                              <w:txbxContent>
                                <w:p w14:paraId="79710433" w14:textId="77777777" w:rsidR="009D0C1D" w:rsidRPr="00764EAF" w:rsidRDefault="009D0C1D" w:rsidP="004F6FB8">
                                  <w:pP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0"/>
                                    </w:rPr>
                                    <w:t>ЦЕНТРАЛЬНИЙ</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565BB95" id="Прямокутник 504858296" o:spid="_x0000_s1200" style="position:absolute;margin-left:209.3pt;margin-top:47.8pt;width:44.55pt;height:13.9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" fillcolor="#67b368" stroked="f">
                      <v:textbox inset="0,0,0,0">
                        <w:txbxContent>
                          <w:p w14:paraId="79710433" w14:textId="77777777" w:rsidR="009D0C1D" w:rsidRPr="00764EAF" w:rsidRDefault="009D0C1D" w:rsidP="004F6FB8">
                            <w:pP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0"/>
                              </w:rPr>
                              <w:t>ЦЕНТРАЛЬНИЙ</w:t>
                            </w:r>
                          </w:p>
                        </w:txbxContent>
                      </v:textbox>
                    </v:rect>
                  </w:pict>
                </mc:Fallback>
              </mc:AlternateContent>
            </w:r>
            <w:r>
              <w:rPr>
                <w:noProof/>
              </w:rPr>
              <mc:AlternateContent>
                <mc:Choice Requires="wps">
                  <w:drawing>
                    <wp:anchor distT="0" distB="0" distL="114300" distR="114300" simplePos="0" relativeHeight="251537408" behindDoc="0" locked="0" layoutInCell="1" allowOverlap="1" wp14:anchorId="48EF61A4" wp14:editId="4F866738">
                      <wp:simplePos x="0" y="0"/>
                      <wp:positionH relativeFrom="column">
                        <wp:posOffset>4710430</wp:posOffset>
                      </wp:positionH>
                      <wp:positionV relativeFrom="paragraph">
                        <wp:posOffset>2258060</wp:posOffset>
                      </wp:positionV>
                      <wp:extent cx="1024467" cy="657860"/>
                      <wp:effectExtent l="0" t="0" r="4445" b="8890"/>
                      <wp:wrapNone/>
                      <wp:docPr id="1053041709" name="Прямокутник 1792731853"/>
                      <wp:cNvGraphicFramePr/>
                      <a:graphic xmlns:a="http://schemas.openxmlformats.org/drawingml/2006/main">
                        <a:graphicData uri="http://schemas.microsoft.com/office/word/2010/wordprocessingShape">
                          <wps:wsp>
                            <wps:cNvSpPr/>
                            <wps:spPr>
                              <a:xfrm>
                                <a:off x="0" y="0"/>
                                <a:ext cx="1024467" cy="657860"/>
                              </a:xfrm>
                              <a:prstGeom prst="rect">
                                <a:avLst/>
                              </a:prstGeom>
                              <a:solidFill>
                                <a:srgbClr val="E8E8E8"/>
                              </a:solidFill>
                            </wps:spPr>
                            <wps:txbx>
                              <w:txbxContent>
                                <w:p w14:paraId="1A9ACB44" w14:textId="77777777" w:rsidR="009D0C1D" w:rsidRPr="00764EAF" w:rsidRDefault="009D0C1D" w:rsidP="004F6FB8">
                                  <w:pP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2"/>
                                    </w:rPr>
                                    <w:t>Xpert MTB/RIF, Xpert Ultra, Truenat MTB, TB-LAMP, мікроскопія мазка КСБ, LF-LAM, LC-aNAAT та перенаправлення зразків</w:t>
                                  </w:r>
                                </w:p>
                              </w:txbxContent>
                            </wps:txbx>
                            <wps:bodyPr wrap="square" lIns="0" tIns="0" rIns="0" bIns="0">
                              <a:noAutofit/>
                            </wps:bodyPr>
                          </wps:wsp>
                        </a:graphicData>
                      </a:graphic>
                      <wp14:sizeRelH relativeFrom="margin">
                        <wp14:pctWidth>0</wp14:pctWidth>
                      </wp14:sizeRelH>
                    </wp:anchor>
                  </w:drawing>
                </mc:Choice>
                <mc:Fallback>
                  <w:pict>
                    <v:rect w14:anchorId="48EF61A4" id="Прямокутник 1792731853" o:spid="_x0000_s1201" style="position:absolute;margin-left:370.9pt;margin-top:177.8pt;width:80.65pt;height:51.8pt;z-index:25153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" fillcolor="#e8e8e8" stroked="f">
                      <v:textbox inset="0,0,0,0">
                        <w:txbxContent>
                          <w:p w14:paraId="1A9ACB44" w14:textId="77777777" w:rsidR="009D0C1D" w:rsidRPr="00764EAF" w:rsidRDefault="009D0C1D" w:rsidP="004F6FB8">
                            <w:pP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2"/>
                              </w:rPr>
                              <w:t>Xpert MTB/RIF, Xpert Ultra, Truenat MTB, TB-LAMP, мікроскопія мазка КСБ, LF-LAM, LC-aNAAT та перенаправлення зразків</w:t>
                            </w:r>
                          </w:p>
                        </w:txbxContent>
                      </v:textbox>
                    </v:rect>
                  </w:pict>
                </mc:Fallback>
              </mc:AlternateContent>
            </w:r>
            <w:r>
              <w:rPr>
                <w:noProof/>
              </w:rPr>
              <mc:AlternateContent>
                <mc:Choice Requires="wps">
                  <w:drawing>
                    <wp:anchor distT="0" distB="0" distL="114300" distR="114300" simplePos="0" relativeHeight="251539456" behindDoc="0" locked="0" layoutInCell="1" allowOverlap="1" wp14:anchorId="1FC478AF" wp14:editId="4805BC88">
                      <wp:simplePos x="0" y="0"/>
                      <wp:positionH relativeFrom="column">
                        <wp:posOffset>4236297</wp:posOffset>
                      </wp:positionH>
                      <wp:positionV relativeFrom="paragraph">
                        <wp:posOffset>1318260</wp:posOffset>
                      </wp:positionV>
                      <wp:extent cx="1273810" cy="533400"/>
                      <wp:effectExtent l="0" t="0" r="2540" b="0"/>
                      <wp:wrapNone/>
                      <wp:docPr id="1309354293" name="Прямокутник 732727497"/>
                      <wp:cNvGraphicFramePr/>
                      <a:graphic xmlns:a="http://schemas.openxmlformats.org/drawingml/2006/main">
                        <a:graphicData uri="http://schemas.microsoft.com/office/word/2010/wordprocessingShape">
                          <wps:wsp>
                            <wps:cNvSpPr/>
                            <wps:spPr>
                              <a:xfrm>
                                <a:off x="0" y="0"/>
                                <a:ext cx="1273810" cy="533400"/>
                              </a:xfrm>
                              <a:prstGeom prst="rect">
                                <a:avLst/>
                              </a:prstGeom>
                              <a:solidFill>
                                <a:srgbClr val="E8E8E8"/>
                              </a:solidFill>
                            </wps:spPr>
                            <wps:txbx>
                              <w:txbxContent>
                                <w:p w14:paraId="1627A32D" w14:textId="77777777" w:rsidR="009D0C1D" w:rsidRPr="00764EAF" w:rsidRDefault="009D0C1D" w:rsidP="004F6FB8">
                                  <w:pP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2"/>
                                    </w:rPr>
                                    <w:t>Всі тести, що проводяться на нижчих рівнях та за допомогою рідких середовищ для посіву, FL-LPA, SL-LPA, MC-aNAAT та HC-rNAAT</w:t>
                                  </w:r>
                                </w:p>
                              </w:txbxContent>
                            </wps:txbx>
                            <wps:bodyPr wrap="square" lIns="0" tIns="0" rIns="0" bIns="0">
                              <a:noAutofit/>
                            </wps:bodyPr>
                          </wps:wsp>
                        </a:graphicData>
                      </a:graphic>
                      <wp14:sizeRelV relativeFrom="margin">
                        <wp14:pctHeight>0</wp14:pctHeight>
                      </wp14:sizeRelV>
                    </wp:anchor>
                  </w:drawing>
                </mc:Choice>
                <mc:Fallback>
                  <w:pict>
                    <v:rect w14:anchorId="1FC478AF" id="Прямокутник 732727497" o:spid="_x0000_s1202" style="position:absolute;margin-left:333.55pt;margin-top:103.8pt;width:100.3pt;height:42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" fillcolor="#e8e8e8" stroked="f">
                      <v:textbox inset="0,0,0,0">
                        <w:txbxContent>
                          <w:p w14:paraId="1627A32D" w14:textId="77777777" w:rsidR="009D0C1D" w:rsidRPr="00764EAF" w:rsidRDefault="009D0C1D" w:rsidP="004F6FB8">
                            <w:pP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2"/>
                              </w:rPr>
                              <w:t>Всі тести, що проводяться на нижчих рівнях та за допомогою рідких середовищ для посіву, FL-LPA, SL-LPA, MC-aNAAT та HC-rNAAT</w:t>
                            </w:r>
                          </w:p>
                        </w:txbxContent>
                      </v:textbox>
                    </v:rect>
                  </w:pict>
                </mc:Fallback>
              </mc:AlternateContent>
            </w:r>
            <w:r>
              <w:rPr>
                <w:noProof/>
              </w:rPr>
              <mc:AlternateContent>
                <mc:Choice Requires="wps">
                  <w:drawing>
                    <wp:anchor distT="0" distB="0" distL="114300" distR="114300" simplePos="0" relativeHeight="251533312" behindDoc="0" locked="0" layoutInCell="1" allowOverlap="1" wp14:anchorId="06998916" wp14:editId="2A0DFF28">
                      <wp:simplePos x="0" y="0"/>
                      <wp:positionH relativeFrom="column">
                        <wp:posOffset>544830</wp:posOffset>
                      </wp:positionH>
                      <wp:positionV relativeFrom="paragraph">
                        <wp:posOffset>2224193</wp:posOffset>
                      </wp:positionV>
                      <wp:extent cx="664210" cy="691727"/>
                      <wp:effectExtent l="0" t="0" r="2540" b="0"/>
                      <wp:wrapNone/>
                      <wp:docPr id="599589460" name="Прямокутник 352888026"/>
                      <wp:cNvGraphicFramePr/>
                      <a:graphic xmlns:a="http://schemas.openxmlformats.org/drawingml/2006/main">
                        <a:graphicData uri="http://schemas.microsoft.com/office/word/2010/wordprocessingShape">
                          <wps:wsp>
                            <wps:cNvSpPr/>
                            <wps:spPr>
                              <a:xfrm>
                                <a:off x="0" y="0"/>
                                <a:ext cx="664210" cy="691727"/>
                              </a:xfrm>
                              <a:prstGeom prst="rect">
                                <a:avLst/>
                              </a:prstGeom>
                              <a:solidFill>
                                <a:srgbClr val="E8E8E8"/>
                              </a:solidFill>
                            </wps:spPr>
                            <wps:txbx>
                              <w:txbxContent>
                                <w:p w14:paraId="7440A2D3" w14:textId="77777777" w:rsidR="009D0C1D" w:rsidRPr="00764EAF" w:rsidRDefault="009D0C1D" w:rsidP="004F6FB8">
                                  <w:pPr>
                                    <w:jc w:val="right"/>
                                    <w:rPr>
                                      <w:rFonts w:ascii="Century Gothic" w:hAnsi="Century Gothic" w:cstheme="minorBidi"/>
                                      <w:b/>
                                      <w:bCs/>
                                      <w:i/>
                                      <w:iCs/>
                                      <w:color w:val="000000" w:themeColor="text1"/>
                                      <w:kern w:val="24"/>
                                      <w:sz w:val="14"/>
                                      <w:szCs w:val="14"/>
                                    </w:rPr>
                                  </w:pPr>
                                  <w:r w:rsidRPr="00764EAF">
                                    <w:rPr>
                                      <w:rFonts w:ascii="Century Gothic" w:hAnsi="Century Gothic"/>
                                      <w:b/>
                                      <w:i/>
                                      <w:color w:val="000000" w:themeColor="text1"/>
                                      <w:sz w:val="14"/>
                                      <w:szCs w:val="22"/>
                                    </w:rPr>
                                    <w:t>Рівень I</w:t>
                                  </w:r>
                                </w:p>
                                <w:p w14:paraId="6EB37794" w14:textId="77777777" w:rsidR="009D0C1D" w:rsidRPr="00764EAF" w:rsidRDefault="009D0C1D" w:rsidP="004F6FB8">
                                  <w:pPr>
                                    <w:jc w:val="right"/>
                                    <w:rPr>
                                      <w:rFonts w:ascii="Century Gothic" w:hAnsi="Century Gothic" w:cstheme="minorBidi"/>
                                      <w:b/>
                                      <w:bCs/>
                                      <w:color w:val="000000" w:themeColor="text1"/>
                                      <w:kern w:val="24"/>
                                      <w:sz w:val="14"/>
                                      <w:szCs w:val="14"/>
                                    </w:rPr>
                                  </w:pPr>
                                  <w:r w:rsidRPr="00764EAF">
                                    <w:rPr>
                                      <w:rFonts w:ascii="Century Gothic" w:hAnsi="Century Gothic"/>
                                      <w:b/>
                                      <w:color w:val="000000" w:themeColor="text1"/>
                                      <w:sz w:val="14"/>
                                      <w:szCs w:val="22"/>
                                    </w:rPr>
                                    <w:t>Скринінг Виявлення випадків Направлення</w:t>
                                  </w:r>
                                </w:p>
                                <w:p w14:paraId="75FF5D93" w14:textId="77777777" w:rsidR="009D0C1D" w:rsidRPr="00764EAF" w:rsidRDefault="009D0C1D" w:rsidP="004F6FB8">
                                  <w:pPr>
                                    <w:ind w:firstLine="245"/>
                                    <w:rPr>
                                      <w:rFonts w:ascii="Century Gothic" w:hAnsi="Century Gothic" w:cstheme="minorBidi"/>
                                      <w:b/>
                                      <w:bCs/>
                                      <w:color w:val="000000" w:themeColor="text1"/>
                                      <w:kern w:val="24"/>
                                      <w:sz w:val="14"/>
                                      <w:szCs w:val="14"/>
                                    </w:rPr>
                                  </w:pPr>
                                  <w:r w:rsidRPr="00764EAF">
                                    <w:rPr>
                                      <w:rFonts w:ascii="Century Gothic" w:hAnsi="Century Gothic"/>
                                      <w:b/>
                                      <w:color w:val="000000" w:themeColor="text1"/>
                                      <w:sz w:val="14"/>
                                      <w:szCs w:val="22"/>
                                    </w:rPr>
                                    <w:t>Лікування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6998916" id="Прямокутник 352888026" o:spid="_x0000_s1203" style="position:absolute;margin-left:42.9pt;margin-top:175.15pt;width:52.3pt;height:54.4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" fillcolor="#e8e8e8" stroked="f">
                      <v:textbox inset="0,0,0,0">
                        <w:txbxContent>
                          <w:p w14:paraId="7440A2D3" w14:textId="77777777" w:rsidR="009D0C1D" w:rsidRPr="00764EAF" w:rsidRDefault="009D0C1D" w:rsidP="004F6FB8">
                            <w:pPr>
                              <w:jc w:val="right"/>
                              <w:rPr>
                                <w:rFonts w:ascii="Century Gothic" w:hAnsi="Century Gothic" w:cstheme="minorBidi"/>
                                <w:b/>
                                <w:bCs/>
                                <w:i/>
                                <w:iCs/>
                                <w:color w:val="000000" w:themeColor="text1"/>
                                <w:kern w:val="24"/>
                                <w:sz w:val="14"/>
                                <w:szCs w:val="14"/>
                              </w:rPr>
                            </w:pPr>
                            <w:r w:rsidRPr="00764EAF">
                              <w:rPr>
                                <w:rFonts w:ascii="Century Gothic" w:hAnsi="Century Gothic"/>
                                <w:b/>
                                <w:i/>
                                <w:color w:val="000000" w:themeColor="text1"/>
                                <w:sz w:val="14"/>
                                <w:szCs w:val="22"/>
                              </w:rPr>
                              <w:t>Рівень I</w:t>
                            </w:r>
                          </w:p>
                          <w:p w14:paraId="6EB37794" w14:textId="77777777" w:rsidR="009D0C1D" w:rsidRPr="00764EAF" w:rsidRDefault="009D0C1D" w:rsidP="004F6FB8">
                            <w:pPr>
                              <w:jc w:val="right"/>
                              <w:rPr>
                                <w:rFonts w:ascii="Century Gothic" w:hAnsi="Century Gothic" w:cstheme="minorBidi"/>
                                <w:b/>
                                <w:bCs/>
                                <w:color w:val="000000" w:themeColor="text1"/>
                                <w:kern w:val="24"/>
                                <w:sz w:val="14"/>
                                <w:szCs w:val="14"/>
                              </w:rPr>
                            </w:pPr>
                            <w:r w:rsidRPr="00764EAF">
                              <w:rPr>
                                <w:rFonts w:ascii="Century Gothic" w:hAnsi="Century Gothic"/>
                                <w:b/>
                                <w:color w:val="000000" w:themeColor="text1"/>
                                <w:sz w:val="14"/>
                                <w:szCs w:val="22"/>
                              </w:rPr>
                              <w:t>Скринінг Виявлення випадків Направлення</w:t>
                            </w:r>
                          </w:p>
                          <w:p w14:paraId="75FF5D93" w14:textId="77777777" w:rsidR="009D0C1D" w:rsidRPr="00764EAF" w:rsidRDefault="009D0C1D" w:rsidP="004F6FB8">
                            <w:pPr>
                              <w:ind w:firstLine="245"/>
                              <w:rPr>
                                <w:rFonts w:ascii="Century Gothic" w:hAnsi="Century Gothic" w:cstheme="minorBidi"/>
                                <w:b/>
                                <w:bCs/>
                                <w:color w:val="000000" w:themeColor="text1"/>
                                <w:kern w:val="24"/>
                                <w:sz w:val="14"/>
                                <w:szCs w:val="14"/>
                              </w:rPr>
                            </w:pPr>
                            <w:r w:rsidRPr="00764EAF">
                              <w:rPr>
                                <w:rFonts w:ascii="Century Gothic" w:hAnsi="Century Gothic"/>
                                <w:b/>
                                <w:color w:val="000000" w:themeColor="text1"/>
                                <w:sz w:val="14"/>
                                <w:szCs w:val="22"/>
                              </w:rPr>
                              <w:t>Лікування</w:t>
                            </w:r>
                          </w:p>
                        </w:txbxContent>
                      </v:textbox>
                    </v:rect>
                  </w:pict>
                </mc:Fallback>
              </mc:AlternateContent>
            </w:r>
            <w:r>
              <w:rPr>
                <w:noProof/>
              </w:rPr>
              <mc:AlternateContent>
                <mc:Choice Requires="wps">
                  <w:drawing>
                    <wp:anchor distT="0" distB="0" distL="114300" distR="114300" simplePos="0" relativeHeight="251535360" behindDoc="0" locked="0" layoutInCell="1" allowOverlap="1" wp14:anchorId="120C6726" wp14:editId="72CA9CB6">
                      <wp:simplePos x="0" y="0"/>
                      <wp:positionH relativeFrom="column">
                        <wp:posOffset>3685963</wp:posOffset>
                      </wp:positionH>
                      <wp:positionV relativeFrom="paragraph">
                        <wp:posOffset>192193</wp:posOffset>
                      </wp:positionV>
                      <wp:extent cx="1126067" cy="677334"/>
                      <wp:effectExtent l="0" t="0" r="0" b="8890"/>
                      <wp:wrapNone/>
                      <wp:docPr id="741889639" name="Прямокутник 1184708143"/>
                      <wp:cNvGraphicFramePr/>
                      <a:graphic xmlns:a="http://schemas.openxmlformats.org/drawingml/2006/main">
                        <a:graphicData uri="http://schemas.microsoft.com/office/word/2010/wordprocessingShape">
                          <wps:wsp>
                            <wps:cNvSpPr/>
                            <wps:spPr>
                              <a:xfrm>
                                <a:off x="0" y="0"/>
                                <a:ext cx="1126067" cy="677334"/>
                              </a:xfrm>
                              <a:prstGeom prst="rect">
                                <a:avLst/>
                              </a:prstGeom>
                              <a:solidFill>
                                <a:srgbClr val="E8E8E8"/>
                              </a:solidFill>
                            </wps:spPr>
                            <wps:txbx>
                              <w:txbxContent>
                                <w:p w14:paraId="3B191028" w14:textId="77777777" w:rsidR="009D0C1D" w:rsidRPr="00764EAF" w:rsidRDefault="009D0C1D" w:rsidP="004F6FB8">
                                  <w:pP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2"/>
                                    </w:rPr>
                                    <w:t>Всі тести, що проводяться на нижчих рівнях та за допомогою рідких середовищ для культурального, фенотипового ТМЧ, ПГС та цільового СНП</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20C6726" id="Прямокутник 1184708143" o:spid="_x0000_s1204" style="position:absolute;margin-left:290.25pt;margin-top:15.15pt;width:88.65pt;height:53.3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" fillcolor="#e8e8e8" stroked="f">
                      <v:textbox inset="0,0,0,0">
                        <w:txbxContent>
                          <w:p w14:paraId="3B191028" w14:textId="77777777" w:rsidR="009D0C1D" w:rsidRPr="00764EAF" w:rsidRDefault="009D0C1D" w:rsidP="004F6FB8">
                            <w:pPr>
                              <w:rPr>
                                <w:rFonts w:ascii="Century Gothic" w:hAnsi="Century Gothic" w:cstheme="minorBidi"/>
                                <w:b/>
                                <w:bCs/>
                                <w:color w:val="000000" w:themeColor="text1"/>
                                <w:kern w:val="24"/>
                                <w:sz w:val="12"/>
                                <w:szCs w:val="12"/>
                              </w:rPr>
                            </w:pPr>
                            <w:r w:rsidRPr="00764EAF">
                              <w:rPr>
                                <w:rFonts w:ascii="Century Gothic" w:hAnsi="Century Gothic"/>
                                <w:b/>
                                <w:color w:val="000000" w:themeColor="text1"/>
                                <w:sz w:val="12"/>
                                <w:szCs w:val="22"/>
                              </w:rPr>
                              <w:t>Всі тести, що проводяться на нижчих рівнях та за допомогою рідких середовищ для культурального, фенотипового ТМЧ, ПГС та цільового СНП</w:t>
                            </w:r>
                          </w:p>
                        </w:txbxContent>
                      </v:textbox>
                    </v:rect>
                  </w:pict>
                </mc:Fallback>
              </mc:AlternateContent>
            </w:r>
            <w:r>
              <w:rPr>
                <w:noProof/>
              </w:rPr>
              <mc:AlternateContent>
                <mc:Choice Requires="wps">
                  <w:drawing>
                    <wp:anchor distT="0" distB="0" distL="114300" distR="114300" simplePos="0" relativeHeight="251541504" behindDoc="0" locked="0" layoutInCell="1" allowOverlap="1" wp14:anchorId="1555321F" wp14:editId="20363D29">
                      <wp:simplePos x="0" y="0"/>
                      <wp:positionH relativeFrom="column">
                        <wp:posOffset>773430</wp:posOffset>
                      </wp:positionH>
                      <wp:positionV relativeFrom="paragraph">
                        <wp:posOffset>1318048</wp:posOffset>
                      </wp:positionV>
                      <wp:extent cx="884343" cy="533400"/>
                      <wp:effectExtent l="0" t="0" r="0" b="0"/>
                      <wp:wrapNone/>
                      <wp:docPr id="1941292345" name="Прямокутник 557738357"/>
                      <wp:cNvGraphicFramePr/>
                      <a:graphic xmlns:a="http://schemas.openxmlformats.org/drawingml/2006/main">
                        <a:graphicData uri="http://schemas.microsoft.com/office/word/2010/wordprocessingShape">
                          <wps:wsp>
                            <wps:cNvSpPr/>
                            <wps:spPr>
                              <a:xfrm>
                                <a:off x="0" y="0"/>
                                <a:ext cx="884343" cy="533400"/>
                              </a:xfrm>
                              <a:prstGeom prst="rect">
                                <a:avLst/>
                              </a:prstGeom>
                              <a:solidFill>
                                <a:srgbClr val="E8E8E8"/>
                              </a:solidFill>
                            </wps:spPr>
                            <wps:txbx>
                              <w:txbxContent>
                                <w:p w14:paraId="2AA48113" w14:textId="77777777" w:rsidR="009D0C1D" w:rsidRPr="00764EAF" w:rsidRDefault="009D0C1D" w:rsidP="00764EAF">
                                  <w:pPr>
                                    <w:jc w:val="right"/>
                                    <w:rPr>
                                      <w:rFonts w:ascii="Century Gothic" w:hAnsi="Century Gothic" w:cstheme="minorBidi"/>
                                      <w:b/>
                                      <w:bCs/>
                                      <w:i/>
                                      <w:iCs/>
                                      <w:color w:val="000000" w:themeColor="text1"/>
                                      <w:kern w:val="24"/>
                                      <w:sz w:val="14"/>
                                      <w:szCs w:val="14"/>
                                    </w:rPr>
                                  </w:pPr>
                                  <w:r w:rsidRPr="00764EAF">
                                    <w:rPr>
                                      <w:rFonts w:ascii="Century Gothic" w:hAnsi="Century Gothic"/>
                                      <w:b/>
                                      <w:i/>
                                      <w:color w:val="000000" w:themeColor="text1"/>
                                      <w:sz w:val="14"/>
                                      <w:szCs w:val="22"/>
                                    </w:rPr>
                                    <w:t>Рівень II</w:t>
                                  </w:r>
                                </w:p>
                                <w:p w14:paraId="03F87B37" w14:textId="77777777" w:rsidR="009D0C1D" w:rsidRPr="00764EAF" w:rsidRDefault="009D0C1D" w:rsidP="00764EAF">
                                  <w:pPr>
                                    <w:jc w:val="right"/>
                                    <w:rPr>
                                      <w:rFonts w:ascii="Century Gothic" w:hAnsi="Century Gothic" w:cstheme="minorBidi"/>
                                      <w:b/>
                                      <w:bCs/>
                                      <w:color w:val="000000" w:themeColor="text1"/>
                                      <w:kern w:val="24"/>
                                      <w:sz w:val="14"/>
                                      <w:szCs w:val="14"/>
                                    </w:rPr>
                                  </w:pPr>
                                  <w:r w:rsidRPr="00764EAF">
                                    <w:rPr>
                                      <w:rFonts w:ascii="Century Gothic" w:hAnsi="Century Gothic"/>
                                      <w:b/>
                                      <w:color w:val="000000" w:themeColor="text1"/>
                                      <w:sz w:val="14"/>
                                      <w:szCs w:val="22"/>
                                    </w:rPr>
                                    <w:t>Результати дослідження</w:t>
                                  </w:r>
                                </w:p>
                                <w:p w14:paraId="6E9BA121" w14:textId="77777777" w:rsidR="009D0C1D" w:rsidRPr="00764EAF" w:rsidRDefault="009D0C1D" w:rsidP="00764EAF">
                                  <w:pPr>
                                    <w:ind w:firstLine="245"/>
                                    <w:jc w:val="right"/>
                                    <w:rPr>
                                      <w:rFonts w:ascii="Century Gothic" w:hAnsi="Century Gothic" w:cstheme="minorBidi"/>
                                      <w:b/>
                                      <w:bCs/>
                                      <w:color w:val="000000" w:themeColor="text1"/>
                                      <w:kern w:val="24"/>
                                      <w:sz w:val="14"/>
                                      <w:szCs w:val="14"/>
                                    </w:rPr>
                                  </w:pPr>
                                  <w:r w:rsidRPr="00764EAF">
                                    <w:rPr>
                                      <w:rFonts w:ascii="Century Gothic" w:hAnsi="Century Gothic"/>
                                      <w:b/>
                                      <w:color w:val="000000" w:themeColor="text1"/>
                                      <w:sz w:val="14"/>
                                      <w:szCs w:val="22"/>
                                    </w:rPr>
                                    <w:t>Лікування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555321F" id="Прямокутник 557738357" o:spid="_x0000_s1205" style="position:absolute;margin-left:60.9pt;margin-top:103.8pt;width:69.65pt;height:42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" fillcolor="#e8e8e8" stroked="f">
                      <v:textbox inset="0,0,0,0">
                        <w:txbxContent>
                          <w:p w14:paraId="2AA48113" w14:textId="77777777" w:rsidR="009D0C1D" w:rsidRPr="00764EAF" w:rsidRDefault="009D0C1D" w:rsidP="00764EAF">
                            <w:pPr>
                              <w:jc w:val="right"/>
                              <w:rPr>
                                <w:rFonts w:ascii="Century Gothic" w:hAnsi="Century Gothic" w:cstheme="minorBidi"/>
                                <w:b/>
                                <w:bCs/>
                                <w:i/>
                                <w:iCs/>
                                <w:color w:val="000000" w:themeColor="text1"/>
                                <w:kern w:val="24"/>
                                <w:sz w:val="14"/>
                                <w:szCs w:val="14"/>
                              </w:rPr>
                            </w:pPr>
                            <w:r w:rsidRPr="00764EAF">
                              <w:rPr>
                                <w:rFonts w:ascii="Century Gothic" w:hAnsi="Century Gothic"/>
                                <w:b/>
                                <w:i/>
                                <w:color w:val="000000" w:themeColor="text1"/>
                                <w:sz w:val="14"/>
                                <w:szCs w:val="22"/>
                              </w:rPr>
                              <w:t>Рівень II</w:t>
                            </w:r>
                          </w:p>
                          <w:p w14:paraId="03F87B37" w14:textId="77777777" w:rsidR="009D0C1D" w:rsidRPr="00764EAF" w:rsidRDefault="009D0C1D" w:rsidP="00764EAF">
                            <w:pPr>
                              <w:jc w:val="right"/>
                              <w:rPr>
                                <w:rFonts w:ascii="Century Gothic" w:hAnsi="Century Gothic" w:cstheme="minorBidi"/>
                                <w:b/>
                                <w:bCs/>
                                <w:color w:val="000000" w:themeColor="text1"/>
                                <w:kern w:val="24"/>
                                <w:sz w:val="14"/>
                                <w:szCs w:val="14"/>
                              </w:rPr>
                            </w:pPr>
                            <w:r w:rsidRPr="00764EAF">
                              <w:rPr>
                                <w:rFonts w:ascii="Century Gothic" w:hAnsi="Century Gothic"/>
                                <w:b/>
                                <w:color w:val="000000" w:themeColor="text1"/>
                                <w:sz w:val="14"/>
                                <w:szCs w:val="22"/>
                              </w:rPr>
                              <w:t>Результати дослідження</w:t>
                            </w:r>
                          </w:p>
                          <w:p w14:paraId="6E9BA121" w14:textId="77777777" w:rsidR="009D0C1D" w:rsidRPr="00764EAF" w:rsidRDefault="009D0C1D" w:rsidP="00764EAF">
                            <w:pPr>
                              <w:ind w:firstLine="245"/>
                              <w:jc w:val="right"/>
                              <w:rPr>
                                <w:rFonts w:ascii="Century Gothic" w:hAnsi="Century Gothic" w:cstheme="minorBidi"/>
                                <w:b/>
                                <w:bCs/>
                                <w:color w:val="000000" w:themeColor="text1"/>
                                <w:kern w:val="24"/>
                                <w:sz w:val="14"/>
                                <w:szCs w:val="14"/>
                              </w:rPr>
                            </w:pPr>
                            <w:r w:rsidRPr="00764EAF">
                              <w:rPr>
                                <w:rFonts w:ascii="Century Gothic" w:hAnsi="Century Gothic"/>
                                <w:b/>
                                <w:color w:val="000000" w:themeColor="text1"/>
                                <w:sz w:val="14"/>
                                <w:szCs w:val="22"/>
                              </w:rPr>
                              <w:t>Лікування</w:t>
                            </w:r>
                          </w:p>
                        </w:txbxContent>
                      </v:textbox>
                    </v:rect>
                  </w:pict>
                </mc:Fallback>
              </mc:AlternateContent>
            </w:r>
            <w:r>
              <w:rPr>
                <w:noProof/>
              </w:rPr>
              <mc:AlternateContent>
                <mc:Choice Requires="wps">
                  <w:drawing>
                    <wp:anchor distT="0" distB="0" distL="114300" distR="114300" simplePos="0" relativeHeight="251543552" behindDoc="0" locked="0" layoutInCell="1" allowOverlap="1" wp14:anchorId="0933F70E" wp14:editId="30C24984">
                      <wp:simplePos x="0" y="0"/>
                      <wp:positionH relativeFrom="column">
                        <wp:posOffset>1061085</wp:posOffset>
                      </wp:positionH>
                      <wp:positionV relativeFrom="paragraph">
                        <wp:posOffset>225848</wp:posOffset>
                      </wp:positionV>
                      <wp:extent cx="1102571" cy="584200"/>
                      <wp:effectExtent l="0" t="0" r="2540" b="6350"/>
                      <wp:wrapNone/>
                      <wp:docPr id="2082655994" name="Прямокутник 1536889364"/>
                      <wp:cNvGraphicFramePr/>
                      <a:graphic xmlns:a="http://schemas.openxmlformats.org/drawingml/2006/main">
                        <a:graphicData uri="http://schemas.microsoft.com/office/word/2010/wordprocessingShape">
                          <wps:wsp>
                            <wps:cNvSpPr/>
                            <wps:spPr>
                              <a:xfrm>
                                <a:off x="0" y="0"/>
                                <a:ext cx="1102571" cy="584200"/>
                              </a:xfrm>
                              <a:prstGeom prst="rect">
                                <a:avLst/>
                              </a:prstGeom>
                              <a:solidFill>
                                <a:srgbClr val="E8E8E8"/>
                              </a:solidFill>
                            </wps:spPr>
                            <wps:txbx>
                              <w:txbxContent>
                                <w:p w14:paraId="466D39D6" w14:textId="77777777" w:rsidR="009D0C1D" w:rsidRPr="00764EAF" w:rsidRDefault="009D0C1D" w:rsidP="004F6FB8">
                                  <w:pPr>
                                    <w:jc w:val="right"/>
                                    <w:rPr>
                                      <w:rFonts w:ascii="Century Gothic" w:hAnsi="Century Gothic" w:cstheme="minorBidi"/>
                                      <w:b/>
                                      <w:bCs/>
                                      <w:i/>
                                      <w:iCs/>
                                      <w:color w:val="000000" w:themeColor="text1"/>
                                      <w:kern w:val="24"/>
                                      <w:sz w:val="14"/>
                                      <w:szCs w:val="14"/>
                                    </w:rPr>
                                  </w:pPr>
                                  <w:r w:rsidRPr="00764EAF">
                                    <w:rPr>
                                      <w:rFonts w:ascii="Century Gothic" w:hAnsi="Century Gothic"/>
                                      <w:b/>
                                      <w:i/>
                                      <w:color w:val="000000" w:themeColor="text1"/>
                                      <w:sz w:val="14"/>
                                      <w:szCs w:val="22"/>
                                    </w:rPr>
                                    <w:t>Рівень III</w:t>
                                  </w:r>
                                </w:p>
                                <w:p w14:paraId="6750AE24" w14:textId="77777777" w:rsidR="009D0C1D" w:rsidRPr="00764EAF" w:rsidRDefault="009D0C1D" w:rsidP="004F6FB8">
                                  <w:pPr>
                                    <w:jc w:val="right"/>
                                    <w:rPr>
                                      <w:rFonts w:ascii="Century Gothic" w:hAnsi="Century Gothic" w:cstheme="minorBidi"/>
                                      <w:b/>
                                      <w:bCs/>
                                      <w:color w:val="000000" w:themeColor="text1"/>
                                      <w:kern w:val="24"/>
                                      <w:sz w:val="14"/>
                                      <w:szCs w:val="14"/>
                                    </w:rPr>
                                  </w:pPr>
                                  <w:r w:rsidRPr="00764EAF">
                                    <w:rPr>
                                      <w:rFonts w:ascii="Century Gothic" w:hAnsi="Century Gothic"/>
                                      <w:b/>
                                      <w:color w:val="000000" w:themeColor="text1"/>
                                      <w:sz w:val="14"/>
                                      <w:szCs w:val="22"/>
                                    </w:rPr>
                                    <w:t>Епідеміологічний нагляд Еталонні методи Мережевий нагляд</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933F70E" id="Прямокутник 1536889364" o:spid="_x0000_s1206" style="position:absolute;margin-left:83.55pt;margin-top:17.8pt;width:86.8pt;height:4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" fillcolor="#e8e8e8" stroked="f">
                      <v:textbox inset="0,0,0,0">
                        <w:txbxContent>
                          <w:p w14:paraId="466D39D6" w14:textId="77777777" w:rsidR="009D0C1D" w:rsidRPr="00764EAF" w:rsidRDefault="009D0C1D" w:rsidP="004F6FB8">
                            <w:pPr>
                              <w:jc w:val="right"/>
                              <w:rPr>
                                <w:rFonts w:ascii="Century Gothic" w:hAnsi="Century Gothic" w:cstheme="minorBidi"/>
                                <w:b/>
                                <w:bCs/>
                                <w:i/>
                                <w:iCs/>
                                <w:color w:val="000000" w:themeColor="text1"/>
                                <w:kern w:val="24"/>
                                <w:sz w:val="14"/>
                                <w:szCs w:val="14"/>
                              </w:rPr>
                            </w:pPr>
                            <w:r w:rsidRPr="00764EAF">
                              <w:rPr>
                                <w:rFonts w:ascii="Century Gothic" w:hAnsi="Century Gothic"/>
                                <w:b/>
                                <w:i/>
                                <w:color w:val="000000" w:themeColor="text1"/>
                                <w:sz w:val="14"/>
                                <w:szCs w:val="22"/>
                              </w:rPr>
                              <w:t>Рівень III</w:t>
                            </w:r>
                          </w:p>
                          <w:p w14:paraId="6750AE24" w14:textId="77777777" w:rsidR="009D0C1D" w:rsidRPr="00764EAF" w:rsidRDefault="009D0C1D" w:rsidP="004F6FB8">
                            <w:pPr>
                              <w:jc w:val="right"/>
                              <w:rPr>
                                <w:rFonts w:ascii="Century Gothic" w:hAnsi="Century Gothic" w:cstheme="minorBidi"/>
                                <w:b/>
                                <w:bCs/>
                                <w:color w:val="000000" w:themeColor="text1"/>
                                <w:kern w:val="24"/>
                                <w:sz w:val="14"/>
                                <w:szCs w:val="14"/>
                              </w:rPr>
                            </w:pPr>
                            <w:r w:rsidRPr="00764EAF">
                              <w:rPr>
                                <w:rFonts w:ascii="Century Gothic" w:hAnsi="Century Gothic"/>
                                <w:b/>
                                <w:color w:val="000000" w:themeColor="text1"/>
                                <w:sz w:val="14"/>
                                <w:szCs w:val="22"/>
                              </w:rPr>
                              <w:t>Епідеміологічний нагляд Еталонні методи Мережевий нагляд</w:t>
                            </w:r>
                          </w:p>
                        </w:txbxContent>
                      </v:textbox>
                    </v:rect>
                  </w:pict>
                </mc:Fallback>
              </mc:AlternateContent>
            </w:r>
            <w:r w:rsidR="00B97539">
              <w:rPr>
                <w:noProof/>
              </w:rPr>
              <w:drawing>
                <wp:inline distT="0" distB="0" distL="0" distR="0" wp14:anchorId="40519C8F" wp14:editId="15EFF13E">
                  <wp:extent cx="5828030" cy="339852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1"/>
                          <a:stretch/>
                        </pic:blipFill>
                        <pic:spPr>
                          <a:xfrm>
                            <a:off x="0" y="0"/>
                            <a:ext cx="5828030" cy="3398520"/>
                          </a:xfrm>
                          <a:prstGeom prst="rect">
                            <a:avLst/>
                          </a:prstGeom>
                        </pic:spPr>
                      </pic:pic>
                    </a:graphicData>
                  </a:graphic>
                </wp:inline>
              </w:drawing>
            </w:r>
          </w:p>
        </w:tc>
      </w:tr>
      <w:tr w:rsidR="00366CB9" w14:paraId="21F5BCD5" w14:textId="77777777" w:rsidTr="00764EAF">
        <w:trPr>
          <w:trHeight w:hRule="exact" w:val="1406"/>
        </w:trPr>
        <w:tc>
          <w:tcPr>
            <w:tcW w:w="9178" w:type="dxa"/>
            <w:shd w:val="clear" w:color="auto" w:fill="FFFFFF"/>
            <w:vAlign w:val="bottom"/>
          </w:tcPr>
          <w:p w14:paraId="1AC56664" w14:textId="73813310" w:rsidR="00366CB9" w:rsidRDefault="009D0C1D" w:rsidP="00E8720F">
            <w:pPr>
              <w:pStyle w:val="a6"/>
              <w:shd w:val="clear" w:color="auto" w:fill="auto"/>
              <w:spacing w:line="266" w:lineRule="auto"/>
              <w:jc w:val="both"/>
              <w:rPr>
                <w:sz w:val="17"/>
                <w:szCs w:val="17"/>
              </w:rPr>
            </w:pPr>
            <w:r>
              <w:rPr>
                <w:b w:val="0"/>
                <w:color w:val="000000"/>
                <w:sz w:val="17"/>
              </w:rPr>
              <w:t>КСБ: кислотостійкі бацили; ТМЧ: тестування медикаментозної чутливості; FL: перша лінія; HC-rNAAT: NAAT на основі зворотної гібридизації високої складності; LC-aNAAT: автоматизований NAAT низької складності; LC-mNAAT: ручний NAAT низької складності; LF-LAM: ліпоарабіноманнановий тест бокового зсуву; LPA: аналіз олігонуклеотидними зондами; MC-aNAAT: автоматизований NAAT середньої складності; NAAT: аналіз ампліфікації нуклеїнових кислот; СНП: секвенування наступного покоління; SL: друга лінія; ТБ: туберкульоз; ПГС: повногеномне секвенування.</w:t>
            </w:r>
          </w:p>
        </w:tc>
      </w:tr>
    </w:tbl>
    <w:p w14:paraId="6B59FB30"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76064909" w14:textId="77777777" w:rsidR="00366CB9" w:rsidRDefault="00366CB9" w:rsidP="00425523">
      <w:pPr>
        <w:spacing w:line="1" w:lineRule="exact"/>
      </w:pPr>
    </w:p>
    <w:p w14:paraId="6A2CCDFC" w14:textId="77777777" w:rsidR="00366CB9" w:rsidRDefault="009D0C1D" w:rsidP="00E8720F">
      <w:pPr>
        <w:pStyle w:val="22"/>
        <w:numPr>
          <w:ilvl w:val="0"/>
          <w:numId w:val="11"/>
        </w:numPr>
        <w:shd w:val="clear" w:color="auto" w:fill="auto"/>
        <w:tabs>
          <w:tab w:val="left" w:pos="757"/>
        </w:tabs>
        <w:spacing w:after="140" w:line="240" w:lineRule="auto"/>
      </w:pPr>
      <w:bookmarkStart w:id="112" w:name="bookmark110"/>
      <w:bookmarkStart w:id="113" w:name="bookmark111"/>
      <w:bookmarkStart w:id="114" w:name="bookmark109"/>
      <w:r>
        <w:t>Структура мережі та пакети тестів</w:t>
      </w:r>
      <w:bookmarkEnd w:id="112"/>
      <w:bookmarkEnd w:id="113"/>
      <w:bookmarkEnd w:id="114"/>
    </w:p>
    <w:p w14:paraId="53E73628" w14:textId="77777777" w:rsidR="00366CB9" w:rsidRPr="00764EAF" w:rsidRDefault="009D0C1D" w:rsidP="00E8720F">
      <w:pPr>
        <w:pStyle w:val="1"/>
        <w:shd w:val="clear" w:color="auto" w:fill="auto"/>
        <w:spacing w:after="140" w:line="322" w:lineRule="auto"/>
        <w:jc w:val="both"/>
        <w:rPr>
          <w:sz w:val="18"/>
          <w:szCs w:val="18"/>
        </w:rPr>
      </w:pPr>
      <w:r w:rsidRPr="00764EAF">
        <w:rPr>
          <w:sz w:val="18"/>
          <w:szCs w:val="18"/>
        </w:rPr>
        <w:t>Структуру мережі та пакети тестів, представлені на кожному рівні, необхідно адаптувати до потреб громади та епідеміології ТБ на місцевому рівні. Розглядаючи питання про розміщення діагностичного тесту, цілі повинні бути засновані на попиті, а не на популяції, та повинні включати:</w:t>
      </w:r>
    </w:p>
    <w:p w14:paraId="68156ECD" w14:textId="39621C24" w:rsidR="00366CB9" w:rsidRPr="00764EAF" w:rsidRDefault="009D0C1D" w:rsidP="00E8720F">
      <w:pPr>
        <w:pStyle w:val="1"/>
        <w:shd w:val="clear" w:color="auto" w:fill="auto"/>
        <w:spacing w:line="324" w:lineRule="auto"/>
        <w:ind w:left="260" w:hanging="260"/>
        <w:jc w:val="both"/>
        <w:rPr>
          <w:sz w:val="18"/>
          <w:szCs w:val="18"/>
        </w:rPr>
      </w:pPr>
      <w:r w:rsidRPr="00764EAF">
        <w:rPr>
          <w:color w:val="019648"/>
          <w:sz w:val="18"/>
          <w:szCs w:val="18"/>
        </w:rPr>
        <w:t xml:space="preserve">• </w:t>
      </w:r>
      <w:r w:rsidR="00764EAF" w:rsidRPr="00764EAF">
        <w:rPr>
          <w:sz w:val="18"/>
          <w:szCs w:val="18"/>
        </w:rPr>
        <w:tab/>
      </w:r>
      <w:r w:rsidRPr="00764EAF">
        <w:rPr>
          <w:sz w:val="18"/>
          <w:szCs w:val="18"/>
        </w:rPr>
        <w:t>асортимент тестів у лабораторії, що може варіюватись між густонаселеними містами та малонаселеними сільськими громадами;</w:t>
      </w:r>
    </w:p>
    <w:p w14:paraId="19489940" w14:textId="5F13D61E" w:rsidR="00366CB9" w:rsidRPr="00764EAF" w:rsidRDefault="009D0C1D" w:rsidP="00E8720F">
      <w:pPr>
        <w:pStyle w:val="1"/>
        <w:shd w:val="clear" w:color="auto" w:fill="auto"/>
        <w:spacing w:line="324" w:lineRule="auto"/>
        <w:ind w:left="260" w:hanging="260"/>
        <w:jc w:val="both"/>
        <w:rPr>
          <w:sz w:val="18"/>
          <w:szCs w:val="18"/>
        </w:rPr>
      </w:pPr>
      <w:r w:rsidRPr="00764EAF">
        <w:rPr>
          <w:color w:val="019648"/>
          <w:sz w:val="18"/>
          <w:szCs w:val="18"/>
        </w:rPr>
        <w:t xml:space="preserve">• </w:t>
      </w:r>
      <w:r w:rsidR="00764EAF" w:rsidRPr="00764EAF">
        <w:rPr>
          <w:sz w:val="18"/>
          <w:szCs w:val="18"/>
        </w:rPr>
        <w:tab/>
      </w:r>
      <w:r w:rsidRPr="00764EAF">
        <w:rPr>
          <w:sz w:val="18"/>
          <w:szCs w:val="18"/>
        </w:rPr>
        <w:t>стратегію забезпечення оптимального доступу до якісного тестування, або шляхом збільшення кількості дослідницьких центрів, де проводиться тест, або шляхом перевезення зразків до центрів тестування за допомогою ефективної системи перенаправлення зразків – обрана стратегія визначатиметься за регіоном, виробничими потужностями для перевезення зразків та звітування про результати, а також епідеміологічною ситуацією; та</w:t>
      </w:r>
    </w:p>
    <w:p w14:paraId="112BD983" w14:textId="424169EE" w:rsidR="00366CB9" w:rsidRPr="00764EAF" w:rsidRDefault="009D0C1D" w:rsidP="00E8720F">
      <w:pPr>
        <w:pStyle w:val="1"/>
        <w:shd w:val="clear" w:color="auto" w:fill="auto"/>
        <w:spacing w:after="140" w:line="324" w:lineRule="auto"/>
        <w:ind w:left="260" w:hanging="260"/>
        <w:jc w:val="both"/>
        <w:rPr>
          <w:sz w:val="18"/>
          <w:szCs w:val="18"/>
        </w:rPr>
      </w:pPr>
      <w:r w:rsidRPr="00764EAF">
        <w:rPr>
          <w:color w:val="019648"/>
          <w:sz w:val="18"/>
          <w:szCs w:val="18"/>
        </w:rPr>
        <w:t xml:space="preserve">• </w:t>
      </w:r>
      <w:r w:rsidR="00764EAF" w:rsidRPr="00764EAF">
        <w:rPr>
          <w:sz w:val="18"/>
          <w:szCs w:val="18"/>
        </w:rPr>
        <w:tab/>
      </w:r>
      <w:r w:rsidRPr="00764EAF">
        <w:rPr>
          <w:sz w:val="18"/>
          <w:szCs w:val="18"/>
        </w:rPr>
        <w:t>взаємозв’язок між різними рівнями; наприклад, результати початкового тесту (наприклад, виявлена резистентність до RIF) можуть призводити до подальшого тесту (наприклад, тестування на виявлення резистентності до FQ), що може не представлятись на тому ж рівні системи охорони здоров’я.</w:t>
      </w:r>
    </w:p>
    <w:p w14:paraId="5A441EFA" w14:textId="77777777" w:rsidR="00366CB9" w:rsidRPr="00764EAF" w:rsidRDefault="009D0C1D" w:rsidP="00E8720F">
      <w:pPr>
        <w:pStyle w:val="1"/>
        <w:shd w:val="clear" w:color="auto" w:fill="auto"/>
        <w:spacing w:after="140" w:line="324" w:lineRule="auto"/>
        <w:jc w:val="both"/>
        <w:rPr>
          <w:sz w:val="18"/>
          <w:szCs w:val="18"/>
        </w:rPr>
      </w:pPr>
      <w:r w:rsidRPr="00764EAF">
        <w:rPr>
          <w:sz w:val="18"/>
          <w:szCs w:val="18"/>
        </w:rPr>
        <w:t>Не дивлячись на концептуальну користь описаних рівнів, на практиці вони можуть суттєво перетинатися, а ретельна розробка програми поставок шляхом картування поточної мережі закладів охорони здоров’я, щільності популяції, навантаження на тестування в різних закладах, транспортної системи та наявної лабораторної мережі сприятиме розміщенню (наприклад, первинне тестування на виявлення ТБ у осіб з підозрою на ТБ буде актуальним у всіх закладах охорони здоров’я, де особи проходять скринінг на ТБ, тоді як особи з Риф-ТБ можуть отримувати лікування в обраних місцях, а тестування на виявлення резистентності до FQ та BDQ може вимагатись лише в обраних лабораторіях у цих дослідницьких центрах).</w:t>
      </w:r>
    </w:p>
    <w:p w14:paraId="026532FE" w14:textId="77777777" w:rsidR="00366CB9" w:rsidRPr="00764EAF" w:rsidRDefault="009D0C1D" w:rsidP="00E8720F">
      <w:pPr>
        <w:pStyle w:val="1"/>
        <w:shd w:val="clear" w:color="auto" w:fill="auto"/>
        <w:spacing w:after="140" w:line="326" w:lineRule="auto"/>
        <w:jc w:val="both"/>
        <w:rPr>
          <w:sz w:val="18"/>
          <w:szCs w:val="18"/>
        </w:rPr>
      </w:pPr>
      <w:r w:rsidRPr="00764EAF">
        <w:rPr>
          <w:sz w:val="18"/>
          <w:szCs w:val="18"/>
        </w:rPr>
        <w:t>При розміщенні нового діагностичного тесту в межах існуючої структури лабораторних мереж повинні враховуватися кілька міркувань, в тому числі:</w:t>
      </w:r>
    </w:p>
    <w:p w14:paraId="7F61E966" w14:textId="0C0EA6A4" w:rsidR="00366CB9" w:rsidRPr="00764EAF" w:rsidRDefault="009D0C1D" w:rsidP="00764EAF">
      <w:pPr>
        <w:pStyle w:val="1"/>
        <w:shd w:val="clear" w:color="auto" w:fill="auto"/>
        <w:tabs>
          <w:tab w:val="left" w:pos="284"/>
        </w:tabs>
        <w:spacing w:line="324" w:lineRule="auto"/>
        <w:jc w:val="both"/>
        <w:rPr>
          <w:sz w:val="18"/>
          <w:szCs w:val="18"/>
        </w:rPr>
      </w:pPr>
      <w:r w:rsidRPr="00764EAF">
        <w:rPr>
          <w:color w:val="019648"/>
          <w:sz w:val="18"/>
          <w:szCs w:val="18"/>
        </w:rPr>
        <w:t xml:space="preserve">• </w:t>
      </w:r>
      <w:r w:rsidR="00764EAF">
        <w:tab/>
      </w:r>
      <w:r w:rsidRPr="00764EAF">
        <w:rPr>
          <w:sz w:val="18"/>
          <w:szCs w:val="18"/>
        </w:rPr>
        <w:t>очікуване робоче навантаження з точки зору:</w:t>
      </w:r>
    </w:p>
    <w:p w14:paraId="6A43F7EC" w14:textId="77777777" w:rsidR="00366CB9" w:rsidRPr="00764EAF" w:rsidRDefault="009D0C1D" w:rsidP="00E8720F">
      <w:pPr>
        <w:pStyle w:val="1"/>
        <w:shd w:val="clear" w:color="auto" w:fill="auto"/>
        <w:spacing w:line="324" w:lineRule="auto"/>
        <w:ind w:firstLine="260"/>
        <w:rPr>
          <w:sz w:val="18"/>
          <w:szCs w:val="18"/>
        </w:rPr>
      </w:pPr>
      <w:r w:rsidRPr="00764EAF">
        <w:rPr>
          <w:color w:val="019648"/>
          <w:sz w:val="18"/>
          <w:szCs w:val="18"/>
        </w:rPr>
        <w:t xml:space="preserve">– </w:t>
      </w:r>
      <w:r w:rsidRPr="00764EAF">
        <w:rPr>
          <w:sz w:val="18"/>
          <w:szCs w:val="18"/>
        </w:rPr>
        <w:t>очікуваних обсягів тестування;</w:t>
      </w:r>
    </w:p>
    <w:p w14:paraId="4C8B120B" w14:textId="77777777" w:rsidR="00366CB9" w:rsidRPr="00764EAF" w:rsidRDefault="009D0C1D" w:rsidP="00E8720F">
      <w:pPr>
        <w:pStyle w:val="1"/>
        <w:shd w:val="clear" w:color="auto" w:fill="auto"/>
        <w:spacing w:line="324" w:lineRule="auto"/>
        <w:ind w:firstLine="260"/>
        <w:rPr>
          <w:sz w:val="18"/>
          <w:szCs w:val="18"/>
        </w:rPr>
      </w:pPr>
      <w:r w:rsidRPr="00764EAF">
        <w:rPr>
          <w:color w:val="019648"/>
          <w:sz w:val="18"/>
          <w:szCs w:val="18"/>
        </w:rPr>
        <w:t xml:space="preserve">– </w:t>
      </w:r>
      <w:r w:rsidRPr="00764EAF">
        <w:rPr>
          <w:sz w:val="18"/>
          <w:szCs w:val="18"/>
        </w:rPr>
        <w:t>наявності кваліфікованого персоналу;</w:t>
      </w:r>
    </w:p>
    <w:p w14:paraId="0E400CC3" w14:textId="73BEA5B6" w:rsidR="00366CB9" w:rsidRPr="00764EAF" w:rsidRDefault="009D0C1D" w:rsidP="00E8720F">
      <w:pPr>
        <w:pStyle w:val="1"/>
        <w:shd w:val="clear" w:color="auto" w:fill="auto"/>
        <w:spacing w:line="324" w:lineRule="auto"/>
        <w:ind w:left="260" w:hanging="260"/>
        <w:jc w:val="both"/>
        <w:rPr>
          <w:sz w:val="18"/>
          <w:szCs w:val="18"/>
        </w:rPr>
      </w:pPr>
      <w:r w:rsidRPr="00764EAF">
        <w:rPr>
          <w:color w:val="019648"/>
          <w:sz w:val="18"/>
          <w:szCs w:val="18"/>
        </w:rPr>
        <w:t xml:space="preserve">• </w:t>
      </w:r>
      <w:r w:rsidR="00764EAF">
        <w:tab/>
      </w:r>
      <w:r w:rsidRPr="00764EAF">
        <w:rPr>
          <w:sz w:val="18"/>
          <w:szCs w:val="18"/>
        </w:rPr>
        <w:t>можливість інтеграції із системами тестування, перенаправлення зразків та звітування щодо інших захворювань; та</w:t>
      </w:r>
    </w:p>
    <w:p w14:paraId="4A36435F" w14:textId="3AD4BABC" w:rsidR="00366CB9" w:rsidRPr="00764EAF" w:rsidRDefault="009D0C1D" w:rsidP="00764EAF">
      <w:pPr>
        <w:pStyle w:val="1"/>
        <w:shd w:val="clear" w:color="auto" w:fill="auto"/>
        <w:tabs>
          <w:tab w:val="left" w:pos="284"/>
        </w:tabs>
        <w:spacing w:line="324" w:lineRule="auto"/>
        <w:rPr>
          <w:sz w:val="18"/>
          <w:szCs w:val="18"/>
        </w:rPr>
      </w:pPr>
      <w:r w:rsidRPr="00764EAF">
        <w:rPr>
          <w:color w:val="019648"/>
          <w:sz w:val="18"/>
          <w:szCs w:val="18"/>
        </w:rPr>
        <w:t xml:space="preserve">• </w:t>
      </w:r>
      <w:r w:rsidR="00764EAF">
        <w:tab/>
      </w:r>
      <w:r w:rsidRPr="00764EAF">
        <w:rPr>
          <w:sz w:val="18"/>
          <w:szCs w:val="18"/>
        </w:rPr>
        <w:t>наявні ресурси, таких як:</w:t>
      </w:r>
    </w:p>
    <w:p w14:paraId="1EC365A3" w14:textId="77777777" w:rsidR="00366CB9" w:rsidRPr="00764EAF" w:rsidRDefault="009D0C1D" w:rsidP="00E8720F">
      <w:pPr>
        <w:pStyle w:val="1"/>
        <w:shd w:val="clear" w:color="auto" w:fill="auto"/>
        <w:spacing w:line="324" w:lineRule="auto"/>
        <w:ind w:left="520" w:hanging="240"/>
        <w:jc w:val="both"/>
        <w:rPr>
          <w:sz w:val="18"/>
          <w:szCs w:val="18"/>
        </w:rPr>
      </w:pPr>
      <w:r w:rsidRPr="00764EAF">
        <w:rPr>
          <w:color w:val="019648"/>
          <w:sz w:val="18"/>
          <w:szCs w:val="18"/>
        </w:rPr>
        <w:t xml:space="preserve">– </w:t>
      </w:r>
      <w:r w:rsidRPr="00764EAF">
        <w:rPr>
          <w:sz w:val="18"/>
          <w:szCs w:val="18"/>
        </w:rPr>
        <w:t>вимоги до виробничих потужностей (лабораторні та складські приміщення, блок живлення та регулювання температури);</w:t>
      </w:r>
    </w:p>
    <w:p w14:paraId="491ED4B0" w14:textId="77777777" w:rsidR="00366CB9" w:rsidRPr="00764EAF" w:rsidRDefault="009D0C1D" w:rsidP="00E8720F">
      <w:pPr>
        <w:pStyle w:val="1"/>
        <w:shd w:val="clear" w:color="auto" w:fill="auto"/>
        <w:spacing w:line="324" w:lineRule="auto"/>
        <w:ind w:firstLine="260"/>
        <w:rPr>
          <w:sz w:val="18"/>
          <w:szCs w:val="18"/>
        </w:rPr>
      </w:pPr>
      <w:r w:rsidRPr="00764EAF">
        <w:rPr>
          <w:color w:val="019648"/>
          <w:sz w:val="18"/>
          <w:szCs w:val="18"/>
        </w:rPr>
        <w:t xml:space="preserve">– </w:t>
      </w:r>
      <w:r w:rsidRPr="00764EAF">
        <w:rPr>
          <w:sz w:val="18"/>
          <w:szCs w:val="18"/>
        </w:rPr>
        <w:t>вимоги до біологічної безпеки;</w:t>
      </w:r>
    </w:p>
    <w:p w14:paraId="3ED23FCD" w14:textId="77777777" w:rsidR="00366CB9" w:rsidRPr="00764EAF" w:rsidRDefault="009D0C1D" w:rsidP="00E8720F">
      <w:pPr>
        <w:pStyle w:val="1"/>
        <w:shd w:val="clear" w:color="auto" w:fill="auto"/>
        <w:spacing w:line="324" w:lineRule="auto"/>
        <w:ind w:firstLine="260"/>
        <w:rPr>
          <w:sz w:val="18"/>
          <w:szCs w:val="18"/>
        </w:rPr>
      </w:pPr>
      <w:r w:rsidRPr="00764EAF">
        <w:rPr>
          <w:color w:val="019648"/>
          <w:sz w:val="18"/>
          <w:szCs w:val="18"/>
        </w:rPr>
        <w:t xml:space="preserve">– </w:t>
      </w:r>
      <w:r w:rsidRPr="00764EAF">
        <w:rPr>
          <w:sz w:val="18"/>
          <w:szCs w:val="18"/>
        </w:rPr>
        <w:t>типи зразків та процедури забору;</w:t>
      </w:r>
    </w:p>
    <w:p w14:paraId="22E6697A" w14:textId="77777777" w:rsidR="00366CB9" w:rsidRPr="00764EAF" w:rsidRDefault="009D0C1D" w:rsidP="00E8720F">
      <w:pPr>
        <w:pStyle w:val="1"/>
        <w:shd w:val="clear" w:color="auto" w:fill="auto"/>
        <w:spacing w:line="324" w:lineRule="auto"/>
        <w:ind w:firstLine="260"/>
        <w:rPr>
          <w:sz w:val="18"/>
          <w:szCs w:val="18"/>
        </w:rPr>
      </w:pPr>
      <w:r w:rsidRPr="00764EAF">
        <w:rPr>
          <w:color w:val="019648"/>
          <w:sz w:val="18"/>
          <w:szCs w:val="18"/>
        </w:rPr>
        <w:t xml:space="preserve">– </w:t>
      </w:r>
      <w:r w:rsidRPr="00764EAF">
        <w:rPr>
          <w:sz w:val="18"/>
          <w:szCs w:val="18"/>
        </w:rPr>
        <w:t>вимога до швидкої діагностики у тяжкохворих осіб;</w:t>
      </w:r>
    </w:p>
    <w:p w14:paraId="7C69242A" w14:textId="77777777" w:rsidR="00366CB9" w:rsidRPr="00764EAF" w:rsidRDefault="009D0C1D" w:rsidP="00E8720F">
      <w:pPr>
        <w:pStyle w:val="1"/>
        <w:shd w:val="clear" w:color="auto" w:fill="auto"/>
        <w:spacing w:line="324" w:lineRule="auto"/>
        <w:ind w:firstLine="260"/>
        <w:rPr>
          <w:sz w:val="18"/>
          <w:szCs w:val="18"/>
        </w:rPr>
      </w:pPr>
      <w:r w:rsidRPr="00764EAF">
        <w:rPr>
          <w:color w:val="019648"/>
          <w:sz w:val="18"/>
          <w:szCs w:val="18"/>
        </w:rPr>
        <w:t xml:space="preserve">– </w:t>
      </w:r>
      <w:r w:rsidRPr="00764EAF">
        <w:rPr>
          <w:sz w:val="18"/>
          <w:szCs w:val="18"/>
        </w:rPr>
        <w:t>мінімальна кількість тестів для підтримки кваліфікації та оптимального використання приладів;</w:t>
      </w:r>
    </w:p>
    <w:p w14:paraId="689D5DF6" w14:textId="77777777" w:rsidR="00366CB9" w:rsidRPr="00764EAF" w:rsidRDefault="009D0C1D" w:rsidP="00E8720F">
      <w:pPr>
        <w:pStyle w:val="1"/>
        <w:shd w:val="clear" w:color="auto" w:fill="auto"/>
        <w:spacing w:line="324" w:lineRule="auto"/>
        <w:ind w:firstLine="260"/>
        <w:rPr>
          <w:sz w:val="18"/>
          <w:szCs w:val="18"/>
        </w:rPr>
      </w:pPr>
      <w:r w:rsidRPr="00764EAF">
        <w:rPr>
          <w:color w:val="019648"/>
          <w:sz w:val="18"/>
          <w:szCs w:val="18"/>
        </w:rPr>
        <w:t xml:space="preserve">– </w:t>
      </w:r>
      <w:r w:rsidRPr="00764EAF">
        <w:rPr>
          <w:sz w:val="18"/>
          <w:szCs w:val="18"/>
        </w:rPr>
        <w:t>поточні та заплановані алгоритми тестування;</w:t>
      </w:r>
    </w:p>
    <w:p w14:paraId="782A8633" w14:textId="77777777" w:rsidR="00366CB9" w:rsidRPr="00764EAF" w:rsidRDefault="009D0C1D" w:rsidP="00E8720F">
      <w:pPr>
        <w:pStyle w:val="1"/>
        <w:shd w:val="clear" w:color="auto" w:fill="auto"/>
        <w:spacing w:line="324" w:lineRule="auto"/>
        <w:ind w:firstLine="260"/>
        <w:rPr>
          <w:sz w:val="18"/>
          <w:szCs w:val="18"/>
        </w:rPr>
      </w:pPr>
      <w:r w:rsidRPr="00764EAF">
        <w:rPr>
          <w:color w:val="019648"/>
          <w:sz w:val="18"/>
          <w:szCs w:val="18"/>
        </w:rPr>
        <w:t xml:space="preserve">– </w:t>
      </w:r>
      <w:r w:rsidRPr="00764EAF">
        <w:rPr>
          <w:sz w:val="18"/>
          <w:szCs w:val="18"/>
        </w:rPr>
        <w:t>зв’язки з іншими лабораторіями для подальшого тестування;</w:t>
      </w:r>
    </w:p>
    <w:p w14:paraId="126B3895" w14:textId="77777777" w:rsidR="00366CB9" w:rsidRPr="00764EAF" w:rsidRDefault="009D0C1D" w:rsidP="00E8720F">
      <w:pPr>
        <w:pStyle w:val="1"/>
        <w:shd w:val="clear" w:color="auto" w:fill="auto"/>
        <w:spacing w:line="324" w:lineRule="auto"/>
        <w:ind w:firstLine="260"/>
        <w:rPr>
          <w:sz w:val="18"/>
          <w:szCs w:val="18"/>
        </w:rPr>
      </w:pPr>
      <w:r w:rsidRPr="00764EAF">
        <w:rPr>
          <w:color w:val="019648"/>
          <w:sz w:val="18"/>
          <w:szCs w:val="18"/>
        </w:rPr>
        <w:t xml:space="preserve">– </w:t>
      </w:r>
      <w:r w:rsidRPr="00764EAF">
        <w:rPr>
          <w:sz w:val="18"/>
          <w:szCs w:val="18"/>
        </w:rPr>
        <w:t>систем перенаправлення зразків та звітування про результати; та</w:t>
      </w:r>
    </w:p>
    <w:p w14:paraId="36666EE4"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12B8F49A" w14:textId="77777777" w:rsidR="00366CB9" w:rsidRDefault="00366CB9" w:rsidP="00425523">
      <w:pPr>
        <w:spacing w:line="1" w:lineRule="exact"/>
      </w:pPr>
    </w:p>
    <w:p w14:paraId="5C8C6E44" w14:textId="77777777" w:rsidR="00366CB9" w:rsidRPr="00764EAF" w:rsidRDefault="009D0C1D" w:rsidP="00E8720F">
      <w:pPr>
        <w:pStyle w:val="1"/>
        <w:shd w:val="clear" w:color="auto" w:fill="auto"/>
        <w:spacing w:after="140" w:line="326" w:lineRule="auto"/>
        <w:jc w:val="both"/>
        <w:rPr>
          <w:sz w:val="18"/>
          <w:szCs w:val="18"/>
        </w:rPr>
      </w:pPr>
      <w:r w:rsidRPr="00764EAF">
        <w:rPr>
          <w:sz w:val="18"/>
          <w:szCs w:val="18"/>
        </w:rPr>
        <w:t>Встановлені системи перенаправлення зразків є основою потужної діагностичної мережі. Такі системи можуть:</w:t>
      </w:r>
    </w:p>
    <w:p w14:paraId="126F1AFF" w14:textId="3E6FD700" w:rsidR="00366CB9" w:rsidRPr="00764EAF" w:rsidRDefault="009D0C1D" w:rsidP="00764EAF">
      <w:pPr>
        <w:pStyle w:val="1"/>
        <w:shd w:val="clear" w:color="auto" w:fill="auto"/>
        <w:spacing w:line="322" w:lineRule="auto"/>
        <w:ind w:left="260" w:hanging="260"/>
        <w:jc w:val="both"/>
        <w:rPr>
          <w:sz w:val="18"/>
          <w:szCs w:val="18"/>
        </w:rPr>
      </w:pPr>
      <w:r w:rsidRPr="00764EAF">
        <w:rPr>
          <w:color w:val="019648"/>
          <w:sz w:val="18"/>
          <w:szCs w:val="18"/>
        </w:rPr>
        <w:t xml:space="preserve">• </w:t>
      </w:r>
      <w:r w:rsidR="00764EAF" w:rsidRPr="00764EAF">
        <w:rPr>
          <w:sz w:val="18"/>
          <w:szCs w:val="18"/>
        </w:rPr>
        <w:tab/>
      </w:r>
      <w:r w:rsidRPr="00764EAF">
        <w:rPr>
          <w:sz w:val="18"/>
          <w:szCs w:val="18"/>
        </w:rPr>
        <w:t>оптимізувати доступ до послуг та покращити оперативність тестування, використання приладів, біологічну безпеку та біологічний захист, підтримку кваліфікації та ЗЯ;</w:t>
      </w:r>
    </w:p>
    <w:p w14:paraId="4B6B5884" w14:textId="7BBC5EFA" w:rsidR="00366CB9" w:rsidRPr="00764EAF" w:rsidRDefault="009D0C1D" w:rsidP="00764EAF">
      <w:pPr>
        <w:pStyle w:val="1"/>
        <w:shd w:val="clear" w:color="auto" w:fill="auto"/>
        <w:spacing w:line="322" w:lineRule="auto"/>
        <w:ind w:left="260" w:hanging="260"/>
        <w:jc w:val="both"/>
        <w:rPr>
          <w:sz w:val="18"/>
          <w:szCs w:val="18"/>
        </w:rPr>
      </w:pPr>
      <w:r w:rsidRPr="00764EAF">
        <w:rPr>
          <w:color w:val="019648"/>
          <w:sz w:val="18"/>
          <w:szCs w:val="18"/>
        </w:rPr>
        <w:t xml:space="preserve">• </w:t>
      </w:r>
      <w:r w:rsidR="00764EAF" w:rsidRPr="00764EAF">
        <w:rPr>
          <w:sz w:val="18"/>
          <w:szCs w:val="18"/>
        </w:rPr>
        <w:tab/>
      </w:r>
      <w:r w:rsidRPr="00764EAF">
        <w:rPr>
          <w:sz w:val="18"/>
          <w:szCs w:val="18"/>
        </w:rPr>
        <w:t>сприяти доступу до медичних послуг;</w:t>
      </w:r>
    </w:p>
    <w:p w14:paraId="702F9C69" w14:textId="537A05B8" w:rsidR="00366CB9" w:rsidRPr="00764EAF" w:rsidRDefault="009D0C1D" w:rsidP="00764EAF">
      <w:pPr>
        <w:pStyle w:val="1"/>
        <w:shd w:val="clear" w:color="auto" w:fill="auto"/>
        <w:spacing w:line="322" w:lineRule="auto"/>
        <w:ind w:left="260" w:hanging="260"/>
        <w:jc w:val="both"/>
        <w:rPr>
          <w:sz w:val="18"/>
          <w:szCs w:val="18"/>
        </w:rPr>
      </w:pPr>
      <w:r w:rsidRPr="00764EAF">
        <w:rPr>
          <w:color w:val="019648"/>
          <w:sz w:val="18"/>
          <w:szCs w:val="18"/>
        </w:rPr>
        <w:t xml:space="preserve">• </w:t>
      </w:r>
      <w:r w:rsidR="00764EAF" w:rsidRPr="00764EAF">
        <w:rPr>
          <w:sz w:val="18"/>
          <w:szCs w:val="18"/>
        </w:rPr>
        <w:tab/>
      </w:r>
      <w:r w:rsidRPr="00764EAF">
        <w:rPr>
          <w:sz w:val="18"/>
          <w:szCs w:val="18"/>
        </w:rPr>
        <w:t>надавати рішення, адаптовані до регіону та епідеміології; та</w:t>
      </w:r>
    </w:p>
    <w:p w14:paraId="6D906DE4" w14:textId="4E5C4C2D" w:rsidR="00366CB9" w:rsidRPr="00764EAF" w:rsidRDefault="009D0C1D" w:rsidP="00764EAF">
      <w:pPr>
        <w:pStyle w:val="1"/>
        <w:shd w:val="clear" w:color="auto" w:fill="auto"/>
        <w:spacing w:after="140" w:line="322" w:lineRule="auto"/>
        <w:ind w:left="260" w:hanging="260"/>
        <w:jc w:val="both"/>
        <w:rPr>
          <w:sz w:val="18"/>
          <w:szCs w:val="18"/>
        </w:rPr>
      </w:pPr>
      <w:r w:rsidRPr="00764EAF">
        <w:rPr>
          <w:color w:val="019648"/>
          <w:sz w:val="18"/>
          <w:szCs w:val="18"/>
        </w:rPr>
        <w:t xml:space="preserve">• </w:t>
      </w:r>
      <w:r w:rsidR="00764EAF" w:rsidRPr="00764EAF">
        <w:rPr>
          <w:sz w:val="18"/>
          <w:szCs w:val="18"/>
        </w:rPr>
        <w:tab/>
      </w:r>
      <w:r w:rsidRPr="00764EAF">
        <w:rPr>
          <w:sz w:val="18"/>
          <w:szCs w:val="18"/>
        </w:rPr>
        <w:t>забезпечувати інтеграцію перевезення зразків з тестуванням на виявлення інших захворювань, надаючи послуги з тестування у разі недостатнього обслуговування.</w:t>
      </w:r>
    </w:p>
    <w:p w14:paraId="58D4A682" w14:textId="77777777" w:rsidR="00366CB9" w:rsidRPr="00764EAF" w:rsidRDefault="009D0C1D" w:rsidP="00E8720F">
      <w:pPr>
        <w:pStyle w:val="1"/>
        <w:shd w:val="clear" w:color="auto" w:fill="auto"/>
        <w:spacing w:line="326" w:lineRule="auto"/>
        <w:jc w:val="both"/>
        <w:rPr>
          <w:sz w:val="18"/>
          <w:szCs w:val="18"/>
        </w:rPr>
      </w:pPr>
      <w:r w:rsidRPr="00764EAF">
        <w:rPr>
          <w:i/>
          <w:sz w:val="18"/>
          <w:szCs w:val="18"/>
        </w:rPr>
        <w:t xml:space="preserve">Керівництво ГЛІ з систем перенаправлення зразків для діагностики туберкульозу і інтегрованих мереж» </w:t>
      </w:r>
      <w:hyperlink w:anchor="bookmark199" w:tooltip="Поточний документ">
        <w:r w:rsidR="00366CB9" w:rsidRPr="00764EAF">
          <w:rPr>
            <w:i/>
            <w:sz w:val="18"/>
            <w:szCs w:val="18"/>
          </w:rPr>
          <w:t>(63</w:t>
        </w:r>
      </w:hyperlink>
      <w:r w:rsidRPr="00764EAF">
        <w:rPr>
          <w:i/>
          <w:sz w:val="18"/>
          <w:szCs w:val="18"/>
        </w:rPr>
        <w:t>)</w:t>
      </w:r>
      <w:r w:rsidRPr="00764EAF">
        <w:rPr>
          <w:sz w:val="18"/>
          <w:szCs w:val="18"/>
        </w:rPr>
        <w:t xml:space="preserve"> та </w:t>
      </w:r>
      <w:r w:rsidRPr="00764EAF">
        <w:rPr>
          <w:i/>
          <w:sz w:val="18"/>
          <w:szCs w:val="18"/>
        </w:rPr>
        <w:t>GLI</w:t>
      </w:r>
      <w:r w:rsidRPr="00764EAF">
        <w:rPr>
          <w:sz w:val="18"/>
          <w:szCs w:val="18"/>
        </w:rPr>
        <w:t xml:space="preserve"> </w:t>
      </w:r>
      <w:r w:rsidRPr="00764EAF">
        <w:rPr>
          <w:i/>
          <w:sz w:val="18"/>
          <w:szCs w:val="18"/>
        </w:rPr>
        <w:t>набір з перенаправлення зразків (</w:t>
      </w:r>
      <w:hyperlink w:anchor="bookmark199" w:tooltip="Поточний документ">
        <w:r w:rsidR="00366CB9" w:rsidRPr="00764EAF">
          <w:rPr>
            <w:i/>
            <w:sz w:val="18"/>
            <w:szCs w:val="18"/>
          </w:rPr>
          <w:t>64</w:t>
        </w:r>
      </w:hyperlink>
      <w:r w:rsidRPr="00764EAF">
        <w:rPr>
          <w:i/>
          <w:sz w:val="18"/>
          <w:szCs w:val="18"/>
        </w:rPr>
        <w:t>)</w:t>
      </w:r>
      <w:r w:rsidRPr="00764EAF">
        <w:rPr>
          <w:sz w:val="18"/>
          <w:szCs w:val="18"/>
        </w:rPr>
        <w:t xml:space="preserve"> є корисними джерелами інформації для розробки, впровадження та контролю систем перенаправлення зразків та звітування про результати.</w:t>
      </w:r>
    </w:p>
    <w:p w14:paraId="7104AB9B" w14:textId="77777777" w:rsidR="00366CB9" w:rsidRPr="00764EAF" w:rsidRDefault="00366CB9" w:rsidP="00425523">
      <w:pPr>
        <w:spacing w:line="1" w:lineRule="exact"/>
        <w:rPr>
          <w:sz w:val="22"/>
          <w:szCs w:val="22"/>
        </w:rPr>
        <w:sectPr w:rsidR="00366CB9" w:rsidRPr="00764EAF" w:rsidSect="00F03360">
          <w:type w:val="nextColumn"/>
          <w:pgSz w:w="11911" w:h="17036"/>
          <w:pgMar w:top="1469" w:right="1378" w:bottom="851" w:left="1372" w:header="0" w:footer="3" w:gutter="0"/>
          <w:paperSrc w:first="15" w:other="15"/>
          <w:cols w:space="720"/>
          <w:noEndnote/>
          <w:docGrid w:linePitch="360"/>
        </w:sectPr>
      </w:pPr>
    </w:p>
    <w:p w14:paraId="5B38461A"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086"/>
      </w:tblGrid>
      <w:tr w:rsidR="00366CB9" w14:paraId="55A86A0C" w14:textId="77777777" w:rsidTr="00764EAF">
        <w:trPr>
          <w:trHeight w:hRule="exact" w:val="2561"/>
        </w:trPr>
        <w:tc>
          <w:tcPr>
            <w:tcW w:w="9086" w:type="dxa"/>
            <w:shd w:val="clear" w:color="auto" w:fill="FFFFFF"/>
          </w:tcPr>
          <w:p w14:paraId="18E649C3" w14:textId="77777777" w:rsidR="00366CB9" w:rsidRDefault="009D0C1D" w:rsidP="00E8720F">
            <w:pPr>
              <w:pStyle w:val="a6"/>
              <w:shd w:val="clear" w:color="auto" w:fill="auto"/>
              <w:spacing w:line="259" w:lineRule="auto"/>
              <w:rPr>
                <w:sz w:val="62"/>
                <w:szCs w:val="62"/>
              </w:rPr>
            </w:pPr>
            <w:bookmarkStart w:id="115" w:name="bookmark114"/>
            <w:bookmarkStart w:id="116" w:name="bookmark112"/>
            <w:bookmarkStart w:id="117" w:name="bookmark113"/>
            <w:r>
              <w:rPr>
                <w:b w:val="0"/>
                <w:color w:val="019648"/>
                <w:sz w:val="62"/>
              </w:rPr>
              <w:t>5. Етапи та процеси впровадження нового діагностичного тесту</w:t>
            </w:r>
            <w:bookmarkEnd w:id="115"/>
            <w:bookmarkEnd w:id="116"/>
            <w:bookmarkEnd w:id="117"/>
          </w:p>
        </w:tc>
      </w:tr>
      <w:tr w:rsidR="00366CB9" w14:paraId="1EDB0D02" w14:textId="77777777" w:rsidTr="00764EAF">
        <w:trPr>
          <w:trHeight w:hRule="exact" w:val="3830"/>
        </w:trPr>
        <w:tc>
          <w:tcPr>
            <w:tcW w:w="9086" w:type="dxa"/>
            <w:shd w:val="clear" w:color="auto" w:fill="FFFFFF"/>
          </w:tcPr>
          <w:p w14:paraId="38F92EA5" w14:textId="77777777" w:rsidR="00366CB9" w:rsidRPr="00764EAF" w:rsidRDefault="009D0C1D" w:rsidP="00E8720F">
            <w:pPr>
              <w:pStyle w:val="a6"/>
              <w:shd w:val="clear" w:color="auto" w:fill="auto"/>
              <w:spacing w:after="140" w:line="326" w:lineRule="auto"/>
              <w:rPr>
                <w:sz w:val="18"/>
                <w:szCs w:val="18"/>
              </w:rPr>
            </w:pPr>
            <w:r w:rsidRPr="00764EAF">
              <w:rPr>
                <w:b w:val="0"/>
                <w:color w:val="000000"/>
                <w:sz w:val="18"/>
                <w:szCs w:val="24"/>
              </w:rPr>
              <w:t>Ключові етапи впровадження нового діагностичного тесту мають 10 основних областей. Див. детальну інформацію щодо кожної області у цій главі.</w:t>
            </w:r>
          </w:p>
          <w:p w14:paraId="4A7F3314" w14:textId="77777777" w:rsidR="00366CB9" w:rsidRPr="00764EAF" w:rsidRDefault="009D0C1D" w:rsidP="00E8720F">
            <w:pPr>
              <w:pStyle w:val="a6"/>
              <w:shd w:val="clear" w:color="auto" w:fill="auto"/>
              <w:spacing w:line="326" w:lineRule="auto"/>
              <w:rPr>
                <w:sz w:val="18"/>
                <w:szCs w:val="18"/>
              </w:rPr>
            </w:pPr>
            <w:r w:rsidRPr="00764EAF">
              <w:rPr>
                <w:b w:val="0"/>
                <w:color w:val="019648"/>
                <w:sz w:val="18"/>
                <w:szCs w:val="24"/>
              </w:rPr>
              <w:t xml:space="preserve">• </w:t>
            </w:r>
            <w:r w:rsidRPr="00764EAF">
              <w:rPr>
                <w:b w:val="0"/>
                <w:color w:val="000000"/>
                <w:sz w:val="18"/>
                <w:szCs w:val="24"/>
              </w:rPr>
              <w:t>Область 1 – Політики, бюджетування та планування (</w:t>
            </w:r>
            <w:hyperlink w:anchor="bookmark115" w:tooltip="Поточний документ">
              <w:r w:rsidR="00366CB9" w:rsidRPr="00764EAF">
                <w:rPr>
                  <w:color w:val="000000"/>
                  <w:sz w:val="18"/>
                  <w:szCs w:val="24"/>
                </w:rPr>
                <w:t>розділ 5.1</w:t>
              </w:r>
            </w:hyperlink>
            <w:r w:rsidRPr="00764EAF">
              <w:rPr>
                <w:b w:val="0"/>
                <w:color w:val="000000"/>
                <w:sz w:val="18"/>
                <w:szCs w:val="24"/>
              </w:rPr>
              <w:t>)</w:t>
            </w:r>
          </w:p>
          <w:p w14:paraId="0CD75684" w14:textId="77777777" w:rsidR="00366CB9" w:rsidRPr="00764EAF" w:rsidRDefault="009D0C1D" w:rsidP="00E8720F">
            <w:pPr>
              <w:pStyle w:val="a6"/>
              <w:shd w:val="clear" w:color="auto" w:fill="auto"/>
              <w:spacing w:line="326" w:lineRule="auto"/>
              <w:rPr>
                <w:sz w:val="18"/>
                <w:szCs w:val="18"/>
              </w:rPr>
            </w:pPr>
            <w:r w:rsidRPr="00764EAF">
              <w:rPr>
                <w:b w:val="0"/>
                <w:color w:val="019648"/>
                <w:sz w:val="18"/>
                <w:szCs w:val="24"/>
              </w:rPr>
              <w:t xml:space="preserve">• </w:t>
            </w:r>
            <w:r w:rsidRPr="00764EAF">
              <w:rPr>
                <w:b w:val="0"/>
                <w:color w:val="000000"/>
                <w:sz w:val="18"/>
                <w:szCs w:val="24"/>
              </w:rPr>
              <w:t>Область 2 – Питання нормативно-правового регулювання (</w:t>
            </w:r>
            <w:hyperlink w:anchor="bookmark118" w:tooltip="Поточний документ">
              <w:r w:rsidR="00366CB9" w:rsidRPr="00764EAF">
                <w:rPr>
                  <w:color w:val="000000"/>
                  <w:sz w:val="18"/>
                  <w:szCs w:val="24"/>
                </w:rPr>
                <w:t>розділ 5.2</w:t>
              </w:r>
            </w:hyperlink>
            <w:r w:rsidRPr="00764EAF">
              <w:rPr>
                <w:b w:val="0"/>
                <w:color w:val="000000"/>
                <w:sz w:val="18"/>
                <w:szCs w:val="24"/>
              </w:rPr>
              <w:t>)</w:t>
            </w:r>
          </w:p>
          <w:p w14:paraId="3C1ECE09" w14:textId="77777777" w:rsidR="00366CB9" w:rsidRPr="00764EAF" w:rsidRDefault="009D0C1D" w:rsidP="00E8720F">
            <w:pPr>
              <w:pStyle w:val="a6"/>
              <w:shd w:val="clear" w:color="auto" w:fill="auto"/>
              <w:spacing w:line="326" w:lineRule="auto"/>
              <w:rPr>
                <w:sz w:val="18"/>
                <w:szCs w:val="18"/>
              </w:rPr>
            </w:pPr>
            <w:r w:rsidRPr="00764EAF">
              <w:rPr>
                <w:b w:val="0"/>
                <w:color w:val="019648"/>
                <w:sz w:val="18"/>
                <w:szCs w:val="24"/>
              </w:rPr>
              <w:t xml:space="preserve">• </w:t>
            </w:r>
            <w:r w:rsidRPr="00764EAF">
              <w:rPr>
                <w:b w:val="0"/>
                <w:color w:val="000000"/>
                <w:sz w:val="18"/>
                <w:szCs w:val="24"/>
              </w:rPr>
              <w:t>Область 3 – Обладнання (</w:t>
            </w:r>
            <w:hyperlink w:anchor="bookmark121" w:tooltip="Поточний документ">
              <w:r w:rsidR="00366CB9" w:rsidRPr="00764EAF">
                <w:rPr>
                  <w:color w:val="000000"/>
                  <w:sz w:val="18"/>
                  <w:szCs w:val="24"/>
                </w:rPr>
                <w:t>розділ 5.3</w:t>
              </w:r>
            </w:hyperlink>
            <w:r w:rsidRPr="00764EAF">
              <w:rPr>
                <w:b w:val="0"/>
                <w:color w:val="000000"/>
                <w:sz w:val="18"/>
                <w:szCs w:val="24"/>
              </w:rPr>
              <w:t>)</w:t>
            </w:r>
          </w:p>
          <w:p w14:paraId="04D2FF12" w14:textId="77777777" w:rsidR="00366CB9" w:rsidRPr="00764EAF" w:rsidRDefault="009D0C1D" w:rsidP="00E8720F">
            <w:pPr>
              <w:pStyle w:val="a6"/>
              <w:shd w:val="clear" w:color="auto" w:fill="auto"/>
              <w:spacing w:line="326" w:lineRule="auto"/>
              <w:rPr>
                <w:sz w:val="18"/>
                <w:szCs w:val="18"/>
              </w:rPr>
            </w:pPr>
            <w:r w:rsidRPr="00764EAF">
              <w:rPr>
                <w:b w:val="0"/>
                <w:color w:val="019648"/>
                <w:sz w:val="18"/>
                <w:szCs w:val="24"/>
              </w:rPr>
              <w:t xml:space="preserve">• </w:t>
            </w:r>
            <w:r w:rsidRPr="00764EAF">
              <w:rPr>
                <w:b w:val="0"/>
                <w:color w:val="000000"/>
                <w:sz w:val="18"/>
                <w:szCs w:val="24"/>
              </w:rPr>
              <w:t>Область 4 – Ланцюжок поставок (</w:t>
            </w:r>
            <w:hyperlink w:anchor="bookmark125" w:tooltip="Поточний документ">
              <w:r w:rsidR="00366CB9" w:rsidRPr="00764EAF">
                <w:rPr>
                  <w:color w:val="000000"/>
                  <w:sz w:val="18"/>
                  <w:szCs w:val="24"/>
                </w:rPr>
                <w:t>розділ 5.4</w:t>
              </w:r>
            </w:hyperlink>
            <w:r w:rsidRPr="00764EAF">
              <w:rPr>
                <w:b w:val="0"/>
                <w:color w:val="000000"/>
                <w:sz w:val="18"/>
                <w:szCs w:val="24"/>
              </w:rPr>
              <w:t>)</w:t>
            </w:r>
          </w:p>
          <w:p w14:paraId="2D901A2D" w14:textId="77777777" w:rsidR="00366CB9" w:rsidRPr="00764EAF" w:rsidRDefault="009D0C1D" w:rsidP="00E8720F">
            <w:pPr>
              <w:pStyle w:val="a6"/>
              <w:shd w:val="clear" w:color="auto" w:fill="auto"/>
              <w:spacing w:line="326" w:lineRule="auto"/>
              <w:rPr>
                <w:sz w:val="18"/>
                <w:szCs w:val="18"/>
              </w:rPr>
            </w:pPr>
            <w:r w:rsidRPr="00764EAF">
              <w:rPr>
                <w:b w:val="0"/>
                <w:color w:val="019648"/>
                <w:sz w:val="18"/>
                <w:szCs w:val="24"/>
              </w:rPr>
              <w:t xml:space="preserve">• </w:t>
            </w:r>
            <w:r w:rsidRPr="00764EAF">
              <w:rPr>
                <w:b w:val="0"/>
                <w:color w:val="000000"/>
                <w:sz w:val="18"/>
                <w:szCs w:val="24"/>
              </w:rPr>
              <w:t>Область 5 – Процедури (</w:t>
            </w:r>
            <w:hyperlink w:anchor="bookmark129" w:tooltip="Поточний документ">
              <w:r w:rsidR="00366CB9" w:rsidRPr="00764EAF">
                <w:rPr>
                  <w:color w:val="000000"/>
                  <w:sz w:val="18"/>
                  <w:szCs w:val="24"/>
                </w:rPr>
                <w:t>розділ 5.5</w:t>
              </w:r>
            </w:hyperlink>
            <w:r w:rsidRPr="00764EAF">
              <w:rPr>
                <w:b w:val="0"/>
                <w:color w:val="000000"/>
                <w:sz w:val="18"/>
                <w:szCs w:val="24"/>
              </w:rPr>
              <w:t>)</w:t>
            </w:r>
          </w:p>
          <w:p w14:paraId="0C48F283" w14:textId="77777777" w:rsidR="00366CB9" w:rsidRPr="00764EAF" w:rsidRDefault="009D0C1D" w:rsidP="00E8720F">
            <w:pPr>
              <w:pStyle w:val="a6"/>
              <w:shd w:val="clear" w:color="auto" w:fill="auto"/>
              <w:spacing w:line="326" w:lineRule="auto"/>
              <w:rPr>
                <w:sz w:val="18"/>
                <w:szCs w:val="18"/>
              </w:rPr>
            </w:pPr>
            <w:r w:rsidRPr="00764EAF">
              <w:rPr>
                <w:b w:val="0"/>
                <w:color w:val="019648"/>
                <w:sz w:val="18"/>
                <w:szCs w:val="24"/>
              </w:rPr>
              <w:t xml:space="preserve">• </w:t>
            </w:r>
            <w:r w:rsidRPr="00764EAF">
              <w:rPr>
                <w:b w:val="0"/>
                <w:color w:val="000000"/>
                <w:sz w:val="18"/>
                <w:szCs w:val="24"/>
              </w:rPr>
              <w:t>Область 6 – Цифрові дані (</w:t>
            </w:r>
            <w:hyperlink w:anchor="bookmark133" w:tooltip="Поточний документ">
              <w:r w:rsidR="00366CB9" w:rsidRPr="00764EAF">
                <w:rPr>
                  <w:color w:val="000000"/>
                  <w:sz w:val="18"/>
                  <w:szCs w:val="24"/>
                </w:rPr>
                <w:t>розділ 5.6</w:t>
              </w:r>
            </w:hyperlink>
            <w:r w:rsidRPr="00764EAF">
              <w:rPr>
                <w:b w:val="0"/>
                <w:color w:val="000000"/>
                <w:sz w:val="18"/>
                <w:szCs w:val="24"/>
              </w:rPr>
              <w:t>)</w:t>
            </w:r>
          </w:p>
          <w:p w14:paraId="658C4DF9" w14:textId="77777777" w:rsidR="00366CB9" w:rsidRPr="00764EAF" w:rsidRDefault="009D0C1D" w:rsidP="00E8720F">
            <w:pPr>
              <w:pStyle w:val="a6"/>
              <w:shd w:val="clear" w:color="auto" w:fill="auto"/>
              <w:spacing w:line="326" w:lineRule="auto"/>
              <w:rPr>
                <w:sz w:val="18"/>
                <w:szCs w:val="18"/>
              </w:rPr>
            </w:pPr>
            <w:r w:rsidRPr="00764EAF">
              <w:rPr>
                <w:b w:val="0"/>
                <w:color w:val="019648"/>
                <w:sz w:val="18"/>
                <w:szCs w:val="24"/>
              </w:rPr>
              <w:t xml:space="preserve">• </w:t>
            </w:r>
            <w:r w:rsidRPr="00764EAF">
              <w:rPr>
                <w:b w:val="0"/>
                <w:color w:val="000000"/>
                <w:sz w:val="18"/>
                <w:szCs w:val="24"/>
              </w:rPr>
              <w:t>Область 7 – Забезпечення, контроль та оцінка якості (</w:t>
            </w:r>
            <w:hyperlink w:anchor="bookmark137" w:tooltip="Поточний документ">
              <w:r w:rsidR="00366CB9" w:rsidRPr="00764EAF">
                <w:rPr>
                  <w:color w:val="000000"/>
                  <w:sz w:val="18"/>
                  <w:szCs w:val="24"/>
                </w:rPr>
                <w:t>розділ 5.7</w:t>
              </w:r>
            </w:hyperlink>
            <w:r w:rsidRPr="00764EAF">
              <w:rPr>
                <w:b w:val="0"/>
                <w:color w:val="000000"/>
                <w:sz w:val="18"/>
                <w:szCs w:val="24"/>
              </w:rPr>
              <w:t>)</w:t>
            </w:r>
          </w:p>
          <w:p w14:paraId="5298471C" w14:textId="77777777" w:rsidR="00366CB9" w:rsidRPr="00764EAF" w:rsidRDefault="009D0C1D" w:rsidP="00E8720F">
            <w:pPr>
              <w:pStyle w:val="a6"/>
              <w:shd w:val="clear" w:color="auto" w:fill="auto"/>
              <w:spacing w:line="326" w:lineRule="auto"/>
              <w:rPr>
                <w:sz w:val="18"/>
                <w:szCs w:val="18"/>
              </w:rPr>
            </w:pPr>
            <w:r w:rsidRPr="00764EAF">
              <w:rPr>
                <w:b w:val="0"/>
                <w:color w:val="019648"/>
                <w:sz w:val="18"/>
                <w:szCs w:val="24"/>
              </w:rPr>
              <w:t xml:space="preserve">• </w:t>
            </w:r>
            <w:r w:rsidRPr="00764EAF">
              <w:rPr>
                <w:b w:val="0"/>
                <w:color w:val="000000"/>
                <w:sz w:val="18"/>
                <w:szCs w:val="24"/>
              </w:rPr>
              <w:t>Область 8 – Реєстрація та звітування (</w:t>
            </w:r>
            <w:hyperlink w:anchor="bookmark141" w:tooltip="Поточний документ">
              <w:r w:rsidR="00366CB9" w:rsidRPr="00764EAF">
                <w:rPr>
                  <w:color w:val="000000"/>
                  <w:sz w:val="18"/>
                  <w:szCs w:val="24"/>
                </w:rPr>
                <w:t>розділ 5.8</w:t>
              </w:r>
            </w:hyperlink>
            <w:r w:rsidRPr="00764EAF">
              <w:rPr>
                <w:b w:val="0"/>
                <w:color w:val="000000"/>
                <w:sz w:val="18"/>
                <w:szCs w:val="24"/>
              </w:rPr>
              <w:t>)</w:t>
            </w:r>
          </w:p>
          <w:p w14:paraId="36ECEE77" w14:textId="77777777" w:rsidR="00366CB9" w:rsidRPr="00764EAF" w:rsidRDefault="009D0C1D" w:rsidP="00E8720F">
            <w:pPr>
              <w:pStyle w:val="a6"/>
              <w:shd w:val="clear" w:color="auto" w:fill="auto"/>
              <w:spacing w:line="326" w:lineRule="auto"/>
              <w:rPr>
                <w:sz w:val="18"/>
                <w:szCs w:val="18"/>
              </w:rPr>
            </w:pPr>
            <w:r w:rsidRPr="00764EAF">
              <w:rPr>
                <w:b w:val="0"/>
                <w:color w:val="019648"/>
                <w:sz w:val="18"/>
                <w:szCs w:val="24"/>
              </w:rPr>
              <w:t xml:space="preserve">• </w:t>
            </w:r>
            <w:r w:rsidRPr="00764EAF">
              <w:rPr>
                <w:b w:val="0"/>
                <w:color w:val="000000"/>
                <w:sz w:val="18"/>
                <w:szCs w:val="24"/>
              </w:rPr>
              <w:t>Область 9 – Підготовка та оцінка компетентності людських ресурсів (</w:t>
            </w:r>
            <w:hyperlink w:anchor="bookmark145" w:tooltip="Поточний документ">
              <w:r w:rsidR="00366CB9" w:rsidRPr="00764EAF">
                <w:rPr>
                  <w:color w:val="000000"/>
                  <w:sz w:val="18"/>
                  <w:szCs w:val="24"/>
                </w:rPr>
                <w:t>розділ 5.9</w:t>
              </w:r>
            </w:hyperlink>
            <w:r w:rsidRPr="00764EAF">
              <w:rPr>
                <w:b w:val="0"/>
                <w:color w:val="000000"/>
                <w:sz w:val="18"/>
                <w:szCs w:val="24"/>
              </w:rPr>
              <w:t>)</w:t>
            </w:r>
          </w:p>
          <w:p w14:paraId="3A851749" w14:textId="77777777" w:rsidR="00366CB9" w:rsidRDefault="009D0C1D" w:rsidP="00E8720F">
            <w:pPr>
              <w:pStyle w:val="a6"/>
              <w:shd w:val="clear" w:color="auto" w:fill="auto"/>
              <w:spacing w:line="326" w:lineRule="auto"/>
              <w:rPr>
                <w:sz w:val="20"/>
                <w:szCs w:val="20"/>
              </w:rPr>
            </w:pPr>
            <w:r w:rsidRPr="00764EAF">
              <w:rPr>
                <w:b w:val="0"/>
                <w:color w:val="019648"/>
                <w:sz w:val="18"/>
                <w:szCs w:val="24"/>
              </w:rPr>
              <w:t xml:space="preserve">• </w:t>
            </w:r>
            <w:r w:rsidRPr="00764EAF">
              <w:rPr>
                <w:b w:val="0"/>
                <w:color w:val="000000"/>
                <w:sz w:val="18"/>
                <w:szCs w:val="24"/>
              </w:rPr>
              <w:t>Область 10 – Моніторинг та оцінка (</w:t>
            </w:r>
            <w:hyperlink w:anchor="bookmark149" w:tooltip="Поточний документ">
              <w:r w:rsidR="00366CB9" w:rsidRPr="00764EAF">
                <w:rPr>
                  <w:color w:val="000000"/>
                  <w:sz w:val="18"/>
                  <w:szCs w:val="24"/>
                </w:rPr>
                <w:t>розділ 5.1</w:t>
              </w:r>
              <w:r w:rsidR="00366CB9" w:rsidRPr="00764EAF">
                <w:rPr>
                  <w:b w:val="0"/>
                  <w:color w:val="000000"/>
                  <w:sz w:val="18"/>
                  <w:szCs w:val="24"/>
                </w:rPr>
                <w:t>0</w:t>
              </w:r>
            </w:hyperlink>
            <w:r w:rsidRPr="00764EAF">
              <w:rPr>
                <w:b w:val="0"/>
                <w:color w:val="000000"/>
                <w:sz w:val="18"/>
                <w:szCs w:val="24"/>
              </w:rPr>
              <w:t>).</w:t>
            </w:r>
          </w:p>
        </w:tc>
      </w:tr>
      <w:tr w:rsidR="00366CB9" w14:paraId="06B95FA6" w14:textId="77777777" w:rsidTr="00764EAF">
        <w:trPr>
          <w:trHeight w:hRule="exact" w:val="852"/>
        </w:trPr>
        <w:tc>
          <w:tcPr>
            <w:tcW w:w="9086" w:type="dxa"/>
            <w:tcBorders>
              <w:bottom w:val="single" w:sz="12" w:space="0" w:color="007A44"/>
            </w:tcBorders>
            <w:shd w:val="clear" w:color="auto" w:fill="FFFFFF"/>
          </w:tcPr>
          <w:p w14:paraId="548ED620" w14:textId="77777777" w:rsidR="00366CB9" w:rsidRDefault="009D0C1D" w:rsidP="00E8720F">
            <w:pPr>
              <w:pStyle w:val="a6"/>
              <w:shd w:val="clear" w:color="auto" w:fill="auto"/>
              <w:rPr>
                <w:sz w:val="36"/>
                <w:szCs w:val="36"/>
              </w:rPr>
            </w:pPr>
            <w:bookmarkStart w:id="118" w:name="bookmark116"/>
            <w:bookmarkStart w:id="119" w:name="bookmark115"/>
            <w:r>
              <w:rPr>
                <w:b w:val="0"/>
                <w:color w:val="019648"/>
                <w:sz w:val="36"/>
              </w:rPr>
              <w:t>5.1 Область 1 – Політики, бюджетування та планування</w:t>
            </w:r>
            <w:bookmarkEnd w:id="118"/>
            <w:bookmarkEnd w:id="119"/>
          </w:p>
        </w:tc>
      </w:tr>
      <w:tr w:rsidR="00366CB9" w14:paraId="73379C16" w14:textId="77777777" w:rsidTr="00764EAF">
        <w:trPr>
          <w:trHeight w:hRule="exact" w:val="3250"/>
        </w:trPr>
        <w:tc>
          <w:tcPr>
            <w:tcW w:w="9086" w:type="dxa"/>
            <w:tcBorders>
              <w:top w:val="single" w:sz="12" w:space="0" w:color="007A44"/>
              <w:left w:val="single" w:sz="12" w:space="0" w:color="007A44"/>
              <w:bottom w:val="single" w:sz="12" w:space="0" w:color="007A44"/>
              <w:right w:val="single" w:sz="12" w:space="0" w:color="007A44"/>
            </w:tcBorders>
            <w:shd w:val="clear" w:color="auto" w:fill="FFFFFF"/>
          </w:tcPr>
          <w:p w14:paraId="10970480" w14:textId="77777777" w:rsidR="00366CB9" w:rsidRPr="00BF6DB7" w:rsidRDefault="009D0C1D" w:rsidP="00E8720F">
            <w:pPr>
              <w:pStyle w:val="a6"/>
              <w:shd w:val="clear" w:color="auto" w:fill="auto"/>
              <w:spacing w:after="140" w:line="331" w:lineRule="auto"/>
              <w:ind w:left="160"/>
              <w:rPr>
                <w:sz w:val="20"/>
                <w:szCs w:val="20"/>
              </w:rPr>
            </w:pPr>
            <w:r>
              <w:rPr>
                <w:color w:val="000000"/>
                <w:sz w:val="20"/>
              </w:rPr>
              <w:t>Етап 1.1 – Створити технічну робочу групу (ТРГ) з визначеними ролями та обов’язками</w:t>
            </w:r>
          </w:p>
          <w:p w14:paraId="0C9467E3" w14:textId="77777777" w:rsidR="00366CB9" w:rsidRPr="00BF6DB7" w:rsidRDefault="009D0C1D" w:rsidP="00E8720F">
            <w:pPr>
              <w:pStyle w:val="a6"/>
              <w:shd w:val="clear" w:color="auto" w:fill="auto"/>
              <w:spacing w:after="140" w:line="331" w:lineRule="auto"/>
              <w:ind w:left="160"/>
              <w:rPr>
                <w:sz w:val="20"/>
                <w:szCs w:val="20"/>
              </w:rPr>
            </w:pPr>
            <w:r>
              <w:rPr>
                <w:color w:val="000000"/>
                <w:sz w:val="20"/>
              </w:rPr>
              <w:t>Етап 1.2 – Переглянути політики ВООЗ та доступні технічні посібники та посібники з впровадження</w:t>
            </w:r>
          </w:p>
          <w:p w14:paraId="34622A96" w14:textId="77777777" w:rsidR="00366CB9" w:rsidRPr="00BF6DB7" w:rsidRDefault="009D0C1D" w:rsidP="00E8720F">
            <w:pPr>
              <w:pStyle w:val="a6"/>
              <w:shd w:val="clear" w:color="auto" w:fill="auto"/>
              <w:spacing w:after="140" w:line="331" w:lineRule="auto"/>
              <w:ind w:left="160"/>
              <w:rPr>
                <w:sz w:val="20"/>
                <w:szCs w:val="20"/>
              </w:rPr>
            </w:pPr>
            <w:r>
              <w:rPr>
                <w:color w:val="000000"/>
                <w:sz w:val="20"/>
              </w:rPr>
              <w:t>Етап 1.3 – Визначити безпосередні та подальші цілі тестування</w:t>
            </w:r>
          </w:p>
          <w:p w14:paraId="35087C08" w14:textId="77777777" w:rsidR="00366CB9" w:rsidRPr="00BF6DB7" w:rsidRDefault="009D0C1D" w:rsidP="00E8720F">
            <w:pPr>
              <w:pStyle w:val="a6"/>
              <w:shd w:val="clear" w:color="auto" w:fill="auto"/>
              <w:spacing w:after="140" w:line="331" w:lineRule="auto"/>
              <w:ind w:left="160"/>
              <w:rPr>
                <w:sz w:val="20"/>
                <w:szCs w:val="20"/>
              </w:rPr>
            </w:pPr>
            <w:r>
              <w:rPr>
                <w:color w:val="000000"/>
                <w:sz w:val="20"/>
              </w:rPr>
              <w:t>Етап 1.4 – Оновити національний діагностичний алгоритм та керівні принципи</w:t>
            </w:r>
          </w:p>
          <w:p w14:paraId="218B19F2" w14:textId="77777777" w:rsidR="00366CB9" w:rsidRPr="00BF6DB7" w:rsidRDefault="009D0C1D" w:rsidP="00E8720F">
            <w:pPr>
              <w:pStyle w:val="a6"/>
              <w:shd w:val="clear" w:color="auto" w:fill="auto"/>
              <w:spacing w:after="140" w:line="331" w:lineRule="auto"/>
              <w:ind w:left="160"/>
              <w:rPr>
                <w:sz w:val="20"/>
                <w:szCs w:val="20"/>
              </w:rPr>
            </w:pPr>
            <w:r>
              <w:rPr>
                <w:color w:val="000000"/>
                <w:sz w:val="20"/>
              </w:rPr>
              <w:t>Етап 1.5 – Провести ситуаційний аналіз з урахуванням біологічної безпеки</w:t>
            </w:r>
          </w:p>
          <w:p w14:paraId="706F26FD" w14:textId="77777777" w:rsidR="00366CB9" w:rsidRDefault="009D0C1D" w:rsidP="00E8720F">
            <w:pPr>
              <w:pStyle w:val="a6"/>
              <w:shd w:val="clear" w:color="auto" w:fill="auto"/>
              <w:spacing w:after="140" w:line="331" w:lineRule="auto"/>
              <w:ind w:left="160"/>
              <w:rPr>
                <w:sz w:val="20"/>
                <w:szCs w:val="20"/>
              </w:rPr>
            </w:pPr>
            <w:r>
              <w:rPr>
                <w:color w:val="000000"/>
                <w:sz w:val="20"/>
              </w:rPr>
              <w:t>Етап 1.6 – Розробити план дій для поетапної реалізації</w:t>
            </w:r>
          </w:p>
        </w:tc>
      </w:tr>
      <w:tr w:rsidR="00366CB9" w14:paraId="56CD9A18" w14:textId="77777777" w:rsidTr="00764EAF">
        <w:trPr>
          <w:trHeight w:hRule="exact" w:val="2159"/>
        </w:trPr>
        <w:tc>
          <w:tcPr>
            <w:tcW w:w="9086" w:type="dxa"/>
            <w:tcBorders>
              <w:top w:val="single" w:sz="12" w:space="0" w:color="007A44"/>
            </w:tcBorders>
            <w:shd w:val="clear" w:color="auto" w:fill="FFFFFF"/>
          </w:tcPr>
          <w:p w14:paraId="376BF2A7" w14:textId="77777777" w:rsidR="00366CB9" w:rsidRPr="00384EE0" w:rsidRDefault="009D0C1D" w:rsidP="00E8720F">
            <w:pPr>
              <w:pStyle w:val="a6"/>
              <w:shd w:val="clear" w:color="auto" w:fill="auto"/>
              <w:spacing w:before="360" w:after="180" w:line="271" w:lineRule="auto"/>
              <w:rPr>
                <w:i/>
                <w:iCs/>
                <w:sz w:val="24"/>
                <w:szCs w:val="24"/>
              </w:rPr>
            </w:pPr>
            <w:r>
              <w:rPr>
                <w:b w:val="0"/>
                <w:i/>
                <w:color w:val="019648"/>
                <w:sz w:val="24"/>
              </w:rPr>
              <w:t>Етап 1.1 – Створити ТРГ з визначеними ролями та обов’язками</w:t>
            </w:r>
          </w:p>
          <w:p w14:paraId="4348B17B" w14:textId="77777777" w:rsidR="00366CB9" w:rsidRDefault="009D0C1D" w:rsidP="00E8720F">
            <w:pPr>
              <w:pStyle w:val="a6"/>
              <w:shd w:val="clear" w:color="auto" w:fill="auto"/>
              <w:spacing w:line="324" w:lineRule="auto"/>
              <w:rPr>
                <w:sz w:val="20"/>
                <w:szCs w:val="20"/>
              </w:rPr>
            </w:pPr>
            <w:r w:rsidRPr="00764EAF">
              <w:rPr>
                <w:b w:val="0"/>
                <w:color w:val="000000"/>
                <w:sz w:val="18"/>
                <w:szCs w:val="24"/>
              </w:rPr>
              <w:t>Для управління процесом впровадження необхідно створити ТРГ, до складу якої увійдуть представники всіх ключових зацікавлених сторін. Важливо включити представників інших програм боротьби з захворюваннями або національного лабораторного директорату, особливо у разі планування тестування на кілька захворювань. ТРГ необхідно створити під керівництвом міністерства охорони здоров’я, НПБП та</w:t>
            </w:r>
          </w:p>
        </w:tc>
      </w:tr>
    </w:tbl>
    <w:p w14:paraId="289D5F77" w14:textId="77777777" w:rsidR="00366CB9" w:rsidRDefault="009D0C1D" w:rsidP="00425523">
      <w:pPr>
        <w:pStyle w:val="ab"/>
        <w:framePr w:wrap="none" w:vAnchor="page" w:hAnchor="page" w:x="10869" w:y="16159"/>
        <w:shd w:val="clear" w:color="auto" w:fill="auto"/>
      </w:pPr>
      <w:r>
        <w:t>91</w:t>
      </w:r>
    </w:p>
    <w:p w14:paraId="38641C6A" w14:textId="77777777" w:rsidR="00366CB9" w:rsidRDefault="009D0C1D" w:rsidP="00425523">
      <w:pPr>
        <w:spacing w:line="1" w:lineRule="exact"/>
        <w:sectPr w:rsidR="00366CB9" w:rsidSect="00E8720F">
          <w:footerReference w:type="default" r:id="rId112"/>
          <w:type w:val="nextColumn"/>
          <w:pgSz w:w="11911" w:h="17036"/>
          <w:pgMar w:top="2325" w:right="1378" w:bottom="851" w:left="1372" w:header="0" w:footer="6" w:gutter="0"/>
          <w:paperSrc w:first="15" w:other="15"/>
          <w:cols w:space="720"/>
          <w:noEndnote/>
          <w:docGrid w:linePitch="360"/>
        </w:sectPr>
      </w:pPr>
      <w:r>
        <w:rPr>
          <w:noProof/>
        </w:rPr>
        <w:drawing>
          <wp:anchor distT="0" distB="0" distL="0" distR="0" simplePos="0" relativeHeight="251425792" behindDoc="1" locked="0" layoutInCell="1" allowOverlap="1" wp14:anchorId="3106A274" wp14:editId="78C7E605">
            <wp:simplePos x="0" y="0"/>
            <wp:positionH relativeFrom="page">
              <wp:align>left</wp:align>
            </wp:positionH>
            <wp:positionV relativeFrom="page">
              <wp:align>top</wp:align>
            </wp:positionV>
            <wp:extent cx="7560000" cy="1472400"/>
            <wp:effectExtent l="0" t="0" r="3175" b="0"/>
            <wp:wrapNone/>
            <wp:docPr id="107" name="Shape 107"/>
            <wp:cNvGraphicFramePr/>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113"/>
                    <a:stretch/>
                  </pic:blipFill>
                  <pic:spPr>
                    <a:xfrm>
                      <a:off x="0" y="0"/>
                      <a:ext cx="7560000" cy="1472400"/>
                    </a:xfrm>
                    <a:prstGeom prst="rect">
                      <a:avLst/>
                    </a:prstGeom>
                  </pic:spPr>
                </pic:pic>
              </a:graphicData>
            </a:graphic>
            <wp14:sizeRelH relativeFrom="margin">
              <wp14:pctWidth>0</wp14:pctWidth>
            </wp14:sizeRelH>
            <wp14:sizeRelV relativeFrom="margin">
              <wp14:pctHeight>0</wp14:pctHeight>
            </wp14:sizeRelV>
          </wp:anchor>
        </w:drawing>
      </w:r>
    </w:p>
    <w:p w14:paraId="73A2F395" w14:textId="77777777" w:rsidR="00366CB9" w:rsidRDefault="00366CB9" w:rsidP="00425523">
      <w:pPr>
        <w:spacing w:line="1" w:lineRule="exact"/>
      </w:pPr>
    </w:p>
    <w:p w14:paraId="4D679C9B"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Національної референс-лабораторії з діагностики туберкульозу (НТРЛ). ТРГ уповноважена консультувати міністерство охорони здоров’я, НПБТ та НТРЛ щодо національної політики та впровадження тестів; розробляти плани дій та інструменти впровадження (наприклад, алгоритми тестування, СОП та протоколи); та контролювати впровадження тесту. ТРГ також контролює якість впровадження; пропонує етапи усунення прогалин у впровадженні в рамках каскадної допомоги; та оцінювати вплив та ефективність впровадження тесту. Також може бути запрошено представників таких ключових зацікавлених сторін:</w:t>
      </w:r>
    </w:p>
    <w:p w14:paraId="1AEFBB5B" w14:textId="290C07BC" w:rsidR="00366CB9" w:rsidRPr="008D3E53" w:rsidRDefault="009D0C1D" w:rsidP="008D3E53">
      <w:pPr>
        <w:pStyle w:val="1"/>
        <w:shd w:val="clear" w:color="auto" w:fill="auto"/>
        <w:spacing w:line="324" w:lineRule="auto"/>
        <w:ind w:left="260" w:hanging="260"/>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міністерство охорони здоров’я, НПБТ, національні програми (наприклад, програми боротьби з ВІЛ/СНІДом та програми боротьби з неінфекційними захворюваннями), НТРЛ та регіональні лабораторії;</w:t>
      </w:r>
    </w:p>
    <w:p w14:paraId="79F34BC0" w14:textId="0C21B451" w:rsidR="00366CB9" w:rsidRPr="008D3E53" w:rsidRDefault="009D0C1D" w:rsidP="008D3E53">
      <w:pPr>
        <w:pStyle w:val="1"/>
        <w:shd w:val="clear" w:color="auto" w:fill="auto"/>
        <w:spacing w:line="324" w:lineRule="auto"/>
        <w:ind w:left="260" w:hanging="260"/>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представники різних галузей для впровадження тестів на виявлення туберкульозної інфекції (наприклад, виправні служби та шахти);</w:t>
      </w:r>
    </w:p>
    <w:p w14:paraId="05ADFFB6" w14:textId="6F6A200E" w:rsidR="00366CB9" w:rsidRPr="008D3E53" w:rsidRDefault="009D0C1D" w:rsidP="008D3E53">
      <w:pPr>
        <w:pStyle w:val="1"/>
        <w:shd w:val="clear" w:color="auto" w:fill="auto"/>
        <w:spacing w:line="324" w:lineRule="auto"/>
        <w:ind w:left="260" w:hanging="260"/>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науково-дослідницькі інститути або інші організації з досвідом використання нового діагностичного тесту;</w:t>
      </w:r>
    </w:p>
    <w:p w14:paraId="7F379F70" w14:textId="7A72193A" w:rsidR="00366CB9" w:rsidRPr="008D3E53" w:rsidRDefault="009D0C1D" w:rsidP="008D3E53">
      <w:pPr>
        <w:pStyle w:val="1"/>
        <w:shd w:val="clear" w:color="auto" w:fill="auto"/>
        <w:spacing w:line="324" w:lineRule="auto"/>
        <w:ind w:left="260" w:hanging="260"/>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партнери з реалізації, включаючи партнерів, не залучених у програми боротьби з ТБ;</w:t>
      </w:r>
    </w:p>
    <w:p w14:paraId="13EC7FFB" w14:textId="306F1D18" w:rsidR="00366CB9" w:rsidRPr="008D3E53" w:rsidRDefault="009D0C1D" w:rsidP="008D3E53">
      <w:pPr>
        <w:pStyle w:val="1"/>
        <w:shd w:val="clear" w:color="auto" w:fill="auto"/>
        <w:spacing w:line="324" w:lineRule="auto"/>
        <w:ind w:left="260" w:hanging="260"/>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периферійні лабораторії та дослідницькі центри, що братимуть участь у тестуванні;</w:t>
      </w:r>
    </w:p>
    <w:p w14:paraId="72F6700F" w14:textId="7256AE03" w:rsidR="00366CB9" w:rsidRPr="008D3E53" w:rsidRDefault="009D0C1D" w:rsidP="008D3E53">
      <w:pPr>
        <w:pStyle w:val="1"/>
        <w:shd w:val="clear" w:color="auto" w:fill="auto"/>
        <w:spacing w:line="324" w:lineRule="auto"/>
        <w:ind w:left="260" w:hanging="260"/>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регуляторні органи;</w:t>
      </w:r>
    </w:p>
    <w:p w14:paraId="7335F245" w14:textId="22E577C9" w:rsidR="00366CB9" w:rsidRPr="008D3E53" w:rsidRDefault="009D0C1D" w:rsidP="008D3E53">
      <w:pPr>
        <w:pStyle w:val="1"/>
        <w:shd w:val="clear" w:color="auto" w:fill="auto"/>
        <w:spacing w:line="324" w:lineRule="auto"/>
        <w:ind w:left="260" w:hanging="260"/>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фахівці з управління даними або ІТ-фахівці та керівники, які можуть забезпечити сумісність електронних систем;</w:t>
      </w:r>
    </w:p>
    <w:p w14:paraId="779C46F6" w14:textId="3DE0E370" w:rsidR="00366CB9" w:rsidRPr="008D3E53" w:rsidRDefault="009D0C1D" w:rsidP="008D3E53">
      <w:pPr>
        <w:pStyle w:val="1"/>
        <w:shd w:val="clear" w:color="auto" w:fill="auto"/>
        <w:spacing w:line="324" w:lineRule="auto"/>
        <w:ind w:left="260" w:hanging="260"/>
        <w:rPr>
          <w:sz w:val="18"/>
          <w:szCs w:val="18"/>
        </w:rPr>
      </w:pPr>
      <w:r w:rsidRPr="008D3E53">
        <w:rPr>
          <w:color w:val="019648"/>
          <w:sz w:val="18"/>
          <w:szCs w:val="18"/>
        </w:rPr>
        <w:t xml:space="preserve">• </w:t>
      </w:r>
      <w:r w:rsidR="008D3E53" w:rsidRPr="008D3E53">
        <w:rPr>
          <w:sz w:val="18"/>
          <w:szCs w:val="18"/>
        </w:rPr>
        <w:tab/>
      </w:r>
      <w:r w:rsidRPr="008D3E53">
        <w:rPr>
          <w:sz w:val="18"/>
          <w:szCs w:val="18"/>
        </w:rPr>
        <w:t>логісти у сфері систем перевезення зразків для централізованого або регіонального тестування (на ТБ та інші захворювання);</w:t>
      </w:r>
    </w:p>
    <w:p w14:paraId="415B3BFC" w14:textId="7CEADB70" w:rsidR="00366CB9" w:rsidRPr="008D3E53" w:rsidRDefault="009D0C1D" w:rsidP="008D3E53">
      <w:pPr>
        <w:pStyle w:val="1"/>
        <w:shd w:val="clear" w:color="auto" w:fill="auto"/>
        <w:spacing w:line="324" w:lineRule="auto"/>
        <w:ind w:left="260" w:hanging="260"/>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інші технічні партнери та партнери з реалізації (крім представників програм боротьби з ТБ та ВІЛ) та інші агенції ООН;</w:t>
      </w:r>
    </w:p>
    <w:p w14:paraId="64190CAF" w14:textId="37A088ED" w:rsidR="00366CB9" w:rsidRPr="008D3E53" w:rsidRDefault="009D0C1D" w:rsidP="008D3E53">
      <w:pPr>
        <w:pStyle w:val="1"/>
        <w:shd w:val="clear" w:color="auto" w:fill="auto"/>
        <w:spacing w:line="324" w:lineRule="auto"/>
        <w:ind w:left="260" w:hanging="260"/>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представники громади та громадянського суспільства; та</w:t>
      </w:r>
    </w:p>
    <w:p w14:paraId="3008831F" w14:textId="219739AB" w:rsidR="00366CB9" w:rsidRPr="008D3E53" w:rsidRDefault="009D0C1D" w:rsidP="008D3E53">
      <w:pPr>
        <w:pStyle w:val="1"/>
        <w:shd w:val="clear" w:color="auto" w:fill="auto"/>
        <w:spacing w:after="160" w:line="324" w:lineRule="auto"/>
        <w:ind w:left="260" w:hanging="260"/>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персонал закладу охорони здоров’я.</w:t>
      </w:r>
    </w:p>
    <w:p w14:paraId="519B052B" w14:textId="77777777" w:rsidR="00366CB9" w:rsidRPr="008D3E53" w:rsidRDefault="009D0C1D" w:rsidP="00E8720F">
      <w:pPr>
        <w:pStyle w:val="1"/>
        <w:shd w:val="clear" w:color="auto" w:fill="auto"/>
        <w:spacing w:after="160" w:line="322" w:lineRule="auto"/>
        <w:jc w:val="both"/>
        <w:rPr>
          <w:sz w:val="18"/>
          <w:szCs w:val="18"/>
        </w:rPr>
      </w:pPr>
      <w:r w:rsidRPr="008D3E53">
        <w:rPr>
          <w:sz w:val="18"/>
          <w:szCs w:val="18"/>
        </w:rPr>
        <w:t>Команду повинна очолювати відповідна кваліфікована особа, наприклад, співробітник національної лабораторії з діагностики туберкульозу або координатор лабораторії з НПБТ або НТРЛ. Невід’ємною частиною процесу планування є визначення ролей та обов’язків членів групи з впровадження, а також зовнішніх партнерів та донорів.</w:t>
      </w:r>
    </w:p>
    <w:p w14:paraId="4BE3F999" w14:textId="77777777" w:rsidR="008D3E53" w:rsidRDefault="009D0C1D" w:rsidP="00E8720F">
      <w:pPr>
        <w:pStyle w:val="1"/>
        <w:shd w:val="clear" w:color="auto" w:fill="auto"/>
        <w:spacing w:after="160" w:line="343" w:lineRule="auto"/>
        <w:jc w:val="both"/>
        <w:rPr>
          <w:color w:val="019648"/>
          <w:sz w:val="24"/>
        </w:rPr>
      </w:pPr>
      <w:r>
        <w:rPr>
          <w:i/>
          <w:color w:val="019648"/>
          <w:sz w:val="24"/>
        </w:rPr>
        <w:t>Етап 1.2 – Переглянути політики ВООЗ та доступні технічні посібники та посібники з впровадження</w:t>
      </w:r>
    </w:p>
    <w:p w14:paraId="43221258" w14:textId="63E4642D" w:rsidR="00366CB9" w:rsidRPr="008D3E53" w:rsidRDefault="009D0C1D" w:rsidP="00E8720F">
      <w:pPr>
        <w:pStyle w:val="1"/>
        <w:shd w:val="clear" w:color="auto" w:fill="auto"/>
        <w:spacing w:after="160" w:line="343" w:lineRule="auto"/>
        <w:jc w:val="both"/>
        <w:rPr>
          <w:sz w:val="18"/>
          <w:szCs w:val="18"/>
        </w:rPr>
      </w:pPr>
      <w:r w:rsidRPr="008D3E53">
        <w:rPr>
          <w:sz w:val="18"/>
          <w:szCs w:val="18"/>
        </w:rPr>
        <w:t>Члени ТРГ мають ознайомитись зі змістом відповідних політик, вказівок, довідників та звітів ВООЗ, а також будь-яких доступних посібників з впровадження від ВООЗ, ГЛІ, Фонду інноваційної діагностики (FIND) та партнерів з реалізації. Увагу необхідно приділити політикам та рекомендаціям ВООЗ щодо використання тесту для діагностики ТБ або виявлення медикаментозної резистентності, популяції тестування, способу проведення тесту, обмеженням тесту та тлумачення результатів тесту.</w:t>
      </w:r>
    </w:p>
    <w:p w14:paraId="0D269E00" w14:textId="77777777" w:rsidR="00366CB9" w:rsidRPr="00384EE0" w:rsidRDefault="009D0C1D" w:rsidP="00E8720F">
      <w:pPr>
        <w:pStyle w:val="60"/>
        <w:shd w:val="clear" w:color="auto" w:fill="auto"/>
        <w:spacing w:after="160" w:line="269" w:lineRule="auto"/>
        <w:jc w:val="both"/>
        <w:rPr>
          <w:i/>
          <w:iCs/>
        </w:rPr>
      </w:pPr>
      <w:r>
        <w:rPr>
          <w:i/>
          <w:color w:val="019648"/>
        </w:rPr>
        <w:t>Етап 1.3 – Визначити безпосередні та подальші цілі тестування</w:t>
      </w:r>
    </w:p>
    <w:p w14:paraId="1D882C49" w14:textId="77777777" w:rsidR="00366CB9" w:rsidRPr="008D3E53" w:rsidRDefault="009D0C1D" w:rsidP="00E8720F">
      <w:pPr>
        <w:pStyle w:val="1"/>
        <w:shd w:val="clear" w:color="auto" w:fill="auto"/>
        <w:spacing w:line="324" w:lineRule="auto"/>
        <w:jc w:val="both"/>
        <w:rPr>
          <w:sz w:val="18"/>
          <w:szCs w:val="18"/>
        </w:rPr>
      </w:pPr>
      <w:r w:rsidRPr="008D3E53">
        <w:rPr>
          <w:sz w:val="18"/>
          <w:szCs w:val="18"/>
        </w:rPr>
        <w:t>В рамках програм необхідно чітко визначати мету, сферу застосування та призначення нового діагностичного тесту, оскільки це впливає на план впровадження, включаючи ресурси. Наприклад, лабораторна система або мережа для своєчасного надання результатів з метою прийняття рішень щодо лікування пацієнтів суттєво відрізняється від лабораторної системи або мережі для проведення щорічного дослідження медикаментозної резистентності.</w:t>
      </w:r>
    </w:p>
    <w:p w14:paraId="0C17AE89"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038F7239" w14:textId="77777777" w:rsidR="00366CB9" w:rsidRDefault="00366CB9" w:rsidP="00425523">
      <w:pPr>
        <w:spacing w:line="1" w:lineRule="exact"/>
      </w:pPr>
    </w:p>
    <w:p w14:paraId="311DADE1" w14:textId="77777777" w:rsidR="00366CB9" w:rsidRPr="00384EE0" w:rsidRDefault="009D0C1D" w:rsidP="00E8720F">
      <w:pPr>
        <w:pStyle w:val="60"/>
        <w:shd w:val="clear" w:color="auto" w:fill="auto"/>
        <w:spacing w:after="160" w:line="269" w:lineRule="auto"/>
        <w:jc w:val="both"/>
        <w:rPr>
          <w:i/>
          <w:iCs/>
        </w:rPr>
      </w:pPr>
      <w:r>
        <w:rPr>
          <w:i/>
          <w:color w:val="019648"/>
        </w:rPr>
        <w:t>Етап 1.4 – Оновити національний діагностичний алгоритм та керівні принципи</w:t>
      </w:r>
    </w:p>
    <w:p w14:paraId="5AA45AEA"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 xml:space="preserve">ТРГ має переглянути існуючі національні діагностичні алгоритми, враховуючи потреби осіб з ТБ, клінічні потреби, національну епідеміологічну ситуацію, існуючі алгоритми тестування, системи перенаправлення зразків та інші робочі міркування; вона також має надати рекомендації міністерству охорони здоров’я та НПБТ. У </w:t>
      </w:r>
      <w:hyperlink w:anchor="bookmark153" w:tooltip="Поточний документ">
        <w:r w:rsidR="00366CB9" w:rsidRPr="008D3E53">
          <w:rPr>
            <w:b/>
            <w:sz w:val="18"/>
            <w:szCs w:val="18"/>
          </w:rPr>
          <w:t>розділі 6</w:t>
        </w:r>
      </w:hyperlink>
      <w:r w:rsidRPr="008D3E53">
        <w:rPr>
          <w:sz w:val="18"/>
          <w:szCs w:val="18"/>
        </w:rPr>
        <w:t xml:space="preserve"> представлено детальну інформацію про модельні алгоритми застосування тестів, рекомендованих ВООЗ.</w:t>
      </w:r>
    </w:p>
    <w:p w14:paraId="6E40BC77"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ТРГ також повинна переглянути керівні принципи щодо використання результатів нових діагностичних тестів при прийнятті рішень щодо догляду за пацієнтами. У клінічних керівних принципах мають бути описані чіткі вказівки для клініцистів, медсестер та фахівців у сфері охорони здоров’я щодо призначення нового діагностичного тесту; цільові популяції; спосіб замовлення тесту; та пояснення щодо тлумачення, використання та повідомлення результатів тестів.</w:t>
      </w:r>
    </w:p>
    <w:p w14:paraId="448B0BEE" w14:textId="77777777" w:rsidR="00366CB9" w:rsidRPr="00384EE0" w:rsidRDefault="009D0C1D" w:rsidP="00E8720F">
      <w:pPr>
        <w:pStyle w:val="60"/>
        <w:shd w:val="clear" w:color="auto" w:fill="auto"/>
        <w:spacing w:after="160" w:line="269" w:lineRule="auto"/>
        <w:rPr>
          <w:i/>
          <w:iCs/>
        </w:rPr>
      </w:pPr>
      <w:r>
        <w:rPr>
          <w:i/>
          <w:color w:val="019648"/>
        </w:rPr>
        <w:t>Етап 1.5 – Провести ситуаційний аналіз з урахуванням біологічної безпеки</w:t>
      </w:r>
    </w:p>
    <w:p w14:paraId="2555761D"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Для складання планів впровадження нового діагностичного тесту слід провести ситуаційний аналіз існуючої лабораторної мережі та потужностей. Для більшості тестів ключовими елементами для оцінки є регуляторні вимоги; лабораторні та мережеві виробничі потужності; існуюча система перевезення зразків; навички, знання та досвід персоналу; можливості та виробничі потужності ІТ; підключення до діагностики; наявність та належність СОП; ланцюжок поставок; фінансові ресурси; та системи та ресурси ЗЯ. Під час оцінки необхідно враховувати вибір центрів тестування, потреби у перегляді форм підготовки, реєстрації та звітності, а також інструменти для моніторингу та оцінки. Важливу роль відіграє система перенаправлення зразків; див. контрольний перелік щодо оцінки такої системи у відповідній публікації ГЛІ (</w:t>
      </w:r>
      <w:hyperlink w:anchor="bookmark199" w:tooltip="Поточний документ">
        <w:r w:rsidR="00366CB9" w:rsidRPr="008D3E53">
          <w:rPr>
            <w:sz w:val="18"/>
            <w:szCs w:val="18"/>
          </w:rPr>
          <w:t>63</w:t>
        </w:r>
      </w:hyperlink>
      <w:r w:rsidRPr="008D3E53">
        <w:rPr>
          <w:sz w:val="18"/>
          <w:szCs w:val="18"/>
        </w:rPr>
        <w:t>), а контрольний перелік щодо впровадження тестів в рамках цільового СНП у технічному посібнику з СНП (</w:t>
      </w:r>
      <w:hyperlink w:anchor="bookmark197" w:tooltip="Поточний документ">
        <w:r w:rsidR="00366CB9" w:rsidRPr="008D3E53">
          <w:rPr>
            <w:sz w:val="18"/>
            <w:szCs w:val="18"/>
          </w:rPr>
          <w:t>33</w:t>
        </w:r>
      </w:hyperlink>
      <w:r w:rsidRPr="008D3E53">
        <w:rPr>
          <w:sz w:val="18"/>
          <w:szCs w:val="18"/>
        </w:rPr>
        <w:t>).</w:t>
      </w:r>
    </w:p>
    <w:p w14:paraId="5AA10968" w14:textId="77777777" w:rsidR="00366CB9" w:rsidRPr="00384EE0" w:rsidRDefault="009D0C1D" w:rsidP="00E8720F">
      <w:pPr>
        <w:pStyle w:val="60"/>
        <w:shd w:val="clear" w:color="auto" w:fill="auto"/>
        <w:spacing w:after="160" w:line="269" w:lineRule="auto"/>
        <w:rPr>
          <w:i/>
          <w:iCs/>
        </w:rPr>
      </w:pPr>
      <w:r>
        <w:rPr>
          <w:i/>
          <w:color w:val="019648"/>
        </w:rPr>
        <w:t>Етап 1.6 – Розробити план дій для поетапної реалізації</w:t>
      </w:r>
    </w:p>
    <w:p w14:paraId="6EF2B092"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Останнім етапом у цій області є розробка детального плану дій (з розрахунком вартості та пріоритетів) для поетапного впровадження, з (охопленими) цілями та часовими рамками. Часто впровадження нового тесту передбачає початкові витрати, пов’язані із закупівлею та встановленням приладів, допоміжного обладнання та витратних матеріалів; вимоги до покращення або створення необхідних лабораторних та мережевих виробничих потужностей (наприклад, системи перевезення зразків); кваліфікований персонал; експертну технічну допомогу; підтримання конфіденційності інформації про пацієнтів; та створення системи ЗЯ.</w:t>
      </w:r>
    </w:p>
    <w:p w14:paraId="6F6CD06A"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 xml:space="preserve">Ефективна реалізація плану вимагатиме фінансових та людських ресурсів від міністерства охорони здоров’я або НПБТ, з можливою підтримкою від партнерів з реалізації. Слід розробити бюджет для вирішення заходів у співпраці з ключовими партнерами. Бюджетні міркуванні узагальнено у </w:t>
      </w:r>
      <w:hyperlink w:anchor="bookmark203" w:tooltip="Поточний документ">
        <w:r w:rsidR="00366CB9" w:rsidRPr="008D3E53">
          <w:rPr>
            <w:b/>
            <w:sz w:val="18"/>
            <w:szCs w:val="18"/>
          </w:rPr>
          <w:t>Додатку 1</w:t>
        </w:r>
      </w:hyperlink>
      <w:r w:rsidRPr="008D3E53">
        <w:rPr>
          <w:sz w:val="18"/>
          <w:szCs w:val="18"/>
        </w:rPr>
        <w:t>.</w:t>
      </w:r>
    </w:p>
    <w:p w14:paraId="3C846A9E" w14:textId="77777777" w:rsidR="00366CB9" w:rsidRPr="008D3E53" w:rsidRDefault="009D0C1D" w:rsidP="00E8720F">
      <w:pPr>
        <w:pStyle w:val="1"/>
        <w:shd w:val="clear" w:color="auto" w:fill="auto"/>
        <w:spacing w:line="324" w:lineRule="auto"/>
        <w:jc w:val="both"/>
        <w:rPr>
          <w:sz w:val="18"/>
          <w:szCs w:val="18"/>
        </w:rPr>
      </w:pPr>
      <w:r w:rsidRPr="008D3E53">
        <w:rPr>
          <w:sz w:val="18"/>
          <w:szCs w:val="18"/>
        </w:rPr>
        <w:t>Наприклад, через високу вартість цільового ТМЧ на основі СНП (тобто початкового обладнання та виробничих витрат) потрібен ретельний план, що охоплює всі витрати на впровадження та експлуатацію. Обсяги тестування та розміри серій впливають на вартість та час циклу ТМЧ на основі СНП; вони детально описані в іншому розділі (</w:t>
      </w:r>
      <w:hyperlink w:anchor="bookmark197" w:tooltip="Поточний документ">
        <w:r w:rsidR="00366CB9" w:rsidRPr="008D3E53">
          <w:rPr>
            <w:sz w:val="18"/>
            <w:szCs w:val="18"/>
          </w:rPr>
          <w:t>33</w:t>
        </w:r>
      </w:hyperlink>
      <w:r w:rsidRPr="008D3E53">
        <w:rPr>
          <w:sz w:val="18"/>
          <w:szCs w:val="18"/>
        </w:rPr>
        <w:t>).</w:t>
      </w:r>
    </w:p>
    <w:p w14:paraId="3EFB0FD5" w14:textId="77777777" w:rsidR="00366CB9" w:rsidRDefault="00366CB9" w:rsidP="00425523">
      <w:pPr>
        <w:spacing w:line="1" w:lineRule="exact"/>
        <w:sectPr w:rsidR="00366CB9" w:rsidSect="00F03360">
          <w:footerReference w:type="default" r:id="rId114"/>
          <w:type w:val="nextColumn"/>
          <w:pgSz w:w="11911" w:h="17036"/>
          <w:pgMar w:top="1469" w:right="1378" w:bottom="851" w:left="1372" w:header="0" w:footer="3" w:gutter="0"/>
          <w:paperSrc w:first="15" w:other="15"/>
          <w:cols w:space="720"/>
          <w:noEndnote/>
          <w:docGrid w:linePitch="360"/>
        </w:sectPr>
      </w:pPr>
    </w:p>
    <w:p w14:paraId="409B2F74"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077"/>
      </w:tblGrid>
      <w:tr w:rsidR="00366CB9" w14:paraId="4BCEA3A2" w14:textId="77777777" w:rsidTr="008D3E53">
        <w:trPr>
          <w:trHeight w:hRule="exact" w:val="850"/>
        </w:trPr>
        <w:tc>
          <w:tcPr>
            <w:tcW w:w="9077" w:type="dxa"/>
            <w:tcBorders>
              <w:bottom w:val="single" w:sz="12" w:space="0" w:color="007A44"/>
            </w:tcBorders>
            <w:shd w:val="clear" w:color="auto" w:fill="FFFFFF"/>
            <w:vAlign w:val="center"/>
          </w:tcPr>
          <w:p w14:paraId="1C783D26" w14:textId="77777777" w:rsidR="00366CB9" w:rsidRDefault="009D0C1D" w:rsidP="00E8720F">
            <w:pPr>
              <w:pStyle w:val="a6"/>
              <w:shd w:val="clear" w:color="auto" w:fill="auto"/>
              <w:rPr>
                <w:sz w:val="36"/>
                <w:szCs w:val="36"/>
              </w:rPr>
            </w:pPr>
            <w:bookmarkStart w:id="120" w:name="bookmark119"/>
            <w:bookmarkStart w:id="121" w:name="bookmark117"/>
            <w:bookmarkStart w:id="122" w:name="bookmark118"/>
            <w:r>
              <w:rPr>
                <w:b w:val="0"/>
                <w:color w:val="019648"/>
                <w:sz w:val="36"/>
              </w:rPr>
              <w:t>5.2 Область 2 – Питання нормативно-правового регулювання</w:t>
            </w:r>
            <w:bookmarkEnd w:id="120"/>
            <w:bookmarkEnd w:id="121"/>
            <w:bookmarkEnd w:id="122"/>
          </w:p>
        </w:tc>
      </w:tr>
      <w:tr w:rsidR="00366CB9" w14:paraId="2D4533A5" w14:textId="77777777" w:rsidTr="008D3E53">
        <w:trPr>
          <w:trHeight w:hRule="exact" w:val="1507"/>
        </w:trPr>
        <w:tc>
          <w:tcPr>
            <w:tcW w:w="9077" w:type="dxa"/>
            <w:tcBorders>
              <w:top w:val="single" w:sz="12" w:space="0" w:color="007A44"/>
              <w:left w:val="single" w:sz="12" w:space="0" w:color="007A44"/>
              <w:bottom w:val="single" w:sz="12" w:space="0" w:color="007A44"/>
              <w:right w:val="single" w:sz="12" w:space="0" w:color="007A44"/>
            </w:tcBorders>
            <w:shd w:val="clear" w:color="auto" w:fill="FFFFFF"/>
            <w:vAlign w:val="bottom"/>
          </w:tcPr>
          <w:p w14:paraId="51686CF8" w14:textId="77777777" w:rsidR="00366CB9" w:rsidRPr="00BF6DB7" w:rsidRDefault="009D0C1D" w:rsidP="00E8720F">
            <w:pPr>
              <w:pStyle w:val="a6"/>
              <w:shd w:val="clear" w:color="auto" w:fill="auto"/>
              <w:spacing w:after="220"/>
              <w:ind w:firstLine="160"/>
              <w:rPr>
                <w:sz w:val="20"/>
                <w:szCs w:val="20"/>
              </w:rPr>
            </w:pPr>
            <w:r>
              <w:rPr>
                <w:color w:val="000000"/>
                <w:sz w:val="20"/>
              </w:rPr>
              <w:t>Етап 2.1 – Завершити національну діяльність з регулювання</w:t>
            </w:r>
          </w:p>
          <w:p w14:paraId="2E294E3F" w14:textId="77777777" w:rsidR="00366CB9" w:rsidRPr="00BF6DB7" w:rsidRDefault="009D0C1D" w:rsidP="00E8720F">
            <w:pPr>
              <w:pStyle w:val="a6"/>
              <w:shd w:val="clear" w:color="auto" w:fill="auto"/>
              <w:spacing w:after="220"/>
              <w:ind w:firstLine="160"/>
              <w:rPr>
                <w:sz w:val="20"/>
                <w:szCs w:val="20"/>
              </w:rPr>
            </w:pPr>
            <w:r>
              <w:rPr>
                <w:color w:val="000000"/>
                <w:sz w:val="20"/>
              </w:rPr>
              <w:t>Етап 2.2 – Визначити вимоги до імпорту</w:t>
            </w:r>
          </w:p>
          <w:p w14:paraId="01AB8CCD" w14:textId="77777777" w:rsidR="00366CB9" w:rsidRDefault="009D0C1D" w:rsidP="00E8720F">
            <w:pPr>
              <w:pStyle w:val="a6"/>
              <w:shd w:val="clear" w:color="auto" w:fill="auto"/>
              <w:spacing w:after="220"/>
              <w:ind w:firstLine="160"/>
              <w:rPr>
                <w:sz w:val="20"/>
                <w:szCs w:val="20"/>
              </w:rPr>
            </w:pPr>
            <w:r>
              <w:rPr>
                <w:color w:val="000000"/>
                <w:sz w:val="20"/>
              </w:rPr>
              <w:t>Етап 2.3 – Проводити національні дослідження валідації та верифікації, за необхідності</w:t>
            </w:r>
          </w:p>
        </w:tc>
      </w:tr>
    </w:tbl>
    <w:p w14:paraId="52DB09FF" w14:textId="77777777" w:rsidR="00366CB9" w:rsidRPr="00384EE0" w:rsidRDefault="009D0C1D" w:rsidP="00E8720F">
      <w:pPr>
        <w:pStyle w:val="60"/>
        <w:shd w:val="clear" w:color="auto" w:fill="auto"/>
        <w:spacing w:before="360" w:after="160" w:line="269" w:lineRule="auto"/>
        <w:jc w:val="both"/>
        <w:rPr>
          <w:i/>
          <w:iCs/>
        </w:rPr>
      </w:pPr>
      <w:r>
        <w:rPr>
          <w:i/>
          <w:color w:val="019648"/>
        </w:rPr>
        <w:t>Етап 2.1 – Завершити національну діяльність з регулювання</w:t>
      </w:r>
    </w:p>
    <w:p w14:paraId="381B704D"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Для нових технологій міністерство охорони здоров’я має тісно співпрацювати з відповідними державними органами, виробниками та уповноваженими постачальниками послуг, щоб відповідати вимогам національного регулювального органу. На перегляд заявки та будь-яких додаткових доказів необхідно виділити достатньо часу. Офіційний дозвіл, як правило, надається для конкретного тесту від конкретного виробника, а не для класу тесту. Затвердження кількох тестів може покращити доступ до тестів та створити асортимент на основі їхньої ефективності, а також ефективності витрат, доцільності та інших функціональних аспектів.</w:t>
      </w:r>
    </w:p>
    <w:p w14:paraId="0FB00CB2"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Наприклад, схема реєстрації для схвалення TBST може відповідати схемі реєстрації для матеріалів TST. При ін’єкційному введенні матеріалу для шкірних тестів на виявлення туберкульозної інфекції його вважають лікарським засобом або вакциною; отже, час схвалення може бути довшим та мати більше вимог до даних (особливо щодо безпеки), а процедури офіційного дозволу необхідно розпочати заздалегідь.</w:t>
      </w:r>
    </w:p>
    <w:p w14:paraId="6FE3D085" w14:textId="77777777" w:rsidR="00366CB9" w:rsidRPr="00384EE0" w:rsidRDefault="009D0C1D" w:rsidP="00E8720F">
      <w:pPr>
        <w:pStyle w:val="60"/>
        <w:shd w:val="clear" w:color="auto" w:fill="auto"/>
        <w:spacing w:after="160" w:line="269" w:lineRule="auto"/>
        <w:jc w:val="both"/>
        <w:rPr>
          <w:i/>
          <w:iCs/>
        </w:rPr>
      </w:pPr>
      <w:r>
        <w:rPr>
          <w:i/>
          <w:color w:val="019648"/>
        </w:rPr>
        <w:t>Етап 2.2 – Визначити вимоги до імпорту</w:t>
      </w:r>
    </w:p>
    <w:p w14:paraId="11C35F94"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Слід проконсультуватися з національними органами влади, щоб визначити відповідні процеси, яких слід дотримуватися для імпорту обладнання та матеріалів для нових тестів. На ранніх етапах процесу впровадження країни мають тісно співпрацювати з виробниками та уповноваженими постачальниками обладнання та витратних матеріалів, щоб визначити вимоги до імпорту та реєстрації, а також перевезення та зберігання, а також, за необхідності, ініціювати національні верифікації.</w:t>
      </w:r>
    </w:p>
    <w:p w14:paraId="0F365B8E" w14:textId="77777777" w:rsidR="00366CB9" w:rsidRPr="00384EE0" w:rsidRDefault="009D0C1D" w:rsidP="00E8720F">
      <w:pPr>
        <w:pStyle w:val="60"/>
        <w:shd w:val="clear" w:color="auto" w:fill="auto"/>
        <w:spacing w:after="160" w:line="269" w:lineRule="auto"/>
        <w:jc w:val="both"/>
        <w:rPr>
          <w:i/>
          <w:iCs/>
        </w:rPr>
      </w:pPr>
      <w:r>
        <w:rPr>
          <w:i/>
          <w:color w:val="019648"/>
        </w:rPr>
        <w:t>Етап 2.3 – Проводити національні дослідження валідації та верифікації, за необхідності</w:t>
      </w:r>
    </w:p>
    <w:p w14:paraId="3362FF33"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Дослідження валідації, як правило, включають великі оцінки ефективності тесту для визначення належного функціонування тесту в певних умовах, суттєвого впливу факторів, специфічних для країни (наприклад, поширеність різних мутацій або штамів мікроорганізмів), на результати виробника або необхідності інших оцінок. Дослідження валідації є невід’ємною частиною процесу перевірки ВООЗ та розробки рекомендацій щодо застосування нового тесту. Після публікації результатів великих досліджень валідації та встановлення цільових характеристик ефективності тесту у країнах, де впроваджується метод, не потрібно повторювати такі великі дослідження. Валідацію слід повторювати лише тоді, коли цього вимагають правила реєстрації або імпорту, оскільки це може призвести до використання цінних обмежених ресурсів для тестування та затримки впровадження тесту.</w:t>
      </w:r>
    </w:p>
    <w:p w14:paraId="77E50C3C" w14:textId="77777777" w:rsidR="00366CB9" w:rsidRPr="008D3E53" w:rsidRDefault="009D0C1D" w:rsidP="00E8720F">
      <w:pPr>
        <w:pStyle w:val="1"/>
        <w:shd w:val="clear" w:color="auto" w:fill="auto"/>
        <w:spacing w:line="322" w:lineRule="auto"/>
        <w:jc w:val="both"/>
        <w:rPr>
          <w:sz w:val="18"/>
          <w:szCs w:val="18"/>
        </w:rPr>
      </w:pPr>
      <w:r w:rsidRPr="008D3E53">
        <w:rPr>
          <w:sz w:val="18"/>
          <w:szCs w:val="18"/>
        </w:rPr>
        <w:t>Натомість, у лабораторіях необхідно проводити невеликі дослідження верифікації, щоб продемонструвати досягнення тих самих характеристик ефективності, що були отримані</w:t>
      </w:r>
    </w:p>
    <w:p w14:paraId="2913494B"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63EF8082" w14:textId="77777777" w:rsidR="00366CB9" w:rsidRDefault="00366CB9" w:rsidP="00425523">
      <w:pPr>
        <w:spacing w:line="1" w:lineRule="exact"/>
      </w:pPr>
    </w:p>
    <w:p w14:paraId="7621F941" w14:textId="77777777" w:rsidR="00366CB9" w:rsidRPr="008D3E53" w:rsidRDefault="009D0C1D" w:rsidP="00E8720F">
      <w:pPr>
        <w:pStyle w:val="1"/>
        <w:shd w:val="clear" w:color="auto" w:fill="auto"/>
        <w:spacing w:after="140" w:line="324" w:lineRule="auto"/>
        <w:jc w:val="both"/>
        <w:rPr>
          <w:sz w:val="18"/>
          <w:szCs w:val="18"/>
        </w:rPr>
      </w:pPr>
      <w:bookmarkStart w:id="123" w:name="bookmark120"/>
      <w:r w:rsidRPr="008D3E53">
        <w:rPr>
          <w:sz w:val="18"/>
          <w:szCs w:val="18"/>
        </w:rPr>
        <w:t>під час досліджень валідації за допомогою тесту, як описано у цих дослідженнях валідації, та встановити, що метод підходить для популяції, що проходить тестування. Як правило, сюди входить тестування охарактеризованої панелі відомих позитивних та негативних зразків (у сліпому режимі) відповідно до вимог національних або міжнародних схем акредитації. Крім того, ці дослідження можуть включати паралельне проспективне тестування поточного золотого стандарту та нового тесту на клінічних зразках. Верифікація також проводиться перед тестуванням клінічних зразків, коли лабораторії застосовують нестандартні або модифіковані методи, тести не за призначенням (наприклад, на зразках, для яких тест не був валідований) або власні методи. Ці дослідження, крім тестування охарактеризованої панелі відомих позитивних та негативних зразків, можуть включати паралельне проспективне тестування поточного золотого стандарту та нового тесту на клінічних зразках (</w:t>
      </w:r>
      <w:hyperlink w:anchor="bookmark199" w:tooltip="Поточний документ">
        <w:r w:rsidR="00366CB9" w:rsidRPr="008D3E53">
          <w:rPr>
            <w:sz w:val="18"/>
            <w:szCs w:val="18"/>
          </w:rPr>
          <w:t>65</w:t>
        </w:r>
      </w:hyperlink>
      <w:r w:rsidRPr="008D3E53">
        <w:rPr>
          <w:sz w:val="18"/>
          <w:szCs w:val="18"/>
        </w:rPr>
        <w:t>) або тестування у разі зміни методу порівняно з попередньо завершеною валідацією (наприклад, нові версії (</w:t>
      </w:r>
      <w:hyperlink w:anchor="bookmark199" w:tooltip="Поточний документ">
        <w:r w:rsidR="00366CB9" w:rsidRPr="008D3E53">
          <w:rPr>
            <w:sz w:val="18"/>
            <w:szCs w:val="18"/>
          </w:rPr>
          <w:t>66</w:t>
        </w:r>
      </w:hyperlink>
      <w:r w:rsidRPr="008D3E53">
        <w:rPr>
          <w:sz w:val="18"/>
          <w:szCs w:val="18"/>
        </w:rPr>
        <w:t>).</w:t>
      </w:r>
      <w:bookmarkEnd w:id="123"/>
    </w:p>
    <w:p w14:paraId="10642063" w14:textId="77777777" w:rsidR="00366CB9" w:rsidRPr="008D3E53" w:rsidRDefault="009D0C1D" w:rsidP="00E8720F">
      <w:pPr>
        <w:pStyle w:val="1"/>
        <w:shd w:val="clear" w:color="auto" w:fill="auto"/>
        <w:spacing w:after="220" w:line="326" w:lineRule="auto"/>
        <w:jc w:val="both"/>
        <w:rPr>
          <w:sz w:val="18"/>
          <w:szCs w:val="18"/>
        </w:rPr>
      </w:pPr>
      <w:r w:rsidRPr="008D3E53">
        <w:rPr>
          <w:sz w:val="18"/>
          <w:szCs w:val="18"/>
        </w:rPr>
        <w:t>Необхідно визначати конкретну необхідність досліджень валідації та верифікації на основі національних регуляторних політик, керівних принципів та вимог до акредитації.</w:t>
      </w:r>
    </w:p>
    <w:p w14:paraId="6C3B2D7C" w14:textId="77777777" w:rsidR="00366CB9" w:rsidRDefault="009D0C1D" w:rsidP="00E8720F">
      <w:pPr>
        <w:pStyle w:val="22"/>
        <w:numPr>
          <w:ilvl w:val="0"/>
          <w:numId w:val="12"/>
        </w:numPr>
        <w:shd w:val="clear" w:color="auto" w:fill="auto"/>
        <w:tabs>
          <w:tab w:val="left" w:pos="692"/>
        </w:tabs>
        <w:spacing w:after="240" w:line="240" w:lineRule="auto"/>
        <w:jc w:val="both"/>
      </w:pPr>
      <w:bookmarkStart w:id="124" w:name="bookmark122"/>
      <w:bookmarkStart w:id="125" w:name="bookmark123"/>
      <w:bookmarkStart w:id="126" w:name="bookmark121"/>
      <w:r>
        <w:t>Область 3 – Обладнання</w:t>
      </w:r>
      <w:bookmarkEnd w:id="124"/>
      <w:bookmarkEnd w:id="125"/>
      <w:bookmarkEnd w:id="126"/>
    </w:p>
    <w:tbl>
      <w:tblPr>
        <w:tblOverlap w:val="never"/>
        <w:tblW w:w="0" w:type="auto"/>
        <w:tblLayout w:type="fixed"/>
        <w:tblCellMar>
          <w:left w:w="10" w:type="dxa"/>
          <w:right w:w="10" w:type="dxa"/>
        </w:tblCellMar>
        <w:tblLook w:val="0000" w:firstRow="0" w:lastRow="0" w:firstColumn="0" w:lastColumn="0" w:noHBand="0" w:noVBand="0"/>
      </w:tblPr>
      <w:tblGrid>
        <w:gridCol w:w="9067"/>
      </w:tblGrid>
      <w:tr w:rsidR="00366CB9" w14:paraId="2EDB08E1" w14:textId="77777777" w:rsidTr="008D3E53">
        <w:trPr>
          <w:trHeight w:hRule="exact" w:val="1488"/>
        </w:trPr>
        <w:tc>
          <w:tcPr>
            <w:tcW w:w="9067" w:type="dxa"/>
            <w:tcBorders>
              <w:top w:val="single" w:sz="12" w:space="0" w:color="007A44"/>
              <w:left w:val="single" w:sz="12" w:space="0" w:color="007A44"/>
              <w:bottom w:val="single" w:sz="12" w:space="0" w:color="007A44"/>
              <w:right w:val="single" w:sz="12" w:space="0" w:color="007A44"/>
            </w:tcBorders>
            <w:shd w:val="clear" w:color="auto" w:fill="FFFFFF"/>
          </w:tcPr>
          <w:p w14:paraId="354CDEBD" w14:textId="77777777" w:rsidR="00366CB9" w:rsidRPr="00BF6DB7" w:rsidRDefault="009D0C1D" w:rsidP="008D3E53">
            <w:pPr>
              <w:pStyle w:val="a6"/>
              <w:shd w:val="clear" w:color="auto" w:fill="auto"/>
              <w:spacing w:after="220"/>
              <w:ind w:left="115"/>
              <w:rPr>
                <w:sz w:val="20"/>
                <w:szCs w:val="20"/>
              </w:rPr>
            </w:pPr>
            <w:r>
              <w:rPr>
                <w:color w:val="000000"/>
                <w:sz w:val="20"/>
              </w:rPr>
              <w:t>Етап 3.1 – Обрати, придбати, встановити та налаштувати обладнання</w:t>
            </w:r>
          </w:p>
          <w:p w14:paraId="6109D9B1" w14:textId="77777777" w:rsidR="00366CB9" w:rsidRPr="00BF6DB7" w:rsidRDefault="009D0C1D" w:rsidP="008D3E53">
            <w:pPr>
              <w:pStyle w:val="a6"/>
              <w:shd w:val="clear" w:color="auto" w:fill="auto"/>
              <w:spacing w:after="220"/>
              <w:ind w:left="115"/>
              <w:rPr>
                <w:sz w:val="20"/>
                <w:szCs w:val="20"/>
              </w:rPr>
            </w:pPr>
            <w:r>
              <w:rPr>
                <w:color w:val="000000"/>
                <w:sz w:val="20"/>
              </w:rPr>
              <w:t>Етап 3.2 – Перевірити та провести технічне обслуговування приладів</w:t>
            </w:r>
          </w:p>
          <w:p w14:paraId="51F13DC1" w14:textId="77777777" w:rsidR="00366CB9" w:rsidRDefault="009D0C1D" w:rsidP="008D3E53">
            <w:pPr>
              <w:pStyle w:val="a6"/>
              <w:shd w:val="clear" w:color="auto" w:fill="auto"/>
              <w:spacing w:after="220"/>
              <w:ind w:left="115"/>
              <w:rPr>
                <w:sz w:val="20"/>
                <w:szCs w:val="20"/>
              </w:rPr>
            </w:pPr>
            <w:r>
              <w:rPr>
                <w:color w:val="000000"/>
                <w:sz w:val="20"/>
              </w:rPr>
              <w:t>Етап 3.3 – Оцінити готовність дослідницького тесту та забезпечити безпеку та функціональність центру тестування</w:t>
            </w:r>
          </w:p>
        </w:tc>
      </w:tr>
    </w:tbl>
    <w:p w14:paraId="2362EC86" w14:textId="77777777" w:rsidR="00366CB9" w:rsidRPr="00384EE0" w:rsidRDefault="009D0C1D" w:rsidP="00E8720F">
      <w:pPr>
        <w:pStyle w:val="60"/>
        <w:shd w:val="clear" w:color="auto" w:fill="auto"/>
        <w:spacing w:before="360" w:after="140" w:line="269" w:lineRule="auto"/>
        <w:jc w:val="both"/>
        <w:rPr>
          <w:i/>
          <w:iCs/>
        </w:rPr>
      </w:pPr>
      <w:r>
        <w:rPr>
          <w:i/>
          <w:color w:val="019648"/>
        </w:rPr>
        <w:t>Етап 3.1 – Обрати, придбати, встановити та налаштувати обладнання</w:t>
      </w:r>
    </w:p>
    <w:p w14:paraId="2518A593" w14:textId="77777777" w:rsidR="00366CB9" w:rsidRPr="008D3E53" w:rsidRDefault="009D0C1D" w:rsidP="00E8720F">
      <w:pPr>
        <w:pStyle w:val="1"/>
        <w:shd w:val="clear" w:color="auto" w:fill="auto"/>
        <w:spacing w:after="140" w:line="324" w:lineRule="auto"/>
        <w:jc w:val="both"/>
        <w:rPr>
          <w:sz w:val="18"/>
          <w:szCs w:val="18"/>
        </w:rPr>
      </w:pPr>
      <w:r w:rsidRPr="008D3E53">
        <w:rPr>
          <w:sz w:val="18"/>
          <w:szCs w:val="18"/>
        </w:rPr>
        <w:t>Важливим етапом у процесі впровадження є вибір відповідних приладів, що відповідають потребам клінічної або мікробіологічної лабораторії та можуть застосовуватись для проведення нового діагностичного тесту. Ефективність приладу залежить від призначення та попиту на діагностичний тест. Важливо обрати прилад, що широко доступний та має належний розподіл поставок та підтримку з боку виробника. Крім самого приладу для тестування, деякі тести вимагатимуть спеціалізованих допоміжних приладів.</w:t>
      </w:r>
    </w:p>
    <w:p w14:paraId="3D94CA86" w14:textId="77777777" w:rsidR="00366CB9" w:rsidRPr="008D3E53" w:rsidRDefault="009D0C1D" w:rsidP="00E8720F">
      <w:pPr>
        <w:pStyle w:val="1"/>
        <w:shd w:val="clear" w:color="auto" w:fill="auto"/>
        <w:spacing w:after="140" w:line="324" w:lineRule="auto"/>
        <w:jc w:val="both"/>
        <w:rPr>
          <w:sz w:val="18"/>
          <w:szCs w:val="18"/>
        </w:rPr>
      </w:pPr>
      <w:r w:rsidRPr="008D3E53">
        <w:rPr>
          <w:sz w:val="18"/>
          <w:szCs w:val="18"/>
        </w:rPr>
        <w:t>Щоб забезпечити ефективність витрат щодо послуг з тестування, пріоритет необхідно віддати інтеграції тестування на виявлення ТБ з існуючими платформами у центрах з інтегрованим тестуванням (</w:t>
      </w:r>
      <w:hyperlink w:anchor="bookmark198" w:tooltip="Поточний документ">
        <w:r w:rsidR="00366CB9" w:rsidRPr="008D3E53">
          <w:rPr>
            <w:sz w:val="18"/>
            <w:szCs w:val="18"/>
          </w:rPr>
          <w:t>59</w:t>
        </w:r>
      </w:hyperlink>
      <w:r w:rsidRPr="008D3E53">
        <w:rPr>
          <w:sz w:val="18"/>
          <w:szCs w:val="18"/>
        </w:rPr>
        <w:t>). В умовах, де послуги діагностики ТБ є автономними та існує необхідність у проведенні великої кількості тестувань на ТБ, перевага може віддаватися спеціальним інструментам.</w:t>
      </w:r>
    </w:p>
    <w:p w14:paraId="102A5385" w14:textId="77777777" w:rsidR="00366CB9" w:rsidRPr="008D3E53" w:rsidRDefault="009D0C1D" w:rsidP="00E8720F">
      <w:pPr>
        <w:pStyle w:val="1"/>
        <w:shd w:val="clear" w:color="auto" w:fill="auto"/>
        <w:spacing w:line="324" w:lineRule="auto"/>
        <w:jc w:val="both"/>
        <w:rPr>
          <w:sz w:val="18"/>
          <w:szCs w:val="18"/>
        </w:rPr>
      </w:pPr>
      <w:r w:rsidRPr="008D3E53">
        <w:rPr>
          <w:sz w:val="18"/>
          <w:szCs w:val="18"/>
        </w:rPr>
        <w:t>Для будь-якого приладу, як правило, потрібне професійне налаштування, що здійснюють інженери виробника або уповноважені постачальники послуг. Деякі MC-aNAAT можуть вимагати зміни виробничих потужностей для розміщення приладів. Налаштування може передбачати різні варіанти живлення та резервного копіювання, електричні та мережеві підключення, умови навколишнього середовища для лабораторії (наприклад, максимальна температура), вимоги до біологічної безпеки та вентиляції, обчислювальну техніку та програмне забезпечення, план технічного обслуговування (наприклад, тижневі, місячні або попередні перевірки), гарантію на обладнання та необхідну підготовку.</w:t>
      </w:r>
    </w:p>
    <w:p w14:paraId="42D2CAD1"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2BBB81ED" w14:textId="77777777" w:rsidR="00366CB9" w:rsidRDefault="00366CB9" w:rsidP="00425523">
      <w:pPr>
        <w:spacing w:line="1" w:lineRule="exact"/>
      </w:pPr>
    </w:p>
    <w:p w14:paraId="53743E4F"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 xml:space="preserve">Керівництво щодо вибору mWRD для впровадження опубліковано у </w:t>
      </w:r>
      <w:r w:rsidRPr="008D3E53">
        <w:rPr>
          <w:i/>
          <w:sz w:val="18"/>
          <w:szCs w:val="18"/>
        </w:rPr>
        <w:t>Посібнику з вибору молекулярних експрес-тестів для діагностики туберкульозу, рекомендованих ВООЗ, для виявлення туберкульозу та лікарсько-стійкого туберкульозу (</w:t>
      </w:r>
      <w:hyperlink w:anchor="bookmark196" w:tooltip="Поточний документ">
        <w:r w:rsidR="00366CB9" w:rsidRPr="008D3E53">
          <w:rPr>
            <w:i/>
            <w:sz w:val="18"/>
            <w:szCs w:val="18"/>
          </w:rPr>
          <w:t>15</w:t>
        </w:r>
      </w:hyperlink>
      <w:r w:rsidRPr="008D3E53">
        <w:rPr>
          <w:i/>
          <w:sz w:val="18"/>
          <w:szCs w:val="18"/>
        </w:rPr>
        <w:t>).</w:t>
      </w:r>
      <w:r w:rsidRPr="008D3E53">
        <w:rPr>
          <w:sz w:val="18"/>
          <w:szCs w:val="18"/>
        </w:rPr>
        <w:t xml:space="preserve"> Керівництво щодо вибору обладнання для СНП представлено в інших джерелах (</w:t>
      </w:r>
      <w:hyperlink w:anchor="bookmark197" w:tooltip="Поточний документ">
        <w:r w:rsidR="00366CB9" w:rsidRPr="008D3E53">
          <w:rPr>
            <w:sz w:val="18"/>
            <w:szCs w:val="18"/>
          </w:rPr>
          <w:t>33</w:t>
        </w:r>
      </w:hyperlink>
      <w:r w:rsidRPr="008D3E53">
        <w:rPr>
          <w:sz w:val="18"/>
          <w:szCs w:val="18"/>
        </w:rPr>
        <w:t>).</w:t>
      </w:r>
    </w:p>
    <w:p w14:paraId="2D87350B"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Для шкірних тестів на виявлення туберкульозної інфекції потрібен окремий холодильник або холодильник фармацевтичного ступеня чистоти для зберігання витратних матеріалів (туберкуліну або туберкульозних антигенів), вакцин та лікарських засобів, а також резервні генератори або система живлення. Флакони з туберкуліном слід зберігати за температури 2-8 °C (35-46 °F), захищеними від світла, в оригінальному пакованні й відокремленими від інших аналогічних флаконів (щоб уникнути плутанини). Для IGRA потрібен матеріал для забору зразків крові.</w:t>
      </w:r>
    </w:p>
    <w:p w14:paraId="370AA064" w14:textId="77777777" w:rsidR="00366CB9" w:rsidRPr="00384EE0" w:rsidRDefault="009D0C1D" w:rsidP="00E8720F">
      <w:pPr>
        <w:pStyle w:val="60"/>
        <w:shd w:val="clear" w:color="auto" w:fill="auto"/>
        <w:spacing w:after="160" w:line="269" w:lineRule="auto"/>
        <w:jc w:val="both"/>
        <w:rPr>
          <w:i/>
          <w:iCs/>
        </w:rPr>
      </w:pPr>
      <w:r>
        <w:rPr>
          <w:i/>
          <w:color w:val="019648"/>
        </w:rPr>
        <w:t>Етап 3.2 – Перевірити та провести технічне обслуговування приладів</w:t>
      </w:r>
    </w:p>
    <w:p w14:paraId="2DB7FB6A"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Усі прилади повинні бути задокументовані як «придатні для використання» після верифікації з відомими позитивними та негативними матеріалами перед тестуванням клінічних зразків. Верифікація приладів проводиться під час встановлення, після обслуговування або калібрування, або після переміщення приладів.</w:t>
      </w:r>
    </w:p>
    <w:p w14:paraId="0634D83E"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Для забезпечення якості, відтворюваності й надійності необхідно регулярно проводити технічне обслуговування та калібрування. Частота калібрування та його інтервали варіюють для кожного приладу. Щоб визначити частоту калібрування, необхідно дотримуватись рекомендацій виробника. Однак у разі підозри на зниження рівня точності обладнання відповідальні особи мають вміти розпізнавати проблему та ініціювати калібрування.</w:t>
      </w:r>
    </w:p>
    <w:p w14:paraId="345887FC"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Калібрування лабораторного обладнання вимагає зв’язку між вимірюваннями шкали або точності, що були виконані або встановлені за допомогою обладнання, та аналогічними вимірюваннями, що були виконані за допомогою стандарту (тобто обладнання з відомою або заданою точністю). Стандарти залежать від країни та типу галузі. Виробники визначають свій критерій вимірювання; вони також рекомендують частоту та рівень калібрування залежно від частоти застосування пристрою та від конкретного застосування.</w:t>
      </w:r>
    </w:p>
    <w:p w14:paraId="436590A2"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Багато тестів виконуються на прецизійній апаратурі, яка вимагає регулярного профілактичного обслуговування, а також спеціального технічного і сервісного обслуговування. Кінцевий користувач має регулярно проводити профілактичне технічне обслуговування для підтримки належного функціонування приладу. Постачальники або авторизовані постачальники послуг повинні за потреби виконувати технічне обслуговування на замовлення. Для підтримки безперервного функціонування приладів необхідно враховувати переваги всеохоплюючих та прозорих договорів на технічне обслуговування; у цих договорах мають бути вказані чіткі умови обслуговування та технічного обслуговування, а також пов’язані витрати.</w:t>
      </w:r>
    </w:p>
    <w:p w14:paraId="2A6A78A2" w14:textId="77777777" w:rsidR="00366CB9" w:rsidRPr="00384EE0" w:rsidRDefault="009D0C1D" w:rsidP="00E8720F">
      <w:pPr>
        <w:pStyle w:val="60"/>
        <w:shd w:val="clear" w:color="auto" w:fill="auto"/>
        <w:spacing w:after="160" w:line="269" w:lineRule="auto"/>
        <w:jc w:val="both"/>
        <w:rPr>
          <w:i/>
          <w:iCs/>
        </w:rPr>
      </w:pPr>
      <w:r>
        <w:rPr>
          <w:i/>
          <w:color w:val="019648"/>
        </w:rPr>
        <w:t>Етап 3.3 – Оцінити готовність дослідницького тесту та забезпечити безпеку та функціональність центру тестування</w:t>
      </w:r>
    </w:p>
    <w:p w14:paraId="51A2BA43"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НПБТ або НТРЛ, як правило, визначає, які центри проводитимуть діагностичне тестування, на основі таких факторів, як епідеміологія ТБ, географічні міркування, робоче навантаження на тестування, наявність кваліфікованого персоналу, ефективність мереж перенаправлення та доступ до послуг для осіб, які проходять тестування. Кожен центр тестування повинен бути оцінений на готовність за допомогою стандартизованого контрольного переліку до початку тестування клінічних зразків на місці. Крім того, центри тестування необхідно регулярно оцінювати на предмет безпеки та експлуатаційних можливостей.</w:t>
      </w:r>
    </w:p>
    <w:p w14:paraId="6AD08D41" w14:textId="77777777" w:rsidR="00366CB9" w:rsidRPr="008D3E53" w:rsidRDefault="009D0C1D" w:rsidP="00E8720F">
      <w:pPr>
        <w:pStyle w:val="1"/>
        <w:shd w:val="clear" w:color="auto" w:fill="auto"/>
        <w:spacing w:line="326" w:lineRule="auto"/>
        <w:jc w:val="both"/>
        <w:rPr>
          <w:sz w:val="18"/>
          <w:szCs w:val="18"/>
        </w:rPr>
      </w:pPr>
      <w:r w:rsidRPr="008D3E53">
        <w:rPr>
          <w:sz w:val="18"/>
          <w:szCs w:val="18"/>
        </w:rPr>
        <w:t>Для функціонального центру тестування прилади, що використовуються для тестування, повинні бути знаходитись у чистому, безпечному та придатному місці. Більшість приладів вимагають безперебійного живлення</w:t>
      </w:r>
    </w:p>
    <w:p w14:paraId="5DC7EC8D"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59CAB377" w14:textId="77777777" w:rsidR="00366CB9" w:rsidRDefault="00366CB9" w:rsidP="00425523">
      <w:pPr>
        <w:spacing w:line="1" w:lineRule="exact"/>
      </w:pPr>
    </w:p>
    <w:p w14:paraId="5053B8B1" w14:textId="77777777" w:rsidR="00366CB9" w:rsidRPr="008D3E53" w:rsidRDefault="009D0C1D" w:rsidP="00E8720F">
      <w:pPr>
        <w:pStyle w:val="1"/>
        <w:shd w:val="clear" w:color="auto" w:fill="auto"/>
        <w:spacing w:after="240" w:line="324" w:lineRule="auto"/>
        <w:jc w:val="both"/>
        <w:rPr>
          <w:sz w:val="18"/>
          <w:szCs w:val="18"/>
        </w:rPr>
      </w:pPr>
      <w:bookmarkStart w:id="127" w:name="bookmark124"/>
      <w:r w:rsidRPr="008D3E53">
        <w:rPr>
          <w:sz w:val="18"/>
          <w:szCs w:val="18"/>
        </w:rPr>
        <w:t>та належних умов функціонування та зберігання (наприклад, контролю вологості та температури). Безпечне середовище вимагає дотримання рекомендацій ВООЗ щодо біологічної безпеки для діагностичного тесту у відповідних приміщеннях з належною вентиляцією; воно також вимагає відповідних засобів індивідуального захисту та безпечної утилізації біологічних відходів. Відсутність функціонального та безпечного робочого середовища може вплинути на здоров’я та безпеку виконавців, а також на якість та надійність тестування.</w:t>
      </w:r>
      <w:bookmarkEnd w:id="127"/>
    </w:p>
    <w:p w14:paraId="36E13DAF" w14:textId="77777777" w:rsidR="00366CB9" w:rsidRDefault="009D0C1D" w:rsidP="00E8720F">
      <w:pPr>
        <w:pStyle w:val="22"/>
        <w:numPr>
          <w:ilvl w:val="0"/>
          <w:numId w:val="12"/>
        </w:numPr>
        <w:shd w:val="clear" w:color="auto" w:fill="auto"/>
        <w:tabs>
          <w:tab w:val="left" w:pos="709"/>
        </w:tabs>
        <w:spacing w:after="240" w:line="240" w:lineRule="auto"/>
        <w:jc w:val="both"/>
      </w:pPr>
      <w:bookmarkStart w:id="128" w:name="bookmark126"/>
      <w:bookmarkStart w:id="129" w:name="bookmark127"/>
      <w:bookmarkStart w:id="130" w:name="bookmark125"/>
      <w:r>
        <w:t>Область 4 – Ланцюжок поставок</w:t>
      </w:r>
      <w:bookmarkEnd w:id="128"/>
      <w:bookmarkEnd w:id="129"/>
      <w:bookmarkEnd w:id="130"/>
    </w:p>
    <w:tbl>
      <w:tblPr>
        <w:tblOverlap w:val="never"/>
        <w:tblW w:w="0" w:type="auto"/>
        <w:tblBorders>
          <w:top w:val="single" w:sz="12" w:space="0" w:color="007A44"/>
          <w:left w:val="single" w:sz="12" w:space="0" w:color="007A44"/>
          <w:bottom w:val="single" w:sz="12" w:space="0" w:color="007A44"/>
          <w:right w:val="single" w:sz="12" w:space="0" w:color="007A44"/>
        </w:tblBorders>
        <w:tblLayout w:type="fixed"/>
        <w:tblCellMar>
          <w:left w:w="10" w:type="dxa"/>
          <w:right w:w="10" w:type="dxa"/>
        </w:tblCellMar>
        <w:tblLook w:val="0000" w:firstRow="0" w:lastRow="0" w:firstColumn="0" w:lastColumn="0" w:noHBand="0" w:noVBand="0"/>
      </w:tblPr>
      <w:tblGrid>
        <w:gridCol w:w="9058"/>
      </w:tblGrid>
      <w:tr w:rsidR="00366CB9" w14:paraId="462AA362" w14:textId="77777777" w:rsidTr="008D3E53">
        <w:trPr>
          <w:trHeight w:hRule="exact" w:val="1003"/>
        </w:trPr>
        <w:tc>
          <w:tcPr>
            <w:tcW w:w="9058" w:type="dxa"/>
            <w:shd w:val="clear" w:color="auto" w:fill="FFFFFF"/>
          </w:tcPr>
          <w:p w14:paraId="7A08452D" w14:textId="77777777" w:rsidR="00366CB9" w:rsidRPr="00BF6DB7" w:rsidRDefault="009D0C1D" w:rsidP="008D3E53">
            <w:pPr>
              <w:pStyle w:val="a6"/>
              <w:shd w:val="clear" w:color="auto" w:fill="auto"/>
              <w:spacing w:before="120" w:after="220"/>
              <w:ind w:firstLine="160"/>
              <w:rPr>
                <w:sz w:val="20"/>
                <w:szCs w:val="20"/>
              </w:rPr>
            </w:pPr>
            <w:r>
              <w:rPr>
                <w:color w:val="000000"/>
                <w:sz w:val="20"/>
              </w:rPr>
              <w:t>Етап 4.1 – Переглянути процедури прогнозування, замовлення та розповсюдження</w:t>
            </w:r>
          </w:p>
          <w:p w14:paraId="2A52D10D" w14:textId="77777777" w:rsidR="00366CB9" w:rsidRDefault="009D0C1D" w:rsidP="00E8720F">
            <w:pPr>
              <w:pStyle w:val="a6"/>
              <w:shd w:val="clear" w:color="auto" w:fill="auto"/>
              <w:ind w:firstLine="160"/>
              <w:rPr>
                <w:sz w:val="20"/>
                <w:szCs w:val="20"/>
              </w:rPr>
            </w:pPr>
            <w:r>
              <w:rPr>
                <w:color w:val="000000"/>
                <w:sz w:val="20"/>
              </w:rPr>
              <w:t>Етап 4.2 – Розробити процедури для контролю якості реактивів та терміну придатності</w:t>
            </w:r>
          </w:p>
        </w:tc>
      </w:tr>
    </w:tbl>
    <w:p w14:paraId="776E9F77" w14:textId="77777777" w:rsidR="00366CB9" w:rsidRPr="00384EE0" w:rsidRDefault="009D0C1D" w:rsidP="00E8720F">
      <w:pPr>
        <w:pStyle w:val="60"/>
        <w:shd w:val="clear" w:color="auto" w:fill="auto"/>
        <w:spacing w:before="360" w:after="160" w:line="271" w:lineRule="auto"/>
        <w:jc w:val="both"/>
        <w:rPr>
          <w:i/>
          <w:iCs/>
        </w:rPr>
      </w:pPr>
      <w:r>
        <w:rPr>
          <w:i/>
          <w:color w:val="019648"/>
        </w:rPr>
        <w:t>Етап 4.1 – Переглянути процедури прогнозування, замовлення та розповсюдження</w:t>
      </w:r>
    </w:p>
    <w:p w14:paraId="69E897E8"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Постійний доступ до реактивів та витратних матеріалів у центрі тестування створює технічний потенціал на ранніх етапах впровадження (уникнення тривалих затримок між підготовкою та доступністю реактивів та витратних матеріалів), а також для забезпечення стабільного обслуговування під час використання. Для забезпечення безперебійного постачання реактивів та одноразових матеріалів будуть потрібні наступні заходи:</w:t>
      </w:r>
    </w:p>
    <w:p w14:paraId="1B188CE7" w14:textId="478B3466" w:rsidR="00366CB9" w:rsidRPr="008D3E53" w:rsidRDefault="009D0C1D" w:rsidP="00E8720F">
      <w:pPr>
        <w:pStyle w:val="1"/>
        <w:shd w:val="clear" w:color="auto" w:fill="auto"/>
        <w:spacing w:line="324" w:lineRule="auto"/>
        <w:ind w:left="280" w:hanging="280"/>
        <w:jc w:val="both"/>
        <w:rPr>
          <w:sz w:val="18"/>
          <w:szCs w:val="18"/>
        </w:rPr>
      </w:pPr>
      <w:r w:rsidRPr="008D3E53">
        <w:rPr>
          <w:color w:val="019648"/>
          <w:sz w:val="18"/>
          <w:szCs w:val="18"/>
        </w:rPr>
        <w:t xml:space="preserve">• </w:t>
      </w:r>
      <w:r w:rsidR="008D3E53">
        <w:tab/>
      </w:r>
      <w:r w:rsidRPr="008D3E53">
        <w:rPr>
          <w:sz w:val="18"/>
          <w:szCs w:val="18"/>
        </w:rPr>
        <w:t>участь кваліфікованого персоналу у визначенні специфікацій реактивів, витратних матеріалів та обладнання;</w:t>
      </w:r>
    </w:p>
    <w:p w14:paraId="17E249CB" w14:textId="34C2620E" w:rsidR="00366CB9" w:rsidRPr="008D3E53" w:rsidRDefault="009D0C1D" w:rsidP="00E8720F">
      <w:pPr>
        <w:pStyle w:val="1"/>
        <w:shd w:val="clear" w:color="auto" w:fill="auto"/>
        <w:spacing w:line="324" w:lineRule="auto"/>
        <w:ind w:left="280" w:hanging="280"/>
        <w:jc w:val="both"/>
        <w:rPr>
          <w:sz w:val="18"/>
          <w:szCs w:val="18"/>
        </w:rPr>
      </w:pPr>
      <w:r w:rsidRPr="008D3E53">
        <w:rPr>
          <w:color w:val="019648"/>
          <w:sz w:val="18"/>
          <w:szCs w:val="18"/>
        </w:rPr>
        <w:t xml:space="preserve">• </w:t>
      </w:r>
      <w:r w:rsidR="008D3E53">
        <w:tab/>
      </w:r>
      <w:r w:rsidRPr="008D3E53">
        <w:rPr>
          <w:sz w:val="18"/>
          <w:szCs w:val="18"/>
        </w:rPr>
        <w:t>оптимізація процедур імпорту та розподілу у країні для встановлення достатнього терміну придатності реактивів та витратних матеріалів після їхнього потрапляння до центрів тестування;</w:t>
      </w:r>
    </w:p>
    <w:p w14:paraId="5F35BC59" w14:textId="24DF5381" w:rsidR="00366CB9" w:rsidRPr="008D3E53" w:rsidRDefault="009D0C1D" w:rsidP="00E8720F">
      <w:pPr>
        <w:pStyle w:val="1"/>
        <w:shd w:val="clear" w:color="auto" w:fill="auto"/>
        <w:spacing w:line="324" w:lineRule="auto"/>
        <w:ind w:left="280" w:hanging="280"/>
        <w:jc w:val="both"/>
        <w:rPr>
          <w:sz w:val="18"/>
          <w:szCs w:val="18"/>
        </w:rPr>
      </w:pPr>
      <w:r w:rsidRPr="008D3E53">
        <w:rPr>
          <w:color w:val="019648"/>
          <w:sz w:val="18"/>
          <w:szCs w:val="18"/>
        </w:rPr>
        <w:t xml:space="preserve">• </w:t>
      </w:r>
      <w:r w:rsidR="008D3E53">
        <w:tab/>
      </w:r>
      <w:r w:rsidRPr="008D3E53">
        <w:rPr>
          <w:sz w:val="18"/>
          <w:szCs w:val="18"/>
        </w:rPr>
        <w:t>ретельний моніторинг темпів споживання, відстеження термінів придатності конкретних реактивів та прогнозування з метою уникнення завершення терміну придатності або недостачі;</w:t>
      </w:r>
    </w:p>
    <w:p w14:paraId="2B8786BD" w14:textId="01BCC146" w:rsidR="00366CB9" w:rsidRPr="008D3E53" w:rsidRDefault="009D0C1D" w:rsidP="00E8720F">
      <w:pPr>
        <w:pStyle w:val="1"/>
        <w:shd w:val="clear" w:color="auto" w:fill="auto"/>
        <w:spacing w:line="324" w:lineRule="auto"/>
        <w:ind w:left="280" w:hanging="280"/>
        <w:jc w:val="both"/>
        <w:rPr>
          <w:sz w:val="18"/>
          <w:szCs w:val="18"/>
        </w:rPr>
      </w:pPr>
      <w:r w:rsidRPr="008D3E53">
        <w:rPr>
          <w:color w:val="019648"/>
          <w:sz w:val="18"/>
          <w:szCs w:val="18"/>
        </w:rPr>
        <w:t xml:space="preserve">• </w:t>
      </w:r>
      <w:r w:rsidR="008D3E53">
        <w:tab/>
      </w:r>
      <w:r w:rsidRPr="008D3E53">
        <w:rPr>
          <w:sz w:val="18"/>
          <w:szCs w:val="18"/>
        </w:rPr>
        <w:t>ретельне планування з метою проходження підготовки на місцях та встановлення обладнання перед відвантаженням реактивів;</w:t>
      </w:r>
    </w:p>
    <w:p w14:paraId="0948C36D" w14:textId="519D8B38" w:rsidR="00366CB9" w:rsidRPr="008D3E53" w:rsidRDefault="009D0C1D" w:rsidP="00E8720F">
      <w:pPr>
        <w:pStyle w:val="1"/>
        <w:shd w:val="clear" w:color="auto" w:fill="auto"/>
        <w:spacing w:line="324" w:lineRule="auto"/>
        <w:ind w:left="280" w:hanging="280"/>
        <w:jc w:val="both"/>
        <w:rPr>
          <w:sz w:val="18"/>
          <w:szCs w:val="18"/>
        </w:rPr>
      </w:pPr>
      <w:r w:rsidRPr="008D3E53">
        <w:rPr>
          <w:color w:val="019648"/>
          <w:sz w:val="18"/>
          <w:szCs w:val="18"/>
        </w:rPr>
        <w:t xml:space="preserve">• </w:t>
      </w:r>
      <w:r w:rsidR="008D3E53">
        <w:tab/>
      </w:r>
      <w:r w:rsidRPr="008D3E53">
        <w:rPr>
          <w:sz w:val="18"/>
          <w:szCs w:val="18"/>
        </w:rPr>
        <w:t>поточний моніторинг усіх етапів закупівель та ланцюжка поставок, щоб мінімізувати затримки та отримувати належні реактиви відповідно до запланованого графіка; та</w:t>
      </w:r>
    </w:p>
    <w:p w14:paraId="477DDA01" w14:textId="161A8594" w:rsidR="00366CB9" w:rsidRPr="008D3E53" w:rsidRDefault="009D0C1D" w:rsidP="00E8720F">
      <w:pPr>
        <w:pStyle w:val="1"/>
        <w:shd w:val="clear" w:color="auto" w:fill="auto"/>
        <w:spacing w:after="160" w:line="324" w:lineRule="auto"/>
        <w:ind w:left="280" w:hanging="280"/>
        <w:jc w:val="both"/>
        <w:rPr>
          <w:sz w:val="18"/>
          <w:szCs w:val="18"/>
        </w:rPr>
      </w:pPr>
      <w:r w:rsidRPr="008D3E53">
        <w:rPr>
          <w:color w:val="019648"/>
          <w:sz w:val="18"/>
          <w:szCs w:val="18"/>
        </w:rPr>
        <w:t xml:space="preserve">• </w:t>
      </w:r>
      <w:r w:rsidR="008D3E53">
        <w:tab/>
      </w:r>
      <w:r w:rsidRPr="008D3E53">
        <w:rPr>
          <w:sz w:val="18"/>
          <w:szCs w:val="18"/>
        </w:rPr>
        <w:t>регулярна переоцінка стратегій закупівель та розподілу, щоб забезпечити їхню відповідність потребам та поточній ситуації.</w:t>
      </w:r>
    </w:p>
    <w:p w14:paraId="4221350D"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Наразі спостерігається дефіцит туберкуліну в усьому світі, що безпосередньо впливає на скринінг на туберкульозну інфекцію у країнах, що застосовують TST (</w:t>
      </w:r>
      <w:hyperlink w:anchor="bookmark198" w:tooltip="Поточний документ">
        <w:r w:rsidR="00366CB9" w:rsidRPr="008D3E53">
          <w:rPr>
            <w:sz w:val="18"/>
            <w:szCs w:val="18"/>
          </w:rPr>
          <w:t>67</w:t>
        </w:r>
      </w:hyperlink>
      <w:r w:rsidRPr="008D3E53">
        <w:rPr>
          <w:sz w:val="18"/>
          <w:szCs w:val="18"/>
        </w:rPr>
        <w:t>). Туберкулін не включено до переліку поставок в рамках Глобального механізму із забезпечення лікарськими засобами; це може перешкоджати придбанню та розподілу попередньо кваліфікованих матеріалів. Ця ситуація стосується і витратних матеріалів для TBST; підвищення рівня доступності TBST може допомогти у подоланні цих проблем у майбутньому.</w:t>
      </w:r>
    </w:p>
    <w:p w14:paraId="0EFD01A7" w14:textId="77777777" w:rsidR="00366CB9" w:rsidRPr="00384EE0" w:rsidRDefault="009D0C1D" w:rsidP="00E8720F">
      <w:pPr>
        <w:pStyle w:val="60"/>
        <w:shd w:val="clear" w:color="auto" w:fill="auto"/>
        <w:spacing w:after="160" w:line="271" w:lineRule="auto"/>
        <w:jc w:val="both"/>
        <w:rPr>
          <w:i/>
          <w:iCs/>
        </w:rPr>
      </w:pPr>
      <w:r>
        <w:rPr>
          <w:i/>
          <w:color w:val="019648"/>
        </w:rPr>
        <w:t>Етап 4.2 – Розробити процедури для контролю якості реактивів та терміну придатності</w:t>
      </w:r>
    </w:p>
    <w:p w14:paraId="1B35138D" w14:textId="77777777" w:rsidR="00366CB9" w:rsidRPr="008D3E53" w:rsidRDefault="009D0C1D" w:rsidP="00E8720F">
      <w:pPr>
        <w:pStyle w:val="1"/>
        <w:shd w:val="clear" w:color="auto" w:fill="auto"/>
        <w:spacing w:line="324" w:lineRule="auto"/>
        <w:jc w:val="both"/>
        <w:rPr>
          <w:sz w:val="18"/>
          <w:szCs w:val="18"/>
        </w:rPr>
      </w:pPr>
      <w:r w:rsidRPr="008D3E53">
        <w:rPr>
          <w:sz w:val="18"/>
          <w:szCs w:val="18"/>
        </w:rPr>
        <w:t>Під час проєктування системи закупівлі й розподілу слід ураховувати строк придатності реактивів і необхідні умови їх зберігання. Керівники лабораторій повинні регулярно контролювати якість реактивів і строк їх зберігання, щоб забезпечити отримання високоякісних результатів тестів. Також лабораторія має встановити СОП для роботи з реактивами та хімікатами для</w:t>
      </w:r>
    </w:p>
    <w:p w14:paraId="5E3BBE52"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35012F2C" w14:textId="77777777" w:rsidR="00366CB9" w:rsidRDefault="00366CB9" w:rsidP="00425523">
      <w:pPr>
        <w:spacing w:line="1" w:lineRule="exact"/>
      </w:pPr>
    </w:p>
    <w:p w14:paraId="097B8D98" w14:textId="77777777" w:rsidR="00366CB9" w:rsidRPr="008D3E53" w:rsidRDefault="009D0C1D" w:rsidP="00E8720F">
      <w:pPr>
        <w:pStyle w:val="1"/>
        <w:shd w:val="clear" w:color="auto" w:fill="auto"/>
        <w:spacing w:after="140" w:line="324" w:lineRule="auto"/>
        <w:jc w:val="both"/>
        <w:rPr>
          <w:sz w:val="18"/>
          <w:szCs w:val="18"/>
        </w:rPr>
      </w:pPr>
      <w:bookmarkStart w:id="131" w:name="bookmark128"/>
      <w:r w:rsidRPr="008D3E53">
        <w:rPr>
          <w:sz w:val="18"/>
          <w:szCs w:val="18"/>
        </w:rPr>
        <w:t>забезпечення якості та безпеки. Наприклад, термін придатності реактивів для СНП, як правило, короткий; отже, потрібне ретельне планування для уникнення завершення терміну придатності наборів, що призводить до високих витрат на тестування. Після відкриття флакона туберкулін необхідно використати протягом 30 днів; таким чином, дата відкриття має бути чітко зазначена на етикетці флакона. Флакон необхідно поміщати на зберігання наприкінці робочого дня за заданої температури. Будь-який туберкулін, що залишився після 30 днів, необхідно утилізувати. Тривалість відрізняється для TBST; отже, необхідно дотримуватись специфікацій виробника.</w:t>
      </w:r>
      <w:bookmarkEnd w:id="131"/>
    </w:p>
    <w:p w14:paraId="63F3B531" w14:textId="77777777" w:rsidR="00366CB9" w:rsidRPr="008D3E53" w:rsidRDefault="009D0C1D" w:rsidP="00E8720F">
      <w:pPr>
        <w:pStyle w:val="1"/>
        <w:shd w:val="clear" w:color="auto" w:fill="auto"/>
        <w:spacing w:after="260" w:line="324" w:lineRule="auto"/>
        <w:jc w:val="both"/>
        <w:rPr>
          <w:sz w:val="18"/>
          <w:szCs w:val="18"/>
        </w:rPr>
      </w:pPr>
      <w:r w:rsidRPr="008D3E53">
        <w:rPr>
          <w:sz w:val="18"/>
          <w:szCs w:val="18"/>
        </w:rPr>
        <w:t>Тестування нової партії, також відоме як верифікація партій, необхідно проводити на нових серіях реактивів або наборів тестів. Таке тестування, як правило, передбачає тестування зразка нових матеріалів та порівняння результатів з існуючою партією матеріалів з відомими характеристиками. За можливості, тестування нових партій доступних у продажу наборів тестів необхідно проводити на центральному (наприклад, НТРЛ) або регіональному рівні, гарантуючи, що набори з неефективними тестами не розповсюджуються. У центрі тестування необхідно проводити тестування нових партій реактивів, виготовлених у цьому центрі; це також може знадобитися для контролю умов під час перевезення та зберігання наборів тестів у країні. Для контролю якості при випробуванні нових партій реактивів ВООЗ рекомендує використовувати позитивний та негативний контроль.</w:t>
      </w:r>
    </w:p>
    <w:p w14:paraId="177B02C1" w14:textId="77777777" w:rsidR="00366CB9" w:rsidRDefault="009D0C1D" w:rsidP="00E8720F">
      <w:pPr>
        <w:pStyle w:val="22"/>
        <w:numPr>
          <w:ilvl w:val="0"/>
          <w:numId w:val="12"/>
        </w:numPr>
        <w:shd w:val="clear" w:color="auto" w:fill="auto"/>
        <w:tabs>
          <w:tab w:val="left" w:pos="740"/>
        </w:tabs>
        <w:spacing w:after="240" w:line="240" w:lineRule="auto"/>
      </w:pPr>
      <w:bookmarkStart w:id="132" w:name="bookmark130"/>
      <w:bookmarkStart w:id="133" w:name="bookmark131"/>
      <w:bookmarkStart w:id="134" w:name="bookmark129"/>
      <w:r>
        <w:t>Область 5 – Процедури</w:t>
      </w:r>
      <w:bookmarkEnd w:id="132"/>
      <w:bookmarkEnd w:id="133"/>
      <w:bookmarkEnd w:id="134"/>
    </w:p>
    <w:tbl>
      <w:tblPr>
        <w:tblOverlap w:val="never"/>
        <w:tblW w:w="0" w:type="auto"/>
        <w:tblBorders>
          <w:top w:val="single" w:sz="12" w:space="0" w:color="007A44"/>
          <w:left w:val="single" w:sz="12" w:space="0" w:color="007A44"/>
          <w:bottom w:val="single" w:sz="12" w:space="0" w:color="007A44"/>
          <w:right w:val="single" w:sz="12" w:space="0" w:color="007A44"/>
        </w:tblBorders>
        <w:tblLayout w:type="fixed"/>
        <w:tblCellMar>
          <w:left w:w="10" w:type="dxa"/>
          <w:right w:w="10" w:type="dxa"/>
        </w:tblCellMar>
        <w:tblLook w:val="0000" w:firstRow="0" w:lastRow="0" w:firstColumn="0" w:lastColumn="0" w:noHBand="0" w:noVBand="0"/>
      </w:tblPr>
      <w:tblGrid>
        <w:gridCol w:w="9067"/>
      </w:tblGrid>
      <w:tr w:rsidR="00366CB9" w14:paraId="4B677466" w14:textId="77777777" w:rsidTr="008D3E53">
        <w:trPr>
          <w:trHeight w:hRule="exact" w:val="1157"/>
        </w:trPr>
        <w:tc>
          <w:tcPr>
            <w:tcW w:w="9067" w:type="dxa"/>
            <w:shd w:val="clear" w:color="auto" w:fill="FFFFFF"/>
          </w:tcPr>
          <w:p w14:paraId="65255371" w14:textId="77777777" w:rsidR="00366CB9" w:rsidRPr="00BF6DB7" w:rsidRDefault="009D0C1D" w:rsidP="008D3E53">
            <w:pPr>
              <w:pStyle w:val="a6"/>
              <w:shd w:val="clear" w:color="auto" w:fill="auto"/>
              <w:spacing w:before="120" w:after="220"/>
              <w:ind w:left="115"/>
              <w:rPr>
                <w:sz w:val="20"/>
                <w:szCs w:val="20"/>
              </w:rPr>
            </w:pPr>
            <w:r>
              <w:rPr>
                <w:color w:val="000000"/>
                <w:sz w:val="20"/>
              </w:rPr>
              <w:t>Етап 5.1 – Розробити СОП</w:t>
            </w:r>
          </w:p>
          <w:p w14:paraId="63FF1221" w14:textId="77777777" w:rsidR="00366CB9" w:rsidRDefault="009D0C1D" w:rsidP="008D3E53">
            <w:pPr>
              <w:pStyle w:val="a6"/>
              <w:shd w:val="clear" w:color="auto" w:fill="auto"/>
              <w:ind w:left="115"/>
              <w:rPr>
                <w:sz w:val="20"/>
                <w:szCs w:val="20"/>
              </w:rPr>
            </w:pPr>
            <w:r>
              <w:rPr>
                <w:color w:val="000000"/>
                <w:sz w:val="20"/>
              </w:rPr>
              <w:t>Етап 5.2 – Оновити клінічні процедури та зміцнити взаємодію між клінічною практикою і лабораторіями</w:t>
            </w:r>
          </w:p>
        </w:tc>
      </w:tr>
    </w:tbl>
    <w:p w14:paraId="799B5B77" w14:textId="77777777" w:rsidR="00366CB9" w:rsidRPr="00384EE0" w:rsidRDefault="009D0C1D" w:rsidP="00E8720F">
      <w:pPr>
        <w:pStyle w:val="60"/>
        <w:shd w:val="clear" w:color="auto" w:fill="auto"/>
        <w:spacing w:before="360" w:after="200" w:line="269" w:lineRule="auto"/>
        <w:rPr>
          <w:i/>
          <w:iCs/>
        </w:rPr>
      </w:pPr>
      <w:r>
        <w:rPr>
          <w:i/>
          <w:color w:val="019648"/>
        </w:rPr>
        <w:t>Етап 5.1 – Розробити СОП</w:t>
      </w:r>
    </w:p>
    <w:p w14:paraId="5810EB53" w14:textId="77777777" w:rsidR="00366CB9" w:rsidRPr="008D3E53" w:rsidRDefault="009D0C1D" w:rsidP="00E8720F">
      <w:pPr>
        <w:pStyle w:val="1"/>
        <w:shd w:val="clear" w:color="auto" w:fill="auto"/>
        <w:spacing w:after="140" w:line="326" w:lineRule="auto"/>
        <w:jc w:val="both"/>
        <w:rPr>
          <w:sz w:val="18"/>
          <w:szCs w:val="18"/>
        </w:rPr>
      </w:pPr>
      <w:r w:rsidRPr="008D3E53">
        <w:rPr>
          <w:sz w:val="18"/>
          <w:szCs w:val="18"/>
        </w:rPr>
        <w:t>Залежно від призначення або цільового використання діагностичного тесту, процедури повинні бути визначені, відібрані, розроблені або адаптовані для:</w:t>
      </w:r>
    </w:p>
    <w:p w14:paraId="1C20BC2D" w14:textId="4ECDAA68" w:rsidR="00366CB9" w:rsidRPr="008D3E53" w:rsidRDefault="009D0C1D" w:rsidP="008D3E53">
      <w:pPr>
        <w:pStyle w:val="1"/>
        <w:shd w:val="clear" w:color="auto" w:fill="auto"/>
        <w:spacing w:line="324" w:lineRule="auto"/>
        <w:ind w:left="284" w:hanging="284"/>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визначення осіб, які потребують тесту;</w:t>
      </w:r>
    </w:p>
    <w:p w14:paraId="2EDFC8D7" w14:textId="7B93E882" w:rsidR="00366CB9" w:rsidRPr="008D3E53" w:rsidRDefault="009D0C1D" w:rsidP="008D3E53">
      <w:pPr>
        <w:pStyle w:val="1"/>
        <w:shd w:val="clear" w:color="auto" w:fill="auto"/>
        <w:spacing w:line="324" w:lineRule="auto"/>
        <w:ind w:left="284" w:hanging="284"/>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забору, обробки, зберігання та перевезення зразків до дослідницької лабораторії;</w:t>
      </w:r>
    </w:p>
    <w:p w14:paraId="5A28A650" w14:textId="1D57806B" w:rsidR="00366CB9" w:rsidRPr="008D3E53" w:rsidRDefault="009D0C1D" w:rsidP="008D3E53">
      <w:pPr>
        <w:pStyle w:val="1"/>
        <w:shd w:val="clear" w:color="auto" w:fill="auto"/>
        <w:spacing w:line="324" w:lineRule="auto"/>
        <w:ind w:left="284" w:hanging="284"/>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тестування;</w:t>
      </w:r>
    </w:p>
    <w:p w14:paraId="64812C78" w14:textId="641DB91A" w:rsidR="00366CB9" w:rsidRPr="008D3E53" w:rsidRDefault="009D0C1D" w:rsidP="008D3E53">
      <w:pPr>
        <w:pStyle w:val="1"/>
        <w:shd w:val="clear" w:color="auto" w:fill="auto"/>
        <w:spacing w:line="324" w:lineRule="auto"/>
        <w:ind w:left="284" w:hanging="284"/>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ін’єкція туберкуліну та зчитування ущільнення для шкірних тестів на виявлення туберкульозної інфекції (</w:t>
      </w:r>
      <w:hyperlink w:anchor="bookmark220" w:tooltip="Поточний документ">
        <w:r w:rsidR="00366CB9" w:rsidRPr="008D3E53">
          <w:rPr>
            <w:b/>
            <w:sz w:val="18"/>
            <w:szCs w:val="18"/>
          </w:rPr>
          <w:t>Додаток 4</w:t>
        </w:r>
      </w:hyperlink>
      <w:r w:rsidRPr="008D3E53">
        <w:rPr>
          <w:sz w:val="18"/>
          <w:szCs w:val="18"/>
        </w:rPr>
        <w:t>);</w:t>
      </w:r>
    </w:p>
    <w:p w14:paraId="4A93D687" w14:textId="195384AD" w:rsidR="00366CB9" w:rsidRPr="008D3E53" w:rsidRDefault="009D0C1D" w:rsidP="008D3E53">
      <w:pPr>
        <w:pStyle w:val="1"/>
        <w:shd w:val="clear" w:color="auto" w:fill="auto"/>
        <w:spacing w:line="324" w:lineRule="auto"/>
        <w:ind w:left="284" w:hanging="284"/>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аналіз, безпека та конфіденційність даних (див. Область 6);</w:t>
      </w:r>
    </w:p>
    <w:p w14:paraId="2499D834" w14:textId="48387A51" w:rsidR="00366CB9" w:rsidRPr="008D3E53" w:rsidRDefault="009D0C1D" w:rsidP="008D3E53">
      <w:pPr>
        <w:pStyle w:val="1"/>
        <w:shd w:val="clear" w:color="auto" w:fill="auto"/>
        <w:spacing w:line="324" w:lineRule="auto"/>
        <w:ind w:left="284" w:hanging="284"/>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контроль процесу (внутрішній КЯ) та ЗОЯ (див. Область 7);</w:t>
      </w:r>
    </w:p>
    <w:p w14:paraId="3D081097" w14:textId="1C1E81A4" w:rsidR="00366CB9" w:rsidRPr="008D3E53" w:rsidRDefault="009D0C1D" w:rsidP="008D3E53">
      <w:pPr>
        <w:pStyle w:val="1"/>
        <w:shd w:val="clear" w:color="auto" w:fill="auto"/>
        <w:spacing w:line="324" w:lineRule="auto"/>
        <w:ind w:left="284" w:hanging="284"/>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реєстрація та звітування результатів (див. Область 8);та</w:t>
      </w:r>
    </w:p>
    <w:p w14:paraId="7971588E" w14:textId="210DD835" w:rsidR="00366CB9" w:rsidRPr="008D3E53" w:rsidRDefault="009D0C1D" w:rsidP="008D3E53">
      <w:pPr>
        <w:pStyle w:val="1"/>
        <w:shd w:val="clear" w:color="auto" w:fill="auto"/>
        <w:spacing w:after="140" w:line="324" w:lineRule="auto"/>
        <w:ind w:left="284" w:hanging="284"/>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утилізація відходів.</w:t>
      </w:r>
    </w:p>
    <w:p w14:paraId="0C5F286A" w14:textId="77777777" w:rsidR="00366CB9" w:rsidRPr="008D3E53" w:rsidRDefault="009D0C1D" w:rsidP="00E8720F">
      <w:pPr>
        <w:pStyle w:val="1"/>
        <w:shd w:val="clear" w:color="auto" w:fill="auto"/>
        <w:spacing w:line="324" w:lineRule="auto"/>
        <w:jc w:val="both"/>
        <w:rPr>
          <w:sz w:val="18"/>
          <w:szCs w:val="18"/>
        </w:rPr>
      </w:pPr>
      <w:r w:rsidRPr="008D3E53">
        <w:rPr>
          <w:sz w:val="18"/>
          <w:szCs w:val="18"/>
        </w:rPr>
        <w:t>Важливо мати чітко визначений, вичерпний перелік СОП, що охоплює всі аспекти процесів лабораторного тестування, від забору зразків до звітування про результати; частково тому, що помилки на будь-якому етапі можуть суттєво вплинути на якість тестування. Деякі СОП підготовлено на основі протоколів виробника, що додаються до доступних у продажу наборів, тоді як інші знаходяться на стадії розробки. Необхідно надати швидкий доступ до СОП персоналу та регулярно оновлювати їх.</w:t>
      </w:r>
    </w:p>
    <w:p w14:paraId="399E227B"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029D9677" w14:textId="77777777" w:rsidR="00366CB9" w:rsidRDefault="00366CB9" w:rsidP="00425523">
      <w:pPr>
        <w:spacing w:line="1" w:lineRule="exact"/>
      </w:pPr>
    </w:p>
    <w:p w14:paraId="72A1F52C" w14:textId="77777777" w:rsidR="00366CB9" w:rsidRPr="00384EE0" w:rsidRDefault="009D0C1D" w:rsidP="00E8720F">
      <w:pPr>
        <w:pStyle w:val="60"/>
        <w:shd w:val="clear" w:color="auto" w:fill="auto"/>
        <w:spacing w:after="200" w:line="240" w:lineRule="auto"/>
        <w:rPr>
          <w:i/>
          <w:iCs/>
        </w:rPr>
      </w:pPr>
      <w:bookmarkStart w:id="135" w:name="bookmark132"/>
      <w:r>
        <w:rPr>
          <w:i/>
          <w:color w:val="019648"/>
        </w:rPr>
        <w:t>Етап 5.2 – Оновити клінічні процедури та зміцнити взаємодію між клінічною практикою і лабораторіями</w:t>
      </w:r>
      <w:bookmarkEnd w:id="135"/>
    </w:p>
    <w:p w14:paraId="4A477DB1" w14:textId="77777777" w:rsidR="00366CB9" w:rsidRPr="008D3E53" w:rsidRDefault="009D0C1D" w:rsidP="00E8720F">
      <w:pPr>
        <w:pStyle w:val="1"/>
        <w:shd w:val="clear" w:color="auto" w:fill="auto"/>
        <w:spacing w:after="140" w:line="324" w:lineRule="auto"/>
        <w:jc w:val="both"/>
        <w:rPr>
          <w:sz w:val="18"/>
          <w:szCs w:val="18"/>
        </w:rPr>
      </w:pPr>
      <w:r w:rsidRPr="008D3E53">
        <w:rPr>
          <w:sz w:val="18"/>
          <w:szCs w:val="18"/>
        </w:rPr>
        <w:t>Комплексний план впровадження нового діагностичного тесту повинен охоплювати всі відповідні частини діагностичного каскаду, а не лише того, що відбувається в лабораторії. Крім СОП, пов’язаних з лабораторією, потрібні чіткі клінічні протоколи та вказівки щодо відбору осіб для тестування, замовлення тестів, тлумачення результатів тестів, звітування та прийняття рішень щодо догляду за пацієнтами. Перед впровадженням нового діагностичного тесту або будь-яких змін до існуючого тесту, весь клінічний персонал, що бере участь у діагностиці та лікуванні пацієнтів, повинен бути проінформований про заплановані зміни, а також необхідно провести підготовку. Також необхідно проінформувати клінічний персонал всіх центрів перенаправлення шляхом підготовки персоналу та використання стандартизованих навчальних матеріалів, розроблених в рамках НПБТ. Необхідно розглянути посилену клінічну підготовку, якщо нові тести або стратегії тестування відрізняються від доступних аналізів з точки зору ефективності або частоти невідповідних результатів (наприклад, LF-LAM та тестування в рамках цільового СНП порівняно з LC-aNAAT та аналізами в рамках фенотипового ТМЧ).</w:t>
      </w:r>
    </w:p>
    <w:p w14:paraId="33ADBEA7" w14:textId="77777777" w:rsidR="00366CB9" w:rsidRPr="008D3E53" w:rsidRDefault="009D0C1D" w:rsidP="00E8720F">
      <w:pPr>
        <w:pStyle w:val="1"/>
        <w:shd w:val="clear" w:color="auto" w:fill="auto"/>
        <w:spacing w:after="240" w:line="324" w:lineRule="auto"/>
        <w:jc w:val="both"/>
        <w:rPr>
          <w:sz w:val="18"/>
          <w:szCs w:val="18"/>
        </w:rPr>
      </w:pPr>
      <w:r w:rsidRPr="008D3E53">
        <w:rPr>
          <w:sz w:val="18"/>
          <w:szCs w:val="18"/>
        </w:rPr>
        <w:t>Необхідно контролювати частоту замовлення нового тесту для використання тесту клінічним персоналом усіх центрів, що проводять тест. Клінічний персонал у центрах з неочікувано низьким або високим рівнем тестування може потребувати додаткової підготовки та сенсибілізації.</w:t>
      </w:r>
    </w:p>
    <w:p w14:paraId="2B77CDDB" w14:textId="77777777" w:rsidR="00366CB9" w:rsidRDefault="009D0C1D" w:rsidP="00E8720F">
      <w:pPr>
        <w:pStyle w:val="22"/>
        <w:numPr>
          <w:ilvl w:val="0"/>
          <w:numId w:val="12"/>
        </w:numPr>
        <w:shd w:val="clear" w:color="auto" w:fill="auto"/>
        <w:tabs>
          <w:tab w:val="left" w:pos="682"/>
        </w:tabs>
        <w:spacing w:after="240" w:line="240" w:lineRule="auto"/>
      </w:pPr>
      <w:bookmarkStart w:id="136" w:name="bookmark134"/>
      <w:bookmarkStart w:id="137" w:name="bookmark135"/>
      <w:bookmarkStart w:id="138" w:name="bookmark133"/>
      <w:r>
        <w:t>Область 6 – Цифрові дані</w:t>
      </w:r>
      <w:bookmarkEnd w:id="136"/>
      <w:bookmarkEnd w:id="137"/>
      <w:bookmarkEnd w:id="138"/>
    </w:p>
    <w:tbl>
      <w:tblPr>
        <w:tblOverlap w:val="never"/>
        <w:tblW w:w="0" w:type="auto"/>
        <w:tblBorders>
          <w:top w:val="single" w:sz="12" w:space="0" w:color="007A44"/>
          <w:left w:val="single" w:sz="12" w:space="0" w:color="007A44"/>
          <w:bottom w:val="single" w:sz="12" w:space="0" w:color="007A44"/>
          <w:right w:val="single" w:sz="12" w:space="0" w:color="007A44"/>
        </w:tblBorders>
        <w:tblLayout w:type="fixed"/>
        <w:tblCellMar>
          <w:left w:w="10" w:type="dxa"/>
          <w:right w:w="10" w:type="dxa"/>
        </w:tblCellMar>
        <w:tblLook w:val="0000" w:firstRow="0" w:lastRow="0" w:firstColumn="0" w:lastColumn="0" w:noHBand="0" w:noVBand="0"/>
      </w:tblPr>
      <w:tblGrid>
        <w:gridCol w:w="9077"/>
      </w:tblGrid>
      <w:tr w:rsidR="00366CB9" w14:paraId="1781046F" w14:textId="77777777" w:rsidTr="008D3E53">
        <w:trPr>
          <w:trHeight w:hRule="exact" w:val="1559"/>
        </w:trPr>
        <w:tc>
          <w:tcPr>
            <w:tcW w:w="9077" w:type="dxa"/>
            <w:shd w:val="clear" w:color="auto" w:fill="FFFFFF"/>
            <w:vAlign w:val="bottom"/>
          </w:tcPr>
          <w:p w14:paraId="2E212573" w14:textId="77777777" w:rsidR="00366CB9" w:rsidRPr="00BF6DB7" w:rsidRDefault="009D0C1D" w:rsidP="008D3E53">
            <w:pPr>
              <w:pStyle w:val="a6"/>
              <w:shd w:val="clear" w:color="auto" w:fill="auto"/>
              <w:spacing w:before="120" w:after="220"/>
              <w:ind w:left="115"/>
              <w:rPr>
                <w:sz w:val="20"/>
                <w:szCs w:val="20"/>
              </w:rPr>
            </w:pPr>
            <w:r>
              <w:rPr>
                <w:color w:val="000000"/>
                <w:sz w:val="20"/>
              </w:rPr>
              <w:t>Етап 6.1 – Розвивати використання цифрових даних та підключення до діагностики</w:t>
            </w:r>
          </w:p>
          <w:p w14:paraId="48A66CEA" w14:textId="77777777" w:rsidR="00366CB9" w:rsidRPr="00BF6DB7" w:rsidRDefault="009D0C1D" w:rsidP="008D3E53">
            <w:pPr>
              <w:pStyle w:val="a6"/>
              <w:shd w:val="clear" w:color="auto" w:fill="auto"/>
              <w:spacing w:after="220"/>
              <w:ind w:left="115"/>
              <w:rPr>
                <w:sz w:val="20"/>
                <w:szCs w:val="20"/>
              </w:rPr>
            </w:pPr>
            <w:r>
              <w:rPr>
                <w:color w:val="000000"/>
                <w:sz w:val="20"/>
              </w:rPr>
              <w:t>Етап 6.2 – Розробити процедури резервного копіювання даних, безпеки та конфіденційності</w:t>
            </w:r>
          </w:p>
          <w:p w14:paraId="33AD396E" w14:textId="77777777" w:rsidR="00366CB9" w:rsidRDefault="009D0C1D" w:rsidP="008D3E53">
            <w:pPr>
              <w:pStyle w:val="a6"/>
              <w:shd w:val="clear" w:color="auto" w:fill="auto"/>
              <w:spacing w:after="220"/>
              <w:ind w:left="115"/>
              <w:rPr>
                <w:sz w:val="20"/>
                <w:szCs w:val="20"/>
              </w:rPr>
            </w:pPr>
            <w:r>
              <w:rPr>
                <w:color w:val="000000"/>
                <w:sz w:val="20"/>
              </w:rPr>
              <w:t>Етап 6.3 – Розробити вимоги до даних для цільового СНП</w:t>
            </w:r>
          </w:p>
        </w:tc>
      </w:tr>
    </w:tbl>
    <w:p w14:paraId="06C2F85F" w14:textId="77777777" w:rsidR="00366CB9" w:rsidRPr="00384EE0" w:rsidRDefault="009D0C1D" w:rsidP="008D3E53">
      <w:pPr>
        <w:pStyle w:val="60"/>
        <w:shd w:val="clear" w:color="auto" w:fill="auto"/>
        <w:spacing w:before="360" w:after="200" w:line="269" w:lineRule="auto"/>
        <w:jc w:val="both"/>
        <w:rPr>
          <w:i/>
          <w:iCs/>
        </w:rPr>
      </w:pPr>
      <w:r>
        <w:rPr>
          <w:i/>
          <w:color w:val="019648"/>
        </w:rPr>
        <w:t>Етап 6.1 – Розвивати використання цифрових даних та підключення до діагностики</w:t>
      </w:r>
    </w:p>
    <w:p w14:paraId="00BF18B4" w14:textId="77777777" w:rsidR="00366CB9" w:rsidRPr="008D3E53" w:rsidRDefault="009D0C1D" w:rsidP="00E8720F">
      <w:pPr>
        <w:pStyle w:val="1"/>
        <w:shd w:val="clear" w:color="auto" w:fill="auto"/>
        <w:spacing w:after="140" w:line="324" w:lineRule="auto"/>
        <w:jc w:val="both"/>
        <w:rPr>
          <w:sz w:val="18"/>
          <w:szCs w:val="18"/>
        </w:rPr>
      </w:pPr>
      <w:r w:rsidRPr="008D3E53">
        <w:rPr>
          <w:sz w:val="18"/>
          <w:szCs w:val="18"/>
        </w:rPr>
        <w:t>Багато найновіших приладів для тестування гарантують використання цифрових даних. План впровадження має враховувати вимоги до програмного та апаратного забезпечення, з урахуванням переваг цифрових даних. «Схема діагностики» передбачає підключення діагностичних тестових пристроїв, що дають результати в цифровому форматі, щоб надійно передавати дані різним користувачам (</w:t>
      </w:r>
      <w:hyperlink w:anchor="bookmark199" w:tooltip="Поточний документ">
        <w:r w:rsidR="00366CB9" w:rsidRPr="008D3E53">
          <w:rPr>
            <w:sz w:val="18"/>
            <w:szCs w:val="18"/>
          </w:rPr>
          <w:t>68</w:t>
        </w:r>
      </w:hyperlink>
      <w:r w:rsidRPr="008D3E53">
        <w:rPr>
          <w:sz w:val="18"/>
          <w:szCs w:val="18"/>
        </w:rPr>
        <w:t>). Ключовими функціями систем є можливість віддаленого моніторингу ефективності, проведення контролю якості та управління запасами. За допомогою віддаленого моніторингу уповноважені особи можуть використовувати будь-який комп’ютер з доступом до Інтернету для доступу до програмного забезпечення, і таким чином отримувати огляд об’єктів, пристроїв і товарів в мережі. За допомогою програмного забезпечення можна відстежувати споживання і запаси, щоб уникнути дефіциту і закінчення терміну придатності. Воно також може визначати партії товарів або конкретні прилади з низькою ефективністю або аномальною частотою похибок для ЗЯ та гарантувати превентивне обслуговування, щоб уникнути несправності приладів. Такий підхід є економічно ефективним для належного функціонування мережі діагностичних пристроїв; він також підходить для звітування та зв’язку з закладами охорони здоров’я.</w:t>
      </w:r>
    </w:p>
    <w:p w14:paraId="3E2360BD" w14:textId="77777777" w:rsidR="00366CB9" w:rsidRPr="008D3E53" w:rsidRDefault="009D0C1D" w:rsidP="00E8720F">
      <w:pPr>
        <w:pStyle w:val="1"/>
        <w:shd w:val="clear" w:color="auto" w:fill="auto"/>
        <w:spacing w:after="140" w:line="324" w:lineRule="auto"/>
        <w:rPr>
          <w:sz w:val="18"/>
          <w:szCs w:val="18"/>
        </w:rPr>
      </w:pPr>
      <w:r w:rsidRPr="008D3E53">
        <w:rPr>
          <w:sz w:val="18"/>
          <w:szCs w:val="18"/>
        </w:rPr>
        <w:t>Дані, результати та оновлена інформація також можуть автоматично передаватись:</w:t>
      </w:r>
    </w:p>
    <w:p w14:paraId="6E42F573" w14:textId="51D3336F" w:rsidR="00366CB9" w:rsidRPr="008D3E53" w:rsidRDefault="009D0C1D" w:rsidP="008D3E53">
      <w:pPr>
        <w:pStyle w:val="1"/>
        <w:shd w:val="clear" w:color="auto" w:fill="auto"/>
        <w:tabs>
          <w:tab w:val="left" w:pos="284"/>
        </w:tabs>
        <w:spacing w:line="324" w:lineRule="auto"/>
        <w:rPr>
          <w:sz w:val="18"/>
          <w:szCs w:val="18"/>
        </w:rPr>
      </w:pPr>
      <w:r w:rsidRPr="008D3E53">
        <w:rPr>
          <w:color w:val="019648"/>
          <w:sz w:val="18"/>
          <w:szCs w:val="18"/>
        </w:rPr>
        <w:t xml:space="preserve">• </w:t>
      </w:r>
      <w:r w:rsidR="008D3E53">
        <w:tab/>
      </w:r>
      <w:r w:rsidRPr="008D3E53">
        <w:rPr>
          <w:sz w:val="18"/>
          <w:szCs w:val="18"/>
        </w:rPr>
        <w:t>клініцистам та пацієнтам, що гарантує швидше подальше спостереження за пацієнтами;</w:t>
      </w:r>
    </w:p>
    <w:p w14:paraId="19CF236F"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3A8F071B" w14:textId="77777777" w:rsidR="00366CB9" w:rsidRDefault="00366CB9" w:rsidP="00425523">
      <w:pPr>
        <w:spacing w:line="1" w:lineRule="exact"/>
      </w:pPr>
    </w:p>
    <w:p w14:paraId="1C106FFA" w14:textId="4A420364" w:rsidR="00366CB9" w:rsidRPr="008D3E53" w:rsidRDefault="009D0C1D" w:rsidP="00E8720F">
      <w:pPr>
        <w:pStyle w:val="1"/>
        <w:shd w:val="clear" w:color="auto" w:fill="auto"/>
        <w:spacing w:line="324" w:lineRule="auto"/>
        <w:ind w:left="280" w:hanging="280"/>
        <w:jc w:val="both"/>
        <w:rPr>
          <w:sz w:val="18"/>
          <w:szCs w:val="18"/>
        </w:rPr>
      </w:pPr>
      <w:bookmarkStart w:id="139" w:name="bookmark136"/>
      <w:r w:rsidRPr="008D3E53">
        <w:rPr>
          <w:color w:val="019648"/>
          <w:sz w:val="18"/>
          <w:szCs w:val="18"/>
        </w:rPr>
        <w:t xml:space="preserve">• </w:t>
      </w:r>
      <w:r w:rsidR="008D3E53" w:rsidRPr="008D3E53">
        <w:rPr>
          <w:sz w:val="18"/>
          <w:szCs w:val="18"/>
        </w:rPr>
        <w:tab/>
      </w:r>
      <w:r w:rsidRPr="008D3E53">
        <w:rPr>
          <w:sz w:val="18"/>
          <w:szCs w:val="18"/>
        </w:rPr>
        <w:t>системам управління лабораторною інформацією або електронним реєстрам, що скорочує час персоналу та ймовірність помилок транскрипції, а також суттєво спрощує процеси моніторингу та оцінки; та</w:t>
      </w:r>
      <w:bookmarkEnd w:id="139"/>
    </w:p>
    <w:p w14:paraId="3DA48324" w14:textId="0EE515F7" w:rsidR="00366CB9" w:rsidRPr="008D3E53" w:rsidRDefault="009D0C1D" w:rsidP="00E8720F">
      <w:pPr>
        <w:pStyle w:val="1"/>
        <w:shd w:val="clear" w:color="auto" w:fill="auto"/>
        <w:spacing w:after="160" w:line="324" w:lineRule="auto"/>
        <w:ind w:left="280" w:hanging="280"/>
        <w:jc w:val="both"/>
        <w:rPr>
          <w:sz w:val="18"/>
          <w:szCs w:val="18"/>
        </w:rPr>
      </w:pPr>
      <w:r w:rsidRPr="008D3E53">
        <w:rPr>
          <w:color w:val="019648"/>
          <w:sz w:val="18"/>
          <w:szCs w:val="18"/>
        </w:rPr>
        <w:t xml:space="preserve">• </w:t>
      </w:r>
      <w:r w:rsidR="008D3E53" w:rsidRPr="008D3E53">
        <w:rPr>
          <w:sz w:val="18"/>
          <w:szCs w:val="18"/>
        </w:rPr>
        <w:tab/>
      </w:r>
      <w:r w:rsidRPr="008D3E53">
        <w:rPr>
          <w:sz w:val="18"/>
          <w:szCs w:val="18"/>
        </w:rPr>
        <w:t>НПБТ, допомагаючи в епідеміологічному нагляді за тенденціями при захворюваннях або моделями та рівнями резистентності, а також підвищуючи здатність НПБТ генерувати дані, необхідні для показників ефективності відповідно до Стратегії боротьби з ТБ.</w:t>
      </w:r>
    </w:p>
    <w:p w14:paraId="6B47D431" w14:textId="77777777" w:rsidR="00366CB9" w:rsidRPr="00BF6DB7" w:rsidRDefault="009D0C1D" w:rsidP="00E8720F">
      <w:pPr>
        <w:pStyle w:val="60"/>
        <w:shd w:val="clear" w:color="auto" w:fill="auto"/>
        <w:spacing w:after="160" w:line="269" w:lineRule="auto"/>
        <w:rPr>
          <w:i/>
          <w:iCs/>
        </w:rPr>
      </w:pPr>
      <w:r>
        <w:rPr>
          <w:i/>
          <w:color w:val="019648"/>
        </w:rPr>
        <w:t>Етап 6.2 – Розробити процедури резервного копіювання даних, безпеки та конфіденційності</w:t>
      </w:r>
    </w:p>
    <w:p w14:paraId="3DA44D05"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У роботі з будь-якою електронною системою даних існує ризик втрати даних тестування. СОП для регулярного резервного копіювання даних (наприклад, на зовнішній диск) є важливою, як і СОП для пошуку даних. Також необхідні політики та процедури для забезпечення безпеки лабораторних даних та конфіденційності даних пацієнтів відповідно до національних та міжнародних правил. Необхідно встановити та оновити антивірусне та антипіратське програмне забезпечення. Необхідно запровадити механізми запобігання доступу до системи хакерам, а також обмеження доступу для захисту конфіденційності, захисту персональних даних та запобігання витокам даних неавторизованими користувачами. Необхідно розробити та впровадити доступу до даних та принципами управління даними.</w:t>
      </w:r>
    </w:p>
    <w:p w14:paraId="632B7DF9" w14:textId="77777777" w:rsidR="00366CB9" w:rsidRPr="00BF6DB7" w:rsidRDefault="009D0C1D" w:rsidP="00E8720F">
      <w:pPr>
        <w:pStyle w:val="60"/>
        <w:shd w:val="clear" w:color="auto" w:fill="auto"/>
        <w:spacing w:after="160" w:line="269" w:lineRule="auto"/>
        <w:rPr>
          <w:i/>
          <w:iCs/>
        </w:rPr>
      </w:pPr>
      <w:r>
        <w:rPr>
          <w:i/>
          <w:color w:val="019648"/>
        </w:rPr>
        <w:t>Етап 6.3 – Вимоги до даних для цільового СНП</w:t>
      </w:r>
    </w:p>
    <w:p w14:paraId="168CAC66" w14:textId="77777777" w:rsidR="00366CB9" w:rsidRPr="008D3E53" w:rsidRDefault="009D0C1D" w:rsidP="00E8720F">
      <w:pPr>
        <w:pStyle w:val="1"/>
        <w:shd w:val="clear" w:color="auto" w:fill="auto"/>
        <w:spacing w:after="240" w:line="324" w:lineRule="auto"/>
        <w:jc w:val="both"/>
        <w:rPr>
          <w:sz w:val="18"/>
          <w:szCs w:val="18"/>
        </w:rPr>
      </w:pPr>
      <w:r w:rsidRPr="008D3E53">
        <w:rPr>
          <w:sz w:val="18"/>
          <w:szCs w:val="18"/>
        </w:rPr>
        <w:t xml:space="preserve">Вимоги до зберігання даних, інструменти аналізу даних та протоколи обміну даними в рамках цільового СНП є складнішими та вимагають комплексної стратегії за можливої технічної допомоги ІТ-фахівця або IT-відділу. Контрольний перелік для оцінки готовності ІТ-систем та даних включено до контрольного переліку для забезпечення готовності центру в </w:t>
      </w:r>
      <w:r w:rsidRPr="008D3E53">
        <w:rPr>
          <w:b/>
          <w:bCs/>
          <w:sz w:val="18"/>
          <w:szCs w:val="18"/>
        </w:rPr>
        <w:t>Додатку 3</w:t>
      </w:r>
      <w:r w:rsidRPr="008D3E53">
        <w:rPr>
          <w:sz w:val="18"/>
          <w:szCs w:val="18"/>
        </w:rPr>
        <w:t xml:space="preserve"> до посібника ВООЗ щодо впровадження (</w:t>
      </w:r>
      <w:hyperlink w:anchor="bookmark197" w:tooltip="Поточний документ">
        <w:r w:rsidR="00366CB9" w:rsidRPr="008D3E53">
          <w:rPr>
            <w:sz w:val="18"/>
            <w:szCs w:val="18"/>
          </w:rPr>
          <w:t>33</w:t>
        </w:r>
      </w:hyperlink>
      <w:r w:rsidRPr="008D3E53">
        <w:rPr>
          <w:sz w:val="18"/>
          <w:szCs w:val="18"/>
        </w:rPr>
        <w:t>).</w:t>
      </w:r>
    </w:p>
    <w:p w14:paraId="2DBE90F5" w14:textId="77777777" w:rsidR="00366CB9" w:rsidRDefault="009D0C1D" w:rsidP="00E8720F">
      <w:pPr>
        <w:pStyle w:val="22"/>
        <w:numPr>
          <w:ilvl w:val="0"/>
          <w:numId w:val="12"/>
        </w:numPr>
        <w:shd w:val="clear" w:color="auto" w:fill="auto"/>
        <w:tabs>
          <w:tab w:val="left" w:pos="733"/>
        </w:tabs>
        <w:spacing w:after="240" w:line="264" w:lineRule="auto"/>
      </w:pPr>
      <w:bookmarkStart w:id="140" w:name="bookmark138"/>
      <w:bookmarkStart w:id="141" w:name="bookmark139"/>
      <w:bookmarkStart w:id="142" w:name="bookmark137"/>
      <w:r>
        <w:t>Область 7 – Забезпечення якості, контроль та оцінка</w:t>
      </w:r>
      <w:bookmarkEnd w:id="140"/>
      <w:bookmarkEnd w:id="141"/>
      <w:bookmarkEnd w:id="142"/>
    </w:p>
    <w:tbl>
      <w:tblPr>
        <w:tblOverlap w:val="never"/>
        <w:tblW w:w="0" w:type="auto"/>
        <w:tblBorders>
          <w:top w:val="single" w:sz="12" w:space="0" w:color="007A44"/>
          <w:left w:val="single" w:sz="12" w:space="0" w:color="007A44"/>
          <w:bottom w:val="single" w:sz="12" w:space="0" w:color="007A44"/>
          <w:right w:val="single" w:sz="12" w:space="0" w:color="007A44"/>
        </w:tblBorders>
        <w:tblLayout w:type="fixed"/>
        <w:tblCellMar>
          <w:left w:w="10" w:type="dxa"/>
          <w:right w:w="10" w:type="dxa"/>
        </w:tblCellMar>
        <w:tblLook w:val="0000" w:firstRow="0" w:lastRow="0" w:firstColumn="0" w:lastColumn="0" w:noHBand="0" w:noVBand="0"/>
      </w:tblPr>
      <w:tblGrid>
        <w:gridCol w:w="9058"/>
      </w:tblGrid>
      <w:tr w:rsidR="00366CB9" w14:paraId="415116B5" w14:textId="77777777" w:rsidTr="008D3E53">
        <w:trPr>
          <w:trHeight w:hRule="exact" w:val="1982"/>
        </w:trPr>
        <w:tc>
          <w:tcPr>
            <w:tcW w:w="9058" w:type="dxa"/>
            <w:shd w:val="clear" w:color="auto" w:fill="FFFFFF"/>
            <w:vAlign w:val="bottom"/>
          </w:tcPr>
          <w:p w14:paraId="02CBE0EC" w14:textId="77777777" w:rsidR="00366CB9" w:rsidRPr="00BF6DB7" w:rsidRDefault="009D0C1D" w:rsidP="00E8720F">
            <w:pPr>
              <w:pStyle w:val="a6"/>
              <w:shd w:val="clear" w:color="auto" w:fill="auto"/>
              <w:spacing w:after="220"/>
              <w:ind w:firstLine="160"/>
              <w:rPr>
                <w:sz w:val="20"/>
                <w:szCs w:val="20"/>
              </w:rPr>
            </w:pPr>
            <w:r>
              <w:rPr>
                <w:color w:val="000000"/>
                <w:sz w:val="20"/>
              </w:rPr>
              <w:t>Етап 7.1 – Впровадити комплексу систему ЗЯ</w:t>
            </w:r>
          </w:p>
          <w:p w14:paraId="62807002" w14:textId="77777777" w:rsidR="00366CB9" w:rsidRPr="00BF6DB7" w:rsidRDefault="009D0C1D" w:rsidP="00E8720F">
            <w:pPr>
              <w:pStyle w:val="a6"/>
              <w:shd w:val="clear" w:color="auto" w:fill="auto"/>
              <w:spacing w:after="220"/>
              <w:ind w:firstLine="160"/>
              <w:rPr>
                <w:sz w:val="20"/>
                <w:szCs w:val="20"/>
              </w:rPr>
            </w:pPr>
            <w:r>
              <w:rPr>
                <w:color w:val="000000"/>
                <w:sz w:val="20"/>
              </w:rPr>
              <w:t>Етап 7.2 – Встановити та здійснювати КЯ</w:t>
            </w:r>
          </w:p>
          <w:p w14:paraId="7455F85C" w14:textId="77777777" w:rsidR="00366CB9" w:rsidRPr="00BF6DB7" w:rsidRDefault="009D0C1D" w:rsidP="00E8720F">
            <w:pPr>
              <w:pStyle w:val="a6"/>
              <w:shd w:val="clear" w:color="auto" w:fill="auto"/>
              <w:spacing w:after="220"/>
              <w:ind w:firstLine="160"/>
              <w:rPr>
                <w:sz w:val="20"/>
                <w:szCs w:val="20"/>
              </w:rPr>
            </w:pPr>
            <w:r>
              <w:rPr>
                <w:color w:val="000000"/>
                <w:sz w:val="20"/>
              </w:rPr>
              <w:t>Етап 7.3 – Розробка програми ЗОЯ</w:t>
            </w:r>
          </w:p>
          <w:p w14:paraId="2125C707" w14:textId="77777777" w:rsidR="00366CB9" w:rsidRPr="00BF6DB7" w:rsidRDefault="009D0C1D" w:rsidP="00E8720F">
            <w:pPr>
              <w:pStyle w:val="a6"/>
              <w:shd w:val="clear" w:color="auto" w:fill="auto"/>
              <w:spacing w:after="220"/>
              <w:ind w:firstLine="160"/>
              <w:rPr>
                <w:sz w:val="20"/>
                <w:szCs w:val="20"/>
              </w:rPr>
            </w:pPr>
            <w:r>
              <w:rPr>
                <w:color w:val="000000"/>
                <w:sz w:val="20"/>
              </w:rPr>
              <w:t>Етап 7.4 – Моніторити та аналізувати показники якості</w:t>
            </w:r>
          </w:p>
        </w:tc>
      </w:tr>
    </w:tbl>
    <w:p w14:paraId="40FE3A54" w14:textId="77777777" w:rsidR="00366CB9" w:rsidRPr="00E846A7" w:rsidRDefault="009D0C1D" w:rsidP="00E8720F">
      <w:pPr>
        <w:pStyle w:val="60"/>
        <w:shd w:val="clear" w:color="auto" w:fill="auto"/>
        <w:spacing w:before="360" w:after="160" w:line="271" w:lineRule="auto"/>
        <w:rPr>
          <w:i/>
          <w:iCs/>
        </w:rPr>
      </w:pPr>
      <w:r>
        <w:rPr>
          <w:i/>
          <w:color w:val="019648"/>
        </w:rPr>
        <w:t>Етап 7.1 – Впровадити комплексу систему ЗЯ</w:t>
      </w:r>
    </w:p>
    <w:p w14:paraId="74108E57" w14:textId="77777777" w:rsidR="00366CB9" w:rsidRPr="008D3E53" w:rsidRDefault="009D0C1D" w:rsidP="00E8720F">
      <w:pPr>
        <w:pStyle w:val="1"/>
        <w:shd w:val="clear" w:color="auto" w:fill="auto"/>
        <w:spacing w:after="160" w:line="326" w:lineRule="auto"/>
        <w:jc w:val="both"/>
        <w:rPr>
          <w:sz w:val="18"/>
          <w:szCs w:val="18"/>
        </w:rPr>
      </w:pPr>
      <w:r w:rsidRPr="008D3E53">
        <w:rPr>
          <w:sz w:val="18"/>
          <w:szCs w:val="18"/>
        </w:rPr>
        <w:t>Для забезпечення точності, надійності та відтворюваності результатів тестів потрібна комплексна СУЯ. Основними елементами системи забезпечення якості є:</w:t>
      </w:r>
    </w:p>
    <w:p w14:paraId="3A319A0A" w14:textId="0FB0659B" w:rsidR="00366CB9" w:rsidRPr="008D3E53" w:rsidRDefault="009D0C1D" w:rsidP="008D3E53">
      <w:pPr>
        <w:pStyle w:val="1"/>
        <w:shd w:val="clear" w:color="auto" w:fill="auto"/>
        <w:tabs>
          <w:tab w:val="left" w:pos="284"/>
        </w:tabs>
        <w:spacing w:line="326" w:lineRule="auto"/>
        <w:jc w:val="both"/>
        <w:rPr>
          <w:sz w:val="18"/>
          <w:szCs w:val="18"/>
        </w:rPr>
      </w:pPr>
      <w:r w:rsidRPr="008D3E53">
        <w:rPr>
          <w:color w:val="019648"/>
          <w:sz w:val="18"/>
          <w:szCs w:val="18"/>
        </w:rPr>
        <w:t xml:space="preserve">• </w:t>
      </w:r>
      <w:r w:rsidR="008D3E53">
        <w:tab/>
      </w:r>
      <w:r w:rsidRPr="008D3E53">
        <w:rPr>
          <w:sz w:val="18"/>
          <w:szCs w:val="18"/>
        </w:rPr>
        <w:t>СОП, підготовка та оцінка компетентності (Область 9);</w:t>
      </w:r>
    </w:p>
    <w:p w14:paraId="1BEF43FB" w14:textId="5056B50D" w:rsidR="00366CB9" w:rsidRPr="008D3E53" w:rsidRDefault="009D0C1D" w:rsidP="008D3E53">
      <w:pPr>
        <w:pStyle w:val="1"/>
        <w:shd w:val="clear" w:color="auto" w:fill="auto"/>
        <w:tabs>
          <w:tab w:val="left" w:pos="284"/>
        </w:tabs>
        <w:spacing w:line="326" w:lineRule="auto"/>
        <w:jc w:val="both"/>
        <w:rPr>
          <w:sz w:val="18"/>
          <w:szCs w:val="18"/>
        </w:rPr>
      </w:pPr>
      <w:r w:rsidRPr="008D3E53">
        <w:rPr>
          <w:color w:val="019648"/>
          <w:sz w:val="18"/>
          <w:szCs w:val="18"/>
        </w:rPr>
        <w:t xml:space="preserve">• </w:t>
      </w:r>
      <w:r w:rsidR="008D3E53">
        <w:tab/>
      </w:r>
      <w:r w:rsidRPr="008D3E53">
        <w:rPr>
          <w:sz w:val="18"/>
          <w:szCs w:val="18"/>
        </w:rPr>
        <w:t>верифікація та технічне обслуговування приладів (Область 3);</w:t>
      </w:r>
    </w:p>
    <w:p w14:paraId="450FBF90" w14:textId="3C1FE92A" w:rsidR="00366CB9" w:rsidRPr="008D3E53" w:rsidRDefault="009D0C1D" w:rsidP="008D3E53">
      <w:pPr>
        <w:pStyle w:val="1"/>
        <w:shd w:val="clear" w:color="auto" w:fill="auto"/>
        <w:tabs>
          <w:tab w:val="left" w:pos="284"/>
        </w:tabs>
        <w:spacing w:line="326" w:lineRule="auto"/>
        <w:jc w:val="both"/>
        <w:rPr>
          <w:sz w:val="18"/>
          <w:szCs w:val="18"/>
        </w:rPr>
      </w:pPr>
      <w:r w:rsidRPr="008D3E53">
        <w:rPr>
          <w:color w:val="019648"/>
          <w:sz w:val="18"/>
          <w:szCs w:val="18"/>
        </w:rPr>
        <w:t xml:space="preserve">• </w:t>
      </w:r>
      <w:r w:rsidR="008D3E53">
        <w:tab/>
      </w:r>
      <w:r w:rsidRPr="008D3E53">
        <w:rPr>
          <w:sz w:val="18"/>
          <w:szCs w:val="18"/>
        </w:rPr>
        <w:t>валідація або верифікація методу (Область 2);</w:t>
      </w:r>
    </w:p>
    <w:p w14:paraId="0834C6D1" w14:textId="41B3FD2D" w:rsidR="00366CB9" w:rsidRPr="008D3E53" w:rsidRDefault="009D0C1D" w:rsidP="008D3E53">
      <w:pPr>
        <w:pStyle w:val="1"/>
        <w:shd w:val="clear" w:color="auto" w:fill="auto"/>
        <w:tabs>
          <w:tab w:val="left" w:pos="284"/>
        </w:tabs>
        <w:spacing w:line="326" w:lineRule="auto"/>
        <w:jc w:val="both"/>
        <w:rPr>
          <w:sz w:val="18"/>
          <w:szCs w:val="18"/>
        </w:rPr>
      </w:pPr>
      <w:r w:rsidRPr="008D3E53">
        <w:rPr>
          <w:color w:val="019648"/>
          <w:sz w:val="18"/>
          <w:szCs w:val="18"/>
        </w:rPr>
        <w:t xml:space="preserve">• </w:t>
      </w:r>
      <w:r w:rsidR="008D3E53">
        <w:tab/>
      </w:r>
      <w:r w:rsidRPr="008D3E53">
        <w:rPr>
          <w:sz w:val="18"/>
          <w:szCs w:val="18"/>
        </w:rPr>
        <w:t>тестування партій (Область 4);</w:t>
      </w:r>
    </w:p>
    <w:p w14:paraId="6BBBE8AF" w14:textId="640E9811" w:rsidR="00366CB9" w:rsidRPr="008D3E53" w:rsidRDefault="009D0C1D" w:rsidP="008D3E53">
      <w:pPr>
        <w:pStyle w:val="1"/>
        <w:shd w:val="clear" w:color="auto" w:fill="auto"/>
        <w:tabs>
          <w:tab w:val="left" w:pos="284"/>
        </w:tabs>
        <w:spacing w:line="326" w:lineRule="auto"/>
        <w:jc w:val="both"/>
        <w:rPr>
          <w:sz w:val="18"/>
          <w:szCs w:val="18"/>
        </w:rPr>
      </w:pPr>
      <w:r w:rsidRPr="008D3E53">
        <w:rPr>
          <w:color w:val="019648"/>
          <w:sz w:val="18"/>
          <w:szCs w:val="18"/>
        </w:rPr>
        <w:t xml:space="preserve">• </w:t>
      </w:r>
      <w:r w:rsidR="008D3E53">
        <w:tab/>
      </w:r>
      <w:r w:rsidRPr="008D3E53">
        <w:rPr>
          <w:sz w:val="18"/>
          <w:szCs w:val="18"/>
        </w:rPr>
        <w:t>внутрішній КЯ;</w:t>
      </w:r>
    </w:p>
    <w:p w14:paraId="22DA7A96" w14:textId="63E97764" w:rsidR="00366CB9" w:rsidRPr="008D3E53" w:rsidRDefault="009D0C1D" w:rsidP="008D3E53">
      <w:pPr>
        <w:pStyle w:val="1"/>
        <w:shd w:val="clear" w:color="auto" w:fill="auto"/>
        <w:tabs>
          <w:tab w:val="left" w:pos="284"/>
        </w:tabs>
        <w:spacing w:line="326" w:lineRule="auto"/>
        <w:jc w:val="both"/>
        <w:rPr>
          <w:sz w:val="18"/>
          <w:szCs w:val="18"/>
        </w:rPr>
      </w:pPr>
      <w:r w:rsidRPr="008D3E53">
        <w:rPr>
          <w:color w:val="019648"/>
          <w:sz w:val="18"/>
          <w:szCs w:val="18"/>
        </w:rPr>
        <w:t xml:space="preserve">• </w:t>
      </w:r>
      <w:r w:rsidR="008D3E53">
        <w:tab/>
      </w:r>
      <w:r w:rsidRPr="008D3E53">
        <w:rPr>
          <w:sz w:val="18"/>
          <w:szCs w:val="18"/>
        </w:rPr>
        <w:t>ЗОЯ; та</w:t>
      </w:r>
    </w:p>
    <w:p w14:paraId="329D8D75"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6148877C" w14:textId="77777777" w:rsidR="00366CB9" w:rsidRDefault="00366CB9" w:rsidP="00425523">
      <w:pPr>
        <w:spacing w:line="1" w:lineRule="exact"/>
      </w:pPr>
    </w:p>
    <w:p w14:paraId="368292EA" w14:textId="606D457D" w:rsidR="00366CB9" w:rsidRPr="008D3E53" w:rsidRDefault="009D0C1D" w:rsidP="008D3E53">
      <w:pPr>
        <w:pStyle w:val="1"/>
        <w:shd w:val="clear" w:color="auto" w:fill="auto"/>
        <w:tabs>
          <w:tab w:val="left" w:pos="284"/>
        </w:tabs>
        <w:spacing w:after="160" w:line="324" w:lineRule="auto"/>
        <w:jc w:val="both"/>
        <w:rPr>
          <w:sz w:val="18"/>
          <w:szCs w:val="18"/>
        </w:rPr>
      </w:pPr>
      <w:r>
        <w:rPr>
          <w:color w:val="019648"/>
        </w:rPr>
        <w:t xml:space="preserve">• </w:t>
      </w:r>
      <w:r w:rsidR="008D3E53">
        <w:tab/>
      </w:r>
      <w:r w:rsidRPr="008D3E53">
        <w:rPr>
          <w:sz w:val="18"/>
          <w:szCs w:val="18"/>
        </w:rPr>
        <w:t>моніторинг показників якості та постійне покращення якості.</w:t>
      </w:r>
    </w:p>
    <w:p w14:paraId="4A4ADFF1"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 xml:space="preserve">Див. комплексне обговорення важливих елементів системи ЗЯ у публікації </w:t>
      </w:r>
      <w:r w:rsidRPr="008D3E53">
        <w:rPr>
          <w:i/>
          <w:sz w:val="18"/>
          <w:szCs w:val="18"/>
        </w:rPr>
        <w:t>«Практичний посібник зі зміцнення лабораторій з діагностики ТБ, оновлення 2022 року» (</w:t>
      </w:r>
      <w:hyperlink w:anchor="bookmark199" w:tooltip="Поточний документ">
        <w:r w:rsidR="00366CB9" w:rsidRPr="008D3E53">
          <w:rPr>
            <w:i/>
            <w:sz w:val="18"/>
            <w:szCs w:val="18"/>
          </w:rPr>
          <w:t>65</w:t>
        </w:r>
      </w:hyperlink>
      <w:r w:rsidRPr="008D3E53">
        <w:rPr>
          <w:i/>
          <w:sz w:val="18"/>
          <w:szCs w:val="18"/>
        </w:rPr>
        <w:t xml:space="preserve">). </w:t>
      </w:r>
      <w:r w:rsidRPr="008D3E53">
        <w:rPr>
          <w:sz w:val="18"/>
          <w:szCs w:val="18"/>
        </w:rPr>
        <w:t>У цьому розділі представлено інформацію стосовно КЯ, ЗОЯ та показників моніторингу якості. Крім того, представлено кілька посібників із ЗЯ для кількох тестів, рекомендованих ВООЗ, в рамках ГЛІ (</w:t>
      </w:r>
      <w:hyperlink w:anchor="bookmark193" w:tooltip="Поточний документ">
        <w:r w:rsidR="00366CB9" w:rsidRPr="008D3E53">
          <w:rPr>
            <w:sz w:val="18"/>
            <w:szCs w:val="18"/>
          </w:rPr>
          <w:t>12</w:t>
        </w:r>
      </w:hyperlink>
      <w:r w:rsidRPr="008D3E53">
        <w:rPr>
          <w:sz w:val="18"/>
          <w:szCs w:val="18"/>
        </w:rPr>
        <w:t>).</w:t>
      </w:r>
    </w:p>
    <w:p w14:paraId="357DFE96" w14:textId="77777777" w:rsidR="00366CB9" w:rsidRPr="00E846A7" w:rsidRDefault="009D0C1D" w:rsidP="00E8720F">
      <w:pPr>
        <w:pStyle w:val="60"/>
        <w:shd w:val="clear" w:color="auto" w:fill="auto"/>
        <w:spacing w:after="160" w:line="269" w:lineRule="auto"/>
        <w:jc w:val="both"/>
        <w:rPr>
          <w:i/>
          <w:iCs/>
        </w:rPr>
      </w:pPr>
      <w:r>
        <w:rPr>
          <w:i/>
          <w:color w:val="019648"/>
        </w:rPr>
        <w:t>Етап 7.2 – Встановити та здійснювати КЯ</w:t>
      </w:r>
    </w:p>
    <w:p w14:paraId="3D9C98C2"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Внутрішній КЯ передбачає контроль діяльності, пов’язаної з аналітичною фазою тестування, з метою виявлення небажаних явищ (наприклад, похибок через неефективність тесту, умови навколишнього середовища або роботу оператора) до звітування про результати. Внутрішній КЯ, як правило, включає дослідження контрольних матеріалів або відомих речовин, що є частиною аналізу, одночасно зі зразками пацієнтів, для контролю якості всіх етапів тестування, від підготовки зразків до повідомлення про результати. Якщо результати КЯ є неприйнятними (наприклад, позитивні результати отримуються за допомогою негативних контролів), результати пацієнтів не слід повідомляти, а для вирішення проблеми необхідно ініціювати та контролювати розслідування першопричини та план коригуючих дій.</w:t>
      </w:r>
    </w:p>
    <w:p w14:paraId="3B9D2344" w14:textId="77777777" w:rsidR="00366CB9" w:rsidRPr="008D3E53" w:rsidRDefault="009D0C1D" w:rsidP="00E8720F">
      <w:pPr>
        <w:pStyle w:val="1"/>
        <w:shd w:val="clear" w:color="auto" w:fill="auto"/>
        <w:spacing w:after="160" w:line="324" w:lineRule="auto"/>
        <w:jc w:val="both"/>
        <w:rPr>
          <w:i/>
          <w:iCs/>
          <w:sz w:val="18"/>
          <w:szCs w:val="18"/>
        </w:rPr>
      </w:pPr>
      <w:r w:rsidRPr="008D3E53">
        <w:rPr>
          <w:sz w:val="18"/>
          <w:szCs w:val="18"/>
        </w:rPr>
        <w:t xml:space="preserve">КЯ є важливим для всіх тестів, незалежно від їхньої ролі або складності. В рамках програм необхідно забезпечити КЯ на всіх рівнях мережі тестування. Через складність робочого процесу в рамках цільового СНП та використання кількох наборів реактивів та процесів важливо проводити перевірки якості після кожного основного етапу процесу. Див. додаткову інформацію у публікації </w:t>
      </w:r>
      <w:r w:rsidRPr="008D3E53">
        <w:rPr>
          <w:i/>
          <w:sz w:val="18"/>
          <w:szCs w:val="18"/>
        </w:rPr>
        <w:t>«Застосування секвенування наступного покоління для епідеміологічного нагляду за лікарсько-резистентним туберкульозом: посібник з впровадження» (</w:t>
      </w:r>
      <w:hyperlink w:anchor="bookmark197" w:tooltip="Поточний документ">
        <w:r w:rsidR="00366CB9" w:rsidRPr="008D3E53">
          <w:rPr>
            <w:i/>
            <w:sz w:val="18"/>
            <w:szCs w:val="18"/>
          </w:rPr>
          <w:t>33</w:t>
        </w:r>
      </w:hyperlink>
      <w:r w:rsidRPr="008D3E53">
        <w:rPr>
          <w:i/>
          <w:sz w:val="18"/>
          <w:szCs w:val="18"/>
        </w:rPr>
        <w:t>).</w:t>
      </w:r>
    </w:p>
    <w:p w14:paraId="165ECAE9" w14:textId="77777777" w:rsidR="00366CB9" w:rsidRPr="00E846A7" w:rsidRDefault="009D0C1D" w:rsidP="00E8720F">
      <w:pPr>
        <w:pStyle w:val="60"/>
        <w:shd w:val="clear" w:color="auto" w:fill="auto"/>
        <w:spacing w:after="160" w:line="269" w:lineRule="auto"/>
        <w:jc w:val="both"/>
        <w:rPr>
          <w:i/>
          <w:iCs/>
        </w:rPr>
      </w:pPr>
      <w:r>
        <w:rPr>
          <w:i/>
          <w:color w:val="019648"/>
        </w:rPr>
        <w:t>Етап 7.3 – Розробка програми ЗОЯ</w:t>
      </w:r>
    </w:p>
    <w:p w14:paraId="4D9B1300"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Програма ЗОЯ передбачає моніторинг показників якості та ефективності, зовнішній КЯ або перевірку кваліфікації, повторну перевірку або порівняння між лабораторіями, регулярний підтримуючий контрольний нагляд та своєчасний зворотний зв’язок, коригуючі дії та подальше спостереження. Контрольному нагляду необхідно віддати пріоритет у неефективних центрах, виявлених за допомогою перевірки кваліфікації, місячного моніторингу показників ефективності або оцінки центрів. Неефективність комплексної програми ЗОЯ є втраченою можливістю виявлення та виправлення проблем, що впливають на якість тестування. За наявності програм ЗОЯ слід враховувати їхнє застосування у процесі вибору тестів, планування та бюджетування до їхнього впровадження.</w:t>
      </w:r>
    </w:p>
    <w:p w14:paraId="5134D658" w14:textId="77777777" w:rsidR="00366CB9" w:rsidRPr="008D3E53" w:rsidRDefault="009D0C1D" w:rsidP="00E8720F">
      <w:pPr>
        <w:pStyle w:val="1"/>
        <w:shd w:val="clear" w:color="auto" w:fill="auto"/>
        <w:spacing w:after="160" w:line="326" w:lineRule="auto"/>
        <w:jc w:val="both"/>
        <w:rPr>
          <w:sz w:val="18"/>
          <w:szCs w:val="18"/>
        </w:rPr>
      </w:pPr>
      <w:r w:rsidRPr="008D3E53">
        <w:rPr>
          <w:sz w:val="18"/>
          <w:szCs w:val="18"/>
        </w:rPr>
        <w:t>В рамках ГЛІ було розроблено інформаційну панель ЗОЯ, що включає перелік доступних панелей та лікарів в рамках програми ЗОЯ (</w:t>
      </w:r>
      <w:hyperlink w:anchor="bookmark198" w:tooltip="Поточний документ">
        <w:r w:rsidR="00366CB9" w:rsidRPr="008D3E53">
          <w:rPr>
            <w:sz w:val="18"/>
            <w:szCs w:val="18"/>
          </w:rPr>
          <w:t>56</w:t>
        </w:r>
      </w:hyperlink>
      <w:r w:rsidRPr="008D3E53">
        <w:rPr>
          <w:sz w:val="18"/>
          <w:szCs w:val="18"/>
        </w:rPr>
        <w:t>). Ці продукти не затверджені ГЛІ; однак інформаційна панель є ресурсом, на якій можна знайти відповідні панелі або програми (</w:t>
      </w:r>
      <w:hyperlink w:anchor="bookmark198" w:tooltip="Поточний документ">
        <w:r w:rsidR="00366CB9" w:rsidRPr="008D3E53">
          <w:rPr>
            <w:sz w:val="18"/>
            <w:szCs w:val="18"/>
          </w:rPr>
          <w:t>56</w:t>
        </w:r>
      </w:hyperlink>
      <w:r w:rsidRPr="008D3E53">
        <w:rPr>
          <w:sz w:val="18"/>
          <w:szCs w:val="18"/>
        </w:rPr>
        <w:t>).</w:t>
      </w:r>
    </w:p>
    <w:p w14:paraId="730FC4A8" w14:textId="77777777" w:rsidR="00366CB9" w:rsidRPr="00BF6DB7" w:rsidRDefault="009D0C1D" w:rsidP="00E8720F">
      <w:pPr>
        <w:pStyle w:val="60"/>
        <w:shd w:val="clear" w:color="auto" w:fill="auto"/>
        <w:spacing w:after="200" w:line="240" w:lineRule="auto"/>
        <w:jc w:val="both"/>
        <w:rPr>
          <w:b/>
          <w:bCs/>
        </w:rPr>
      </w:pPr>
      <w:r>
        <w:rPr>
          <w:b/>
          <w:color w:val="000000"/>
        </w:rPr>
        <w:t>Перевірка кваліфікації</w:t>
      </w:r>
    </w:p>
    <w:p w14:paraId="3EF8674E" w14:textId="77777777" w:rsidR="00366CB9" w:rsidRPr="008D3E53" w:rsidRDefault="009D0C1D" w:rsidP="00E8720F">
      <w:pPr>
        <w:pStyle w:val="1"/>
        <w:shd w:val="clear" w:color="auto" w:fill="auto"/>
        <w:spacing w:line="324" w:lineRule="auto"/>
        <w:jc w:val="both"/>
        <w:rPr>
          <w:sz w:val="18"/>
          <w:szCs w:val="18"/>
        </w:rPr>
      </w:pPr>
      <w:r w:rsidRPr="008D3E53">
        <w:rPr>
          <w:sz w:val="18"/>
          <w:szCs w:val="18"/>
        </w:rPr>
        <w:t>Для багатьох лабораторних тестів програма ЗОЯ включає перевірку кваліфікації для визначення якості результатів, згенерованих у центрі тестування. Під час перевірки кваліфікації порівнюються результати центрів тестування з еталонними результатами з метою порівняння. Мета такого тестування – визначити центри із серйозними дефектами тестування, підтримати найменш ефективні центри та оцінити кваліфікацію користувачів після підготовки.</w:t>
      </w:r>
    </w:p>
    <w:p w14:paraId="5A9FE1FE"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42ADB221" w14:textId="77777777" w:rsidR="00366CB9" w:rsidRDefault="00366CB9" w:rsidP="00425523">
      <w:pPr>
        <w:spacing w:line="1" w:lineRule="exact"/>
      </w:pPr>
    </w:p>
    <w:p w14:paraId="1C976233" w14:textId="77777777" w:rsidR="00366CB9" w:rsidRPr="008D3E53" w:rsidRDefault="009D0C1D" w:rsidP="00E8720F">
      <w:pPr>
        <w:pStyle w:val="60"/>
        <w:shd w:val="clear" w:color="auto" w:fill="auto"/>
        <w:spacing w:after="200" w:line="240" w:lineRule="auto"/>
        <w:jc w:val="both"/>
        <w:rPr>
          <w:b/>
          <w:bCs/>
        </w:rPr>
      </w:pPr>
      <w:r w:rsidRPr="008D3E53">
        <w:rPr>
          <w:b/>
          <w:bCs/>
          <w:color w:val="000000"/>
        </w:rPr>
        <w:t>Повторна перевірка зразків</w:t>
      </w:r>
    </w:p>
    <w:p w14:paraId="769EF991" w14:textId="77777777" w:rsidR="00366CB9" w:rsidRPr="008D3E53" w:rsidRDefault="009D0C1D" w:rsidP="00E8720F">
      <w:pPr>
        <w:pStyle w:val="1"/>
        <w:shd w:val="clear" w:color="auto" w:fill="auto"/>
        <w:spacing w:after="140" w:line="324" w:lineRule="auto"/>
        <w:jc w:val="both"/>
        <w:rPr>
          <w:sz w:val="18"/>
          <w:szCs w:val="18"/>
        </w:rPr>
      </w:pPr>
      <w:r w:rsidRPr="008D3E53">
        <w:rPr>
          <w:sz w:val="18"/>
          <w:szCs w:val="18"/>
        </w:rPr>
        <w:t>Порівняння між лабораторіями може також використовуватися як зовнішня оцінка якості. Як правило, сюди входить повторне тестування зразків у лабораторії вищого рівня. Багато лабораторій з діагностики ТБ знають про цей підхід, оскільки повторна перевірка у сліпому режимі є рутинним методом ЗОЯ для мікроскопії мазка кислотостійких бацил (КСБ).</w:t>
      </w:r>
    </w:p>
    <w:p w14:paraId="4BD934F9" w14:textId="77777777" w:rsidR="00366CB9" w:rsidRPr="00BF6DB7" w:rsidRDefault="009D0C1D" w:rsidP="00E8720F">
      <w:pPr>
        <w:pStyle w:val="60"/>
        <w:shd w:val="clear" w:color="auto" w:fill="auto"/>
        <w:spacing w:after="200" w:line="240" w:lineRule="auto"/>
        <w:jc w:val="both"/>
        <w:rPr>
          <w:b/>
          <w:bCs/>
        </w:rPr>
      </w:pPr>
      <w:r>
        <w:rPr>
          <w:b/>
          <w:color w:val="000000"/>
        </w:rPr>
        <w:t>Виїзні контрольні відвідування</w:t>
      </w:r>
    </w:p>
    <w:p w14:paraId="66D213B0" w14:textId="77777777" w:rsidR="00366CB9" w:rsidRPr="008D3E53" w:rsidRDefault="009D0C1D" w:rsidP="00E8720F">
      <w:pPr>
        <w:pStyle w:val="1"/>
        <w:shd w:val="clear" w:color="auto" w:fill="auto"/>
        <w:spacing w:after="140" w:line="324" w:lineRule="auto"/>
        <w:jc w:val="both"/>
        <w:rPr>
          <w:sz w:val="18"/>
          <w:szCs w:val="18"/>
        </w:rPr>
      </w:pPr>
      <w:r w:rsidRPr="008D3E53">
        <w:rPr>
          <w:sz w:val="18"/>
          <w:szCs w:val="18"/>
        </w:rPr>
        <w:t>Виїзні контрольні відвідування є особливо важливими на ранніх етапах впровадження нового тесту, оскільки вони мотивують та підтримують персонал. Контрольні відвідування також є хорошою можливістю для підвищення кваліфікації, наставництва, консультацій щодо усунення неполадок і технічних оновлень. Результати контрольних оцінок необхідно реєструвати за допомогою стандартизованих контрольних переліків, щоб забезпечити узгодженість та повноту інформації, забезпечити контроль тенденцій та подальшу діяльність щодо рекомендацій та коригуючих дій. Програма виїзної контрольної оцінки вимагає значного планування та ресурсів (як фінансових, так і людських).</w:t>
      </w:r>
    </w:p>
    <w:p w14:paraId="244A41F9" w14:textId="77777777" w:rsidR="00366CB9" w:rsidRPr="008D3E53" w:rsidRDefault="009D0C1D" w:rsidP="00E8720F">
      <w:pPr>
        <w:pStyle w:val="1"/>
        <w:shd w:val="clear" w:color="auto" w:fill="auto"/>
        <w:spacing w:after="140" w:line="324" w:lineRule="auto"/>
        <w:jc w:val="both"/>
        <w:rPr>
          <w:sz w:val="18"/>
          <w:szCs w:val="18"/>
        </w:rPr>
      </w:pPr>
      <w:r w:rsidRPr="008D3E53">
        <w:rPr>
          <w:sz w:val="18"/>
          <w:szCs w:val="18"/>
        </w:rPr>
        <w:t>Не дивлячись на відсутність шкірних тестів на виявлення туберкульозної інфекції у лабораторіях, вони вимагають безперервного внутрішнього КЯ та ЗОЯ. У багатьох країнах атестація таких тестів вимагається після комплексної підготовки та контролю, але подальша оцінка якості не здійснюється. Було розроблено технології мобільної охорони здоров’я (mHealth), що передбачають оцінку якості та КЯ роботи медичного персоналу навіть у віддалених районах (</w:t>
      </w:r>
      <w:hyperlink w:anchor="bookmark199" w:tooltip="Поточний документ">
        <w:r w:rsidR="00366CB9" w:rsidRPr="008D3E53">
          <w:rPr>
            <w:sz w:val="18"/>
            <w:szCs w:val="18"/>
          </w:rPr>
          <w:t>69</w:t>
        </w:r>
      </w:hyperlink>
      <w:r w:rsidRPr="008D3E53">
        <w:rPr>
          <w:sz w:val="18"/>
          <w:szCs w:val="18"/>
        </w:rPr>
        <w:t>).</w:t>
      </w:r>
    </w:p>
    <w:p w14:paraId="4FD1AAAC" w14:textId="77777777" w:rsidR="00366CB9" w:rsidRPr="008D3E53" w:rsidRDefault="009D0C1D" w:rsidP="00E8720F">
      <w:pPr>
        <w:pStyle w:val="1"/>
        <w:shd w:val="clear" w:color="auto" w:fill="auto"/>
        <w:spacing w:after="140" w:line="324" w:lineRule="auto"/>
        <w:jc w:val="both"/>
        <w:rPr>
          <w:sz w:val="18"/>
          <w:szCs w:val="18"/>
        </w:rPr>
      </w:pPr>
      <w:r w:rsidRPr="008D3E53">
        <w:rPr>
          <w:sz w:val="18"/>
          <w:szCs w:val="18"/>
        </w:rPr>
        <w:t>Для TST та TBST ресурси включають посібник для фахівців, які здійснюють кількісну оцінку шкірного тесту на виявлення туберкульозної інфекції (</w:t>
      </w:r>
      <w:hyperlink w:anchor="bookmark199" w:tooltip="Поточний документ">
        <w:r w:rsidR="00366CB9" w:rsidRPr="008D3E53">
          <w:rPr>
            <w:sz w:val="18"/>
            <w:szCs w:val="18"/>
          </w:rPr>
          <w:t>70</w:t>
        </w:r>
      </w:hyperlink>
      <w:r w:rsidRPr="008D3E53">
        <w:rPr>
          <w:sz w:val="18"/>
          <w:szCs w:val="18"/>
        </w:rPr>
        <w:t>) та інструкції для медичного персоналу щодо здійснення зображень mTST (</w:t>
      </w:r>
      <w:hyperlink w:anchor="bookmark199" w:tooltip="Поточний документ">
        <w:r w:rsidR="00366CB9" w:rsidRPr="008D3E53">
          <w:rPr>
            <w:sz w:val="18"/>
            <w:szCs w:val="18"/>
          </w:rPr>
          <w:t>71</w:t>
        </w:r>
      </w:hyperlink>
      <w:r w:rsidRPr="008D3E53">
        <w:rPr>
          <w:sz w:val="18"/>
          <w:szCs w:val="18"/>
        </w:rPr>
        <w:t>) (</w:t>
      </w:r>
      <w:hyperlink w:anchor="bookmark220" w:tooltip="Поточний документ">
        <w:r w:rsidR="00366CB9" w:rsidRPr="008D3E53">
          <w:rPr>
            <w:b/>
            <w:sz w:val="18"/>
            <w:szCs w:val="18"/>
          </w:rPr>
          <w:t>Додаток 4</w:t>
        </w:r>
      </w:hyperlink>
      <w:r w:rsidRPr="008D3E53">
        <w:rPr>
          <w:sz w:val="18"/>
          <w:szCs w:val="18"/>
        </w:rPr>
        <w:t>).</w:t>
      </w:r>
    </w:p>
    <w:p w14:paraId="398D71AF" w14:textId="77777777" w:rsidR="00366CB9" w:rsidRPr="00E846A7" w:rsidRDefault="009D0C1D" w:rsidP="00E8720F">
      <w:pPr>
        <w:pStyle w:val="60"/>
        <w:shd w:val="clear" w:color="auto" w:fill="auto"/>
        <w:spacing w:after="200" w:line="240" w:lineRule="auto"/>
        <w:rPr>
          <w:i/>
          <w:iCs/>
        </w:rPr>
      </w:pPr>
      <w:r>
        <w:rPr>
          <w:i/>
          <w:color w:val="019648"/>
        </w:rPr>
        <w:t>Етап 7.4 – Моніторити та аналізувати показники якості</w:t>
      </w:r>
    </w:p>
    <w:p w14:paraId="024F2151" w14:textId="77777777" w:rsidR="00366CB9" w:rsidRPr="008D3E53" w:rsidRDefault="009D0C1D" w:rsidP="00E8720F">
      <w:pPr>
        <w:pStyle w:val="1"/>
        <w:shd w:val="clear" w:color="auto" w:fill="auto"/>
        <w:spacing w:after="140" w:line="324" w:lineRule="auto"/>
        <w:jc w:val="both"/>
        <w:rPr>
          <w:sz w:val="18"/>
          <w:szCs w:val="18"/>
        </w:rPr>
      </w:pPr>
      <w:r w:rsidRPr="008D3E53">
        <w:rPr>
          <w:sz w:val="18"/>
          <w:szCs w:val="18"/>
        </w:rPr>
        <w:t xml:space="preserve">Рутинний моніторинг показників якості, також відомих як показники ефективності, є важливим елементом забезпечення якості для будь-якого діагностичного тестування. Крім загальних показників якості лабораторій, рекомендованих в оновленому практичному посібнику зі зміцнення лабораторій з діагностики ТБ від 2022 року </w:t>
      </w:r>
      <w:hyperlink w:anchor="bookmark199" w:tooltip="Поточний документ">
        <w:r w:rsidR="00366CB9" w:rsidRPr="008D3E53">
          <w:rPr>
            <w:sz w:val="18"/>
            <w:szCs w:val="18"/>
          </w:rPr>
          <w:t>(65</w:t>
        </w:r>
      </w:hyperlink>
      <w:r w:rsidRPr="008D3E53">
        <w:rPr>
          <w:sz w:val="18"/>
          <w:szCs w:val="18"/>
        </w:rPr>
        <w:t>), показники якості, що є специфічними для нового діагностичного тесту, необхідно адаптувати з міжнародних керівних принципів або встановити нові. Показники якості для ТМЧ на основі СНП було розроблено та описано в посібнику з впровадження ВООЗ (</w:t>
      </w:r>
      <w:hyperlink w:anchor="bookmark197" w:tooltip="Поточний документ">
        <w:r w:rsidR="00366CB9" w:rsidRPr="008D3E53">
          <w:rPr>
            <w:sz w:val="18"/>
            <w:szCs w:val="18"/>
          </w:rPr>
          <w:t>33</w:t>
        </w:r>
      </w:hyperlink>
      <w:r w:rsidRPr="008D3E53">
        <w:rPr>
          <w:sz w:val="18"/>
          <w:szCs w:val="18"/>
        </w:rPr>
        <w:t>). Показники необхідно збирати у стандартизованому форматі та аналізувати щомісяця або щокварталу за типом тесту.</w:t>
      </w:r>
    </w:p>
    <w:p w14:paraId="30BDD2A1" w14:textId="77777777" w:rsidR="00366CB9" w:rsidRPr="008D3E53" w:rsidRDefault="009D0C1D" w:rsidP="00E8720F">
      <w:pPr>
        <w:pStyle w:val="1"/>
        <w:shd w:val="clear" w:color="auto" w:fill="auto"/>
        <w:spacing w:after="140" w:line="324" w:lineRule="auto"/>
        <w:jc w:val="both"/>
        <w:rPr>
          <w:sz w:val="18"/>
          <w:szCs w:val="18"/>
        </w:rPr>
      </w:pPr>
      <w:r w:rsidRPr="008D3E53">
        <w:rPr>
          <w:sz w:val="18"/>
          <w:szCs w:val="18"/>
        </w:rPr>
        <w:t>Програми повинні встановлювати базові показники для всіх показників. Для всіх контрольованих показників необхідно встановити цілі, а будь-яку незрозумілу зміну показників якості (наприклад, підвищення частоти похибок або зміна позитивних результатів MTBC) необхідно зареєструвати та дослідити. Стандартний набір показників якості повинен використовуватися для всіх лабораторій, які проводять певний тест, для порівняння між цими лабораторіями.</w:t>
      </w:r>
    </w:p>
    <w:p w14:paraId="7D4638CA" w14:textId="77777777" w:rsidR="00366CB9" w:rsidRPr="008D3E53" w:rsidRDefault="009D0C1D" w:rsidP="00E8720F">
      <w:pPr>
        <w:pStyle w:val="1"/>
        <w:shd w:val="clear" w:color="auto" w:fill="auto"/>
        <w:spacing w:line="324" w:lineRule="auto"/>
        <w:jc w:val="both"/>
        <w:rPr>
          <w:sz w:val="18"/>
          <w:szCs w:val="18"/>
        </w:rPr>
      </w:pPr>
      <w:r w:rsidRPr="008D3E53">
        <w:rPr>
          <w:sz w:val="18"/>
          <w:szCs w:val="18"/>
        </w:rPr>
        <w:t>Безперервне поліпшення якості — це циклічний, безперервний, заснований на даних підхід до підвищення якості діагностичного тестування. Процес ґрунтується на циклі моніторингу показників якості, плануванні втручань для корекції чи поліпшення результатів діяльності та впровадженні втручань. Керівник лабораторії має переглядати показники якості та пов’язувати з коригуючими діями у разі будь-яких неочікуваних результатів або тенденцій. У процесі</w:t>
      </w:r>
    </w:p>
    <w:p w14:paraId="09FD871C"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5E34FC09" w14:textId="77777777" w:rsidR="00366CB9" w:rsidRDefault="00366CB9" w:rsidP="00425523">
      <w:pPr>
        <w:spacing w:line="1" w:lineRule="exact"/>
      </w:pPr>
    </w:p>
    <w:p w14:paraId="31B5CE52" w14:textId="77777777" w:rsidR="00366CB9" w:rsidRPr="008D3E53" w:rsidRDefault="009D0C1D" w:rsidP="00E8720F">
      <w:pPr>
        <w:pStyle w:val="1"/>
        <w:shd w:val="clear" w:color="auto" w:fill="auto"/>
        <w:spacing w:after="240" w:line="326" w:lineRule="auto"/>
        <w:jc w:val="both"/>
        <w:rPr>
          <w:sz w:val="18"/>
          <w:szCs w:val="18"/>
        </w:rPr>
      </w:pPr>
      <w:bookmarkStart w:id="143" w:name="bookmark140"/>
      <w:r w:rsidRPr="008D3E53">
        <w:rPr>
          <w:sz w:val="18"/>
          <w:szCs w:val="18"/>
        </w:rPr>
        <w:t>важливо реєструвати коригуючі дії, а також подальше покращення та нормалізацію лабораторних показників після вжиття коригуючих дій.</w:t>
      </w:r>
      <w:bookmarkEnd w:id="143"/>
    </w:p>
    <w:p w14:paraId="26B8EC98" w14:textId="77777777" w:rsidR="00366CB9" w:rsidRDefault="009D0C1D" w:rsidP="00E8720F">
      <w:pPr>
        <w:pStyle w:val="22"/>
        <w:numPr>
          <w:ilvl w:val="0"/>
          <w:numId w:val="12"/>
        </w:numPr>
        <w:shd w:val="clear" w:color="auto" w:fill="auto"/>
        <w:tabs>
          <w:tab w:val="left" w:pos="687"/>
        </w:tabs>
        <w:spacing w:after="240" w:line="240" w:lineRule="auto"/>
        <w:jc w:val="both"/>
      </w:pPr>
      <w:bookmarkStart w:id="144" w:name="bookmark142"/>
      <w:bookmarkStart w:id="145" w:name="bookmark143"/>
      <w:bookmarkStart w:id="146" w:name="bookmark141"/>
      <w:r>
        <w:t>Область 8 – Реєстрація та звітування</w:t>
      </w:r>
      <w:bookmarkEnd w:id="144"/>
      <w:bookmarkEnd w:id="145"/>
      <w:bookmarkEnd w:id="146"/>
    </w:p>
    <w:tbl>
      <w:tblPr>
        <w:tblOverlap w:val="never"/>
        <w:tblW w:w="0" w:type="auto"/>
        <w:tblBorders>
          <w:top w:val="single" w:sz="12" w:space="0" w:color="007A44"/>
          <w:left w:val="single" w:sz="12" w:space="0" w:color="007A44"/>
          <w:bottom w:val="single" w:sz="12" w:space="0" w:color="007A44"/>
          <w:right w:val="single" w:sz="12" w:space="0" w:color="007A44"/>
        </w:tblBorders>
        <w:tblLayout w:type="fixed"/>
        <w:tblCellMar>
          <w:left w:w="10" w:type="dxa"/>
          <w:right w:w="10" w:type="dxa"/>
        </w:tblCellMar>
        <w:tblLook w:val="0000" w:firstRow="0" w:lastRow="0" w:firstColumn="0" w:lastColumn="0" w:noHBand="0" w:noVBand="0"/>
      </w:tblPr>
      <w:tblGrid>
        <w:gridCol w:w="9058"/>
      </w:tblGrid>
      <w:tr w:rsidR="00366CB9" w14:paraId="28A46077" w14:textId="77777777" w:rsidTr="008D3E53">
        <w:trPr>
          <w:trHeight w:hRule="exact" w:val="998"/>
        </w:trPr>
        <w:tc>
          <w:tcPr>
            <w:tcW w:w="9058" w:type="dxa"/>
            <w:shd w:val="clear" w:color="auto" w:fill="FFFFFF"/>
          </w:tcPr>
          <w:p w14:paraId="1F593DAA" w14:textId="77777777" w:rsidR="00366CB9" w:rsidRPr="00BF6DB7" w:rsidRDefault="009D0C1D" w:rsidP="008D3E53">
            <w:pPr>
              <w:pStyle w:val="a6"/>
              <w:shd w:val="clear" w:color="auto" w:fill="auto"/>
              <w:spacing w:before="120" w:after="220"/>
              <w:ind w:firstLine="160"/>
              <w:rPr>
                <w:sz w:val="20"/>
                <w:szCs w:val="20"/>
              </w:rPr>
            </w:pPr>
            <w:r>
              <w:rPr>
                <w:color w:val="000000"/>
                <w:sz w:val="20"/>
              </w:rPr>
              <w:t>Етап 8.1 – Переглянути та відредагувати запит на форми експертизи та звітності</w:t>
            </w:r>
          </w:p>
          <w:p w14:paraId="3D9F704F" w14:textId="77777777" w:rsidR="00366CB9" w:rsidRPr="00BF6DB7" w:rsidRDefault="009D0C1D" w:rsidP="00E8720F">
            <w:pPr>
              <w:pStyle w:val="a6"/>
              <w:shd w:val="clear" w:color="auto" w:fill="auto"/>
              <w:ind w:firstLine="160"/>
              <w:rPr>
                <w:sz w:val="20"/>
                <w:szCs w:val="20"/>
              </w:rPr>
            </w:pPr>
            <w:r>
              <w:rPr>
                <w:color w:val="000000"/>
                <w:sz w:val="20"/>
              </w:rPr>
              <w:t>Етап 8.2 – Переглянути та відредагувати лабораторні та клінічні реєстри</w:t>
            </w:r>
          </w:p>
        </w:tc>
      </w:tr>
    </w:tbl>
    <w:p w14:paraId="13409E19" w14:textId="77777777" w:rsidR="00366CB9" w:rsidRPr="00E846A7" w:rsidRDefault="009D0C1D" w:rsidP="00E8720F">
      <w:pPr>
        <w:pStyle w:val="60"/>
        <w:shd w:val="clear" w:color="auto" w:fill="auto"/>
        <w:spacing w:before="360" w:after="200" w:line="269" w:lineRule="auto"/>
        <w:jc w:val="both"/>
        <w:rPr>
          <w:i/>
          <w:iCs/>
        </w:rPr>
      </w:pPr>
      <w:r>
        <w:rPr>
          <w:i/>
          <w:color w:val="019648"/>
        </w:rPr>
        <w:t>Етап 8.1 – Переглянути та відредагувати запит на форми експертизи та звітності</w:t>
      </w:r>
    </w:p>
    <w:p w14:paraId="30FDCDFE" w14:textId="77777777" w:rsidR="00366CB9" w:rsidRPr="008D3E53" w:rsidRDefault="009D0C1D" w:rsidP="00E8720F">
      <w:pPr>
        <w:pStyle w:val="1"/>
        <w:shd w:val="clear" w:color="auto" w:fill="auto"/>
        <w:spacing w:after="140" w:line="324" w:lineRule="auto"/>
        <w:jc w:val="both"/>
        <w:rPr>
          <w:sz w:val="18"/>
          <w:szCs w:val="18"/>
        </w:rPr>
      </w:pPr>
      <w:r w:rsidRPr="008D3E53">
        <w:rPr>
          <w:sz w:val="18"/>
          <w:szCs w:val="18"/>
        </w:rPr>
        <w:t>Необхідно переглянути чинні форми заявок на тестування в країні (тобто форми запитів на тестування зразків), щоб врахувати новий діагностичний тест. Необхідно оцінити необхідність оновлення форм обстеження, враховуючи вартість та час такого перегляду. Якщо система ще не впроваджена, необхідно встановити систему нумерації для виявлення повторних зразків від однієї особи, щоб контролювати частку та ефективність повторних тестів.</w:t>
      </w:r>
    </w:p>
    <w:p w14:paraId="13D469DC" w14:textId="77777777" w:rsidR="00366CB9" w:rsidRPr="008D3E53" w:rsidRDefault="009D0C1D" w:rsidP="00E8720F">
      <w:pPr>
        <w:pStyle w:val="1"/>
        <w:shd w:val="clear" w:color="auto" w:fill="auto"/>
        <w:spacing w:after="140" w:line="324" w:lineRule="auto"/>
        <w:jc w:val="both"/>
        <w:rPr>
          <w:sz w:val="18"/>
          <w:szCs w:val="18"/>
        </w:rPr>
      </w:pPr>
      <w:r w:rsidRPr="008D3E53">
        <w:rPr>
          <w:sz w:val="18"/>
          <w:szCs w:val="18"/>
        </w:rPr>
        <w:t>Враховуючи, що дані пацієнта (наприклад, про статус лікування) є критично важливими для належного тлумачення результатів тестів, в рамках програми у формі запиту на тестування необхідно вказати таку інформацію. У багатьох країнах у формах запитів вже є поля для таких даних; однак іноді дані можуть або не вводитись, або вводитись непослідовно. Необхідне підвищення кваліфікації для клінічного та лабораторного персоналу щодо правильного та належного заповнення форм.</w:t>
      </w:r>
    </w:p>
    <w:p w14:paraId="56EDD591" w14:textId="77777777" w:rsidR="00366CB9" w:rsidRPr="008D3E53" w:rsidRDefault="009D0C1D" w:rsidP="00E8720F">
      <w:pPr>
        <w:pStyle w:val="1"/>
        <w:shd w:val="clear" w:color="auto" w:fill="auto"/>
        <w:spacing w:after="140" w:line="324" w:lineRule="auto"/>
        <w:jc w:val="both"/>
        <w:rPr>
          <w:sz w:val="18"/>
          <w:szCs w:val="18"/>
        </w:rPr>
      </w:pPr>
      <w:r w:rsidRPr="008D3E53">
        <w:rPr>
          <w:sz w:val="18"/>
          <w:szCs w:val="18"/>
        </w:rPr>
        <w:t>Форми, що використовуються для звітування про результати тестів, мають збалансувати необхідність передачі даних про тест, а також передачу важливої інформації, щоб клініцист міг тлумачити результати та своєчасно вживати необхідних заходів. Важливим є легкий для читання формат, оскільки, швидше за все, клініцисти, що тлумачать результати тестів, мають широку обізнаність. Щоб уникнути плутанини, результати необхідно повідомляти лише для лікарських засобів, що застосовуються у країні та відповідно до національних керівних принципів. Наприклад, ВООЗ рекомендує не застосовувати AMK, за винятком осіб з ШЛС-ТБ; отже, результати AMK необхідно повідомляти лише для прийняття необхідних клінічних рішень.</w:t>
      </w:r>
    </w:p>
    <w:p w14:paraId="7D2701CD" w14:textId="77777777" w:rsidR="00366CB9" w:rsidRPr="008D3E53" w:rsidRDefault="009D0C1D" w:rsidP="00E8720F">
      <w:pPr>
        <w:pStyle w:val="1"/>
        <w:shd w:val="clear" w:color="auto" w:fill="auto"/>
        <w:spacing w:after="140" w:line="324" w:lineRule="auto"/>
        <w:jc w:val="both"/>
        <w:rPr>
          <w:sz w:val="18"/>
          <w:szCs w:val="18"/>
        </w:rPr>
      </w:pPr>
      <w:r w:rsidRPr="008D3E53">
        <w:rPr>
          <w:sz w:val="18"/>
          <w:szCs w:val="18"/>
        </w:rPr>
        <w:t>Зручний для читання формат відіграє важливу роль для рішень в рамках цільового СНП, оскільки вони генерують великий обсяг даних. У формі звітності необхідно вказати унікальний ідентифікатор пацієнта; також, для кожного досліджуваного препарату форма звітування та база даних повинні включати інформацію про проаналізовані гени, будь-які виявлені мутації та відповідну оцінку надійності та профіль резистентності для кожного лікарського засобу. Звітування про результати має залежати від дотримання критеріїв якості (наприклад, принаймні 20 успішних зчитувань на основу по всьому гену (</w:t>
      </w:r>
      <w:hyperlink w:anchor="bookmark199" w:tooltip="Поточний документ">
        <w:r w:rsidR="00366CB9" w:rsidRPr="008D3E53">
          <w:rPr>
            <w:sz w:val="18"/>
            <w:szCs w:val="18"/>
          </w:rPr>
          <w:t>72</w:t>
        </w:r>
      </w:hyperlink>
      <w:r w:rsidRPr="008D3E53">
        <w:rPr>
          <w:sz w:val="18"/>
          <w:szCs w:val="18"/>
        </w:rPr>
        <w:t>).</w:t>
      </w:r>
    </w:p>
    <w:p w14:paraId="5C7D056A" w14:textId="77777777" w:rsidR="00366CB9" w:rsidRDefault="009D0C1D" w:rsidP="00E8720F">
      <w:pPr>
        <w:pStyle w:val="1"/>
        <w:shd w:val="clear" w:color="auto" w:fill="auto"/>
        <w:spacing w:line="324" w:lineRule="auto"/>
        <w:jc w:val="both"/>
      </w:pPr>
      <w:r w:rsidRPr="008D3E53">
        <w:rPr>
          <w:sz w:val="18"/>
          <w:szCs w:val="18"/>
        </w:rPr>
        <w:t>На глобальному консорціумі раніше впроваджувався процес досягнення консенсусу для стандартизації мови для звітування про результати ТМЧ на основі СНП та створення загальної форми звітності для MTBC на основі результатів ТМЧ в рамках СНП (</w:t>
      </w:r>
      <w:hyperlink w:anchor="bookmark199" w:tooltip="Поточний документ">
        <w:r w:rsidR="00366CB9" w:rsidRPr="008D3E53">
          <w:rPr>
            <w:sz w:val="18"/>
            <w:szCs w:val="18"/>
          </w:rPr>
          <w:t>73</w:t>
        </w:r>
      </w:hyperlink>
      <w:r w:rsidRPr="008D3E53">
        <w:rPr>
          <w:sz w:val="18"/>
          <w:szCs w:val="18"/>
        </w:rPr>
        <w:t>). Форми консенсусу використовуються для звітування про результати ТМЧ на основі СНП клініцистам з метою прийняття рішень щодо догляду за пацієнтами, але вони також можуть бути корисними посібниками для розробки форм для звітування про інформацію для системи епідеміологічного нагляду за ЛС-ТБ.</w:t>
      </w:r>
    </w:p>
    <w:p w14:paraId="43459BBC"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6074482C" w14:textId="77777777" w:rsidR="00366CB9" w:rsidRDefault="00366CB9" w:rsidP="00425523">
      <w:pPr>
        <w:spacing w:line="1" w:lineRule="exact"/>
      </w:pPr>
    </w:p>
    <w:p w14:paraId="6801A7C2" w14:textId="77777777" w:rsidR="00366CB9" w:rsidRPr="008D3E53" w:rsidRDefault="009D0C1D" w:rsidP="00E8720F">
      <w:pPr>
        <w:pStyle w:val="1"/>
        <w:shd w:val="clear" w:color="auto" w:fill="auto"/>
        <w:spacing w:after="160" w:line="324" w:lineRule="auto"/>
        <w:jc w:val="both"/>
        <w:rPr>
          <w:sz w:val="18"/>
          <w:szCs w:val="18"/>
        </w:rPr>
      </w:pPr>
      <w:bookmarkStart w:id="147" w:name="bookmark144"/>
      <w:r w:rsidRPr="008D3E53">
        <w:rPr>
          <w:sz w:val="18"/>
          <w:szCs w:val="18"/>
        </w:rPr>
        <w:t>Звітування про результати тестів на виявлення туберкульозної інфекції, медичного обстеження, РОГК та інших тестувань також має бути спрощено, а в ідеалі його необхідно оцифрувати для швидкого перенаправлення та аналізу. Мобільний додаток та цифрова платформа Prevent TB сприятимуть систематичній реєстрації та звітуванню, а також моніторингу даних в рамках каскадної допомоги проти туберкульозної інфекції (</w:t>
      </w:r>
      <w:hyperlink w:anchor="bookmark199" w:tooltip="Поточний документ">
        <w:r w:rsidR="00366CB9" w:rsidRPr="008D3E53">
          <w:rPr>
            <w:sz w:val="18"/>
            <w:szCs w:val="18"/>
          </w:rPr>
          <w:t>74</w:t>
        </w:r>
      </w:hyperlink>
      <w:r w:rsidRPr="008D3E53">
        <w:rPr>
          <w:sz w:val="18"/>
          <w:szCs w:val="18"/>
        </w:rPr>
        <w:t>). Якщо використовуються паперові форми, пропонується, щоб пацієнти завжди отримували копію результатів.</w:t>
      </w:r>
      <w:bookmarkEnd w:id="147"/>
    </w:p>
    <w:p w14:paraId="228DAD46" w14:textId="77777777" w:rsidR="00366CB9" w:rsidRPr="00E846A7" w:rsidRDefault="009D0C1D" w:rsidP="00E8720F">
      <w:pPr>
        <w:pStyle w:val="60"/>
        <w:shd w:val="clear" w:color="auto" w:fill="auto"/>
        <w:spacing w:after="160" w:line="269" w:lineRule="auto"/>
        <w:jc w:val="both"/>
        <w:rPr>
          <w:i/>
          <w:iCs/>
        </w:rPr>
      </w:pPr>
      <w:r>
        <w:rPr>
          <w:i/>
          <w:color w:val="019648"/>
        </w:rPr>
        <w:t>Етап 8.2 – Переглянути та відредагувати лабораторні та клінічні реєстри</w:t>
      </w:r>
    </w:p>
    <w:p w14:paraId="303D0A35" w14:textId="77777777" w:rsidR="00366CB9" w:rsidRPr="008D3E53" w:rsidRDefault="009D0C1D" w:rsidP="00E8720F">
      <w:pPr>
        <w:pStyle w:val="1"/>
        <w:shd w:val="clear" w:color="auto" w:fill="auto"/>
        <w:spacing w:after="240" w:line="324" w:lineRule="auto"/>
        <w:jc w:val="both"/>
        <w:rPr>
          <w:sz w:val="18"/>
          <w:szCs w:val="18"/>
        </w:rPr>
      </w:pPr>
      <w:r w:rsidRPr="008D3E53">
        <w:rPr>
          <w:sz w:val="18"/>
          <w:szCs w:val="18"/>
        </w:rPr>
        <w:t>Поточні лабораторні та клінічні реєстри, що засновані на системі звітування ВООЗ (</w:t>
      </w:r>
      <w:hyperlink w:anchor="bookmark193" w:tooltip="Поточний документ">
        <w:r w:rsidR="00366CB9" w:rsidRPr="008D3E53">
          <w:rPr>
            <w:sz w:val="18"/>
            <w:szCs w:val="18"/>
          </w:rPr>
          <w:t>10</w:t>
        </w:r>
      </w:hyperlink>
      <w:r w:rsidRPr="008D3E53">
        <w:rPr>
          <w:sz w:val="18"/>
          <w:szCs w:val="18"/>
        </w:rPr>
        <w:t>), можуть вимагати змін для запису результатів діагностичного тесту, що впроваджується. Форми для лабораторного журналу також можуть вимагати змін. Необхідно запровадити стандартизований підхід до реєстрації результатів тестів у лабораторних та клінічних реєстрах та застосовувати цей підхід послідовно у всіх центрах тестування та клінічних центрах. У країнах з електронними лабораторними системами управління інформацією можуть знадобитись нові тести до програмного пакету.</w:t>
      </w:r>
    </w:p>
    <w:p w14:paraId="30BD5A70" w14:textId="77777777" w:rsidR="00366CB9" w:rsidRDefault="009D0C1D" w:rsidP="00E8720F">
      <w:pPr>
        <w:pStyle w:val="22"/>
        <w:numPr>
          <w:ilvl w:val="0"/>
          <w:numId w:val="12"/>
        </w:numPr>
        <w:shd w:val="clear" w:color="auto" w:fill="auto"/>
        <w:tabs>
          <w:tab w:val="left" w:pos="687"/>
        </w:tabs>
        <w:spacing w:after="240" w:line="266" w:lineRule="auto"/>
      </w:pPr>
      <w:bookmarkStart w:id="148" w:name="bookmark146"/>
      <w:bookmarkStart w:id="149" w:name="bookmark147"/>
      <w:bookmarkStart w:id="150" w:name="bookmark145"/>
      <w:r>
        <w:t>Область 9 – Підготовка та оцінка компетентності людських ресурсів</w:t>
      </w:r>
      <w:bookmarkEnd w:id="148"/>
      <w:bookmarkEnd w:id="149"/>
      <w:bookmarkEnd w:id="150"/>
    </w:p>
    <w:tbl>
      <w:tblPr>
        <w:tblOverlap w:val="never"/>
        <w:tblW w:w="0" w:type="auto"/>
        <w:tblBorders>
          <w:top w:val="single" w:sz="12" w:space="0" w:color="007A44"/>
          <w:left w:val="single" w:sz="12" w:space="0" w:color="007A44"/>
          <w:bottom w:val="single" w:sz="12" w:space="0" w:color="007A44"/>
          <w:right w:val="single" w:sz="12" w:space="0" w:color="007A44"/>
        </w:tblBorders>
        <w:tblLayout w:type="fixed"/>
        <w:tblCellMar>
          <w:left w:w="10" w:type="dxa"/>
          <w:right w:w="10" w:type="dxa"/>
        </w:tblCellMar>
        <w:tblLook w:val="0000" w:firstRow="0" w:lastRow="0" w:firstColumn="0" w:lastColumn="0" w:noHBand="0" w:noVBand="0"/>
      </w:tblPr>
      <w:tblGrid>
        <w:gridCol w:w="9062"/>
      </w:tblGrid>
      <w:tr w:rsidR="00366CB9" w14:paraId="6BB08084" w14:textId="77777777" w:rsidTr="008D3E53">
        <w:trPr>
          <w:trHeight w:hRule="exact" w:val="1973"/>
        </w:trPr>
        <w:tc>
          <w:tcPr>
            <w:tcW w:w="9062" w:type="dxa"/>
            <w:shd w:val="clear" w:color="auto" w:fill="FFFFFF"/>
            <w:vAlign w:val="bottom"/>
          </w:tcPr>
          <w:p w14:paraId="6B434397" w14:textId="77777777" w:rsidR="00366CB9" w:rsidRPr="00BF6DB7" w:rsidRDefault="009D0C1D" w:rsidP="00E8720F">
            <w:pPr>
              <w:pStyle w:val="a6"/>
              <w:shd w:val="clear" w:color="auto" w:fill="auto"/>
              <w:spacing w:after="220"/>
              <w:ind w:firstLine="160"/>
              <w:rPr>
                <w:sz w:val="20"/>
                <w:szCs w:val="20"/>
              </w:rPr>
            </w:pPr>
            <w:r>
              <w:rPr>
                <w:color w:val="000000"/>
                <w:sz w:val="20"/>
              </w:rPr>
              <w:t>Етап 9.1 – Створити коло повноважень та посадові інструкції</w:t>
            </w:r>
          </w:p>
          <w:p w14:paraId="0E84EDF2" w14:textId="77777777" w:rsidR="00366CB9" w:rsidRPr="00BF6DB7" w:rsidRDefault="009D0C1D" w:rsidP="00E8720F">
            <w:pPr>
              <w:pStyle w:val="a6"/>
              <w:shd w:val="clear" w:color="auto" w:fill="auto"/>
              <w:spacing w:after="220"/>
              <w:ind w:firstLine="160"/>
              <w:rPr>
                <w:sz w:val="20"/>
                <w:szCs w:val="20"/>
              </w:rPr>
            </w:pPr>
            <w:r>
              <w:rPr>
                <w:color w:val="000000"/>
                <w:sz w:val="20"/>
              </w:rPr>
              <w:t>Етап 9.2 – Розробити та впровадити навчальний курс та стратегію</w:t>
            </w:r>
          </w:p>
          <w:p w14:paraId="1CA91A95" w14:textId="77777777" w:rsidR="00366CB9" w:rsidRPr="00BF6DB7" w:rsidRDefault="009D0C1D" w:rsidP="00E8720F">
            <w:pPr>
              <w:pStyle w:val="a6"/>
              <w:shd w:val="clear" w:color="auto" w:fill="auto"/>
              <w:spacing w:after="220"/>
              <w:ind w:firstLine="160"/>
              <w:rPr>
                <w:sz w:val="20"/>
                <w:szCs w:val="20"/>
              </w:rPr>
            </w:pPr>
            <w:r>
              <w:rPr>
                <w:color w:val="000000"/>
                <w:sz w:val="20"/>
              </w:rPr>
              <w:t>Етап 9.3 – Оцінити та задокументувати компетентність персоналу</w:t>
            </w:r>
          </w:p>
          <w:p w14:paraId="1E6D8C6A" w14:textId="77777777" w:rsidR="00366CB9" w:rsidRPr="00BF6DB7" w:rsidRDefault="009D0C1D" w:rsidP="00E8720F">
            <w:pPr>
              <w:pStyle w:val="a6"/>
              <w:shd w:val="clear" w:color="auto" w:fill="auto"/>
              <w:spacing w:after="220"/>
              <w:ind w:firstLine="160"/>
              <w:rPr>
                <w:sz w:val="20"/>
                <w:szCs w:val="20"/>
              </w:rPr>
            </w:pPr>
            <w:r>
              <w:rPr>
                <w:color w:val="000000"/>
                <w:sz w:val="20"/>
              </w:rPr>
              <w:t>Етап 9.4 – Забезпечити наставництво та підтримку після підготовки</w:t>
            </w:r>
          </w:p>
        </w:tc>
      </w:tr>
    </w:tbl>
    <w:p w14:paraId="0C351CF0" w14:textId="77777777" w:rsidR="00366CB9" w:rsidRPr="00E846A7" w:rsidRDefault="009D0C1D" w:rsidP="00E8720F">
      <w:pPr>
        <w:pStyle w:val="60"/>
        <w:shd w:val="clear" w:color="auto" w:fill="auto"/>
        <w:spacing w:before="360" w:after="160" w:line="269" w:lineRule="auto"/>
        <w:jc w:val="both"/>
        <w:rPr>
          <w:i/>
          <w:iCs/>
        </w:rPr>
      </w:pPr>
      <w:r>
        <w:rPr>
          <w:i/>
          <w:color w:val="019648"/>
        </w:rPr>
        <w:t>Етап 9.1 – Створити коло повноважень та посадові інструкції</w:t>
      </w:r>
    </w:p>
    <w:p w14:paraId="6CA3D6E3"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На успішність впровадження діагностичного тесту впливатиме кваліфікація, рівень підготовки та досвіду лабораторного персоналу, залученого до тестування. Це важливо і для технічно складніших методів тестування, таких як тести в рамках цільового СНП. Для персоналу, що проводить діагностичне тестування, потрібні посадові інструкції з чітко визначеними ролями та обов’язками, а також компетенціями та навичками.</w:t>
      </w:r>
    </w:p>
    <w:p w14:paraId="6477A90A" w14:textId="77777777" w:rsidR="00366CB9" w:rsidRPr="00E846A7" w:rsidRDefault="009D0C1D" w:rsidP="00E8720F">
      <w:pPr>
        <w:pStyle w:val="60"/>
        <w:shd w:val="clear" w:color="auto" w:fill="auto"/>
        <w:spacing w:after="160" w:line="269" w:lineRule="auto"/>
        <w:jc w:val="both"/>
        <w:rPr>
          <w:i/>
          <w:iCs/>
        </w:rPr>
      </w:pPr>
      <w:r>
        <w:rPr>
          <w:i/>
          <w:color w:val="019648"/>
        </w:rPr>
        <w:t>Етап 9.2 – Розробити та впровадити навчальний курс та стратегію</w:t>
      </w:r>
    </w:p>
    <w:p w14:paraId="5D9CD819" w14:textId="77777777" w:rsidR="00366CB9" w:rsidRPr="008D3E53" w:rsidRDefault="009D0C1D" w:rsidP="00E8720F">
      <w:pPr>
        <w:pStyle w:val="1"/>
        <w:shd w:val="clear" w:color="auto" w:fill="auto"/>
        <w:spacing w:after="160" w:line="324" w:lineRule="auto"/>
        <w:jc w:val="both"/>
        <w:rPr>
          <w:sz w:val="18"/>
          <w:szCs w:val="18"/>
        </w:rPr>
      </w:pPr>
      <w:r w:rsidRPr="008D3E53">
        <w:rPr>
          <w:sz w:val="18"/>
          <w:szCs w:val="18"/>
        </w:rPr>
        <w:t>Підготовка та оцінка компетенцій відіграють важливу роль в отриманні результатів якісного тестування; їх необхідно пропонувати персоналу різних рівнів (наприклад, керівників, старших технологів, техніків та лаборантів). Впровадження діагностичного тесту вимагає підготовки, що виходить за рамки етапів, необхідних для проведення тесту, а тестування на місці, що здійснюється виробниками після встановлення, часто не охоплює заходи із ЗЯ. Керівник центру тестування повинен гарантувати, щоб користувачі тесту пройшли підготовку щодо експлуатації та технічного обслуговування тестового приладу, належного проведення тесту та пов’язаних заходів із ЗЯ.</w:t>
      </w:r>
    </w:p>
    <w:p w14:paraId="651B0D66" w14:textId="77777777" w:rsidR="00366CB9" w:rsidRPr="008D3E53" w:rsidRDefault="009D0C1D" w:rsidP="00E8720F">
      <w:pPr>
        <w:pStyle w:val="1"/>
        <w:shd w:val="clear" w:color="auto" w:fill="auto"/>
        <w:spacing w:line="324" w:lineRule="auto"/>
        <w:jc w:val="both"/>
        <w:rPr>
          <w:sz w:val="18"/>
          <w:szCs w:val="18"/>
        </w:rPr>
      </w:pPr>
      <w:r w:rsidRPr="008D3E53">
        <w:rPr>
          <w:sz w:val="18"/>
          <w:szCs w:val="18"/>
        </w:rPr>
        <w:t>Підготовка або сенсибілізація клініцистів повинні проводитись паралельно з підготовкою лабораторного персоналу, щоб гарантувати, що всі клініцисти, які беруть участь у скринінгу та догляду за пацієнтами з ТБ, розуміють переваги та обмеження нового тесту та ознайомились з новим алгоритмом тестування, процесом</w:t>
      </w:r>
    </w:p>
    <w:p w14:paraId="59DDE57C"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30B9A150" w14:textId="77777777" w:rsidR="00366CB9" w:rsidRDefault="00366CB9" w:rsidP="00425523">
      <w:pPr>
        <w:spacing w:line="1" w:lineRule="exact"/>
      </w:pPr>
    </w:p>
    <w:p w14:paraId="5C6E36AE" w14:textId="77777777" w:rsidR="00366CB9" w:rsidRPr="008D3E53" w:rsidRDefault="009D0C1D" w:rsidP="00501A18">
      <w:pPr>
        <w:pStyle w:val="1"/>
        <w:shd w:val="clear" w:color="auto" w:fill="auto"/>
        <w:spacing w:after="160" w:line="326" w:lineRule="auto"/>
        <w:jc w:val="both"/>
        <w:rPr>
          <w:sz w:val="18"/>
          <w:szCs w:val="18"/>
        </w:rPr>
      </w:pPr>
      <w:bookmarkStart w:id="151" w:name="bookmark148"/>
      <w:r w:rsidRPr="008D3E53">
        <w:rPr>
          <w:sz w:val="18"/>
          <w:szCs w:val="18"/>
        </w:rPr>
        <w:t>замовлення тесту, вимогами до зразків, процедурами перенаправлення зразків та тлумаченням результатів.</w:t>
      </w:r>
      <w:bookmarkEnd w:id="151"/>
    </w:p>
    <w:p w14:paraId="0B348908" w14:textId="77777777" w:rsidR="00366CB9" w:rsidRPr="008D3E53" w:rsidRDefault="009D0C1D" w:rsidP="00501A18">
      <w:pPr>
        <w:pStyle w:val="1"/>
        <w:shd w:val="clear" w:color="auto" w:fill="auto"/>
        <w:spacing w:after="160" w:line="324" w:lineRule="auto"/>
        <w:jc w:val="both"/>
        <w:rPr>
          <w:sz w:val="18"/>
          <w:szCs w:val="18"/>
        </w:rPr>
      </w:pPr>
      <w:r w:rsidRPr="008D3E53">
        <w:rPr>
          <w:sz w:val="18"/>
          <w:szCs w:val="18"/>
        </w:rPr>
        <w:t>Клінічний персонал, відповідальний за впровадження ПЛТ, має пройти підготовку щодо проведення та тлумачення результатів тестів на виявлення туберкульозної інфекції, за наявності. Крім того, необхідно також провести підготовку для медсестер щодо ін’єкцій та оцінки ущільнення. Прості протоколи підготовки (</w:t>
      </w:r>
      <w:hyperlink w:anchor="bookmark199" w:tooltip="Поточний документ">
        <w:r w:rsidR="00366CB9" w:rsidRPr="008D3E53">
          <w:rPr>
            <w:sz w:val="18"/>
            <w:szCs w:val="18"/>
          </w:rPr>
          <w:t>75</w:t>
        </w:r>
      </w:hyperlink>
      <w:r w:rsidRPr="008D3E53">
        <w:rPr>
          <w:sz w:val="18"/>
          <w:szCs w:val="18"/>
        </w:rPr>
        <w:t>), а також мобільні технології для підготовки та КЯ шкірних тестів (</w:t>
      </w:r>
      <w:hyperlink w:anchor="bookmark199" w:tooltip="Поточний документ">
        <w:r w:rsidR="00366CB9" w:rsidRPr="008D3E53">
          <w:rPr>
            <w:sz w:val="18"/>
            <w:szCs w:val="18"/>
          </w:rPr>
          <w:t>69</w:t>
        </w:r>
      </w:hyperlink>
      <w:r w:rsidRPr="008D3E53">
        <w:rPr>
          <w:sz w:val="18"/>
          <w:szCs w:val="18"/>
        </w:rPr>
        <w:t>), можуть полегшувати застосування цих тестів, навіть у віддалених районах. Практичні навчальні матеріали представлені кількома мовами; наприклад, для ін’єкцій (</w:t>
      </w:r>
      <w:hyperlink w:anchor="bookmark199" w:tooltip="Поточний документ">
        <w:r w:rsidR="00366CB9" w:rsidRPr="008D3E53">
          <w:rPr>
            <w:sz w:val="18"/>
            <w:szCs w:val="18"/>
          </w:rPr>
          <w:t>76</w:t>
        </w:r>
      </w:hyperlink>
      <w:r w:rsidRPr="008D3E53">
        <w:rPr>
          <w:sz w:val="18"/>
          <w:szCs w:val="18"/>
        </w:rPr>
        <w:t>) та зчитування результатів (</w:t>
      </w:r>
      <w:hyperlink w:anchor="bookmark199" w:tooltip="Поточний документ">
        <w:r w:rsidR="00366CB9" w:rsidRPr="008D3E53">
          <w:rPr>
            <w:sz w:val="18"/>
            <w:szCs w:val="18"/>
          </w:rPr>
          <w:t>77</w:t>
        </w:r>
      </w:hyperlink>
      <w:r w:rsidRPr="008D3E53">
        <w:rPr>
          <w:sz w:val="18"/>
          <w:szCs w:val="18"/>
        </w:rPr>
        <w:t>).</w:t>
      </w:r>
    </w:p>
    <w:p w14:paraId="7979A6E2" w14:textId="77777777" w:rsidR="00366CB9" w:rsidRPr="008D3E53" w:rsidRDefault="009D0C1D" w:rsidP="00501A18">
      <w:pPr>
        <w:pStyle w:val="1"/>
        <w:shd w:val="clear" w:color="auto" w:fill="auto"/>
        <w:spacing w:after="160" w:line="326" w:lineRule="auto"/>
        <w:jc w:val="both"/>
        <w:rPr>
          <w:sz w:val="18"/>
          <w:szCs w:val="18"/>
        </w:rPr>
      </w:pPr>
      <w:r w:rsidRPr="008D3E53">
        <w:rPr>
          <w:sz w:val="18"/>
          <w:szCs w:val="18"/>
        </w:rPr>
        <w:t>Корисними є навчальні матеріали, підготовлені місцевою мовою для медичного персоналу та пацієнтів (</w:t>
      </w:r>
      <w:hyperlink w:anchor="bookmark199" w:tooltip="Поточний документ">
        <w:r w:rsidR="00366CB9" w:rsidRPr="008D3E53">
          <w:rPr>
            <w:sz w:val="18"/>
            <w:szCs w:val="18"/>
          </w:rPr>
          <w:t>78</w:t>
        </w:r>
      </w:hyperlink>
      <w:r w:rsidRPr="008D3E53">
        <w:rPr>
          <w:sz w:val="18"/>
          <w:szCs w:val="18"/>
        </w:rPr>
        <w:t>); приклади представлені на веб-сайтах (</w:t>
      </w:r>
      <w:hyperlink w:anchor="bookmark200" w:tooltip="Поточний документ">
        <w:r w:rsidR="00366CB9" w:rsidRPr="008D3E53">
          <w:rPr>
            <w:sz w:val="18"/>
            <w:szCs w:val="18"/>
          </w:rPr>
          <w:t>79, 80</w:t>
        </w:r>
      </w:hyperlink>
      <w:r w:rsidRPr="008D3E53">
        <w:rPr>
          <w:sz w:val="18"/>
          <w:szCs w:val="18"/>
        </w:rPr>
        <w:t>).</w:t>
      </w:r>
    </w:p>
    <w:p w14:paraId="4B042808" w14:textId="77777777" w:rsidR="00366CB9" w:rsidRPr="00E846A7" w:rsidRDefault="009D0C1D" w:rsidP="00501A18">
      <w:pPr>
        <w:pStyle w:val="60"/>
        <w:shd w:val="clear" w:color="auto" w:fill="auto"/>
        <w:spacing w:after="160" w:line="271" w:lineRule="auto"/>
        <w:rPr>
          <w:i/>
          <w:iCs/>
        </w:rPr>
      </w:pPr>
      <w:r>
        <w:rPr>
          <w:i/>
          <w:color w:val="019648"/>
        </w:rPr>
        <w:t>Етап 9.3 – Оцінити та задокументувати компетентність персоналу</w:t>
      </w:r>
    </w:p>
    <w:p w14:paraId="7980A587" w14:textId="77777777" w:rsidR="00366CB9" w:rsidRPr="008D3E53" w:rsidRDefault="009D0C1D" w:rsidP="00501A18">
      <w:pPr>
        <w:pStyle w:val="1"/>
        <w:shd w:val="clear" w:color="auto" w:fill="auto"/>
        <w:spacing w:after="160" w:line="324" w:lineRule="auto"/>
        <w:jc w:val="both"/>
        <w:rPr>
          <w:sz w:val="18"/>
          <w:szCs w:val="18"/>
        </w:rPr>
      </w:pPr>
      <w:r w:rsidRPr="008D3E53">
        <w:rPr>
          <w:sz w:val="18"/>
          <w:szCs w:val="18"/>
        </w:rPr>
        <w:t>Оцінку компетентності необхідно проводити за стандартизованим шаблоном після підготовки та періодично (наприклад, щорічно) після цього. Вона має включати перевірку знань та навичок для виконання завдань в рамках діагностичного тесту. Оцінку має проводити досвідчений користувач тесту або інструктор, а також вона повинна передбачати спостереження за особою, яка проходить оцінку, оскільки ця особа самостійно виконує кожне завдання. Для оцінки компетентності можна звертатися до групи експертів з оцінки кваліфікації. Результати перевірки компетентності слід записувати в особові справи.</w:t>
      </w:r>
    </w:p>
    <w:p w14:paraId="575B1817" w14:textId="77777777" w:rsidR="00366CB9" w:rsidRPr="00E846A7" w:rsidRDefault="009D0C1D" w:rsidP="00501A18">
      <w:pPr>
        <w:pStyle w:val="60"/>
        <w:shd w:val="clear" w:color="auto" w:fill="auto"/>
        <w:spacing w:after="160" w:line="271" w:lineRule="auto"/>
        <w:rPr>
          <w:i/>
          <w:iCs/>
        </w:rPr>
      </w:pPr>
      <w:r>
        <w:rPr>
          <w:i/>
          <w:color w:val="019648"/>
        </w:rPr>
        <w:t>Етап 9.4 – Забезпечити наставництво та підтримку після підготовки</w:t>
      </w:r>
    </w:p>
    <w:p w14:paraId="5CB8017F" w14:textId="77777777" w:rsidR="00366CB9" w:rsidRPr="008D3E53" w:rsidRDefault="009D0C1D" w:rsidP="00501A18">
      <w:pPr>
        <w:pStyle w:val="1"/>
        <w:shd w:val="clear" w:color="auto" w:fill="auto"/>
        <w:spacing w:after="240" w:line="324" w:lineRule="auto"/>
        <w:jc w:val="both"/>
        <w:rPr>
          <w:sz w:val="18"/>
          <w:szCs w:val="18"/>
        </w:rPr>
      </w:pPr>
      <w:r w:rsidRPr="008D3E53">
        <w:rPr>
          <w:sz w:val="18"/>
          <w:szCs w:val="18"/>
        </w:rPr>
        <w:t>Корисними є наставництво та підтримка після підготовки, що засновані на початковій підготовці. Це допоможе успішно впровадити діагностичний тест та враховувати інновації. Програма підтримки також полегшить процес виявлення та усунення несправностей під час впровадження будь-якої нової технології.</w:t>
      </w:r>
    </w:p>
    <w:p w14:paraId="1A1E487F" w14:textId="77777777" w:rsidR="00366CB9" w:rsidRDefault="009D0C1D" w:rsidP="00E8720F">
      <w:pPr>
        <w:pStyle w:val="22"/>
        <w:numPr>
          <w:ilvl w:val="0"/>
          <w:numId w:val="12"/>
        </w:numPr>
        <w:shd w:val="clear" w:color="auto" w:fill="auto"/>
        <w:tabs>
          <w:tab w:val="left" w:pos="858"/>
        </w:tabs>
        <w:spacing w:after="240" w:line="240" w:lineRule="auto"/>
        <w:jc w:val="both"/>
      </w:pPr>
      <w:bookmarkStart w:id="152" w:name="bookmark150"/>
      <w:bookmarkStart w:id="153" w:name="bookmark151"/>
      <w:bookmarkStart w:id="154" w:name="bookmark149"/>
      <w:r>
        <w:t>Область 10 – Моніторинг та оцінка</w:t>
      </w:r>
      <w:bookmarkEnd w:id="152"/>
      <w:bookmarkEnd w:id="153"/>
      <w:bookmarkEnd w:id="154"/>
    </w:p>
    <w:tbl>
      <w:tblPr>
        <w:tblOverlap w:val="never"/>
        <w:tblW w:w="9058" w:type="dxa"/>
        <w:tblBorders>
          <w:top w:val="single" w:sz="12" w:space="0" w:color="007A44"/>
          <w:left w:val="single" w:sz="12" w:space="0" w:color="007A44"/>
          <w:bottom w:val="single" w:sz="12" w:space="0" w:color="007A44"/>
          <w:right w:val="single" w:sz="12" w:space="0" w:color="007A44"/>
        </w:tblBorders>
        <w:tblLayout w:type="fixed"/>
        <w:tblCellMar>
          <w:left w:w="10" w:type="dxa"/>
          <w:right w:w="10" w:type="dxa"/>
        </w:tblCellMar>
        <w:tblLook w:val="0000" w:firstRow="0" w:lastRow="0" w:firstColumn="0" w:lastColumn="0" w:noHBand="0" w:noVBand="0"/>
      </w:tblPr>
      <w:tblGrid>
        <w:gridCol w:w="9058"/>
      </w:tblGrid>
      <w:tr w:rsidR="00366CB9" w14:paraId="3CE1903C" w14:textId="77777777" w:rsidTr="008D3E53">
        <w:trPr>
          <w:trHeight w:hRule="exact" w:val="1156"/>
        </w:trPr>
        <w:tc>
          <w:tcPr>
            <w:tcW w:w="9058" w:type="dxa"/>
            <w:shd w:val="clear" w:color="auto" w:fill="FFFFFF"/>
          </w:tcPr>
          <w:p w14:paraId="16CFDE12" w14:textId="77777777" w:rsidR="00366CB9" w:rsidRPr="00BF6DB7" w:rsidRDefault="009D0C1D" w:rsidP="008D3E53">
            <w:pPr>
              <w:pStyle w:val="a6"/>
              <w:shd w:val="clear" w:color="auto" w:fill="auto"/>
              <w:spacing w:before="120" w:after="220"/>
              <w:ind w:firstLine="160"/>
              <w:rPr>
                <w:sz w:val="20"/>
                <w:szCs w:val="20"/>
              </w:rPr>
            </w:pPr>
            <w:r>
              <w:rPr>
                <w:color w:val="000000"/>
                <w:sz w:val="20"/>
              </w:rPr>
              <w:t>Етап 10.1 – Моніторити впровадження діагностичного тесту</w:t>
            </w:r>
          </w:p>
          <w:p w14:paraId="3F871947" w14:textId="77777777" w:rsidR="00366CB9" w:rsidRPr="00BF6DB7" w:rsidRDefault="009D0C1D" w:rsidP="00E8720F">
            <w:pPr>
              <w:pStyle w:val="a6"/>
              <w:shd w:val="clear" w:color="auto" w:fill="auto"/>
              <w:ind w:firstLine="160"/>
              <w:rPr>
                <w:sz w:val="20"/>
                <w:szCs w:val="20"/>
              </w:rPr>
            </w:pPr>
            <w:r>
              <w:rPr>
                <w:color w:val="000000"/>
                <w:sz w:val="20"/>
              </w:rPr>
              <w:t>Етап 10.2 – Моніторити та оцінювати вплив діагностичного тесту</w:t>
            </w:r>
          </w:p>
        </w:tc>
      </w:tr>
    </w:tbl>
    <w:p w14:paraId="4B1FA246" w14:textId="77777777" w:rsidR="00366CB9" w:rsidRPr="00E846A7" w:rsidRDefault="009D0C1D" w:rsidP="00E8720F">
      <w:pPr>
        <w:pStyle w:val="60"/>
        <w:shd w:val="clear" w:color="auto" w:fill="auto"/>
        <w:spacing w:before="480" w:after="160" w:line="269" w:lineRule="auto"/>
        <w:jc w:val="both"/>
        <w:rPr>
          <w:i/>
          <w:iCs/>
        </w:rPr>
      </w:pPr>
      <w:r>
        <w:rPr>
          <w:i/>
          <w:color w:val="019648"/>
        </w:rPr>
        <w:t>Етап 10.1 – Моніторити впровадження діагностичного тесту</w:t>
      </w:r>
    </w:p>
    <w:p w14:paraId="17A14727" w14:textId="77777777" w:rsidR="00366CB9" w:rsidRPr="008D3E53" w:rsidRDefault="009D0C1D" w:rsidP="00E8720F">
      <w:pPr>
        <w:pStyle w:val="1"/>
        <w:shd w:val="clear" w:color="auto" w:fill="auto"/>
        <w:spacing w:line="324" w:lineRule="auto"/>
        <w:jc w:val="both"/>
        <w:rPr>
          <w:sz w:val="18"/>
          <w:szCs w:val="18"/>
        </w:rPr>
      </w:pPr>
      <w:r w:rsidRPr="008D3E53">
        <w:rPr>
          <w:sz w:val="18"/>
          <w:szCs w:val="18"/>
        </w:rPr>
        <w:t>Під час початкового етапу планування країни повинні встановити набір ключових показників та етапів, які можуть використовуватися для моніторингу процесу впровадження. Після запуску послуг з тестування слід відстежувати їх використання. Необхідно контролювати кількість та якість тестування та звітування, включаючи, наприклад, кількість проведених тестів, кількість невизначених результатів та кількість тестів з позитивними результатами. Додаткова підготовка та сенсибілізація є корисними для персоналу центрів з неочікувано низьким або високим рівнем тестування або невизначеності, або дуже високою частотою позитивних або негативних результатів тесту.</w:t>
      </w:r>
    </w:p>
    <w:p w14:paraId="21334FFA"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488FF520" w14:textId="77777777" w:rsidR="00366CB9" w:rsidRDefault="00366CB9" w:rsidP="00425523">
      <w:pPr>
        <w:spacing w:line="1" w:lineRule="exact"/>
      </w:pPr>
    </w:p>
    <w:p w14:paraId="55BB9528" w14:textId="77777777" w:rsidR="00366CB9" w:rsidRDefault="009D0C1D" w:rsidP="00501A18">
      <w:pPr>
        <w:pStyle w:val="60"/>
        <w:shd w:val="clear" w:color="auto" w:fill="auto"/>
        <w:spacing w:after="180" w:line="271" w:lineRule="auto"/>
      </w:pPr>
      <w:r>
        <w:rPr>
          <w:color w:val="019648"/>
        </w:rPr>
        <w:t>Етап 10.2 – Моніторити та оцінювати вплив діагностичного тесту</w:t>
      </w:r>
    </w:p>
    <w:p w14:paraId="1855F2C8" w14:textId="77777777" w:rsidR="00366CB9" w:rsidRPr="008D3E53" w:rsidRDefault="009D0C1D" w:rsidP="00501A18">
      <w:pPr>
        <w:pStyle w:val="1"/>
        <w:shd w:val="clear" w:color="auto" w:fill="auto"/>
        <w:spacing w:after="140" w:line="324" w:lineRule="auto"/>
        <w:jc w:val="both"/>
        <w:rPr>
          <w:sz w:val="18"/>
          <w:szCs w:val="18"/>
        </w:rPr>
      </w:pPr>
      <w:r w:rsidRPr="008D3E53">
        <w:rPr>
          <w:sz w:val="18"/>
          <w:szCs w:val="18"/>
        </w:rPr>
        <w:t>Структура моніторингу та оцінки впливу діагностичного тесту є важливою для прийняття рішень. Часто метою нових або вдосконалених діагностичних тестів на ТБ є поліпшення лабораторного підтвердження туберкульозу або виявлення медикаментозної резистентності. Необхідно розробити показники для оцінки впливу цілей тесту. Для кожного такого показника в рамках програми необхідно визначати мету, ціль, елементи даних та джерела даних; також необхідно враховувати розрахунок показника, показники процесу та відповідні елементи даних, що сприяють основному показнику.</w:t>
      </w:r>
    </w:p>
    <w:p w14:paraId="344F8E91" w14:textId="77777777" w:rsidR="00366CB9" w:rsidRPr="008D3E53" w:rsidRDefault="009D0C1D" w:rsidP="00501A18">
      <w:pPr>
        <w:pStyle w:val="1"/>
        <w:shd w:val="clear" w:color="auto" w:fill="auto"/>
        <w:spacing w:line="324" w:lineRule="auto"/>
        <w:jc w:val="both"/>
        <w:rPr>
          <w:sz w:val="18"/>
          <w:szCs w:val="18"/>
        </w:rPr>
      </w:pPr>
      <w:r w:rsidRPr="008D3E53">
        <w:rPr>
          <w:sz w:val="18"/>
          <w:szCs w:val="18"/>
        </w:rPr>
        <w:t>Поглиблений аналіз показників процесу може допомогти у подальших дослідженнях для розуміння впливу тесту на результати пацієнтів та визначення варіантів втручань, спрямованих на посилення впливу.</w:t>
      </w:r>
    </w:p>
    <w:p w14:paraId="6B1D1515"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55BEC09C" w14:textId="77777777" w:rsidR="00366CB9" w:rsidRDefault="00366CB9" w:rsidP="00425523">
      <w:pPr>
        <w:spacing w:line="1" w:lineRule="exact"/>
      </w:pPr>
    </w:p>
    <w:p w14:paraId="11F015CA" w14:textId="77777777" w:rsidR="00366CB9" w:rsidRDefault="009D0C1D" w:rsidP="00501A18">
      <w:pPr>
        <w:pStyle w:val="11"/>
        <w:shd w:val="clear" w:color="auto" w:fill="auto"/>
        <w:spacing w:before="0" w:after="720" w:line="240" w:lineRule="auto"/>
      </w:pPr>
      <w:bookmarkStart w:id="155" w:name="bookmark154"/>
      <w:bookmarkStart w:id="156" w:name="bookmark155"/>
      <w:bookmarkStart w:id="157" w:name="bookmark152"/>
      <w:bookmarkStart w:id="158" w:name="bookmark153"/>
      <w:r>
        <w:t>6. Модельні алгоритми</w:t>
      </w:r>
      <w:bookmarkEnd w:id="155"/>
      <w:bookmarkEnd w:id="156"/>
      <w:bookmarkEnd w:id="157"/>
      <w:bookmarkEnd w:id="158"/>
    </w:p>
    <w:p w14:paraId="42809630" w14:textId="77777777" w:rsidR="00366CB9" w:rsidRPr="008D3E53" w:rsidRDefault="009D0C1D" w:rsidP="00501A18">
      <w:pPr>
        <w:pStyle w:val="1"/>
        <w:shd w:val="clear" w:color="auto" w:fill="auto"/>
        <w:spacing w:after="140" w:line="324" w:lineRule="auto"/>
        <w:jc w:val="both"/>
        <w:rPr>
          <w:sz w:val="18"/>
          <w:szCs w:val="18"/>
        </w:rPr>
      </w:pPr>
      <w:r w:rsidRPr="008D3E53">
        <w:rPr>
          <w:sz w:val="18"/>
          <w:szCs w:val="18"/>
        </w:rPr>
        <w:t>Ефективні діагностичні алгоритми щодо ТБ є ключовими компонентами діагностичного каскаду, розробленого з метою точної та швидкої діагностики осіб з ТБ або туберкульозною інфекцією, а також своєчасного призначення терапії. Ця терапія має покращити результати пацієнтів, знизити рівень поширеності та уникнути медикаментозної резистентності. У цьому розділі представлено набір із чотирьох модельних алгоритмів, що включають цілі Стратегії боротьби з ТБ та актуальні рекомендації ВООЗ щодо діагностики та лікування ТБ, ЛС-ТБ та туберкульозної інфекції. Модельні алгоритми необхідно адаптувати до місцевої ситуації.</w:t>
      </w:r>
    </w:p>
    <w:p w14:paraId="5A0E84EE" w14:textId="77777777" w:rsidR="00366CB9" w:rsidRPr="008D3E53" w:rsidRDefault="009D0C1D" w:rsidP="00501A18">
      <w:pPr>
        <w:pStyle w:val="1"/>
        <w:shd w:val="clear" w:color="auto" w:fill="auto"/>
        <w:spacing w:after="140" w:line="322" w:lineRule="auto"/>
        <w:jc w:val="both"/>
        <w:rPr>
          <w:sz w:val="18"/>
          <w:szCs w:val="18"/>
        </w:rPr>
      </w:pPr>
      <w:r w:rsidRPr="008D3E53">
        <w:rPr>
          <w:sz w:val="18"/>
          <w:szCs w:val="18"/>
        </w:rPr>
        <w:t>Під час адаптації діагностичного алгоритму до місцевої ситуації важливо враховувати характеристики досліджуваної популяції. Нижче наведено чотири алгоритми:</w:t>
      </w:r>
    </w:p>
    <w:p w14:paraId="7A0E81F6" w14:textId="573A6AC1" w:rsidR="00366CB9" w:rsidRPr="008D3E53" w:rsidRDefault="009D0C1D" w:rsidP="00501A18">
      <w:pPr>
        <w:pStyle w:val="1"/>
        <w:shd w:val="clear" w:color="auto" w:fill="auto"/>
        <w:spacing w:line="324" w:lineRule="auto"/>
        <w:ind w:left="300" w:hanging="300"/>
        <w:jc w:val="both"/>
        <w:rPr>
          <w:sz w:val="18"/>
          <w:szCs w:val="18"/>
        </w:rPr>
      </w:pPr>
      <w:r>
        <w:rPr>
          <w:color w:val="019648"/>
        </w:rPr>
        <w:t xml:space="preserve">• </w:t>
      </w:r>
      <w:r w:rsidR="008D3E53">
        <w:tab/>
      </w:r>
      <w:hyperlink w:anchor="bookmark166" w:tooltip="Поточний документ">
        <w:r w:rsidR="00366CB9" w:rsidRPr="008D3E53">
          <w:rPr>
            <w:b/>
            <w:color w:val="019648"/>
            <w:sz w:val="18"/>
            <w:szCs w:val="18"/>
          </w:rPr>
          <w:t>Алгоритм 1</w:t>
        </w:r>
      </w:hyperlink>
      <w:r w:rsidRPr="008D3E53">
        <w:rPr>
          <w:color w:val="019648"/>
          <w:sz w:val="18"/>
          <w:szCs w:val="18"/>
        </w:rPr>
        <w:t xml:space="preserve"> </w:t>
      </w:r>
      <w:r w:rsidRPr="008D3E53">
        <w:rPr>
          <w:sz w:val="18"/>
          <w:szCs w:val="18"/>
        </w:rPr>
        <w:t>– це загальний алгоритм, заснований на WRD, таких як NAAT, як початкові діагностичні тести, що застосовується при всіх умовах, хоча вибір mWRD може відрізнятись у регіонах високої поширеності МЛС/Риф-ТБ (наприклад, може знадобитись тест, що виявляє MTBC та RIF з резистентністю до INH або без неї), ВІЛ (наприклад, може знадобитись більш чутливий тест) або Нрез-ТБ (наприклад, знадобиться тест, що одночасно виявляє MTBC, резистентність до RIF та INH). Алгоритм враховує нові рекомендації щодо супутнього тестування (включаючи LF-LAM) для певних груп ризику як перший етап перед тлумаченням та обробкою результатів.</w:t>
      </w:r>
    </w:p>
    <w:p w14:paraId="199CC2F7" w14:textId="791BAA94" w:rsidR="00366CB9" w:rsidRPr="008D3E53" w:rsidRDefault="009D0C1D" w:rsidP="00501A18">
      <w:pPr>
        <w:pStyle w:val="1"/>
        <w:shd w:val="clear" w:color="auto" w:fill="auto"/>
        <w:spacing w:line="324" w:lineRule="auto"/>
        <w:ind w:left="300" w:hanging="300"/>
        <w:jc w:val="both"/>
        <w:rPr>
          <w:sz w:val="18"/>
          <w:szCs w:val="18"/>
        </w:rPr>
      </w:pPr>
      <w:r w:rsidRPr="008D3E53">
        <w:rPr>
          <w:color w:val="019648"/>
          <w:sz w:val="18"/>
          <w:szCs w:val="18"/>
        </w:rPr>
        <w:t xml:space="preserve">• </w:t>
      </w:r>
      <w:r w:rsidR="008D3E53" w:rsidRPr="008D3E53">
        <w:rPr>
          <w:sz w:val="18"/>
          <w:szCs w:val="18"/>
        </w:rPr>
        <w:tab/>
      </w:r>
      <w:hyperlink w:anchor="bookmark168" w:tooltip="Поточний документ">
        <w:r w:rsidR="00366CB9" w:rsidRPr="008D3E53">
          <w:rPr>
            <w:b/>
            <w:color w:val="019648"/>
            <w:sz w:val="18"/>
            <w:szCs w:val="18"/>
          </w:rPr>
          <w:t>Алгоритм 2</w:t>
        </w:r>
      </w:hyperlink>
      <w:r w:rsidRPr="008D3E53">
        <w:rPr>
          <w:color w:val="019648"/>
          <w:sz w:val="18"/>
          <w:szCs w:val="18"/>
        </w:rPr>
        <w:t xml:space="preserve"> </w:t>
      </w:r>
      <w:r w:rsidRPr="008D3E53">
        <w:rPr>
          <w:sz w:val="18"/>
          <w:szCs w:val="18"/>
        </w:rPr>
        <w:t xml:space="preserve">та </w:t>
      </w:r>
      <w:hyperlink w:anchor="bookmark177" w:tooltip="Поточний документ">
        <w:r w:rsidR="00366CB9" w:rsidRPr="008D3E53">
          <w:rPr>
            <w:b/>
            <w:color w:val="019648"/>
            <w:sz w:val="18"/>
            <w:szCs w:val="18"/>
          </w:rPr>
          <w:t>Алгоритм 3</w:t>
        </w:r>
      </w:hyperlink>
      <w:r w:rsidRPr="008D3E53">
        <w:rPr>
          <w:color w:val="019648"/>
          <w:sz w:val="18"/>
          <w:szCs w:val="18"/>
        </w:rPr>
        <w:t xml:space="preserve"> </w:t>
      </w:r>
      <w:r w:rsidRPr="008D3E53">
        <w:rPr>
          <w:sz w:val="18"/>
          <w:szCs w:val="18"/>
        </w:rPr>
        <w:t>призначені для подальшого тестування після діагностування ТБ, для виявлення додаткової медикаментозної резистентності.</w:t>
      </w:r>
    </w:p>
    <w:p w14:paraId="2DF0364E" w14:textId="7D4F9F08" w:rsidR="00366CB9" w:rsidRPr="008D3E53" w:rsidRDefault="009D0C1D" w:rsidP="00501A18">
      <w:pPr>
        <w:pStyle w:val="1"/>
        <w:shd w:val="clear" w:color="auto" w:fill="auto"/>
        <w:spacing w:line="324" w:lineRule="auto"/>
        <w:ind w:left="540" w:hanging="240"/>
        <w:jc w:val="both"/>
        <w:rPr>
          <w:sz w:val="18"/>
          <w:szCs w:val="18"/>
        </w:rPr>
      </w:pPr>
      <w:r w:rsidRPr="008D3E53">
        <w:rPr>
          <w:color w:val="019648"/>
          <w:sz w:val="18"/>
          <w:szCs w:val="18"/>
        </w:rPr>
        <w:t xml:space="preserve">– </w:t>
      </w:r>
      <w:r w:rsidR="002E2F4B">
        <w:tab/>
      </w:r>
      <w:hyperlink w:anchor="bookmark172" w:tooltip="Поточний документ">
        <w:r w:rsidR="00366CB9" w:rsidRPr="008D3E53">
          <w:rPr>
            <w:b/>
            <w:color w:val="019648"/>
            <w:sz w:val="18"/>
            <w:szCs w:val="18"/>
          </w:rPr>
          <w:t>Алгоритми 2a</w:t>
        </w:r>
      </w:hyperlink>
      <w:r w:rsidRPr="008D3E53">
        <w:rPr>
          <w:color w:val="019648"/>
          <w:sz w:val="18"/>
          <w:szCs w:val="18"/>
        </w:rPr>
        <w:t xml:space="preserve"> </w:t>
      </w:r>
      <w:r w:rsidRPr="008D3E53">
        <w:rPr>
          <w:sz w:val="18"/>
          <w:szCs w:val="18"/>
        </w:rPr>
        <w:t xml:space="preserve">та </w:t>
      </w:r>
      <w:hyperlink w:anchor="bookmark173" w:tooltip="Поточний документ">
        <w:r w:rsidR="00366CB9" w:rsidRPr="008D3E53">
          <w:rPr>
            <w:b/>
            <w:color w:val="019648"/>
            <w:sz w:val="18"/>
            <w:szCs w:val="18"/>
          </w:rPr>
          <w:t>2b</w:t>
        </w:r>
      </w:hyperlink>
      <w:r w:rsidRPr="008D3E53">
        <w:rPr>
          <w:color w:val="019648"/>
          <w:sz w:val="18"/>
          <w:szCs w:val="18"/>
        </w:rPr>
        <w:t xml:space="preserve"> </w:t>
      </w:r>
      <w:r w:rsidRPr="008D3E53">
        <w:rPr>
          <w:sz w:val="18"/>
          <w:szCs w:val="18"/>
        </w:rPr>
        <w:t>застосовуються для виявлення резистентності до препаратів другої лінії у осіб з Риф-ТБ; на вибір впливає доступність цільового СНП.</w:t>
      </w:r>
    </w:p>
    <w:p w14:paraId="73600721" w14:textId="011DABD6" w:rsidR="00366CB9" w:rsidRPr="008D3E53" w:rsidRDefault="009D0C1D" w:rsidP="00501A18">
      <w:pPr>
        <w:pStyle w:val="1"/>
        <w:shd w:val="clear" w:color="auto" w:fill="auto"/>
        <w:spacing w:line="324" w:lineRule="auto"/>
        <w:ind w:left="540" w:hanging="240"/>
        <w:jc w:val="both"/>
        <w:rPr>
          <w:sz w:val="18"/>
          <w:szCs w:val="18"/>
        </w:rPr>
      </w:pPr>
      <w:r w:rsidRPr="008D3E53">
        <w:rPr>
          <w:color w:val="019648"/>
          <w:sz w:val="18"/>
          <w:szCs w:val="18"/>
        </w:rPr>
        <w:t xml:space="preserve">– </w:t>
      </w:r>
      <w:r w:rsidR="002E2F4B">
        <w:tab/>
      </w:r>
      <w:hyperlink w:anchor="bookmark177" w:tooltip="Поточний документ">
        <w:r w:rsidR="00366CB9" w:rsidRPr="008D3E53">
          <w:rPr>
            <w:b/>
            <w:color w:val="019648"/>
            <w:sz w:val="18"/>
            <w:szCs w:val="18"/>
          </w:rPr>
          <w:t>Алгоритм 3</w:t>
        </w:r>
      </w:hyperlink>
      <w:r w:rsidRPr="008D3E53">
        <w:rPr>
          <w:color w:val="019648"/>
          <w:sz w:val="18"/>
          <w:szCs w:val="18"/>
        </w:rPr>
        <w:t xml:space="preserve"> </w:t>
      </w:r>
      <w:r w:rsidRPr="008D3E53">
        <w:rPr>
          <w:sz w:val="18"/>
          <w:szCs w:val="18"/>
        </w:rPr>
        <w:t>застосовується для виявлення резистентності у осіб з рифампіцин-чутливим ТБ з ризиком ЛС-ТБ та з Нрез-ТБ. Переважним є молекулярне тестування, але підходить і будь-який існуючий WRD. Цільовий СНП доповнює алгоритми 2 та 3, оскільки ці тести можуть виявляти мутації, пов’язані з резистентністю до багатьох протитуберкульозних препаратів; також ці молекулярні тести застосовуються до осіб з високим ризиком ЛС-ТБ (наприклад, після неефективного лікування).</w:t>
      </w:r>
    </w:p>
    <w:p w14:paraId="45FE710D" w14:textId="6C8DAE4B" w:rsidR="00366CB9" w:rsidRPr="008D3E53" w:rsidRDefault="009D0C1D" w:rsidP="00501A18">
      <w:pPr>
        <w:pStyle w:val="1"/>
        <w:shd w:val="clear" w:color="auto" w:fill="auto"/>
        <w:spacing w:after="140" w:line="324" w:lineRule="auto"/>
        <w:ind w:left="300" w:hanging="300"/>
        <w:jc w:val="both"/>
        <w:rPr>
          <w:i/>
          <w:iCs/>
          <w:sz w:val="18"/>
          <w:szCs w:val="18"/>
        </w:rPr>
      </w:pPr>
      <w:r w:rsidRPr="008D3E53">
        <w:rPr>
          <w:color w:val="019648"/>
          <w:sz w:val="18"/>
          <w:szCs w:val="18"/>
        </w:rPr>
        <w:t xml:space="preserve">• </w:t>
      </w:r>
      <w:r w:rsidR="008D3E53" w:rsidRPr="008D3E53">
        <w:rPr>
          <w:sz w:val="18"/>
          <w:szCs w:val="18"/>
        </w:rPr>
        <w:tab/>
      </w:r>
      <w:hyperlink w:anchor="bookmark183" w:tooltip="Поточний документ">
        <w:r w:rsidR="00366CB9" w:rsidRPr="008D3E53">
          <w:rPr>
            <w:b/>
            <w:color w:val="019648"/>
            <w:sz w:val="18"/>
            <w:szCs w:val="18"/>
          </w:rPr>
          <w:t>Алгоритм 4</w:t>
        </w:r>
      </w:hyperlink>
      <w:r w:rsidRPr="008D3E53">
        <w:rPr>
          <w:color w:val="019648"/>
          <w:sz w:val="18"/>
          <w:szCs w:val="18"/>
        </w:rPr>
        <w:t xml:space="preserve"> </w:t>
      </w:r>
      <w:r w:rsidRPr="008D3E53">
        <w:rPr>
          <w:sz w:val="18"/>
          <w:szCs w:val="18"/>
        </w:rPr>
        <w:t xml:space="preserve">є модельним алгоритмом для діагностики туберкульозної інфекції га основі рекомендацій у публікації </w:t>
      </w:r>
      <w:r w:rsidRPr="008D3E53">
        <w:rPr>
          <w:i/>
          <w:sz w:val="18"/>
          <w:szCs w:val="18"/>
        </w:rPr>
        <w:t>«Консолідовані настанови ВООЗ з туберкульозу: модуль 2: скринінг» (</w:t>
      </w:r>
      <w:hyperlink w:anchor="bookmark200" w:tooltip="Поточний документ">
        <w:r w:rsidR="00366CB9" w:rsidRPr="008D3E53">
          <w:rPr>
            <w:i/>
            <w:sz w:val="18"/>
            <w:szCs w:val="18"/>
          </w:rPr>
          <w:t>81</w:t>
        </w:r>
      </w:hyperlink>
      <w:r w:rsidRPr="008D3E53">
        <w:rPr>
          <w:i/>
          <w:sz w:val="18"/>
          <w:szCs w:val="18"/>
        </w:rPr>
        <w:t>). Тестування на виявлення туберкульозної інфекції рекомендується лише після виключення ТБ.</w:t>
      </w:r>
    </w:p>
    <w:p w14:paraId="4D43E77F" w14:textId="77777777" w:rsidR="00366CB9" w:rsidRPr="008D3E53" w:rsidRDefault="009D0C1D" w:rsidP="00501A18">
      <w:pPr>
        <w:pStyle w:val="1"/>
        <w:shd w:val="clear" w:color="auto" w:fill="auto"/>
        <w:spacing w:after="140" w:line="326" w:lineRule="auto"/>
        <w:jc w:val="both"/>
        <w:rPr>
          <w:sz w:val="18"/>
          <w:szCs w:val="18"/>
        </w:rPr>
      </w:pPr>
      <w:r w:rsidRPr="008D3E53">
        <w:rPr>
          <w:sz w:val="18"/>
          <w:szCs w:val="18"/>
        </w:rPr>
        <w:t>Алгоритми 2 та 3 підходять для всіх умов; однак вимоги до ресурсах для подальшого тестування можуть залежати від високого або низького рівня поширеності ЛС-ТБ.</w:t>
      </w:r>
    </w:p>
    <w:p w14:paraId="4114E2EE" w14:textId="77777777" w:rsidR="00366CB9" w:rsidRPr="008D3E53" w:rsidRDefault="009D0C1D" w:rsidP="00501A18">
      <w:pPr>
        <w:pStyle w:val="1"/>
        <w:shd w:val="clear" w:color="auto" w:fill="auto"/>
        <w:spacing w:line="322" w:lineRule="auto"/>
        <w:jc w:val="both"/>
        <w:rPr>
          <w:sz w:val="18"/>
          <w:szCs w:val="18"/>
        </w:rPr>
      </w:pPr>
      <w:r w:rsidRPr="008D3E53">
        <w:rPr>
          <w:sz w:val="18"/>
          <w:szCs w:val="18"/>
        </w:rPr>
        <w:t>Кожен алгоритм супроводжується пояснювальними примітками та схемою прийняття рішень, що передбачає детальний опис міркувань щодо використання результатів тестів для управління доглядом за пацієнтами.</w:t>
      </w:r>
    </w:p>
    <w:p w14:paraId="59529E99" w14:textId="77777777" w:rsidR="00366CB9" w:rsidRDefault="009D0C1D" w:rsidP="00425523">
      <w:pPr>
        <w:spacing w:line="1" w:lineRule="exact"/>
        <w:sectPr w:rsidR="00366CB9" w:rsidSect="00501A18">
          <w:footerReference w:type="default" r:id="rId115"/>
          <w:type w:val="nextColumn"/>
          <w:pgSz w:w="11911" w:h="17036"/>
          <w:pgMar w:top="2325" w:right="1378" w:bottom="851" w:left="1372" w:header="0" w:footer="6" w:gutter="0"/>
          <w:paperSrc w:first="15" w:other="15"/>
          <w:cols w:space="720"/>
          <w:noEndnote/>
          <w:docGrid w:linePitch="360"/>
        </w:sectPr>
      </w:pPr>
      <w:r>
        <w:rPr>
          <w:noProof/>
        </w:rPr>
        <w:drawing>
          <wp:anchor distT="0" distB="0" distL="0" distR="0" simplePos="0" relativeHeight="251426816" behindDoc="1" locked="0" layoutInCell="1" allowOverlap="1" wp14:anchorId="31AE27A7" wp14:editId="27D0410F">
            <wp:simplePos x="0" y="0"/>
            <wp:positionH relativeFrom="page">
              <wp:align>left</wp:align>
            </wp:positionH>
            <wp:positionV relativeFrom="page">
              <wp:align>top</wp:align>
            </wp:positionV>
            <wp:extent cx="7560000" cy="1472400"/>
            <wp:effectExtent l="0" t="0" r="3175" b="0"/>
            <wp:wrapNone/>
            <wp:docPr id="109" name="Shape 109"/>
            <wp:cNvGraphicFramePr/>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109"/>
                    <a:stretch/>
                  </pic:blipFill>
                  <pic:spPr>
                    <a:xfrm>
                      <a:off x="0" y="0"/>
                      <a:ext cx="7560000" cy="1472400"/>
                    </a:xfrm>
                    <a:prstGeom prst="rect">
                      <a:avLst/>
                    </a:prstGeom>
                  </pic:spPr>
                </pic:pic>
              </a:graphicData>
            </a:graphic>
            <wp14:sizeRelH relativeFrom="margin">
              <wp14:pctWidth>0</wp14:pctWidth>
            </wp14:sizeRelH>
            <wp14:sizeRelV relativeFrom="margin">
              <wp14:pctHeight>0</wp14:pctHeight>
            </wp14:sizeRelV>
          </wp:anchor>
        </w:drawing>
      </w:r>
    </w:p>
    <w:p w14:paraId="519B4120" w14:textId="77777777" w:rsidR="00366CB9" w:rsidRDefault="00366CB9" w:rsidP="00425523">
      <w:pPr>
        <w:spacing w:line="1" w:lineRule="exact"/>
      </w:pPr>
    </w:p>
    <w:p w14:paraId="4C1E57E5" w14:textId="77777777" w:rsidR="00366CB9" w:rsidRPr="002E2F4B" w:rsidRDefault="009D0C1D" w:rsidP="00501A18">
      <w:pPr>
        <w:pStyle w:val="1"/>
        <w:shd w:val="clear" w:color="auto" w:fill="auto"/>
        <w:spacing w:after="160" w:line="326" w:lineRule="auto"/>
        <w:jc w:val="both"/>
        <w:rPr>
          <w:sz w:val="18"/>
          <w:szCs w:val="18"/>
        </w:rPr>
      </w:pPr>
      <w:bookmarkStart w:id="159" w:name="bookmark156"/>
      <w:r w:rsidRPr="002E2F4B">
        <w:rPr>
          <w:sz w:val="18"/>
          <w:szCs w:val="18"/>
        </w:rPr>
        <w:t>Загалом, алгоритми не обов’язково є специфічними для конкретного тесту; вони можуть представляти класи тестів, що мають спільні категорії очікуваних результатів (наприклад, «ТБ виявлено») та їхні подальші дії.</w:t>
      </w:r>
      <w:bookmarkEnd w:id="159"/>
    </w:p>
    <w:p w14:paraId="431EBBEA" w14:textId="77777777" w:rsidR="00366CB9" w:rsidRPr="00E846A7" w:rsidRDefault="009D0C1D" w:rsidP="00501A18">
      <w:pPr>
        <w:pStyle w:val="60"/>
        <w:shd w:val="clear" w:color="auto" w:fill="auto"/>
        <w:spacing w:after="160" w:line="269" w:lineRule="auto"/>
        <w:jc w:val="both"/>
        <w:rPr>
          <w:i/>
          <w:iCs/>
        </w:rPr>
      </w:pPr>
      <w:r>
        <w:rPr>
          <w:i/>
          <w:color w:val="019648"/>
        </w:rPr>
        <w:t>Стратегії скринінгу на ТБ</w:t>
      </w:r>
    </w:p>
    <w:p w14:paraId="0D1BE40A" w14:textId="77777777" w:rsidR="00366CB9" w:rsidRPr="002E2F4B" w:rsidRDefault="009D0C1D" w:rsidP="00501A18">
      <w:pPr>
        <w:pStyle w:val="1"/>
        <w:shd w:val="clear" w:color="auto" w:fill="auto"/>
        <w:spacing w:after="240" w:line="324" w:lineRule="auto"/>
        <w:jc w:val="both"/>
        <w:rPr>
          <w:sz w:val="18"/>
          <w:szCs w:val="18"/>
        </w:rPr>
      </w:pPr>
      <w:r w:rsidRPr="002E2F4B">
        <w:rPr>
          <w:sz w:val="18"/>
          <w:szCs w:val="18"/>
        </w:rPr>
        <w:t>На початку діагностики ТБ у особи визначається підозра на ТБ шляхом оцінки ознак та симптомів або скринінгу за допомогою іншого підходу. ВООЗ опублікувала оновлені рекомендації щодо скринінгу на ТБ, з якими необхідно ознайомитись (</w:t>
      </w:r>
      <w:hyperlink w:anchor="bookmark198" w:tooltip="Поточний документ">
        <w:r w:rsidR="00366CB9" w:rsidRPr="002E2F4B">
          <w:rPr>
            <w:sz w:val="18"/>
            <w:szCs w:val="18"/>
          </w:rPr>
          <w:t>54</w:t>
        </w:r>
      </w:hyperlink>
      <w:r w:rsidRPr="002E2F4B">
        <w:rPr>
          <w:sz w:val="18"/>
          <w:szCs w:val="18"/>
        </w:rPr>
        <w:t xml:space="preserve">, </w:t>
      </w:r>
      <w:hyperlink w:anchor="bookmark200" w:tooltip="Поточний документ">
        <w:r w:rsidR="00366CB9" w:rsidRPr="002E2F4B">
          <w:rPr>
            <w:sz w:val="18"/>
            <w:szCs w:val="18"/>
          </w:rPr>
          <w:t>81</w:t>
        </w:r>
      </w:hyperlink>
      <w:r w:rsidRPr="002E2F4B">
        <w:rPr>
          <w:sz w:val="18"/>
          <w:szCs w:val="18"/>
        </w:rPr>
        <w:t>). У осіб з підозрою на ТБ не завжди спостерігаються симптоми, що відповідають нещодавнім рекомендаціям щодо скринінгу, але у них все ще спостерігається підвищений ризик ТБ, що вимагає діагностичного тестування. Методи скринінгу, крім скринінгу за чотирма симптомами, наразі включають РОГК, mWRD як інструмент скринінгу або С-реактивний білок у людей, які живуть з ВІЛ. Додавання mWRD для скринінгу окремих груп ризику виходить за рамки його призначення як початкового діагностичного інструменту; способи використання детально описані в іншому розділі (</w:t>
      </w:r>
      <w:hyperlink w:anchor="bookmark198" w:tooltip="Поточний документ">
        <w:r w:rsidR="00366CB9" w:rsidRPr="002E2F4B">
          <w:rPr>
            <w:sz w:val="18"/>
            <w:szCs w:val="18"/>
          </w:rPr>
          <w:t>54</w:t>
        </w:r>
      </w:hyperlink>
      <w:r w:rsidRPr="002E2F4B">
        <w:rPr>
          <w:sz w:val="18"/>
          <w:szCs w:val="18"/>
        </w:rPr>
        <w:t>). Однак, пріоритет слід віддати забезпеченню загального доступу до mWRD як діагностичного тесту на виявлення ТБ та ЛС-ТБ, перш ніж розширювати його використання на скринінг. Крім того, необхідно розглянути mWRD як скринінг-тесту, оскільки це суттєво впливатиме на вирішення фінансових та операційних питань (наприклад, чи достатньо тестів та потужностей тестування для застосування mWRD для скринінгу, крім необхідності проведення всіх тестів для початкової діагностики та виявлення резистентності до RIF). Див. детальний опис методів скринінгу на ТБ в актуальному операційному довіднику зі скринінгу (</w:t>
      </w:r>
      <w:hyperlink w:anchor="bookmark198" w:tooltip="Поточний документ">
        <w:r w:rsidR="00366CB9" w:rsidRPr="002E2F4B">
          <w:rPr>
            <w:sz w:val="18"/>
            <w:szCs w:val="18"/>
          </w:rPr>
          <w:t>54</w:t>
        </w:r>
      </w:hyperlink>
      <w:r w:rsidRPr="002E2F4B">
        <w:rPr>
          <w:sz w:val="18"/>
          <w:szCs w:val="18"/>
        </w:rPr>
        <w:t>). Важливо враховувати поширеність та клінічну передбачуваність при виборі стратегії скринінгу, особливо при застосуванні mWRD у контексті скринінгу, а не для діагностичного тестування.</w:t>
      </w:r>
    </w:p>
    <w:p w14:paraId="020819EB" w14:textId="77777777" w:rsidR="00366CB9" w:rsidRDefault="009D0C1D" w:rsidP="00501A18">
      <w:pPr>
        <w:pStyle w:val="22"/>
        <w:shd w:val="clear" w:color="auto" w:fill="auto"/>
        <w:spacing w:line="240" w:lineRule="auto"/>
        <w:jc w:val="both"/>
      </w:pPr>
      <w:bookmarkStart w:id="160" w:name="bookmark157"/>
      <w:bookmarkStart w:id="161" w:name="bookmark158"/>
      <w:r>
        <w:t>6.1 Впровадження нового діагностичного алгоритму</w:t>
      </w:r>
      <w:bookmarkEnd w:id="160"/>
      <w:bookmarkEnd w:id="161"/>
    </w:p>
    <w:p w14:paraId="0BD70E63" w14:textId="77777777" w:rsidR="00366CB9" w:rsidRPr="002E2F4B" w:rsidRDefault="009D0C1D" w:rsidP="00501A18">
      <w:pPr>
        <w:pStyle w:val="1"/>
        <w:shd w:val="clear" w:color="auto" w:fill="auto"/>
        <w:spacing w:after="160" w:line="324" w:lineRule="auto"/>
        <w:jc w:val="both"/>
        <w:rPr>
          <w:sz w:val="18"/>
          <w:szCs w:val="18"/>
        </w:rPr>
      </w:pPr>
      <w:r w:rsidRPr="002E2F4B">
        <w:rPr>
          <w:sz w:val="18"/>
          <w:szCs w:val="18"/>
        </w:rPr>
        <w:t>Діагностичні алгоритми необхідно змінювати лише після формальної оцінки, перегляду та схвалення посадовими особами під керівництвом міністерства охорони здоров’я та в рамках НПБТ та НТРЛ. Часто національні тематичні робочі групи використовуються для оцінки нових технологій та розробки планів впровадження, які зазвичай включають перегляд поточних алгоритмів. Ці робочі групи складаються з посадових осіб місцевих міністерств, партнерів з реалізації, громадянського суспільства та фахівців (лабораторних та медичних), які визначатимуть оптимальне застосування та роль нової технології в рамках поточної мережевої структури. При розробці або перегляді алгоритмів тестування на різних рівнях мережі лабораторій слід враховувати такі моменти:</w:t>
      </w:r>
    </w:p>
    <w:p w14:paraId="544FA06B" w14:textId="3F0C594D" w:rsidR="00366CB9" w:rsidRPr="002E2F4B" w:rsidRDefault="009D0C1D" w:rsidP="002E2F4B">
      <w:pPr>
        <w:pStyle w:val="1"/>
        <w:shd w:val="clear" w:color="auto" w:fill="auto"/>
        <w:tabs>
          <w:tab w:val="left" w:pos="284"/>
        </w:tabs>
        <w:spacing w:line="326" w:lineRule="auto"/>
        <w:ind w:left="284" w:hanging="284"/>
        <w:jc w:val="both"/>
        <w:rPr>
          <w:sz w:val="18"/>
          <w:szCs w:val="18"/>
        </w:rPr>
      </w:pPr>
      <w:r w:rsidRPr="002E2F4B">
        <w:rPr>
          <w:color w:val="019648"/>
          <w:sz w:val="18"/>
          <w:szCs w:val="18"/>
        </w:rPr>
        <w:t xml:space="preserve">• </w:t>
      </w:r>
      <w:r w:rsidR="002E2F4B">
        <w:tab/>
      </w:r>
      <w:r w:rsidRPr="002E2F4B">
        <w:rPr>
          <w:sz w:val="18"/>
          <w:szCs w:val="18"/>
        </w:rPr>
        <w:t>конкретні діагностичні тести, що застосовуються або розглядаються;</w:t>
      </w:r>
    </w:p>
    <w:p w14:paraId="0DC9F90A" w14:textId="5731CF00" w:rsidR="00366CB9" w:rsidRPr="002E2F4B" w:rsidRDefault="009D0C1D" w:rsidP="002E2F4B">
      <w:pPr>
        <w:pStyle w:val="1"/>
        <w:shd w:val="clear" w:color="auto" w:fill="auto"/>
        <w:tabs>
          <w:tab w:val="left" w:pos="284"/>
        </w:tabs>
        <w:spacing w:line="326" w:lineRule="auto"/>
        <w:ind w:left="284" w:hanging="284"/>
        <w:jc w:val="both"/>
        <w:rPr>
          <w:sz w:val="18"/>
          <w:szCs w:val="18"/>
        </w:rPr>
      </w:pPr>
      <w:r w:rsidRPr="002E2F4B">
        <w:rPr>
          <w:color w:val="019648"/>
          <w:sz w:val="18"/>
          <w:szCs w:val="18"/>
        </w:rPr>
        <w:t xml:space="preserve">• </w:t>
      </w:r>
      <w:r w:rsidR="002E2F4B">
        <w:tab/>
      </w:r>
      <w:r w:rsidRPr="002E2F4B">
        <w:rPr>
          <w:sz w:val="18"/>
          <w:szCs w:val="18"/>
        </w:rPr>
        <w:t>чи рекомендовані тести ВООЗ та для яких цілей;</w:t>
      </w:r>
    </w:p>
    <w:p w14:paraId="1863A676" w14:textId="60063627" w:rsidR="00366CB9" w:rsidRPr="002E2F4B" w:rsidRDefault="009D0C1D" w:rsidP="002E2F4B">
      <w:pPr>
        <w:pStyle w:val="1"/>
        <w:shd w:val="clear" w:color="auto" w:fill="auto"/>
        <w:tabs>
          <w:tab w:val="left" w:pos="284"/>
        </w:tabs>
        <w:spacing w:line="326" w:lineRule="auto"/>
        <w:ind w:left="284" w:hanging="284"/>
        <w:jc w:val="both"/>
        <w:rPr>
          <w:sz w:val="18"/>
          <w:szCs w:val="18"/>
        </w:rPr>
      </w:pPr>
      <w:r w:rsidRPr="002E2F4B">
        <w:rPr>
          <w:color w:val="019648"/>
          <w:sz w:val="18"/>
          <w:szCs w:val="18"/>
        </w:rPr>
        <w:t xml:space="preserve">• </w:t>
      </w:r>
      <w:r w:rsidR="002E2F4B">
        <w:tab/>
      </w:r>
      <w:r w:rsidRPr="002E2F4B">
        <w:rPr>
          <w:sz w:val="18"/>
          <w:szCs w:val="18"/>
        </w:rPr>
        <w:t>можливість забрати зразки, необхідні для тесту;</w:t>
      </w:r>
    </w:p>
    <w:p w14:paraId="41F5CEB0" w14:textId="72BE44EB" w:rsidR="00366CB9" w:rsidRPr="002E2F4B" w:rsidRDefault="009D0C1D" w:rsidP="002E2F4B">
      <w:pPr>
        <w:pStyle w:val="1"/>
        <w:shd w:val="clear" w:color="auto" w:fill="auto"/>
        <w:tabs>
          <w:tab w:val="left" w:pos="284"/>
        </w:tabs>
        <w:spacing w:line="326" w:lineRule="auto"/>
        <w:ind w:left="284" w:hanging="284"/>
        <w:jc w:val="both"/>
        <w:rPr>
          <w:sz w:val="18"/>
          <w:szCs w:val="18"/>
        </w:rPr>
      </w:pPr>
      <w:r w:rsidRPr="002E2F4B">
        <w:rPr>
          <w:color w:val="019648"/>
          <w:sz w:val="18"/>
          <w:szCs w:val="18"/>
        </w:rPr>
        <w:t xml:space="preserve">• </w:t>
      </w:r>
      <w:r w:rsidR="002E2F4B">
        <w:tab/>
      </w:r>
      <w:r w:rsidRPr="002E2F4B">
        <w:rPr>
          <w:sz w:val="18"/>
          <w:szCs w:val="18"/>
        </w:rPr>
        <w:t>яке додаткове тестування рекомендується для подальшого контролю за результатами нових тестів;</w:t>
      </w:r>
    </w:p>
    <w:p w14:paraId="0E071D44" w14:textId="5F397091" w:rsidR="00366CB9" w:rsidRPr="002E2F4B" w:rsidRDefault="009D0C1D" w:rsidP="002E2F4B">
      <w:pPr>
        <w:pStyle w:val="1"/>
        <w:shd w:val="clear" w:color="auto" w:fill="auto"/>
        <w:tabs>
          <w:tab w:val="left" w:pos="284"/>
        </w:tabs>
        <w:spacing w:line="326" w:lineRule="auto"/>
        <w:ind w:left="284" w:hanging="284"/>
        <w:jc w:val="both"/>
        <w:rPr>
          <w:sz w:val="18"/>
          <w:szCs w:val="18"/>
        </w:rPr>
      </w:pPr>
      <w:r w:rsidRPr="002E2F4B">
        <w:rPr>
          <w:color w:val="019648"/>
          <w:sz w:val="18"/>
          <w:szCs w:val="18"/>
        </w:rPr>
        <w:t xml:space="preserve">• </w:t>
      </w:r>
      <w:r w:rsidR="002E2F4B">
        <w:tab/>
      </w:r>
      <w:r w:rsidRPr="002E2F4B">
        <w:rPr>
          <w:sz w:val="18"/>
          <w:szCs w:val="18"/>
        </w:rPr>
        <w:t>поточна та запланована потужність лабораторій країни, лабораторні виробничі потужності та наявність компетентного персоналу для проведення тестів;</w:t>
      </w:r>
    </w:p>
    <w:p w14:paraId="41FA7FB0" w14:textId="7341A9EE" w:rsidR="00366CB9" w:rsidRPr="002E2F4B" w:rsidRDefault="009D0C1D" w:rsidP="002E2F4B">
      <w:pPr>
        <w:pStyle w:val="1"/>
        <w:shd w:val="clear" w:color="auto" w:fill="auto"/>
        <w:tabs>
          <w:tab w:val="left" w:pos="284"/>
        </w:tabs>
        <w:spacing w:line="326" w:lineRule="auto"/>
        <w:ind w:left="284" w:hanging="284"/>
        <w:jc w:val="both"/>
        <w:rPr>
          <w:sz w:val="18"/>
          <w:szCs w:val="18"/>
        </w:rPr>
      </w:pPr>
      <w:r w:rsidRPr="002E2F4B">
        <w:rPr>
          <w:color w:val="019648"/>
          <w:sz w:val="18"/>
          <w:szCs w:val="18"/>
        </w:rPr>
        <w:t xml:space="preserve">• </w:t>
      </w:r>
      <w:r w:rsidR="002E2F4B">
        <w:tab/>
      </w:r>
      <w:r w:rsidRPr="002E2F4B">
        <w:rPr>
          <w:sz w:val="18"/>
          <w:szCs w:val="18"/>
        </w:rPr>
        <w:t>належність систем забору та перевезення зразків;</w:t>
      </w:r>
    </w:p>
    <w:p w14:paraId="42014F71" w14:textId="60E11486" w:rsidR="00366CB9" w:rsidRPr="002E2F4B" w:rsidRDefault="009D0C1D" w:rsidP="002E2F4B">
      <w:pPr>
        <w:pStyle w:val="1"/>
        <w:shd w:val="clear" w:color="auto" w:fill="auto"/>
        <w:tabs>
          <w:tab w:val="left" w:pos="284"/>
        </w:tabs>
        <w:spacing w:line="326" w:lineRule="auto"/>
        <w:ind w:left="284" w:hanging="284"/>
        <w:jc w:val="both"/>
        <w:rPr>
          <w:sz w:val="18"/>
          <w:szCs w:val="18"/>
        </w:rPr>
      </w:pPr>
      <w:r w:rsidRPr="002E2F4B">
        <w:rPr>
          <w:color w:val="019648"/>
          <w:sz w:val="18"/>
          <w:szCs w:val="18"/>
        </w:rPr>
        <w:t xml:space="preserve">• </w:t>
      </w:r>
      <w:r w:rsidR="002E2F4B">
        <w:tab/>
      </w:r>
      <w:r w:rsidRPr="002E2F4B">
        <w:rPr>
          <w:sz w:val="18"/>
          <w:szCs w:val="18"/>
        </w:rPr>
        <w:t>можливість клінічних служб пропонувати діагностику та лікування;</w:t>
      </w:r>
    </w:p>
    <w:p w14:paraId="475166FC" w14:textId="544A1B59" w:rsidR="00366CB9" w:rsidRPr="002E2F4B" w:rsidRDefault="009D0C1D" w:rsidP="002E2F4B">
      <w:pPr>
        <w:pStyle w:val="1"/>
        <w:shd w:val="clear" w:color="auto" w:fill="auto"/>
        <w:tabs>
          <w:tab w:val="left" w:pos="284"/>
        </w:tabs>
        <w:spacing w:line="326" w:lineRule="auto"/>
        <w:ind w:left="284" w:hanging="284"/>
        <w:jc w:val="both"/>
        <w:rPr>
          <w:sz w:val="18"/>
          <w:szCs w:val="18"/>
        </w:rPr>
      </w:pPr>
      <w:r w:rsidRPr="002E2F4B">
        <w:rPr>
          <w:color w:val="019648"/>
          <w:sz w:val="18"/>
          <w:szCs w:val="18"/>
        </w:rPr>
        <w:t xml:space="preserve">• </w:t>
      </w:r>
      <w:r w:rsidR="002E2F4B">
        <w:tab/>
      </w:r>
      <w:r w:rsidRPr="002E2F4B">
        <w:rPr>
          <w:sz w:val="18"/>
          <w:szCs w:val="18"/>
        </w:rPr>
        <w:t>лікарські засоби для лікування ТБ та ЛС-ТБ у країні; та</w:t>
      </w:r>
    </w:p>
    <w:p w14:paraId="18E8AF96" w14:textId="2B2A0EBD" w:rsidR="00366CB9" w:rsidRPr="002E2F4B" w:rsidRDefault="009D0C1D" w:rsidP="002E2F4B">
      <w:pPr>
        <w:pStyle w:val="1"/>
        <w:shd w:val="clear" w:color="auto" w:fill="auto"/>
        <w:tabs>
          <w:tab w:val="left" w:pos="284"/>
        </w:tabs>
        <w:spacing w:line="326" w:lineRule="auto"/>
        <w:ind w:left="284" w:hanging="284"/>
        <w:jc w:val="both"/>
        <w:rPr>
          <w:sz w:val="18"/>
          <w:szCs w:val="18"/>
        </w:rPr>
      </w:pPr>
      <w:r w:rsidRPr="002E2F4B">
        <w:rPr>
          <w:color w:val="019648"/>
          <w:sz w:val="18"/>
          <w:szCs w:val="18"/>
        </w:rPr>
        <w:t xml:space="preserve">• </w:t>
      </w:r>
      <w:r w:rsidR="002E2F4B">
        <w:tab/>
      </w:r>
      <w:r w:rsidRPr="002E2F4B">
        <w:rPr>
          <w:sz w:val="18"/>
          <w:szCs w:val="18"/>
        </w:rPr>
        <w:t>характеристики досліджуваної популяції (тобто груп ризику), що отримуються з популяційних досліджень (за наявності), включаючи частку осіб</w:t>
      </w:r>
    </w:p>
    <w:p w14:paraId="31A4BF65"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184F5E7C" w14:textId="77777777" w:rsidR="00366CB9" w:rsidRDefault="00366CB9" w:rsidP="00425523">
      <w:pPr>
        <w:spacing w:line="1" w:lineRule="exact"/>
      </w:pPr>
    </w:p>
    <w:p w14:paraId="37E877E4" w14:textId="77777777" w:rsidR="00366CB9" w:rsidRPr="002E2F4B" w:rsidRDefault="009D0C1D" w:rsidP="00501A18">
      <w:pPr>
        <w:pStyle w:val="1"/>
        <w:shd w:val="clear" w:color="auto" w:fill="auto"/>
        <w:spacing w:after="140" w:line="326" w:lineRule="auto"/>
        <w:ind w:left="280"/>
        <w:jc w:val="both"/>
        <w:rPr>
          <w:sz w:val="18"/>
          <w:szCs w:val="18"/>
        </w:rPr>
      </w:pPr>
      <w:bookmarkStart w:id="162" w:name="bookmark159"/>
      <w:r w:rsidRPr="002E2F4B">
        <w:rPr>
          <w:sz w:val="18"/>
          <w:szCs w:val="18"/>
        </w:rPr>
        <w:t>з ЛС-ТБ, пов’язаним з ВІЛ, та позалегеневим ТБ, а також частку ТБ у дітей.</w:t>
      </w:r>
      <w:bookmarkEnd w:id="162"/>
    </w:p>
    <w:p w14:paraId="6C4C2C2F" w14:textId="77777777" w:rsidR="00366CB9" w:rsidRPr="002E2F4B" w:rsidRDefault="009D0C1D" w:rsidP="00501A18">
      <w:pPr>
        <w:pStyle w:val="1"/>
        <w:shd w:val="clear" w:color="auto" w:fill="auto"/>
        <w:spacing w:after="240" w:line="324" w:lineRule="auto"/>
        <w:jc w:val="both"/>
        <w:rPr>
          <w:sz w:val="18"/>
          <w:szCs w:val="18"/>
        </w:rPr>
      </w:pPr>
      <w:r w:rsidRPr="002E2F4B">
        <w:rPr>
          <w:sz w:val="18"/>
          <w:szCs w:val="18"/>
        </w:rPr>
        <w:t>Алгоритми повинні бути розроблені з урахуванням існуючих лабораторних служб та мереж з можливістю перенаправлення зразків у лабораторію відповідного рівня для тестів, що недоступні в лабораторіях периферійного рівня. Такі перенаправлення особливо важливі при оцінці осіб на ЛС-ТБ або ВІЛ-асоційований ТБ, оцінці дітей на ТБ або оцінці осіб на позалегеневе захворювання.</w:t>
      </w:r>
    </w:p>
    <w:p w14:paraId="4147F66B" w14:textId="77777777" w:rsidR="00366CB9" w:rsidRDefault="009D0C1D" w:rsidP="00501A18">
      <w:pPr>
        <w:pStyle w:val="22"/>
        <w:shd w:val="clear" w:color="auto" w:fill="auto"/>
        <w:spacing w:after="140" w:line="240" w:lineRule="auto"/>
        <w:jc w:val="both"/>
      </w:pPr>
      <w:bookmarkStart w:id="163" w:name="bookmark160"/>
      <w:bookmarkStart w:id="164" w:name="bookmark161"/>
      <w:r>
        <w:t>6.2 Каскад чотирьох модельних алгоритмів</w:t>
      </w:r>
      <w:bookmarkEnd w:id="163"/>
      <w:bookmarkEnd w:id="164"/>
    </w:p>
    <w:p w14:paraId="00C53DB8" w14:textId="77777777" w:rsidR="00366CB9" w:rsidRPr="002E2F4B" w:rsidRDefault="009D0C1D" w:rsidP="00501A18">
      <w:pPr>
        <w:pStyle w:val="1"/>
        <w:shd w:val="clear" w:color="auto" w:fill="auto"/>
        <w:spacing w:after="140" w:line="324" w:lineRule="auto"/>
        <w:jc w:val="both"/>
        <w:rPr>
          <w:sz w:val="18"/>
          <w:szCs w:val="18"/>
        </w:rPr>
      </w:pPr>
      <w:r w:rsidRPr="002E2F4B">
        <w:rPr>
          <w:sz w:val="18"/>
          <w:szCs w:val="18"/>
        </w:rPr>
        <w:t xml:space="preserve">Не дивлячись на те, що алгоритми представлені окремо, вони взаємопов’язані в рамках одного каскаду. Це узагальнено на </w:t>
      </w:r>
      <w:r w:rsidRPr="002E2F4B">
        <w:rPr>
          <w:b/>
          <w:bCs/>
          <w:sz w:val="18"/>
          <w:szCs w:val="18"/>
        </w:rPr>
        <w:t>рис. 6.1</w:t>
      </w:r>
      <w:r w:rsidRPr="002E2F4B">
        <w:rPr>
          <w:sz w:val="18"/>
          <w:szCs w:val="18"/>
        </w:rPr>
        <w:t xml:space="preserve">, де описано, як різні алгоритми взаємопов’язані в рамках одного каскаду з початку обстеження особи на ТБ. Якщо у особи позитивний результат скринінгу або є підозра на ТБ, зразки забирають для діагностики та тестування на виявлення резистентності до RIF відповідно до Алгоритму 1. Кількість та тип рекомендованих зразків та тестів залежить від віку та ВІЛ-статусу особи (як показано на </w:t>
      </w:r>
      <w:hyperlink w:anchor="bookmark162" w:tooltip="Поточний документ">
        <w:r w:rsidR="00366CB9" w:rsidRPr="002E2F4B">
          <w:rPr>
            <w:b/>
            <w:sz w:val="18"/>
            <w:szCs w:val="18"/>
          </w:rPr>
          <w:t>рис. 6.1</w:t>
        </w:r>
        <w:r w:rsidR="00366CB9" w:rsidRPr="002E2F4B">
          <w:rPr>
            <w:sz w:val="18"/>
            <w:szCs w:val="18"/>
          </w:rPr>
          <w:t>:</w:t>
        </w:r>
      </w:hyperlink>
      <w:hyperlink w:anchor="bookmark162" w:tooltip="Поточний документ">
        <w:r w:rsidR="00366CB9" w:rsidRPr="002E2F4B">
          <w:rPr>
            <w:sz w:val="18"/>
            <w:szCs w:val="18"/>
          </w:rPr>
          <w:t xml:space="preserve"> I-IV</w:t>
        </w:r>
      </w:hyperlink>
      <w:r w:rsidRPr="002E2F4B">
        <w:rPr>
          <w:sz w:val="18"/>
          <w:szCs w:val="18"/>
        </w:rPr>
        <w:t>). Результат початкового тесту або тестів визначатиме подальші дії (</w:t>
      </w:r>
      <w:hyperlink w:anchor="bookmark162" w:tooltip="Поточний документ">
        <w:r w:rsidR="00366CB9" w:rsidRPr="002E2F4B">
          <w:rPr>
            <w:b/>
            <w:sz w:val="18"/>
            <w:szCs w:val="18"/>
          </w:rPr>
          <w:t>рис. 6.1</w:t>
        </w:r>
      </w:hyperlink>
      <w:r w:rsidRPr="002E2F4B">
        <w:rPr>
          <w:sz w:val="18"/>
          <w:szCs w:val="18"/>
        </w:rPr>
        <w:t>).</w:t>
      </w:r>
    </w:p>
    <w:p w14:paraId="29DD5CF7" w14:textId="77777777" w:rsidR="00366CB9" w:rsidRPr="002E2F4B" w:rsidRDefault="009D0C1D" w:rsidP="00501A18">
      <w:pPr>
        <w:pStyle w:val="1"/>
        <w:shd w:val="clear" w:color="auto" w:fill="auto"/>
        <w:spacing w:after="140" w:line="324" w:lineRule="auto"/>
        <w:jc w:val="both"/>
        <w:rPr>
          <w:sz w:val="18"/>
          <w:szCs w:val="18"/>
        </w:rPr>
      </w:pPr>
      <w:r w:rsidRPr="002E2F4B">
        <w:rPr>
          <w:sz w:val="18"/>
          <w:szCs w:val="18"/>
        </w:rPr>
        <w:t>Особи з позитивним результатом тесту на ТБ та виявленою резистентністю до RIF потребують діагностики. Алгоритми 2a та 2b надають вказівки щодо додаткового тестування для виявлення резистентності до FQ та інших препаратів другої лінії. Особи з RIF-чутливим ТБ можуть вимагати подальшого тестування на виявлення резистентності до INH та препарати другої лінії; Алгоритм 3 надає вказівки щодо відповідних тестів.</w:t>
      </w:r>
    </w:p>
    <w:p w14:paraId="2C442E26" w14:textId="77777777" w:rsidR="00366CB9" w:rsidRPr="002E2F4B" w:rsidRDefault="009D0C1D" w:rsidP="00501A18">
      <w:pPr>
        <w:pStyle w:val="1"/>
        <w:shd w:val="clear" w:color="auto" w:fill="auto"/>
        <w:spacing w:after="140" w:line="324" w:lineRule="auto"/>
        <w:jc w:val="both"/>
        <w:rPr>
          <w:i/>
          <w:iCs/>
          <w:sz w:val="18"/>
          <w:szCs w:val="18"/>
        </w:rPr>
      </w:pPr>
      <w:r w:rsidRPr="002E2F4B">
        <w:rPr>
          <w:sz w:val="18"/>
          <w:szCs w:val="18"/>
        </w:rPr>
        <w:t xml:space="preserve">Особи з негативним результатом скринінгу на ТБ або з виключенням ТБ шляхом тестування повинні пройти клінічну оцінку. Клінічне обстеження є важливою для дітей з нижчим рівнем бактеріологічного підтвердження ТБ через низьку та змінну кількість мікобактерій у їхніх зразках. Див. подальші практичні вказівки щодо клінічного лікування ТБ у дітей та приклади алгоритмів прийняття рішень щодо лікування у публікації </w:t>
      </w:r>
      <w:r w:rsidRPr="002E2F4B">
        <w:rPr>
          <w:i/>
          <w:sz w:val="18"/>
          <w:szCs w:val="18"/>
        </w:rPr>
        <w:t>«Операційний довідник ВООЗ щодо туберкульозу: модуль 5: лікування ТБ у дітей та підлітків» (</w:t>
      </w:r>
      <w:hyperlink w:anchor="bookmark198" w:tooltip="Поточний документ">
        <w:r w:rsidR="00366CB9" w:rsidRPr="002E2F4B">
          <w:rPr>
            <w:i/>
            <w:sz w:val="18"/>
            <w:szCs w:val="18"/>
          </w:rPr>
          <w:t>58</w:t>
        </w:r>
      </w:hyperlink>
      <w:r w:rsidRPr="002E2F4B">
        <w:rPr>
          <w:i/>
          <w:sz w:val="18"/>
          <w:szCs w:val="18"/>
        </w:rPr>
        <w:t>).</w:t>
      </w:r>
    </w:p>
    <w:p w14:paraId="4EAB328C" w14:textId="77777777" w:rsidR="00366CB9" w:rsidRPr="002E2F4B" w:rsidRDefault="009D0C1D" w:rsidP="00501A18">
      <w:pPr>
        <w:pStyle w:val="1"/>
        <w:shd w:val="clear" w:color="auto" w:fill="auto"/>
        <w:spacing w:line="324" w:lineRule="auto"/>
        <w:jc w:val="both"/>
        <w:rPr>
          <w:sz w:val="18"/>
          <w:szCs w:val="18"/>
        </w:rPr>
      </w:pPr>
      <w:r w:rsidRPr="002E2F4B">
        <w:rPr>
          <w:sz w:val="18"/>
          <w:szCs w:val="18"/>
        </w:rPr>
        <w:t>Потім осіб з виключеним ТБ оцінюють на предмет необхідності ПЛТ або тестування на виявлення туберкульозної інфекції (або і того, і іншого) (</w:t>
      </w:r>
      <w:hyperlink w:anchor="bookmark162" w:tooltip="Поточний документ">
        <w:r w:rsidR="00366CB9" w:rsidRPr="002E2F4B">
          <w:rPr>
            <w:b/>
            <w:sz w:val="18"/>
            <w:szCs w:val="18"/>
          </w:rPr>
          <w:t>рис. 6.1:</w:t>
        </w:r>
      </w:hyperlink>
      <w:hyperlink w:anchor="bookmark162" w:tooltip="Поточний документ">
        <w:r w:rsidR="00366CB9" w:rsidRPr="002E2F4B">
          <w:rPr>
            <w:b/>
            <w:sz w:val="18"/>
            <w:szCs w:val="18"/>
          </w:rPr>
          <w:t xml:space="preserve"> V</w:t>
        </w:r>
      </w:hyperlink>
      <w:r w:rsidRPr="002E2F4B">
        <w:rPr>
          <w:sz w:val="18"/>
          <w:szCs w:val="18"/>
        </w:rPr>
        <w:t xml:space="preserve">). В Алгоритмі 4 представлені етапи тестування на виявлення туберкульозної інфекції. Відповідно до </w:t>
      </w:r>
      <w:hyperlink w:anchor="bookmark55" w:tooltip="Поточний документ">
        <w:r w:rsidR="00366CB9" w:rsidRPr="002E2F4B">
          <w:rPr>
            <w:b/>
            <w:sz w:val="18"/>
            <w:szCs w:val="18"/>
          </w:rPr>
          <w:t>розділу 2.5</w:t>
        </w:r>
        <w:r w:rsidR="00366CB9" w:rsidRPr="002E2F4B">
          <w:rPr>
            <w:sz w:val="18"/>
            <w:szCs w:val="18"/>
          </w:rPr>
          <w:t>.1</w:t>
        </w:r>
      </w:hyperlink>
      <w:r w:rsidRPr="002E2F4B">
        <w:rPr>
          <w:sz w:val="18"/>
          <w:szCs w:val="18"/>
        </w:rPr>
        <w:t xml:space="preserve">, виявлення, тестування, оцінка та лікування осіб з туберкульозною інфекцією є багатоетапним процесом в рамках каскадної допомоги проти туберкульозної інфекції </w:t>
      </w:r>
      <w:hyperlink w:anchor="bookmark197" w:tooltip="Поточний документ">
        <w:r w:rsidR="00366CB9" w:rsidRPr="002E2F4B">
          <w:rPr>
            <w:sz w:val="18"/>
            <w:szCs w:val="18"/>
          </w:rPr>
          <w:t>(40</w:t>
        </w:r>
      </w:hyperlink>
      <w:r w:rsidRPr="002E2F4B">
        <w:rPr>
          <w:sz w:val="18"/>
          <w:szCs w:val="18"/>
        </w:rPr>
        <w:t>). Особи, які потребують ПЛТ або тестування на виявлення туберкульозної інфекції, проходять обстеження в рамках диференціальної діагностики.</w:t>
      </w:r>
    </w:p>
    <w:p w14:paraId="18BEF2AD" w14:textId="77777777" w:rsidR="00366CB9" w:rsidRDefault="00366CB9" w:rsidP="00425523">
      <w:pPr>
        <w:spacing w:line="1" w:lineRule="exact"/>
        <w:sectPr w:rsidR="00366CB9" w:rsidSect="00F03360">
          <w:footerReference w:type="default" r:id="rId116"/>
          <w:type w:val="nextColumn"/>
          <w:pgSz w:w="11911" w:h="17036"/>
          <w:pgMar w:top="1469" w:right="1378" w:bottom="851" w:left="1372" w:header="0" w:footer="3" w:gutter="0"/>
          <w:paperSrc w:first="15" w:other="15"/>
          <w:cols w:space="720"/>
          <w:noEndnote/>
          <w:docGrid w:linePitch="360"/>
        </w:sectPr>
      </w:pPr>
    </w:p>
    <w:p w14:paraId="70708F7E" w14:textId="0CF38E9C"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14:paraId="4037F993" w14:textId="77777777">
        <w:trPr>
          <w:trHeight w:hRule="exact" w:val="634"/>
        </w:trPr>
        <w:tc>
          <w:tcPr>
            <w:tcW w:w="9106" w:type="dxa"/>
            <w:shd w:val="clear" w:color="auto" w:fill="FFFFFF"/>
          </w:tcPr>
          <w:p w14:paraId="293DBAE7" w14:textId="77777777" w:rsidR="00366CB9" w:rsidRPr="00BF6DB7" w:rsidRDefault="009D0C1D" w:rsidP="00501A18">
            <w:pPr>
              <w:pStyle w:val="a6"/>
              <w:shd w:val="clear" w:color="auto" w:fill="auto"/>
              <w:rPr>
                <w:sz w:val="24"/>
                <w:szCs w:val="24"/>
              </w:rPr>
            </w:pPr>
            <w:bookmarkStart w:id="165" w:name="bookmark162"/>
            <w:r>
              <w:rPr>
                <w:color w:val="636466"/>
                <w:sz w:val="24"/>
              </w:rPr>
              <w:t>Рис. 6.1. Каскад чотирьох діагностичних алгоритмів</w:t>
            </w:r>
            <w:bookmarkEnd w:id="165"/>
          </w:p>
        </w:tc>
      </w:tr>
      <w:tr w:rsidR="00366CB9" w14:paraId="275D17D0" w14:textId="77777777" w:rsidTr="00501A18">
        <w:trPr>
          <w:trHeight w:hRule="exact" w:val="9912"/>
        </w:trPr>
        <w:tc>
          <w:tcPr>
            <w:tcW w:w="9106" w:type="dxa"/>
            <w:shd w:val="clear" w:color="auto" w:fill="FFFFFF"/>
          </w:tcPr>
          <w:p w14:paraId="3E6E4515" w14:textId="6B7FC97F" w:rsidR="00366CB9" w:rsidRDefault="002E2F4B" w:rsidP="00501A18">
            <w:pPr>
              <w:rPr>
                <w:sz w:val="2"/>
                <w:szCs w:val="2"/>
              </w:rPr>
            </w:pPr>
            <w:r>
              <w:rPr>
                <w:noProof/>
              </w:rPr>
              <mc:AlternateContent>
                <mc:Choice Requires="wps">
                  <w:drawing>
                    <wp:anchor distT="0" distB="0" distL="114300" distR="114300" simplePos="0" relativeHeight="251575296" behindDoc="0" locked="0" layoutInCell="1" allowOverlap="1" wp14:anchorId="5DF63067" wp14:editId="54767B8F">
                      <wp:simplePos x="0" y="0"/>
                      <wp:positionH relativeFrom="column">
                        <wp:posOffset>2838450</wp:posOffset>
                      </wp:positionH>
                      <wp:positionV relativeFrom="paragraph">
                        <wp:posOffset>5019882</wp:posOffset>
                      </wp:positionV>
                      <wp:extent cx="91440" cy="49619"/>
                      <wp:effectExtent l="0" t="0" r="3810" b="7620"/>
                      <wp:wrapNone/>
                      <wp:docPr id="2015435409" name="Прямокутник 1557868179"/>
                      <wp:cNvGraphicFramePr/>
                      <a:graphic xmlns:a="http://schemas.openxmlformats.org/drawingml/2006/main">
                        <a:graphicData uri="http://schemas.microsoft.com/office/word/2010/wordprocessingShape">
                          <wps:wsp>
                            <wps:cNvSpPr/>
                            <wps:spPr>
                              <a:xfrm>
                                <a:off x="0" y="0"/>
                                <a:ext cx="91440" cy="49619"/>
                              </a:xfrm>
                              <a:prstGeom prst="rect">
                                <a:avLst/>
                              </a:prstGeom>
                              <a:solidFill>
                                <a:srgbClr val="5E5E5E"/>
                              </a:solidFill>
                            </wps:spPr>
                            <wps:txbx>
                              <w:txbxContent>
                                <w:p w14:paraId="32200264" w14:textId="77777777" w:rsidR="009D0C1D" w:rsidRPr="002E2F4B" w:rsidRDefault="009D0C1D" w:rsidP="004F6FB8">
                                  <w:pPr>
                                    <w:rPr>
                                      <w:rFonts w:ascii="Century Gothic" w:hAnsi="Century Gothic" w:cstheme="minorBidi"/>
                                      <w:b/>
                                      <w:bCs/>
                                      <w:color w:val="FFFFFF"/>
                                      <w:kern w:val="24"/>
                                      <w:sz w:val="6"/>
                                      <w:szCs w:val="6"/>
                                    </w:rPr>
                                  </w:pPr>
                                  <w:r w:rsidRPr="002E2F4B">
                                    <w:rPr>
                                      <w:rFonts w:ascii="Century Gothic" w:hAnsi="Century Gothic"/>
                                      <w:b/>
                                      <w:color w:val="FFFFFF"/>
                                      <w:sz w:val="6"/>
                                      <w:szCs w:val="22"/>
                                    </w:rPr>
                                    <w:t>INH</w:t>
                                  </w:r>
                                </w:p>
                              </w:txbxContent>
                            </wps:txbx>
                            <wps:bodyPr wrap="square" lIns="0" tIns="0" rIns="0" bIns="0">
                              <a:noAutofit/>
                            </wps:bodyPr>
                          </wps:wsp>
                        </a:graphicData>
                      </a:graphic>
                      <wp14:sizeRelV relativeFrom="margin">
                        <wp14:pctHeight>0</wp14:pctHeight>
                      </wp14:sizeRelV>
                    </wp:anchor>
                  </w:drawing>
                </mc:Choice>
                <mc:Fallback>
                  <w:pict>
                    <v:rect w14:anchorId="5DF63067" id="Прямокутник 1557868179" o:spid="_x0000_s1207" style="position:absolute;margin-left:223.5pt;margin-top:395.25pt;width:7.2pt;height:3.9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" fillcolor="#5e5e5e" stroked="f">
                      <v:textbox inset="0,0,0,0">
                        <w:txbxContent>
                          <w:p w14:paraId="32200264" w14:textId="77777777" w:rsidR="009D0C1D" w:rsidRPr="002E2F4B" w:rsidRDefault="009D0C1D" w:rsidP="004F6FB8">
                            <w:pPr>
                              <w:rPr>
                                <w:rFonts w:ascii="Century Gothic" w:hAnsi="Century Gothic" w:cstheme="minorBidi"/>
                                <w:b/>
                                <w:bCs/>
                                <w:color w:val="FFFFFF"/>
                                <w:kern w:val="24"/>
                                <w:sz w:val="6"/>
                                <w:szCs w:val="6"/>
                              </w:rPr>
                            </w:pPr>
                            <w:r w:rsidRPr="002E2F4B">
                              <w:rPr>
                                <w:rFonts w:ascii="Century Gothic" w:hAnsi="Century Gothic"/>
                                <w:b/>
                                <w:color w:val="FFFFFF"/>
                                <w:sz w:val="6"/>
                                <w:szCs w:val="22"/>
                              </w:rPr>
                              <w:t>INH</w:t>
                            </w:r>
                          </w:p>
                        </w:txbxContent>
                      </v:textbox>
                    </v:rect>
                  </w:pict>
                </mc:Fallback>
              </mc:AlternateContent>
            </w:r>
            <w:r>
              <w:rPr>
                <w:noProof/>
              </w:rPr>
              <mc:AlternateContent>
                <mc:Choice Requires="wps">
                  <w:drawing>
                    <wp:anchor distT="0" distB="0" distL="114300" distR="114300" simplePos="0" relativeHeight="251567104" behindDoc="0" locked="0" layoutInCell="1" allowOverlap="1" wp14:anchorId="2BA9A8D9" wp14:editId="67FF4A4F">
                      <wp:simplePos x="0" y="0"/>
                      <wp:positionH relativeFrom="column">
                        <wp:posOffset>2847340</wp:posOffset>
                      </wp:positionH>
                      <wp:positionV relativeFrom="paragraph">
                        <wp:posOffset>4733128</wp:posOffset>
                      </wp:positionV>
                      <wp:extent cx="76200" cy="47847"/>
                      <wp:effectExtent l="0" t="0" r="0" b="9525"/>
                      <wp:wrapNone/>
                      <wp:docPr id="1658507681" name="Прямокутник 1097382476"/>
                      <wp:cNvGraphicFramePr/>
                      <a:graphic xmlns:a="http://schemas.openxmlformats.org/drawingml/2006/main">
                        <a:graphicData uri="http://schemas.microsoft.com/office/word/2010/wordprocessingShape">
                          <wps:wsp>
                            <wps:cNvSpPr/>
                            <wps:spPr>
                              <a:xfrm>
                                <a:off x="0" y="0"/>
                                <a:ext cx="76200" cy="47847"/>
                              </a:xfrm>
                              <a:prstGeom prst="rect">
                                <a:avLst/>
                              </a:prstGeom>
                              <a:solidFill>
                                <a:srgbClr val="078C51"/>
                              </a:solidFill>
                            </wps:spPr>
                            <wps:txbx>
                              <w:txbxContent>
                                <w:p w14:paraId="4859BA44" w14:textId="77777777" w:rsidR="009D0C1D" w:rsidRPr="002E2F4B" w:rsidRDefault="009D0C1D" w:rsidP="004F6FB8">
                                  <w:pPr>
                                    <w:rPr>
                                      <w:rFonts w:ascii="Century Gothic" w:hAnsi="Century Gothic" w:cstheme="minorBidi"/>
                                      <w:b/>
                                      <w:bCs/>
                                      <w:color w:val="FFFFFF"/>
                                      <w:kern w:val="24"/>
                                      <w:sz w:val="6"/>
                                      <w:szCs w:val="6"/>
                                    </w:rPr>
                                  </w:pPr>
                                  <w:r w:rsidRPr="002E2F4B">
                                    <w:rPr>
                                      <w:rFonts w:ascii="Century Gothic" w:hAnsi="Century Gothic"/>
                                      <w:b/>
                                      <w:color w:val="FFFFFF"/>
                                      <w:sz w:val="6"/>
                                      <w:szCs w:val="22"/>
                                    </w:rPr>
                                    <w:t>RIF</w:t>
                                  </w:r>
                                </w:p>
                              </w:txbxContent>
                            </wps:txbx>
                            <wps:bodyPr wrap="square" lIns="0" tIns="0" rIns="0" bIns="0">
                              <a:noAutofit/>
                            </wps:bodyPr>
                          </wps:wsp>
                        </a:graphicData>
                      </a:graphic>
                      <wp14:sizeRelV relativeFrom="margin">
                        <wp14:pctHeight>0</wp14:pctHeight>
                      </wp14:sizeRelV>
                    </wp:anchor>
                  </w:drawing>
                </mc:Choice>
                <mc:Fallback>
                  <w:pict>
                    <v:rect w14:anchorId="2BA9A8D9" id="Прямокутник 1097382476" o:spid="_x0000_s1208" style="position:absolute;margin-left:224.2pt;margin-top:372.7pt;width:6pt;height:3.75pt;z-index:25156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" fillcolor="#078c51" stroked="f">
                      <v:textbox inset="0,0,0,0">
                        <w:txbxContent>
                          <w:p w14:paraId="4859BA44" w14:textId="77777777" w:rsidR="009D0C1D" w:rsidRPr="002E2F4B" w:rsidRDefault="009D0C1D" w:rsidP="004F6FB8">
                            <w:pPr>
                              <w:rPr>
                                <w:rFonts w:ascii="Century Gothic" w:hAnsi="Century Gothic" w:cstheme="minorBidi"/>
                                <w:b/>
                                <w:bCs/>
                                <w:color w:val="FFFFFF"/>
                                <w:kern w:val="24"/>
                                <w:sz w:val="6"/>
                                <w:szCs w:val="6"/>
                              </w:rPr>
                            </w:pPr>
                            <w:r w:rsidRPr="002E2F4B">
                              <w:rPr>
                                <w:rFonts w:ascii="Century Gothic" w:hAnsi="Century Gothic"/>
                                <w:b/>
                                <w:color w:val="FFFFFF"/>
                                <w:sz w:val="6"/>
                                <w:szCs w:val="22"/>
                              </w:rPr>
                              <w:t>RIF</w:t>
                            </w:r>
                          </w:p>
                        </w:txbxContent>
                      </v:textbox>
                    </v:rect>
                  </w:pict>
                </mc:Fallback>
              </mc:AlternateContent>
            </w:r>
            <w:r>
              <w:rPr>
                <w:noProof/>
              </w:rPr>
              <mc:AlternateContent>
                <mc:Choice Requires="wps">
                  <w:drawing>
                    <wp:anchor distT="0" distB="0" distL="114300" distR="114300" simplePos="0" relativeHeight="251549696" behindDoc="0" locked="0" layoutInCell="1" allowOverlap="1" wp14:anchorId="69039973" wp14:editId="380B9D2F">
                      <wp:simplePos x="0" y="0"/>
                      <wp:positionH relativeFrom="column">
                        <wp:posOffset>2152384</wp:posOffset>
                      </wp:positionH>
                      <wp:positionV relativeFrom="paragraph">
                        <wp:posOffset>5020945</wp:posOffset>
                      </wp:positionV>
                      <wp:extent cx="93980" cy="46074"/>
                      <wp:effectExtent l="0" t="0" r="1270" b="0"/>
                      <wp:wrapNone/>
                      <wp:docPr id="369575167" name="Прямокутник 1853121832"/>
                      <wp:cNvGraphicFramePr/>
                      <a:graphic xmlns:a="http://schemas.openxmlformats.org/drawingml/2006/main">
                        <a:graphicData uri="http://schemas.microsoft.com/office/word/2010/wordprocessingShape">
                          <wps:wsp>
                            <wps:cNvSpPr/>
                            <wps:spPr>
                              <a:xfrm>
                                <a:off x="0" y="0"/>
                                <a:ext cx="93980" cy="46074"/>
                              </a:xfrm>
                              <a:prstGeom prst="rect">
                                <a:avLst/>
                              </a:prstGeom>
                              <a:solidFill>
                                <a:srgbClr val="CD2E38"/>
                              </a:solidFill>
                            </wps:spPr>
                            <wps:txbx>
                              <w:txbxContent>
                                <w:p w14:paraId="22AAB534" w14:textId="77777777" w:rsidR="009D0C1D" w:rsidRPr="002E2F4B" w:rsidRDefault="009D0C1D" w:rsidP="002E2F4B">
                                  <w:pPr>
                                    <w:shd w:val="clear" w:color="auto" w:fill="C00000"/>
                                    <w:rPr>
                                      <w:rFonts w:ascii="Century Gothic" w:hAnsi="Century Gothic" w:cstheme="minorBidi"/>
                                      <w:b/>
                                      <w:bCs/>
                                      <w:color w:val="FFFFFF"/>
                                      <w:kern w:val="24"/>
                                      <w:sz w:val="6"/>
                                      <w:szCs w:val="6"/>
                                    </w:rPr>
                                  </w:pPr>
                                  <w:r w:rsidRPr="002E2F4B">
                                    <w:rPr>
                                      <w:rFonts w:ascii="Century Gothic" w:hAnsi="Century Gothic"/>
                                      <w:b/>
                                      <w:color w:val="FFFFFF"/>
                                      <w:sz w:val="6"/>
                                      <w:szCs w:val="22"/>
                                    </w:rPr>
                                    <w:t>INH</w:t>
                                  </w:r>
                                </w:p>
                              </w:txbxContent>
                            </wps:txbx>
                            <wps:bodyPr wrap="square" lIns="0" tIns="0" rIns="0" bIns="0">
                              <a:noAutofit/>
                            </wps:bodyPr>
                          </wps:wsp>
                        </a:graphicData>
                      </a:graphic>
                      <wp14:sizeRelV relativeFrom="margin">
                        <wp14:pctHeight>0</wp14:pctHeight>
                      </wp14:sizeRelV>
                    </wp:anchor>
                  </w:drawing>
                </mc:Choice>
                <mc:Fallback>
                  <w:pict>
                    <v:rect w14:anchorId="69039973" id="Прямокутник 1853121832" o:spid="_x0000_s1209" style="position:absolute;margin-left:169.5pt;margin-top:395.35pt;width:7.4pt;height:3.65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" fillcolor="#cd2e38" stroked="f">
                      <v:textbox inset="0,0,0,0">
                        <w:txbxContent>
                          <w:p w14:paraId="22AAB534" w14:textId="77777777" w:rsidR="009D0C1D" w:rsidRPr="002E2F4B" w:rsidRDefault="009D0C1D" w:rsidP="002E2F4B">
                            <w:pPr>
                              <w:shd w:val="clear" w:color="auto" w:fill="C00000"/>
                              <w:rPr>
                                <w:rFonts w:ascii="Century Gothic" w:hAnsi="Century Gothic" w:cstheme="minorBidi"/>
                                <w:b/>
                                <w:bCs/>
                                <w:color w:val="FFFFFF"/>
                                <w:kern w:val="24"/>
                                <w:sz w:val="6"/>
                                <w:szCs w:val="6"/>
                              </w:rPr>
                            </w:pPr>
                            <w:r w:rsidRPr="002E2F4B">
                              <w:rPr>
                                <w:rFonts w:ascii="Century Gothic" w:hAnsi="Century Gothic"/>
                                <w:b/>
                                <w:color w:val="FFFFFF"/>
                                <w:sz w:val="6"/>
                                <w:szCs w:val="22"/>
                              </w:rPr>
                              <w:t>INH</w:t>
                            </w:r>
                          </w:p>
                        </w:txbxContent>
                      </v:textbox>
                    </v:rect>
                  </w:pict>
                </mc:Fallback>
              </mc:AlternateContent>
            </w:r>
            <w:r>
              <w:rPr>
                <w:noProof/>
              </w:rPr>
              <mc:AlternateContent>
                <mc:Choice Requires="wps">
                  <w:drawing>
                    <wp:anchor distT="0" distB="0" distL="114300" distR="114300" simplePos="0" relativeHeight="251556864" behindDoc="0" locked="0" layoutInCell="1" allowOverlap="1" wp14:anchorId="5572D4E0" wp14:editId="45FA88CE">
                      <wp:simplePos x="0" y="0"/>
                      <wp:positionH relativeFrom="column">
                        <wp:posOffset>2155825</wp:posOffset>
                      </wp:positionH>
                      <wp:positionV relativeFrom="paragraph">
                        <wp:posOffset>4734087</wp:posOffset>
                      </wp:positionV>
                      <wp:extent cx="81915" cy="57416"/>
                      <wp:effectExtent l="0" t="0" r="0" b="0"/>
                      <wp:wrapNone/>
                      <wp:docPr id="822988717" name="Прямокутник 987690587"/>
                      <wp:cNvGraphicFramePr/>
                      <a:graphic xmlns:a="http://schemas.openxmlformats.org/drawingml/2006/main">
                        <a:graphicData uri="http://schemas.microsoft.com/office/word/2010/wordprocessingShape">
                          <wps:wsp>
                            <wps:cNvSpPr/>
                            <wps:spPr>
                              <a:xfrm>
                                <a:off x="0" y="0"/>
                                <a:ext cx="81915" cy="57416"/>
                              </a:xfrm>
                              <a:prstGeom prst="rect">
                                <a:avLst/>
                              </a:prstGeom>
                              <a:solidFill>
                                <a:srgbClr val="078C51"/>
                              </a:solidFill>
                            </wps:spPr>
                            <wps:txbx>
                              <w:txbxContent>
                                <w:p w14:paraId="51E0F4EF" w14:textId="77777777" w:rsidR="009D0C1D" w:rsidRPr="002E2F4B" w:rsidRDefault="009D0C1D" w:rsidP="004F6FB8">
                                  <w:pPr>
                                    <w:rPr>
                                      <w:rFonts w:ascii="Century Gothic" w:hAnsi="Century Gothic" w:cstheme="minorBidi"/>
                                      <w:b/>
                                      <w:bCs/>
                                      <w:color w:val="FFFFFF"/>
                                      <w:kern w:val="24"/>
                                      <w:sz w:val="6"/>
                                      <w:szCs w:val="6"/>
                                    </w:rPr>
                                  </w:pPr>
                                  <w:r w:rsidRPr="002E2F4B">
                                    <w:rPr>
                                      <w:rFonts w:ascii="Century Gothic" w:hAnsi="Century Gothic"/>
                                      <w:b/>
                                      <w:color w:val="FFFFFF"/>
                                      <w:sz w:val="6"/>
                                      <w:szCs w:val="22"/>
                                    </w:rPr>
                                    <w:t>RIF</w:t>
                                  </w:r>
                                </w:p>
                              </w:txbxContent>
                            </wps:txbx>
                            <wps:bodyPr wrap="square" lIns="0" tIns="0" rIns="0" bIns="0">
                              <a:noAutofit/>
                            </wps:bodyPr>
                          </wps:wsp>
                        </a:graphicData>
                      </a:graphic>
                    </wp:anchor>
                  </w:drawing>
                </mc:Choice>
                <mc:Fallback>
                  <w:pict>
                    <v:rect w14:anchorId="5572D4E0" id="Прямокутник 987690587" o:spid="_x0000_s1210" style="position:absolute;margin-left:169.75pt;margin-top:372.75pt;width:6.45pt;height:4.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" fillcolor="#078c51" stroked="f">
                      <v:textbox inset="0,0,0,0">
                        <w:txbxContent>
                          <w:p w14:paraId="51E0F4EF" w14:textId="77777777" w:rsidR="009D0C1D" w:rsidRPr="002E2F4B" w:rsidRDefault="009D0C1D" w:rsidP="004F6FB8">
                            <w:pPr>
                              <w:rPr>
                                <w:rFonts w:ascii="Century Gothic" w:hAnsi="Century Gothic" w:cstheme="minorBidi"/>
                                <w:b/>
                                <w:bCs/>
                                <w:color w:val="FFFFFF"/>
                                <w:kern w:val="24"/>
                                <w:sz w:val="6"/>
                                <w:szCs w:val="6"/>
                              </w:rPr>
                            </w:pPr>
                            <w:r w:rsidRPr="002E2F4B">
                              <w:rPr>
                                <w:rFonts w:ascii="Century Gothic" w:hAnsi="Century Gothic"/>
                                <w:b/>
                                <w:color w:val="FFFFFF"/>
                                <w:sz w:val="6"/>
                                <w:szCs w:val="22"/>
                              </w:rPr>
                              <w:t>RIF</w:t>
                            </w:r>
                          </w:p>
                        </w:txbxContent>
                      </v:textbox>
                    </v:rect>
                  </w:pict>
                </mc:Fallback>
              </mc:AlternateContent>
            </w:r>
            <w:r>
              <w:rPr>
                <w:noProof/>
              </w:rPr>
              <mc:AlternateContent>
                <mc:Choice Requires="wps">
                  <w:drawing>
                    <wp:anchor distT="0" distB="0" distL="114300" distR="114300" simplePos="0" relativeHeight="251565056" behindDoc="0" locked="0" layoutInCell="1" allowOverlap="1" wp14:anchorId="1D93EB70" wp14:editId="39F98B2F">
                      <wp:simplePos x="0" y="0"/>
                      <wp:positionH relativeFrom="column">
                        <wp:posOffset>581660</wp:posOffset>
                      </wp:positionH>
                      <wp:positionV relativeFrom="paragraph">
                        <wp:posOffset>4532630</wp:posOffset>
                      </wp:positionV>
                      <wp:extent cx="759460" cy="146050"/>
                      <wp:effectExtent l="0" t="0" r="2540" b="6350"/>
                      <wp:wrapNone/>
                      <wp:docPr id="1523617715" name="Прямокутник 1273426814"/>
                      <wp:cNvGraphicFramePr/>
                      <a:graphic xmlns:a="http://schemas.openxmlformats.org/drawingml/2006/main">
                        <a:graphicData uri="http://schemas.microsoft.com/office/word/2010/wordprocessingShape">
                          <wps:wsp>
                            <wps:cNvSpPr/>
                            <wps:spPr>
                              <a:xfrm>
                                <a:off x="0" y="0"/>
                                <a:ext cx="759460" cy="146050"/>
                              </a:xfrm>
                              <a:prstGeom prst="rect">
                                <a:avLst/>
                              </a:prstGeom>
                              <a:solidFill>
                                <a:srgbClr val="F9E4DF"/>
                              </a:solidFill>
                            </wps:spPr>
                            <wps:txbx>
                              <w:txbxContent>
                                <w:p w14:paraId="38A534C3"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0"/>
                                    </w:rPr>
                                    <w:t>RIF-резистентний ТБ</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D93EB70" id="Прямокутник 1273426814" o:spid="_x0000_s1211" style="position:absolute;margin-left:45.8pt;margin-top:356.9pt;width:59.8pt;height:1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" fillcolor="#f9e4df" stroked="f">
                      <v:textbox inset="0,0,0,0">
                        <w:txbxContent>
                          <w:p w14:paraId="38A534C3"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0"/>
                              </w:rPr>
                              <w:t>RIF-резистентний ТБ</w:t>
                            </w:r>
                          </w:p>
                        </w:txbxContent>
                      </v:textbox>
                    </v:rect>
                  </w:pict>
                </mc:Fallback>
              </mc:AlternateContent>
            </w:r>
            <w:r>
              <w:rPr>
                <w:noProof/>
              </w:rPr>
              <mc:AlternateContent>
                <mc:Choice Requires="wps">
                  <w:drawing>
                    <wp:anchor distT="0" distB="0" distL="114300" distR="114300" simplePos="0" relativeHeight="251554816" behindDoc="0" locked="0" layoutInCell="1" allowOverlap="1" wp14:anchorId="6926A545" wp14:editId="638D4B3F">
                      <wp:simplePos x="0" y="0"/>
                      <wp:positionH relativeFrom="column">
                        <wp:posOffset>2341880</wp:posOffset>
                      </wp:positionH>
                      <wp:positionV relativeFrom="paragraph">
                        <wp:posOffset>4531360</wp:posOffset>
                      </wp:positionV>
                      <wp:extent cx="774700" cy="114300"/>
                      <wp:effectExtent l="0" t="0" r="6350" b="0"/>
                      <wp:wrapNone/>
                      <wp:docPr id="694305243" name="Прямокутник 903291564"/>
                      <wp:cNvGraphicFramePr/>
                      <a:graphic xmlns:a="http://schemas.openxmlformats.org/drawingml/2006/main">
                        <a:graphicData uri="http://schemas.microsoft.com/office/word/2010/wordprocessingShape">
                          <wps:wsp>
                            <wps:cNvSpPr/>
                            <wps:spPr>
                              <a:xfrm>
                                <a:off x="0" y="0"/>
                                <a:ext cx="774700" cy="114300"/>
                              </a:xfrm>
                              <a:prstGeom prst="rect">
                                <a:avLst/>
                              </a:prstGeom>
                              <a:solidFill>
                                <a:srgbClr val="F9E4DF"/>
                              </a:solidFill>
                            </wps:spPr>
                            <wps:txbx>
                              <w:txbxContent>
                                <w:p w14:paraId="07C3B78F"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0"/>
                                    </w:rPr>
                                    <w:t>RIF-чутливий ТБ</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926A545" id="Прямокутник 903291564" o:spid="_x0000_s1212" style="position:absolute;margin-left:184.4pt;margin-top:356.8pt;width:61pt;height: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" fillcolor="#f9e4df" stroked="f">
                      <v:textbox inset="0,0,0,0">
                        <w:txbxContent>
                          <w:p w14:paraId="07C3B78F"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0"/>
                              </w:rPr>
                              <w:t>RIF-чутливий ТБ</w:t>
                            </w:r>
                          </w:p>
                        </w:txbxContent>
                      </v:textbox>
                    </v:rect>
                  </w:pict>
                </mc:Fallback>
              </mc:AlternateContent>
            </w:r>
            <w:r>
              <w:rPr>
                <w:noProof/>
              </w:rPr>
              <mc:AlternateContent>
                <mc:Choice Requires="wps">
                  <w:drawing>
                    <wp:anchor distT="0" distB="0" distL="114300" distR="114300" simplePos="0" relativeHeight="251547648" behindDoc="0" locked="0" layoutInCell="1" allowOverlap="1" wp14:anchorId="43E58079" wp14:editId="5F181F58">
                      <wp:simplePos x="0" y="0"/>
                      <wp:positionH relativeFrom="column">
                        <wp:posOffset>2051648</wp:posOffset>
                      </wp:positionH>
                      <wp:positionV relativeFrom="paragraph">
                        <wp:posOffset>5844689</wp:posOffset>
                      </wp:positionV>
                      <wp:extent cx="379132" cy="92075"/>
                      <wp:effectExtent l="0" t="0" r="1905" b="3175"/>
                      <wp:wrapNone/>
                      <wp:docPr id="339411204" name="Прямокутник 1089694147"/>
                      <wp:cNvGraphicFramePr/>
                      <a:graphic xmlns:a="http://schemas.openxmlformats.org/drawingml/2006/main">
                        <a:graphicData uri="http://schemas.microsoft.com/office/word/2010/wordprocessingShape">
                          <wps:wsp>
                            <wps:cNvSpPr/>
                            <wps:spPr>
                              <a:xfrm>
                                <a:off x="0" y="0"/>
                                <a:ext cx="379132" cy="92075"/>
                              </a:xfrm>
                              <a:prstGeom prst="rect">
                                <a:avLst/>
                              </a:prstGeom>
                              <a:solidFill>
                                <a:srgbClr val="A8B1CE"/>
                              </a:solidFill>
                            </wps:spPr>
                            <wps:txbx>
                              <w:txbxContent>
                                <w:p w14:paraId="191C2C85"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цСНП</w:t>
                                  </w:r>
                                </w:p>
                              </w:txbxContent>
                            </wps:txbx>
                            <wps:bodyPr wrap="square" lIns="0" tIns="0" rIns="0" bIns="0">
                              <a:noAutofit/>
                            </wps:bodyPr>
                          </wps:wsp>
                        </a:graphicData>
                      </a:graphic>
                      <wp14:sizeRelH relativeFrom="margin">
                        <wp14:pctWidth>0</wp14:pctWidth>
                      </wp14:sizeRelH>
                    </wp:anchor>
                  </w:drawing>
                </mc:Choice>
                <mc:Fallback>
                  <w:pict>
                    <v:rect w14:anchorId="43E58079" id="Прямокутник 1089694147" o:spid="_x0000_s1213" style="position:absolute;margin-left:161.55pt;margin-top:460.2pt;width:29.85pt;height:7.25pt;z-index:25154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" fillcolor="#a8b1ce" stroked="f">
                      <v:textbox inset="0,0,0,0">
                        <w:txbxContent>
                          <w:p w14:paraId="191C2C85"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цСНП</w:t>
                            </w:r>
                          </w:p>
                        </w:txbxContent>
                      </v:textbox>
                    </v:rect>
                  </w:pict>
                </mc:Fallback>
              </mc:AlternateContent>
            </w:r>
            <w:r>
              <w:rPr>
                <w:noProof/>
              </w:rPr>
              <mc:AlternateContent>
                <mc:Choice Requires="wps">
                  <w:drawing>
                    <wp:anchor distT="0" distB="0" distL="114300" distR="114300" simplePos="0" relativeHeight="251564032" behindDoc="0" locked="0" layoutInCell="1" allowOverlap="1" wp14:anchorId="5C1DF920" wp14:editId="643B78BA">
                      <wp:simplePos x="0" y="0"/>
                      <wp:positionH relativeFrom="column">
                        <wp:posOffset>2056130</wp:posOffset>
                      </wp:positionH>
                      <wp:positionV relativeFrom="paragraph">
                        <wp:posOffset>5976919</wp:posOffset>
                      </wp:positionV>
                      <wp:extent cx="724647" cy="92075"/>
                      <wp:effectExtent l="0" t="0" r="0" b="3175"/>
                      <wp:wrapNone/>
                      <wp:docPr id="1176854703" name="Прямокутник 1560938245"/>
                      <wp:cNvGraphicFramePr/>
                      <a:graphic xmlns:a="http://schemas.openxmlformats.org/drawingml/2006/main">
                        <a:graphicData uri="http://schemas.microsoft.com/office/word/2010/wordprocessingShape">
                          <wps:wsp>
                            <wps:cNvSpPr/>
                            <wps:spPr>
                              <a:xfrm>
                                <a:off x="0" y="0"/>
                                <a:ext cx="724647" cy="92075"/>
                              </a:xfrm>
                              <a:prstGeom prst="rect">
                                <a:avLst/>
                              </a:prstGeom>
                              <a:solidFill>
                                <a:srgbClr val="A8B1CE"/>
                              </a:solidFill>
                            </wps:spPr>
                            <wps:txbx>
                              <w:txbxContent>
                                <w:p w14:paraId="2677BB8E"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Фенотипове ТМЧ</w:t>
                                  </w:r>
                                </w:p>
                              </w:txbxContent>
                            </wps:txbx>
                            <wps:bodyPr wrap="square" lIns="0" tIns="0" rIns="0" bIns="0">
                              <a:noAutofit/>
                            </wps:bodyPr>
                          </wps:wsp>
                        </a:graphicData>
                      </a:graphic>
                      <wp14:sizeRelH relativeFrom="margin">
                        <wp14:pctWidth>0</wp14:pctWidth>
                      </wp14:sizeRelH>
                    </wp:anchor>
                  </w:drawing>
                </mc:Choice>
                <mc:Fallback>
                  <w:pict>
                    <v:rect w14:anchorId="5C1DF920" id="Прямокутник 1560938245" o:spid="_x0000_s1214" style="position:absolute;margin-left:161.9pt;margin-top:470.6pt;width:57.05pt;height:7.25p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" fillcolor="#a8b1ce" stroked="f">
                      <v:textbox inset="0,0,0,0">
                        <w:txbxContent>
                          <w:p w14:paraId="2677BB8E"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Фенотипове ТМЧ</w:t>
                            </w:r>
                          </w:p>
                        </w:txbxContent>
                      </v:textbox>
                    </v:rect>
                  </w:pict>
                </mc:Fallback>
              </mc:AlternateContent>
            </w:r>
            <w:r>
              <w:rPr>
                <w:noProof/>
              </w:rPr>
              <mc:AlternateContent>
                <mc:Choice Requires="wps">
                  <w:drawing>
                    <wp:anchor distT="0" distB="0" distL="114300" distR="114300" simplePos="0" relativeHeight="251563008" behindDoc="0" locked="0" layoutInCell="1" allowOverlap="1" wp14:anchorId="2FA4D0A2" wp14:editId="53E337E6">
                      <wp:simplePos x="0" y="0"/>
                      <wp:positionH relativeFrom="column">
                        <wp:posOffset>2055495</wp:posOffset>
                      </wp:positionH>
                      <wp:positionV relativeFrom="paragraph">
                        <wp:posOffset>5706745</wp:posOffset>
                      </wp:positionV>
                      <wp:extent cx="374650" cy="92075"/>
                      <wp:effectExtent l="0" t="0" r="6350" b="3175"/>
                      <wp:wrapNone/>
                      <wp:docPr id="1175701681" name="Прямокутник 478617896"/>
                      <wp:cNvGraphicFramePr/>
                      <a:graphic xmlns:a="http://schemas.openxmlformats.org/drawingml/2006/main">
                        <a:graphicData uri="http://schemas.microsoft.com/office/word/2010/wordprocessingShape">
                          <wps:wsp>
                            <wps:cNvSpPr/>
                            <wps:spPr>
                              <a:xfrm>
                                <a:off x="0" y="0"/>
                                <a:ext cx="374650" cy="92075"/>
                              </a:xfrm>
                              <a:prstGeom prst="rect">
                                <a:avLst/>
                              </a:prstGeom>
                              <a:solidFill>
                                <a:srgbClr val="A8B1CE"/>
                              </a:solidFill>
                            </wps:spPr>
                            <wps:txbx>
                              <w:txbxContent>
                                <w:p w14:paraId="333B2870"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HC-rNAAT</w:t>
                                  </w:r>
                                </w:p>
                              </w:txbxContent>
                            </wps:txbx>
                            <wps:bodyPr wrap="square" lIns="0" tIns="0" rIns="0" bIns="0">
                              <a:noAutofit/>
                            </wps:bodyPr>
                          </wps:wsp>
                        </a:graphicData>
                      </a:graphic>
                    </wp:anchor>
                  </w:drawing>
                </mc:Choice>
                <mc:Fallback>
                  <w:pict>
                    <v:rect w14:anchorId="2FA4D0A2" id="Прямокутник 478617896" o:spid="_x0000_s1215" style="position:absolute;margin-left:161.85pt;margin-top:449.35pt;width:29.5pt;height:7.25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" fillcolor="#a8b1ce" stroked="f">
                      <v:textbox inset="0,0,0,0">
                        <w:txbxContent>
                          <w:p w14:paraId="333B2870"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HC-rNAAT</w:t>
                            </w:r>
                          </w:p>
                        </w:txbxContent>
                      </v:textbox>
                    </v:rect>
                  </w:pict>
                </mc:Fallback>
              </mc:AlternateContent>
            </w:r>
            <w:r>
              <w:rPr>
                <w:noProof/>
              </w:rPr>
              <mc:AlternateContent>
                <mc:Choice Requires="wps">
                  <w:drawing>
                    <wp:anchor distT="0" distB="0" distL="114300" distR="114300" simplePos="0" relativeHeight="251552768" behindDoc="0" locked="0" layoutInCell="1" allowOverlap="1" wp14:anchorId="32CBA191" wp14:editId="5D9FF7E5">
                      <wp:simplePos x="0" y="0"/>
                      <wp:positionH relativeFrom="column">
                        <wp:posOffset>361988</wp:posOffset>
                      </wp:positionH>
                      <wp:positionV relativeFrom="paragraph">
                        <wp:posOffset>5426860</wp:posOffset>
                      </wp:positionV>
                      <wp:extent cx="222504" cy="92333"/>
                      <wp:effectExtent l="0" t="0" r="6350" b="3175"/>
                      <wp:wrapNone/>
                      <wp:docPr id="505723707" name="Прямокутник 1371144160"/>
                      <wp:cNvGraphicFramePr/>
                      <a:graphic xmlns:a="http://schemas.openxmlformats.org/drawingml/2006/main">
                        <a:graphicData uri="http://schemas.microsoft.com/office/word/2010/wordprocessingShape">
                          <wps:wsp>
                            <wps:cNvSpPr/>
                            <wps:spPr>
                              <a:xfrm>
                                <a:off x="0" y="0"/>
                                <a:ext cx="222504" cy="92333"/>
                              </a:xfrm>
                              <a:prstGeom prst="rect">
                                <a:avLst/>
                              </a:prstGeom>
                              <a:solidFill>
                                <a:srgbClr val="A8B1CE"/>
                              </a:solidFill>
                            </wps:spPr>
                            <wps:txbx>
                              <w:txbxContent>
                                <w:p w14:paraId="52CBD2E6"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цСНП</w:t>
                                  </w:r>
                                </w:p>
                              </w:txbxContent>
                            </wps:txbx>
                            <wps:bodyPr wrap="square" lIns="0" tIns="0" rIns="0" bIns="0">
                              <a:noAutofit/>
                            </wps:bodyPr>
                          </wps:wsp>
                        </a:graphicData>
                      </a:graphic>
                    </wp:anchor>
                  </w:drawing>
                </mc:Choice>
                <mc:Fallback>
                  <w:pict>
                    <v:rect w14:anchorId="32CBA191" id="Прямокутник 1371144160" o:spid="_x0000_s1216" style="position:absolute;margin-left:28.5pt;margin-top:427.3pt;width:17.5pt;height:7.25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" fillcolor="#a8b1ce" stroked="f">
                      <v:textbox inset="0,0,0,0">
                        <w:txbxContent>
                          <w:p w14:paraId="52CBD2E6"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цСНП</w:t>
                            </w:r>
                          </w:p>
                        </w:txbxContent>
                      </v:textbox>
                    </v:rect>
                  </w:pict>
                </mc:Fallback>
              </mc:AlternateContent>
            </w:r>
            <w:r>
              <w:rPr>
                <w:noProof/>
              </w:rPr>
              <mc:AlternateContent>
                <mc:Choice Requires="wps">
                  <w:drawing>
                    <wp:anchor distT="0" distB="0" distL="114300" distR="114300" simplePos="0" relativeHeight="251544576" behindDoc="0" locked="0" layoutInCell="1" allowOverlap="1" wp14:anchorId="1250E45E" wp14:editId="50B053BA">
                      <wp:simplePos x="0" y="0"/>
                      <wp:positionH relativeFrom="column">
                        <wp:posOffset>5040630</wp:posOffset>
                      </wp:positionH>
                      <wp:positionV relativeFrom="paragraph">
                        <wp:posOffset>4328160</wp:posOffset>
                      </wp:positionV>
                      <wp:extent cx="622300" cy="798195"/>
                      <wp:effectExtent l="0" t="0" r="6350" b="1905"/>
                      <wp:wrapNone/>
                      <wp:docPr id="135871885" name="Прямокутник 1055210699"/>
                      <wp:cNvGraphicFramePr/>
                      <a:graphic xmlns:a="http://schemas.openxmlformats.org/drawingml/2006/main">
                        <a:graphicData uri="http://schemas.microsoft.com/office/word/2010/wordprocessingShape">
                          <wps:wsp>
                            <wps:cNvSpPr/>
                            <wps:spPr>
                              <a:xfrm>
                                <a:off x="0" y="0"/>
                                <a:ext cx="622300" cy="798195"/>
                              </a:xfrm>
                              <a:prstGeom prst="rect">
                                <a:avLst/>
                              </a:prstGeom>
                              <a:solidFill>
                                <a:srgbClr val="F9E4DF"/>
                              </a:solidFill>
                            </wps:spPr>
                            <wps:txbx>
                              <w:txbxContent>
                                <w:p w14:paraId="696B1214" w14:textId="77777777" w:rsidR="009D0C1D" w:rsidRPr="002E2F4B" w:rsidRDefault="009D0C1D" w:rsidP="004F6FB8">
                                  <w:pPr>
                                    <w:spacing w:line="254" w:lineRule="auto"/>
                                    <w:rPr>
                                      <w:rFonts w:ascii="Century Gothic" w:hAnsi="Century Gothic" w:cstheme="minorBidi"/>
                                      <w:color w:val="343433"/>
                                      <w:kern w:val="24"/>
                                      <w:sz w:val="10"/>
                                      <w:szCs w:val="10"/>
                                    </w:rPr>
                                  </w:pPr>
                                  <w:r w:rsidRPr="002E2F4B">
                                    <w:rPr>
                                      <w:rFonts w:ascii="Century Gothic" w:hAnsi="Century Gothic"/>
                                      <w:color w:val="343433"/>
                                      <w:sz w:val="10"/>
                                      <w:szCs w:val="20"/>
                                    </w:rPr>
                                    <w:t>Розглянути диференційну діагностику Розпочати ПЛТ, за необхідності</w:t>
                                  </w:r>
                                </w:p>
                              </w:txbxContent>
                            </wps:txbx>
                            <wps:bodyPr wrap="square" lIns="0" tIns="0" rIns="0" bIns="0">
                              <a:noAutofit/>
                            </wps:bodyPr>
                          </wps:wsp>
                        </a:graphicData>
                      </a:graphic>
                      <wp14:sizeRelH relativeFrom="margin">
                        <wp14:pctWidth>0</wp14:pctWidth>
                      </wp14:sizeRelH>
                    </wp:anchor>
                  </w:drawing>
                </mc:Choice>
                <mc:Fallback>
                  <w:pict>
                    <v:rect w14:anchorId="1250E45E" id="Прямокутник 1055210699" o:spid="_x0000_s1217" style="position:absolute;margin-left:396.9pt;margin-top:340.8pt;width:49pt;height:62.85pt;z-index:25154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" fillcolor="#f9e4df" stroked="f">
                      <v:textbox inset="0,0,0,0">
                        <w:txbxContent>
                          <w:p w14:paraId="696B1214" w14:textId="77777777" w:rsidR="009D0C1D" w:rsidRPr="002E2F4B" w:rsidRDefault="009D0C1D" w:rsidP="004F6FB8">
                            <w:pPr>
                              <w:spacing w:line="254" w:lineRule="auto"/>
                              <w:rPr>
                                <w:rFonts w:ascii="Century Gothic" w:hAnsi="Century Gothic" w:cstheme="minorBidi"/>
                                <w:color w:val="343433"/>
                                <w:kern w:val="24"/>
                                <w:sz w:val="10"/>
                                <w:szCs w:val="10"/>
                              </w:rPr>
                            </w:pPr>
                            <w:r w:rsidRPr="002E2F4B">
                              <w:rPr>
                                <w:rFonts w:ascii="Century Gothic" w:hAnsi="Century Gothic"/>
                                <w:color w:val="343433"/>
                                <w:sz w:val="10"/>
                                <w:szCs w:val="20"/>
                              </w:rPr>
                              <w:t>Розглянути диференційну діагностику Розпочати ПЛТ, за необхідності</w:t>
                            </w:r>
                          </w:p>
                        </w:txbxContent>
                      </v:textbox>
                    </v:rect>
                  </w:pict>
                </mc:Fallback>
              </mc:AlternateContent>
            </w:r>
            <w:r>
              <w:rPr>
                <w:noProof/>
              </w:rPr>
              <mc:AlternateContent>
                <mc:Choice Requires="wps">
                  <w:drawing>
                    <wp:anchor distT="0" distB="0" distL="114300" distR="114300" simplePos="0" relativeHeight="251558912" behindDoc="0" locked="0" layoutInCell="1" allowOverlap="1" wp14:anchorId="7E0023A6" wp14:editId="49A07E06">
                      <wp:simplePos x="0" y="0"/>
                      <wp:positionH relativeFrom="column">
                        <wp:posOffset>3929380</wp:posOffset>
                      </wp:positionH>
                      <wp:positionV relativeFrom="paragraph">
                        <wp:posOffset>4620259</wp:posOffset>
                      </wp:positionV>
                      <wp:extent cx="758825" cy="506095"/>
                      <wp:effectExtent l="0" t="0" r="3175" b="8255"/>
                      <wp:wrapNone/>
                      <wp:docPr id="944006785" name="Прямокутник 2057666507"/>
                      <wp:cNvGraphicFramePr/>
                      <a:graphic xmlns:a="http://schemas.openxmlformats.org/drawingml/2006/main">
                        <a:graphicData uri="http://schemas.microsoft.com/office/word/2010/wordprocessingShape">
                          <wps:wsp>
                            <wps:cNvSpPr/>
                            <wps:spPr>
                              <a:xfrm>
                                <a:off x="0" y="0"/>
                                <a:ext cx="758825" cy="506095"/>
                              </a:xfrm>
                              <a:prstGeom prst="rect">
                                <a:avLst/>
                              </a:prstGeom>
                              <a:solidFill>
                                <a:srgbClr val="97C594"/>
                              </a:solidFill>
                            </wps:spPr>
                            <wps:txbx>
                              <w:txbxContent>
                                <w:p w14:paraId="25463999" w14:textId="77777777" w:rsidR="009D0C1D" w:rsidRPr="002E2F4B" w:rsidRDefault="009D0C1D" w:rsidP="004F6FB8">
                                  <w:pPr>
                                    <w:spacing w:line="276" w:lineRule="auto"/>
                                    <w:rPr>
                                      <w:rFonts w:ascii="Century Gothic" w:hAnsi="Century Gothic" w:cstheme="minorBidi"/>
                                      <w:color w:val="343433"/>
                                      <w:kern w:val="24"/>
                                      <w:sz w:val="10"/>
                                      <w:szCs w:val="10"/>
                                    </w:rPr>
                                  </w:pPr>
                                  <w:r w:rsidRPr="002E2F4B">
                                    <w:rPr>
                                      <w:rFonts w:ascii="Century Gothic" w:hAnsi="Century Gothic"/>
                                      <w:color w:val="343433"/>
                                      <w:sz w:val="10"/>
                                      <w:szCs w:val="20"/>
                                    </w:rPr>
                                    <w:t>Провести тест на виявлення туберкульозної інфекції та розпочати ПЛТ, за необхідності</w:t>
                                  </w:r>
                                </w:p>
                              </w:txbxContent>
                            </wps:txbx>
                            <wps:bodyPr wrap="square" lIns="0" tIns="0" rIns="0" bIns="0">
                              <a:noAutofit/>
                            </wps:bodyPr>
                          </wps:wsp>
                        </a:graphicData>
                      </a:graphic>
                      <wp14:sizeRelV relativeFrom="margin">
                        <wp14:pctHeight>0</wp14:pctHeight>
                      </wp14:sizeRelV>
                    </wp:anchor>
                  </w:drawing>
                </mc:Choice>
                <mc:Fallback>
                  <w:pict>
                    <v:rect w14:anchorId="7E0023A6" id="Прямокутник 2057666507" o:spid="_x0000_s1218" style="position:absolute;margin-left:309.4pt;margin-top:363.8pt;width:59.75pt;height:39.85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" fillcolor="#97c594" stroked="f">
                      <v:textbox inset="0,0,0,0">
                        <w:txbxContent>
                          <w:p w14:paraId="25463999" w14:textId="77777777" w:rsidR="009D0C1D" w:rsidRPr="002E2F4B" w:rsidRDefault="009D0C1D" w:rsidP="004F6FB8">
                            <w:pPr>
                              <w:spacing w:line="276" w:lineRule="auto"/>
                              <w:rPr>
                                <w:rFonts w:ascii="Century Gothic" w:hAnsi="Century Gothic" w:cstheme="minorBidi"/>
                                <w:color w:val="343433"/>
                                <w:kern w:val="24"/>
                                <w:sz w:val="10"/>
                                <w:szCs w:val="10"/>
                              </w:rPr>
                            </w:pPr>
                            <w:r w:rsidRPr="002E2F4B">
                              <w:rPr>
                                <w:rFonts w:ascii="Century Gothic" w:hAnsi="Century Gothic"/>
                                <w:color w:val="343433"/>
                                <w:sz w:val="10"/>
                                <w:szCs w:val="20"/>
                              </w:rPr>
                              <w:t>Провести тест на виявлення туберкульозної інфекції та розпочати ПЛТ, за необхідності</w:t>
                            </w:r>
                          </w:p>
                        </w:txbxContent>
                      </v:textbox>
                    </v:rect>
                  </w:pict>
                </mc:Fallback>
              </mc:AlternateContent>
            </w:r>
            <w:r>
              <w:rPr>
                <w:noProof/>
              </w:rPr>
              <mc:AlternateContent>
                <mc:Choice Requires="wps">
                  <w:drawing>
                    <wp:anchor distT="0" distB="0" distL="114300" distR="114300" simplePos="0" relativeHeight="251570176" behindDoc="0" locked="0" layoutInCell="1" allowOverlap="1" wp14:anchorId="5F4C9B9C" wp14:editId="7E7EA8B6">
                      <wp:simplePos x="0" y="0"/>
                      <wp:positionH relativeFrom="column">
                        <wp:posOffset>4888230</wp:posOffset>
                      </wp:positionH>
                      <wp:positionV relativeFrom="paragraph">
                        <wp:posOffset>2042160</wp:posOffset>
                      </wp:positionV>
                      <wp:extent cx="730250" cy="646430"/>
                      <wp:effectExtent l="0" t="0" r="0" b="1270"/>
                      <wp:wrapNone/>
                      <wp:docPr id="1791315086" name="Прямокутник 1656226390"/>
                      <wp:cNvGraphicFramePr/>
                      <a:graphic xmlns:a="http://schemas.openxmlformats.org/drawingml/2006/main">
                        <a:graphicData uri="http://schemas.microsoft.com/office/word/2010/wordprocessingShape">
                          <wps:wsp>
                            <wps:cNvSpPr/>
                            <wps:spPr>
                              <a:xfrm>
                                <a:off x="0" y="0"/>
                                <a:ext cx="730250" cy="646430"/>
                              </a:xfrm>
                              <a:prstGeom prst="rect">
                                <a:avLst/>
                              </a:prstGeom>
                              <a:solidFill>
                                <a:srgbClr val="F9E4DF"/>
                              </a:solidFill>
                            </wps:spPr>
                            <wps:txbx>
                              <w:txbxContent>
                                <w:p w14:paraId="010DD46D" w14:textId="77777777" w:rsidR="009D0C1D" w:rsidRPr="002E2F4B" w:rsidRDefault="009D0C1D" w:rsidP="004F6FB8">
                                  <w:pPr>
                                    <w:spacing w:line="276" w:lineRule="auto"/>
                                    <w:jc w:val="center"/>
                                    <w:rPr>
                                      <w:rFonts w:ascii="Century Gothic" w:hAnsi="Century Gothic" w:cstheme="minorBidi"/>
                                      <w:b/>
                                      <w:bCs/>
                                      <w:color w:val="343433"/>
                                      <w:kern w:val="24"/>
                                      <w:sz w:val="10"/>
                                      <w:szCs w:val="10"/>
                                    </w:rPr>
                                  </w:pPr>
                                  <w:r w:rsidRPr="002E2F4B">
                                    <w:rPr>
                                      <w:rFonts w:ascii="Century Gothic" w:hAnsi="Century Gothic"/>
                                      <w:b/>
                                      <w:color w:val="343433"/>
                                      <w:sz w:val="10"/>
                                      <w:szCs w:val="20"/>
                                    </w:rPr>
                                    <w:t>V</w:t>
                                  </w:r>
                                </w:p>
                                <w:p w14:paraId="0A9B0955" w14:textId="77777777" w:rsidR="009D0C1D" w:rsidRPr="002E2F4B" w:rsidRDefault="009D0C1D" w:rsidP="004F6FB8">
                                  <w:pPr>
                                    <w:spacing w:line="276" w:lineRule="auto"/>
                                    <w:jc w:val="center"/>
                                    <w:rPr>
                                      <w:rFonts w:ascii="Century Gothic" w:hAnsi="Century Gothic" w:cstheme="minorBidi"/>
                                      <w:color w:val="343433"/>
                                      <w:kern w:val="24"/>
                                      <w:sz w:val="10"/>
                                      <w:szCs w:val="10"/>
                                    </w:rPr>
                                  </w:pPr>
                                  <w:r w:rsidRPr="002E2F4B">
                                    <w:rPr>
                                      <w:rFonts w:ascii="Century Gothic" w:hAnsi="Century Gothic"/>
                                      <w:color w:val="343433"/>
                                      <w:sz w:val="10"/>
                                      <w:szCs w:val="20"/>
                                    </w:rPr>
                                    <w:t>Оцінити потребу в ПЛТ або тестуванні на виявлення туберкульозної інфекції (або і того, і іншого)</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F4C9B9C" id="Прямокутник 1656226390" o:spid="_x0000_s1219" style="position:absolute;margin-left:384.9pt;margin-top:160.8pt;width:57.5pt;height:50.9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" fillcolor="#f9e4df" stroked="f">
                      <v:textbox inset="0,0,0,0">
                        <w:txbxContent>
                          <w:p w14:paraId="010DD46D" w14:textId="77777777" w:rsidR="009D0C1D" w:rsidRPr="002E2F4B" w:rsidRDefault="009D0C1D" w:rsidP="004F6FB8">
                            <w:pPr>
                              <w:spacing w:line="276" w:lineRule="auto"/>
                              <w:jc w:val="center"/>
                              <w:rPr>
                                <w:rFonts w:ascii="Century Gothic" w:hAnsi="Century Gothic" w:cstheme="minorBidi"/>
                                <w:b/>
                                <w:bCs/>
                                <w:color w:val="343433"/>
                                <w:kern w:val="24"/>
                                <w:sz w:val="10"/>
                                <w:szCs w:val="10"/>
                              </w:rPr>
                            </w:pPr>
                            <w:r w:rsidRPr="002E2F4B">
                              <w:rPr>
                                <w:rFonts w:ascii="Century Gothic" w:hAnsi="Century Gothic"/>
                                <w:b/>
                                <w:color w:val="343433"/>
                                <w:sz w:val="10"/>
                                <w:szCs w:val="20"/>
                              </w:rPr>
                              <w:t>V</w:t>
                            </w:r>
                          </w:p>
                          <w:p w14:paraId="0A9B0955" w14:textId="77777777" w:rsidR="009D0C1D" w:rsidRPr="002E2F4B" w:rsidRDefault="009D0C1D" w:rsidP="004F6FB8">
                            <w:pPr>
                              <w:spacing w:line="276" w:lineRule="auto"/>
                              <w:jc w:val="center"/>
                              <w:rPr>
                                <w:rFonts w:ascii="Century Gothic" w:hAnsi="Century Gothic" w:cstheme="minorBidi"/>
                                <w:color w:val="343433"/>
                                <w:kern w:val="24"/>
                                <w:sz w:val="10"/>
                                <w:szCs w:val="10"/>
                              </w:rPr>
                            </w:pPr>
                            <w:r w:rsidRPr="002E2F4B">
                              <w:rPr>
                                <w:rFonts w:ascii="Century Gothic" w:hAnsi="Century Gothic"/>
                                <w:color w:val="343433"/>
                                <w:sz w:val="10"/>
                                <w:szCs w:val="20"/>
                              </w:rPr>
                              <w:t>Оцінити потребу в ПЛТ або тестуванні на виявлення туберкульозної інфекції (або і того, і іншого)</w:t>
                            </w:r>
                          </w:p>
                        </w:txbxContent>
                      </v:textbox>
                    </v:rect>
                  </w:pict>
                </mc:Fallback>
              </mc:AlternateContent>
            </w:r>
            <w:r>
              <w:rPr>
                <w:noProof/>
              </w:rPr>
              <mc:AlternateContent>
                <mc:Choice Requires="wps">
                  <w:drawing>
                    <wp:anchor distT="0" distB="0" distL="114300" distR="114300" simplePos="0" relativeHeight="251566080" behindDoc="0" locked="0" layoutInCell="1" allowOverlap="1" wp14:anchorId="3B8C4270" wp14:editId="20E2B266">
                      <wp:simplePos x="0" y="0"/>
                      <wp:positionH relativeFrom="column">
                        <wp:posOffset>3973830</wp:posOffset>
                      </wp:positionH>
                      <wp:positionV relativeFrom="paragraph">
                        <wp:posOffset>2150111</wp:posOffset>
                      </wp:positionV>
                      <wp:extent cx="652145" cy="504190"/>
                      <wp:effectExtent l="0" t="0" r="0" b="0"/>
                      <wp:wrapNone/>
                      <wp:docPr id="1648943207" name="Прямокутник 2064005970"/>
                      <wp:cNvGraphicFramePr/>
                      <a:graphic xmlns:a="http://schemas.openxmlformats.org/drawingml/2006/main">
                        <a:graphicData uri="http://schemas.microsoft.com/office/word/2010/wordprocessingShape">
                          <wps:wsp>
                            <wps:cNvSpPr/>
                            <wps:spPr>
                              <a:xfrm>
                                <a:off x="0" y="0"/>
                                <a:ext cx="652145" cy="504190"/>
                              </a:xfrm>
                              <a:prstGeom prst="rect">
                                <a:avLst/>
                              </a:prstGeom>
                              <a:solidFill>
                                <a:srgbClr val="F9E4DF"/>
                              </a:solidFill>
                            </wps:spPr>
                            <wps:txbx>
                              <w:txbxContent>
                                <w:p w14:paraId="5514E6AA" w14:textId="77777777" w:rsidR="009D0C1D" w:rsidRPr="002E2F4B" w:rsidRDefault="009D0C1D" w:rsidP="004F6FB8">
                                  <w:pPr>
                                    <w:spacing w:line="283" w:lineRule="auto"/>
                                    <w:jc w:val="center"/>
                                    <w:rPr>
                                      <w:rFonts w:ascii="Century Gothic" w:hAnsi="Century Gothic" w:cstheme="minorBidi"/>
                                      <w:color w:val="343433"/>
                                      <w:kern w:val="24"/>
                                      <w:sz w:val="10"/>
                                      <w:szCs w:val="10"/>
                                    </w:rPr>
                                  </w:pPr>
                                  <w:r w:rsidRPr="002E2F4B">
                                    <w:rPr>
                                      <w:rFonts w:ascii="Century Gothic" w:hAnsi="Century Gothic"/>
                                      <w:color w:val="343433"/>
                                      <w:sz w:val="10"/>
                                      <w:szCs w:val="20"/>
                                    </w:rPr>
                                    <w:t>Подальша клінічна оцінка для виключення ТБ</w:t>
                                  </w:r>
                                </w:p>
                              </w:txbxContent>
                            </wps:txbx>
                            <wps:bodyPr wrap="square" lIns="0" tIns="0" rIns="0" bIns="0">
                              <a:noAutofit/>
                            </wps:bodyPr>
                          </wps:wsp>
                        </a:graphicData>
                      </a:graphic>
                      <wp14:sizeRelV relativeFrom="margin">
                        <wp14:pctHeight>0</wp14:pctHeight>
                      </wp14:sizeRelV>
                    </wp:anchor>
                  </w:drawing>
                </mc:Choice>
                <mc:Fallback>
                  <w:pict>
                    <v:rect w14:anchorId="3B8C4270" id="Прямокутник 2064005970" o:spid="_x0000_s1220" style="position:absolute;margin-left:312.9pt;margin-top:169.3pt;width:51.35pt;height:39.7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" fillcolor="#f9e4df" stroked="f">
                      <v:textbox inset="0,0,0,0">
                        <w:txbxContent>
                          <w:p w14:paraId="5514E6AA" w14:textId="77777777" w:rsidR="009D0C1D" w:rsidRPr="002E2F4B" w:rsidRDefault="009D0C1D" w:rsidP="004F6FB8">
                            <w:pPr>
                              <w:spacing w:line="283" w:lineRule="auto"/>
                              <w:jc w:val="center"/>
                              <w:rPr>
                                <w:rFonts w:ascii="Century Gothic" w:hAnsi="Century Gothic" w:cstheme="minorBidi"/>
                                <w:color w:val="343433"/>
                                <w:kern w:val="24"/>
                                <w:sz w:val="10"/>
                                <w:szCs w:val="10"/>
                              </w:rPr>
                            </w:pPr>
                            <w:r w:rsidRPr="002E2F4B">
                              <w:rPr>
                                <w:rFonts w:ascii="Century Gothic" w:hAnsi="Century Gothic"/>
                                <w:color w:val="343433"/>
                                <w:sz w:val="10"/>
                                <w:szCs w:val="20"/>
                              </w:rPr>
                              <w:t>Подальша клінічна оцінка для виключення ТБ</w:t>
                            </w:r>
                          </w:p>
                        </w:txbxContent>
                      </v:textbox>
                    </v:rect>
                  </w:pict>
                </mc:Fallback>
              </mc:AlternateContent>
            </w:r>
            <w:r>
              <w:rPr>
                <w:noProof/>
              </w:rPr>
              <mc:AlternateContent>
                <mc:Choice Requires="wps">
                  <w:drawing>
                    <wp:anchor distT="0" distB="0" distL="114300" distR="114300" simplePos="0" relativeHeight="251576320" behindDoc="0" locked="0" layoutInCell="1" allowOverlap="1" wp14:anchorId="40878714" wp14:editId="06A55958">
                      <wp:simplePos x="0" y="0"/>
                      <wp:positionH relativeFrom="column">
                        <wp:posOffset>4805680</wp:posOffset>
                      </wp:positionH>
                      <wp:positionV relativeFrom="paragraph">
                        <wp:posOffset>613410</wp:posOffset>
                      </wp:positionV>
                      <wp:extent cx="857250" cy="228600"/>
                      <wp:effectExtent l="0" t="0" r="0" b="0"/>
                      <wp:wrapNone/>
                      <wp:docPr id="2112797261" name="Прямокутник 1236550937"/>
                      <wp:cNvGraphicFramePr/>
                      <a:graphic xmlns:a="http://schemas.openxmlformats.org/drawingml/2006/main">
                        <a:graphicData uri="http://schemas.microsoft.com/office/word/2010/wordprocessingShape">
                          <wps:wsp>
                            <wps:cNvSpPr/>
                            <wps:spPr>
                              <a:xfrm>
                                <a:off x="0" y="0"/>
                                <a:ext cx="857250" cy="228600"/>
                              </a:xfrm>
                              <a:prstGeom prst="rect">
                                <a:avLst/>
                              </a:prstGeom>
                              <a:solidFill>
                                <a:srgbClr val="F4F4F4"/>
                              </a:solidFill>
                            </wps:spPr>
                            <wps:txbx>
                              <w:txbxContent>
                                <w:p w14:paraId="38C18151" w14:textId="77777777" w:rsidR="009D0C1D" w:rsidRPr="002E2F4B" w:rsidRDefault="009D0C1D" w:rsidP="004F6FB8">
                                  <w:pPr>
                                    <w:spacing w:line="218" w:lineRule="auto"/>
                                    <w:jc w:val="center"/>
                                    <w:rPr>
                                      <w:rFonts w:ascii="Century Gothic" w:hAnsi="Century Gothic" w:cstheme="minorBidi"/>
                                      <w:b/>
                                      <w:bCs/>
                                      <w:color w:val="343433"/>
                                      <w:kern w:val="24"/>
                                      <w:sz w:val="12"/>
                                      <w:szCs w:val="12"/>
                                    </w:rPr>
                                  </w:pPr>
                                  <w:r w:rsidRPr="002E2F4B">
                                    <w:rPr>
                                      <w:rFonts w:ascii="Century Gothic" w:hAnsi="Century Gothic"/>
                                      <w:b/>
                                      <w:color w:val="343433"/>
                                      <w:sz w:val="12"/>
                                      <w:szCs w:val="20"/>
                                    </w:rPr>
                                    <w:t>Негативний результат скринінгу на ТБ</w:t>
                                  </w:r>
                                </w:p>
                              </w:txbxContent>
                            </wps:txbx>
                            <wps:bodyPr wrap="square" lIns="0" tIns="0" rIns="0" bIns="0">
                              <a:noAutofit/>
                            </wps:bodyPr>
                          </wps:wsp>
                        </a:graphicData>
                      </a:graphic>
                      <wp14:sizeRelH relativeFrom="margin">
                        <wp14:pctWidth>0</wp14:pctWidth>
                      </wp14:sizeRelH>
                    </wp:anchor>
                  </w:drawing>
                </mc:Choice>
                <mc:Fallback>
                  <w:pict>
                    <v:rect w14:anchorId="40878714" id="Прямокутник 1236550937" o:spid="_x0000_s1221" style="position:absolute;margin-left:378.4pt;margin-top:48.3pt;width:67.5pt;height:18pt;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" fillcolor="#f4f4f4" stroked="f">
                      <v:textbox inset="0,0,0,0">
                        <w:txbxContent>
                          <w:p w14:paraId="38C18151" w14:textId="77777777" w:rsidR="009D0C1D" w:rsidRPr="002E2F4B" w:rsidRDefault="009D0C1D" w:rsidP="004F6FB8">
                            <w:pPr>
                              <w:spacing w:line="218" w:lineRule="auto"/>
                              <w:jc w:val="center"/>
                              <w:rPr>
                                <w:rFonts w:ascii="Century Gothic" w:hAnsi="Century Gothic" w:cstheme="minorBidi"/>
                                <w:b/>
                                <w:bCs/>
                                <w:color w:val="343433"/>
                                <w:kern w:val="24"/>
                                <w:sz w:val="12"/>
                                <w:szCs w:val="12"/>
                              </w:rPr>
                            </w:pPr>
                            <w:r w:rsidRPr="002E2F4B">
                              <w:rPr>
                                <w:rFonts w:ascii="Century Gothic" w:hAnsi="Century Gothic"/>
                                <w:b/>
                                <w:color w:val="343433"/>
                                <w:sz w:val="12"/>
                                <w:szCs w:val="20"/>
                              </w:rPr>
                              <w:t>Негативний результат скринінгу на ТБ</w:t>
                            </w:r>
                          </w:p>
                        </w:txbxContent>
                      </v:textbox>
                    </v:rect>
                  </w:pict>
                </mc:Fallback>
              </mc:AlternateContent>
            </w:r>
            <w:r>
              <w:rPr>
                <w:noProof/>
              </w:rPr>
              <mc:AlternateContent>
                <mc:Choice Requires="wps">
                  <w:drawing>
                    <wp:anchor distT="0" distB="0" distL="114300" distR="114300" simplePos="0" relativeHeight="251557888" behindDoc="0" locked="0" layoutInCell="1" allowOverlap="1" wp14:anchorId="256E24D3" wp14:editId="0588BEF6">
                      <wp:simplePos x="0" y="0"/>
                      <wp:positionH relativeFrom="column">
                        <wp:posOffset>2221230</wp:posOffset>
                      </wp:positionH>
                      <wp:positionV relativeFrom="paragraph">
                        <wp:posOffset>2734310</wp:posOffset>
                      </wp:positionV>
                      <wp:extent cx="414020" cy="165100"/>
                      <wp:effectExtent l="0" t="0" r="5080" b="6350"/>
                      <wp:wrapNone/>
                      <wp:docPr id="838945109" name="Прямокутник 1298169564"/>
                      <wp:cNvGraphicFramePr/>
                      <a:graphic xmlns:a="http://schemas.openxmlformats.org/drawingml/2006/main">
                        <a:graphicData uri="http://schemas.microsoft.com/office/word/2010/wordprocessingShape">
                          <wps:wsp>
                            <wps:cNvSpPr/>
                            <wps:spPr>
                              <a:xfrm>
                                <a:off x="0" y="0"/>
                                <a:ext cx="414020" cy="165100"/>
                              </a:xfrm>
                              <a:prstGeom prst="rect">
                                <a:avLst/>
                              </a:prstGeom>
                              <a:solidFill>
                                <a:srgbClr val="B9DBF6"/>
                              </a:solidFill>
                            </wps:spPr>
                            <wps:txbx>
                              <w:txbxContent>
                                <w:p w14:paraId="3B50EEF5" w14:textId="77777777" w:rsidR="009D0C1D" w:rsidRPr="002E2F4B" w:rsidRDefault="009D0C1D" w:rsidP="004F6FB8">
                                  <w:pPr>
                                    <w:rPr>
                                      <w:rFonts w:ascii="Century Gothic" w:hAnsi="Century Gothic" w:cstheme="minorBidi"/>
                                      <w:b/>
                                      <w:bCs/>
                                      <w:color w:val="000000" w:themeColor="text1"/>
                                      <w:kern w:val="24"/>
                                      <w:sz w:val="12"/>
                                      <w:szCs w:val="12"/>
                                    </w:rPr>
                                  </w:pPr>
                                  <w:r w:rsidRPr="002E2F4B">
                                    <w:rPr>
                                      <w:rFonts w:ascii="Century Gothic" w:hAnsi="Century Gothic"/>
                                      <w:b/>
                                      <w:color w:val="000000" w:themeColor="text1"/>
                                      <w:sz w:val="12"/>
                                      <w:szCs w:val="20"/>
                                    </w:rPr>
                                    <w:t>IV Діти</w:t>
                                  </w:r>
                                </w:p>
                              </w:txbxContent>
                            </wps:txbx>
                            <wps:bodyPr wrap="square" lIns="0" tIns="0" rIns="0" bIns="0">
                              <a:noAutofit/>
                            </wps:bodyPr>
                          </wps:wsp>
                        </a:graphicData>
                      </a:graphic>
                      <wp14:sizeRelV relativeFrom="margin">
                        <wp14:pctHeight>0</wp14:pctHeight>
                      </wp14:sizeRelV>
                    </wp:anchor>
                  </w:drawing>
                </mc:Choice>
                <mc:Fallback>
                  <w:pict>
                    <v:rect w14:anchorId="256E24D3" id="Прямокутник 1298169564" o:spid="_x0000_s1222" style="position:absolute;margin-left:174.9pt;margin-top:215.3pt;width:32.6pt;height:13pt;z-index:25155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" fillcolor="#b9dbf6" stroked="f">
                      <v:textbox inset="0,0,0,0">
                        <w:txbxContent>
                          <w:p w14:paraId="3B50EEF5" w14:textId="77777777" w:rsidR="009D0C1D" w:rsidRPr="002E2F4B" w:rsidRDefault="009D0C1D" w:rsidP="004F6FB8">
                            <w:pPr>
                              <w:rPr>
                                <w:rFonts w:ascii="Century Gothic" w:hAnsi="Century Gothic" w:cstheme="minorBidi"/>
                                <w:b/>
                                <w:bCs/>
                                <w:color w:val="000000" w:themeColor="text1"/>
                                <w:kern w:val="24"/>
                                <w:sz w:val="12"/>
                                <w:szCs w:val="12"/>
                              </w:rPr>
                            </w:pPr>
                            <w:r w:rsidRPr="002E2F4B">
                              <w:rPr>
                                <w:rFonts w:ascii="Century Gothic" w:hAnsi="Century Gothic"/>
                                <w:b/>
                                <w:color w:val="000000" w:themeColor="text1"/>
                                <w:sz w:val="12"/>
                                <w:szCs w:val="20"/>
                              </w:rPr>
                              <w:t>IV Діти</w:t>
                            </w:r>
                          </w:p>
                        </w:txbxContent>
                      </v:textbox>
                    </v:rect>
                  </w:pict>
                </mc:Fallback>
              </mc:AlternateContent>
            </w:r>
            <w:r>
              <w:rPr>
                <w:noProof/>
              </w:rPr>
              <mc:AlternateContent>
                <mc:Choice Requires="wps">
                  <w:drawing>
                    <wp:anchor distT="0" distB="0" distL="114300" distR="114300" simplePos="0" relativeHeight="251555840" behindDoc="0" locked="0" layoutInCell="1" allowOverlap="1" wp14:anchorId="1A59D1AD" wp14:editId="406EF6A1">
                      <wp:simplePos x="0" y="0"/>
                      <wp:positionH relativeFrom="column">
                        <wp:posOffset>2221230</wp:posOffset>
                      </wp:positionH>
                      <wp:positionV relativeFrom="paragraph">
                        <wp:posOffset>2423160</wp:posOffset>
                      </wp:positionV>
                      <wp:extent cx="558800" cy="265430"/>
                      <wp:effectExtent l="0" t="0" r="0" b="1270"/>
                      <wp:wrapNone/>
                      <wp:docPr id="751258098" name="Прямокутник 731553974"/>
                      <wp:cNvGraphicFramePr/>
                      <a:graphic xmlns:a="http://schemas.openxmlformats.org/drawingml/2006/main">
                        <a:graphicData uri="http://schemas.microsoft.com/office/word/2010/wordprocessingShape">
                          <wps:wsp>
                            <wps:cNvSpPr/>
                            <wps:spPr>
                              <a:xfrm>
                                <a:off x="0" y="0"/>
                                <a:ext cx="558800" cy="265430"/>
                              </a:xfrm>
                              <a:prstGeom prst="rect">
                                <a:avLst/>
                              </a:prstGeom>
                              <a:solidFill>
                                <a:srgbClr val="B9DBF6"/>
                              </a:solidFill>
                            </wps:spPr>
                            <wps:txbx>
                              <w:txbxContent>
                                <w:p w14:paraId="45D810E3" w14:textId="77777777" w:rsidR="009D0C1D" w:rsidRPr="002E2F4B" w:rsidRDefault="009D0C1D" w:rsidP="004F6FB8">
                                  <w:pPr>
                                    <w:spacing w:line="271" w:lineRule="auto"/>
                                    <w:rPr>
                                      <w:rFonts w:ascii="Century Gothic" w:hAnsi="Century Gothic" w:cstheme="minorBidi"/>
                                      <w:b/>
                                      <w:bCs/>
                                      <w:color w:val="343433"/>
                                      <w:kern w:val="24"/>
                                      <w:sz w:val="12"/>
                                      <w:szCs w:val="12"/>
                                    </w:rPr>
                                  </w:pPr>
                                  <w:r w:rsidRPr="002E2F4B">
                                    <w:rPr>
                                      <w:rFonts w:ascii="Century Gothic" w:hAnsi="Century Gothic"/>
                                      <w:b/>
                                      <w:color w:val="343433"/>
                                      <w:sz w:val="12"/>
                                      <w:szCs w:val="20"/>
                                    </w:rPr>
                                    <w:t>III Дорослі або підлітки</w:t>
                                  </w:r>
                                </w:p>
                              </w:txbxContent>
                            </wps:txbx>
                            <wps:bodyPr wrap="square" lIns="0" tIns="0" rIns="0" bIns="0">
                              <a:noAutofit/>
                            </wps:bodyPr>
                          </wps:wsp>
                        </a:graphicData>
                      </a:graphic>
                      <wp14:sizeRelH relativeFrom="margin">
                        <wp14:pctWidth>0</wp14:pctWidth>
                      </wp14:sizeRelH>
                    </wp:anchor>
                  </w:drawing>
                </mc:Choice>
                <mc:Fallback>
                  <w:pict>
                    <v:rect w14:anchorId="1A59D1AD" id="Прямокутник 731553974" o:spid="_x0000_s1223" style="position:absolute;margin-left:174.9pt;margin-top:190.8pt;width:44pt;height:20.9p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" fillcolor="#b9dbf6" stroked="f">
                      <v:textbox inset="0,0,0,0">
                        <w:txbxContent>
                          <w:p w14:paraId="45D810E3" w14:textId="77777777" w:rsidR="009D0C1D" w:rsidRPr="002E2F4B" w:rsidRDefault="009D0C1D" w:rsidP="004F6FB8">
                            <w:pPr>
                              <w:spacing w:line="271" w:lineRule="auto"/>
                              <w:rPr>
                                <w:rFonts w:ascii="Century Gothic" w:hAnsi="Century Gothic" w:cstheme="minorBidi"/>
                                <w:b/>
                                <w:bCs/>
                                <w:color w:val="343433"/>
                                <w:kern w:val="24"/>
                                <w:sz w:val="12"/>
                                <w:szCs w:val="12"/>
                              </w:rPr>
                            </w:pPr>
                            <w:r w:rsidRPr="002E2F4B">
                              <w:rPr>
                                <w:rFonts w:ascii="Century Gothic" w:hAnsi="Century Gothic"/>
                                <w:b/>
                                <w:color w:val="343433"/>
                                <w:sz w:val="12"/>
                                <w:szCs w:val="20"/>
                              </w:rPr>
                              <w:t>III Дорослі або підлітки</w:t>
                            </w:r>
                          </w:p>
                        </w:txbxContent>
                      </v:textbox>
                    </v:rect>
                  </w:pict>
                </mc:Fallback>
              </mc:AlternateContent>
            </w:r>
            <w:r>
              <w:rPr>
                <w:noProof/>
              </w:rPr>
              <mc:AlternateContent>
                <mc:Choice Requires="wps">
                  <w:drawing>
                    <wp:anchor distT="0" distB="0" distL="114300" distR="114300" simplePos="0" relativeHeight="251548672" behindDoc="0" locked="0" layoutInCell="1" allowOverlap="1" wp14:anchorId="320E7580" wp14:editId="57E6C5B1">
                      <wp:simplePos x="0" y="0"/>
                      <wp:positionH relativeFrom="column">
                        <wp:posOffset>2214880</wp:posOffset>
                      </wp:positionH>
                      <wp:positionV relativeFrom="paragraph">
                        <wp:posOffset>2004060</wp:posOffset>
                      </wp:positionV>
                      <wp:extent cx="1022350" cy="405130"/>
                      <wp:effectExtent l="0" t="0" r="6350" b="0"/>
                      <wp:wrapNone/>
                      <wp:docPr id="362984277" name="Прямокутник 475131749"/>
                      <wp:cNvGraphicFramePr/>
                      <a:graphic xmlns:a="http://schemas.openxmlformats.org/drawingml/2006/main">
                        <a:graphicData uri="http://schemas.microsoft.com/office/word/2010/wordprocessingShape">
                          <wps:wsp>
                            <wps:cNvSpPr/>
                            <wps:spPr>
                              <a:xfrm>
                                <a:off x="0" y="0"/>
                                <a:ext cx="1022350" cy="405130"/>
                              </a:xfrm>
                              <a:prstGeom prst="rect">
                                <a:avLst/>
                              </a:prstGeom>
                              <a:solidFill>
                                <a:srgbClr val="B9DBF6"/>
                              </a:solidFill>
                            </wps:spPr>
                            <wps:txbx>
                              <w:txbxContent>
                                <w:p w14:paraId="5C297E56" w14:textId="77777777" w:rsidR="009D0C1D" w:rsidRPr="002E2F4B" w:rsidRDefault="009D0C1D" w:rsidP="004F6FB8">
                                  <w:pPr>
                                    <w:spacing w:line="271" w:lineRule="auto"/>
                                    <w:rPr>
                                      <w:rFonts w:ascii="Century Gothic" w:hAnsi="Century Gothic" w:cstheme="minorBidi"/>
                                      <w:color w:val="343433"/>
                                      <w:kern w:val="24"/>
                                      <w:sz w:val="12"/>
                                      <w:szCs w:val="12"/>
                                    </w:rPr>
                                  </w:pPr>
                                  <w:r w:rsidRPr="002E2F4B">
                                    <w:rPr>
                                      <w:rFonts w:ascii="Century Gothic" w:hAnsi="Century Gothic"/>
                                      <w:color w:val="343433"/>
                                      <w:sz w:val="12"/>
                                      <w:szCs w:val="20"/>
                                    </w:rPr>
                                    <w:t>Поточне тестування LC-aNAAT та LF LAM</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20E7580" id="Прямокутник 475131749" o:spid="_x0000_s1224" style="position:absolute;margin-left:174.4pt;margin-top:157.8pt;width:80.5pt;height:31.9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" fillcolor="#b9dbf6" stroked="f">
                      <v:textbox inset="0,0,0,0">
                        <w:txbxContent>
                          <w:p w14:paraId="5C297E56" w14:textId="77777777" w:rsidR="009D0C1D" w:rsidRPr="002E2F4B" w:rsidRDefault="009D0C1D" w:rsidP="004F6FB8">
                            <w:pPr>
                              <w:spacing w:line="271" w:lineRule="auto"/>
                              <w:rPr>
                                <w:rFonts w:ascii="Century Gothic" w:hAnsi="Century Gothic" w:cstheme="minorBidi"/>
                                <w:color w:val="343433"/>
                                <w:kern w:val="24"/>
                                <w:sz w:val="12"/>
                                <w:szCs w:val="12"/>
                              </w:rPr>
                            </w:pPr>
                            <w:r w:rsidRPr="002E2F4B">
                              <w:rPr>
                                <w:rFonts w:ascii="Century Gothic" w:hAnsi="Century Gothic"/>
                                <w:color w:val="343433"/>
                                <w:sz w:val="12"/>
                                <w:szCs w:val="20"/>
                              </w:rPr>
                              <w:t>Поточне тестування LC-aNAAT та LF LAM</w:t>
                            </w:r>
                          </w:p>
                        </w:txbxContent>
                      </v:textbox>
                    </v:rect>
                  </w:pict>
                </mc:Fallback>
              </mc:AlternateContent>
            </w:r>
            <w:r>
              <w:rPr>
                <w:noProof/>
              </w:rPr>
              <mc:AlternateContent>
                <mc:Choice Requires="wps">
                  <w:drawing>
                    <wp:anchor distT="0" distB="0" distL="114300" distR="114300" simplePos="0" relativeHeight="251546624" behindDoc="0" locked="0" layoutInCell="1" allowOverlap="1" wp14:anchorId="517E2B38" wp14:editId="5CE44EF5">
                      <wp:simplePos x="0" y="0"/>
                      <wp:positionH relativeFrom="column">
                        <wp:posOffset>1002030</wp:posOffset>
                      </wp:positionH>
                      <wp:positionV relativeFrom="paragraph">
                        <wp:posOffset>2010410</wp:posOffset>
                      </wp:positionV>
                      <wp:extent cx="958850" cy="425450"/>
                      <wp:effectExtent l="0" t="0" r="0" b="0"/>
                      <wp:wrapNone/>
                      <wp:docPr id="327846335" name="Прямокутник 1725659849"/>
                      <wp:cNvGraphicFramePr/>
                      <a:graphic xmlns:a="http://schemas.openxmlformats.org/drawingml/2006/main">
                        <a:graphicData uri="http://schemas.microsoft.com/office/word/2010/wordprocessingShape">
                          <wps:wsp>
                            <wps:cNvSpPr/>
                            <wps:spPr>
                              <a:xfrm>
                                <a:off x="0" y="0"/>
                                <a:ext cx="958850" cy="425450"/>
                              </a:xfrm>
                              <a:prstGeom prst="rect">
                                <a:avLst/>
                              </a:prstGeom>
                              <a:solidFill>
                                <a:srgbClr val="B9DBF6"/>
                              </a:solidFill>
                            </wps:spPr>
                            <wps:txbx>
                              <w:txbxContent>
                                <w:p w14:paraId="693A821F" w14:textId="77777777" w:rsidR="009D0C1D" w:rsidRPr="002E2F4B" w:rsidRDefault="009D0C1D" w:rsidP="004F6FB8">
                                  <w:pPr>
                                    <w:spacing w:line="285" w:lineRule="auto"/>
                                    <w:rPr>
                                      <w:rFonts w:ascii="Century Gothic" w:hAnsi="Century Gothic" w:cstheme="minorBidi"/>
                                      <w:b/>
                                      <w:bCs/>
                                      <w:color w:val="343433"/>
                                      <w:kern w:val="24"/>
                                      <w:sz w:val="12"/>
                                      <w:szCs w:val="12"/>
                                    </w:rPr>
                                  </w:pPr>
                                  <w:r w:rsidRPr="002E2F4B">
                                    <w:rPr>
                                      <w:rFonts w:ascii="Century Gothic" w:hAnsi="Century Gothic"/>
                                      <w:b/>
                                      <w:color w:val="343433"/>
                                      <w:sz w:val="12"/>
                                      <w:szCs w:val="20"/>
                                    </w:rPr>
                                    <w:t>II Діти Поточне тестування LC-aNAAT</w:t>
                                  </w:r>
                                </w:p>
                              </w:txbxContent>
                            </wps:txbx>
                            <wps:bodyPr wrap="square" lIns="0" tIns="0" rIns="0" bIns="0">
                              <a:noAutofit/>
                            </wps:bodyPr>
                          </wps:wsp>
                        </a:graphicData>
                      </a:graphic>
                      <wp14:sizeRelH relativeFrom="margin">
                        <wp14:pctWidth>0</wp14:pctWidth>
                      </wp14:sizeRelH>
                    </wp:anchor>
                  </w:drawing>
                </mc:Choice>
                <mc:Fallback>
                  <w:pict>
                    <v:rect w14:anchorId="517E2B38" id="Прямокутник 1725659849" o:spid="_x0000_s1225" style="position:absolute;margin-left:78.9pt;margin-top:158.3pt;width:75.5pt;height:33.5pt;z-index:25154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" fillcolor="#b9dbf6" stroked="f">
                      <v:textbox inset="0,0,0,0">
                        <w:txbxContent>
                          <w:p w14:paraId="693A821F" w14:textId="77777777" w:rsidR="009D0C1D" w:rsidRPr="002E2F4B" w:rsidRDefault="009D0C1D" w:rsidP="004F6FB8">
                            <w:pPr>
                              <w:spacing w:line="285" w:lineRule="auto"/>
                              <w:rPr>
                                <w:rFonts w:ascii="Century Gothic" w:hAnsi="Century Gothic" w:cstheme="minorBidi"/>
                                <w:b/>
                                <w:bCs/>
                                <w:color w:val="343433"/>
                                <w:kern w:val="24"/>
                                <w:sz w:val="12"/>
                                <w:szCs w:val="12"/>
                              </w:rPr>
                            </w:pPr>
                            <w:r w:rsidRPr="002E2F4B">
                              <w:rPr>
                                <w:rFonts w:ascii="Century Gothic" w:hAnsi="Century Gothic"/>
                                <w:b/>
                                <w:color w:val="343433"/>
                                <w:sz w:val="12"/>
                                <w:szCs w:val="20"/>
                              </w:rPr>
                              <w:t>II Діти Поточне тестування LC-aNAAT</w:t>
                            </w:r>
                          </w:p>
                        </w:txbxContent>
                      </v:textbox>
                    </v:rect>
                  </w:pict>
                </mc:Fallback>
              </mc:AlternateContent>
            </w:r>
            <w:r>
              <w:rPr>
                <w:noProof/>
              </w:rPr>
              <mc:AlternateContent>
                <mc:Choice Requires="wps">
                  <w:drawing>
                    <wp:anchor distT="0" distB="0" distL="114300" distR="114300" simplePos="0" relativeHeight="251560960" behindDoc="0" locked="0" layoutInCell="1" allowOverlap="1" wp14:anchorId="371C65B9" wp14:editId="16D2B780">
                      <wp:simplePos x="0" y="0"/>
                      <wp:positionH relativeFrom="column">
                        <wp:posOffset>68580</wp:posOffset>
                      </wp:positionH>
                      <wp:positionV relativeFrom="paragraph">
                        <wp:posOffset>2004060</wp:posOffset>
                      </wp:positionV>
                      <wp:extent cx="730250" cy="279400"/>
                      <wp:effectExtent l="0" t="0" r="0" b="6350"/>
                      <wp:wrapNone/>
                      <wp:docPr id="993406942" name="Прямокутник 291213661"/>
                      <wp:cNvGraphicFramePr/>
                      <a:graphic xmlns:a="http://schemas.openxmlformats.org/drawingml/2006/main">
                        <a:graphicData uri="http://schemas.microsoft.com/office/word/2010/wordprocessingShape">
                          <wps:wsp>
                            <wps:cNvSpPr/>
                            <wps:spPr>
                              <a:xfrm>
                                <a:off x="0" y="0"/>
                                <a:ext cx="730250" cy="279400"/>
                              </a:xfrm>
                              <a:prstGeom prst="rect">
                                <a:avLst/>
                              </a:prstGeom>
                              <a:solidFill>
                                <a:srgbClr val="F9E4DF"/>
                              </a:solidFill>
                            </wps:spPr>
                            <wps:txbx>
                              <w:txbxContent>
                                <w:p w14:paraId="089D42DE" w14:textId="77777777" w:rsidR="009D0C1D" w:rsidRPr="002E2F4B" w:rsidRDefault="009D0C1D" w:rsidP="004F6FB8">
                                  <w:pPr>
                                    <w:spacing w:line="292" w:lineRule="auto"/>
                                    <w:rPr>
                                      <w:rFonts w:ascii="Century Gothic" w:hAnsi="Century Gothic" w:cstheme="minorBidi"/>
                                      <w:b/>
                                      <w:bCs/>
                                      <w:color w:val="343433"/>
                                      <w:kern w:val="24"/>
                                      <w:sz w:val="12"/>
                                      <w:szCs w:val="12"/>
                                    </w:rPr>
                                  </w:pPr>
                                  <w:r w:rsidRPr="002E2F4B">
                                    <w:rPr>
                                      <w:rFonts w:ascii="Century Gothic" w:hAnsi="Century Gothic"/>
                                      <w:b/>
                                      <w:color w:val="343433"/>
                                      <w:sz w:val="12"/>
                                      <w:szCs w:val="20"/>
                                    </w:rPr>
                                    <w:t>I Дорослі Тестування mWRD</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71C65B9" id="Прямокутник 291213661" o:spid="_x0000_s1226" style="position:absolute;margin-left:5.4pt;margin-top:157.8pt;width:57.5pt;height:22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" fillcolor="#f9e4df" stroked="f">
                      <v:textbox inset="0,0,0,0">
                        <w:txbxContent>
                          <w:p w14:paraId="089D42DE" w14:textId="77777777" w:rsidR="009D0C1D" w:rsidRPr="002E2F4B" w:rsidRDefault="009D0C1D" w:rsidP="004F6FB8">
                            <w:pPr>
                              <w:spacing w:line="292" w:lineRule="auto"/>
                              <w:rPr>
                                <w:rFonts w:ascii="Century Gothic" w:hAnsi="Century Gothic" w:cstheme="minorBidi"/>
                                <w:b/>
                                <w:bCs/>
                                <w:color w:val="343433"/>
                                <w:kern w:val="24"/>
                                <w:sz w:val="12"/>
                                <w:szCs w:val="12"/>
                              </w:rPr>
                            </w:pPr>
                            <w:r w:rsidRPr="002E2F4B">
                              <w:rPr>
                                <w:rFonts w:ascii="Century Gothic" w:hAnsi="Century Gothic"/>
                                <w:b/>
                                <w:color w:val="343433"/>
                                <w:sz w:val="12"/>
                                <w:szCs w:val="20"/>
                              </w:rPr>
                              <w:t>I Дорослі Тестування mWRD</w:t>
                            </w:r>
                          </w:p>
                        </w:txbxContent>
                      </v:textbox>
                    </v:rect>
                  </w:pict>
                </mc:Fallback>
              </mc:AlternateContent>
            </w:r>
            <w:r>
              <w:rPr>
                <w:noProof/>
              </w:rPr>
              <mc:AlternateContent>
                <mc:Choice Requires="wps">
                  <w:drawing>
                    <wp:anchor distT="0" distB="0" distL="114300" distR="114300" simplePos="0" relativeHeight="251561984" behindDoc="0" locked="0" layoutInCell="1" allowOverlap="1" wp14:anchorId="4854B907" wp14:editId="66C962AC">
                      <wp:simplePos x="0" y="0"/>
                      <wp:positionH relativeFrom="column">
                        <wp:posOffset>1141730</wp:posOffset>
                      </wp:positionH>
                      <wp:positionV relativeFrom="paragraph">
                        <wp:posOffset>588010</wp:posOffset>
                      </wp:positionV>
                      <wp:extent cx="1289050" cy="254000"/>
                      <wp:effectExtent l="0" t="0" r="6350" b="0"/>
                      <wp:wrapNone/>
                      <wp:docPr id="1004232513" name="Прямокутник 233038769"/>
                      <wp:cNvGraphicFramePr/>
                      <a:graphic xmlns:a="http://schemas.openxmlformats.org/drawingml/2006/main">
                        <a:graphicData uri="http://schemas.microsoft.com/office/word/2010/wordprocessingShape">
                          <wps:wsp>
                            <wps:cNvSpPr/>
                            <wps:spPr>
                              <a:xfrm>
                                <a:off x="0" y="0"/>
                                <a:ext cx="1289050" cy="254000"/>
                              </a:xfrm>
                              <a:prstGeom prst="rect">
                                <a:avLst/>
                              </a:prstGeom>
                              <a:solidFill>
                                <a:srgbClr val="F4F4F4"/>
                              </a:solidFill>
                            </wps:spPr>
                            <wps:txbx>
                              <w:txbxContent>
                                <w:p w14:paraId="1262E6B9" w14:textId="77777777" w:rsidR="009D0C1D" w:rsidRPr="002E2F4B" w:rsidRDefault="009D0C1D" w:rsidP="004F6FB8">
                                  <w:pPr>
                                    <w:spacing w:line="218" w:lineRule="auto"/>
                                    <w:jc w:val="center"/>
                                    <w:rPr>
                                      <w:rFonts w:ascii="Century Gothic" w:hAnsi="Century Gothic" w:cstheme="minorBidi"/>
                                      <w:b/>
                                      <w:bCs/>
                                      <w:color w:val="343433"/>
                                      <w:kern w:val="24"/>
                                      <w:sz w:val="12"/>
                                      <w:szCs w:val="12"/>
                                    </w:rPr>
                                  </w:pPr>
                                  <w:r w:rsidRPr="002E2F4B">
                                    <w:rPr>
                                      <w:rFonts w:ascii="Century Gothic" w:hAnsi="Century Gothic"/>
                                      <w:b/>
                                      <w:color w:val="343433"/>
                                      <w:sz w:val="12"/>
                                      <w:szCs w:val="20"/>
                                    </w:rPr>
                                    <w:t>Позитивний результат скринінгу на ТБ або підозра на ТБ</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854B907" id="Прямокутник 233038769" o:spid="_x0000_s1227" style="position:absolute;margin-left:89.9pt;margin-top:46.3pt;width:101.5pt;height:20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" fillcolor="#f4f4f4" stroked="f">
                      <v:textbox inset="0,0,0,0">
                        <w:txbxContent>
                          <w:p w14:paraId="1262E6B9" w14:textId="77777777" w:rsidR="009D0C1D" w:rsidRPr="002E2F4B" w:rsidRDefault="009D0C1D" w:rsidP="004F6FB8">
                            <w:pPr>
                              <w:spacing w:line="218" w:lineRule="auto"/>
                              <w:jc w:val="center"/>
                              <w:rPr>
                                <w:rFonts w:ascii="Century Gothic" w:hAnsi="Century Gothic" w:cstheme="minorBidi"/>
                                <w:b/>
                                <w:bCs/>
                                <w:color w:val="343433"/>
                                <w:kern w:val="24"/>
                                <w:sz w:val="12"/>
                                <w:szCs w:val="12"/>
                              </w:rPr>
                            </w:pPr>
                            <w:r w:rsidRPr="002E2F4B">
                              <w:rPr>
                                <w:rFonts w:ascii="Century Gothic" w:hAnsi="Century Gothic"/>
                                <w:b/>
                                <w:color w:val="343433"/>
                                <w:sz w:val="12"/>
                                <w:szCs w:val="20"/>
                              </w:rPr>
                              <w:t>Позитивний результат скринінгу на ТБ або підозра на ТБ</w:t>
                            </w:r>
                          </w:p>
                        </w:txbxContent>
                      </v:textbox>
                    </v:rect>
                  </w:pict>
                </mc:Fallback>
              </mc:AlternateContent>
            </w:r>
            <w:r w:rsidR="004F6FB8">
              <w:rPr>
                <w:noProof/>
              </w:rPr>
              <mc:AlternateContent>
                <mc:Choice Requires="wps">
                  <w:drawing>
                    <wp:anchor distT="0" distB="0" distL="114300" distR="114300" simplePos="0" relativeHeight="251545600" behindDoc="0" locked="0" layoutInCell="1" allowOverlap="1" wp14:anchorId="692DC431" wp14:editId="15A33262">
                      <wp:simplePos x="0" y="0"/>
                      <wp:positionH relativeFrom="column">
                        <wp:posOffset>2439670</wp:posOffset>
                      </wp:positionH>
                      <wp:positionV relativeFrom="paragraph">
                        <wp:posOffset>86360</wp:posOffset>
                      </wp:positionV>
                      <wp:extent cx="1282700" cy="172529"/>
                      <wp:effectExtent l="0" t="0" r="0" b="0"/>
                      <wp:wrapNone/>
                      <wp:docPr id="161361090" name="Прямокутник 1436717197"/>
                      <wp:cNvGraphicFramePr/>
                      <a:graphic xmlns:a="http://schemas.openxmlformats.org/drawingml/2006/main">
                        <a:graphicData uri="http://schemas.microsoft.com/office/word/2010/wordprocessingShape">
                          <wps:wsp>
                            <wps:cNvSpPr/>
                            <wps:spPr>
                              <a:xfrm>
                                <a:off x="0" y="0"/>
                                <a:ext cx="1282700" cy="172529"/>
                              </a:xfrm>
                              <a:prstGeom prst="rect">
                                <a:avLst/>
                              </a:prstGeom>
                              <a:solidFill>
                                <a:srgbClr val="F4F4F4"/>
                              </a:solidFill>
                            </wps:spPr>
                            <wps:txbx>
                              <w:txbxContent>
                                <w:p w14:paraId="64DFDCFA" w14:textId="77777777" w:rsidR="009D0C1D" w:rsidRPr="002E2F4B" w:rsidRDefault="009D0C1D" w:rsidP="004F6FB8">
                                  <w:pPr>
                                    <w:rPr>
                                      <w:rFonts w:ascii="Century Gothic" w:hAnsi="Century Gothic" w:cstheme="minorBidi"/>
                                      <w:color w:val="343433"/>
                                      <w:kern w:val="24"/>
                                      <w:sz w:val="12"/>
                                      <w:szCs w:val="12"/>
                                    </w:rPr>
                                  </w:pPr>
                                  <w:r w:rsidRPr="002E2F4B">
                                    <w:rPr>
                                      <w:rFonts w:ascii="Century Gothic" w:hAnsi="Century Gothic"/>
                                      <w:color w:val="343433"/>
                                      <w:sz w:val="12"/>
                                      <w:szCs w:val="20"/>
                                    </w:rPr>
                                    <w:t>Особа, яку оцінюють на ТБ</w:t>
                                  </w:r>
                                  <w:r w:rsidRPr="002E2F4B">
                                    <w:rPr>
                                      <w:rFonts w:ascii="Century Gothic" w:hAnsi="Century Gothic"/>
                                      <w:b/>
                                      <w:color w:val="0099D6"/>
                                      <w:sz w:val="12"/>
                                      <w:szCs w:val="20"/>
                                      <w:vertAlign w:val="superscript"/>
                                    </w:rPr>
                                    <w:t>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92DC431" id="Прямокутник 1436717197" o:spid="_x0000_s1228" style="position:absolute;margin-left:192.1pt;margin-top:6.8pt;width:101pt;height:13.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" fillcolor="#f4f4f4" stroked="f">
                      <v:textbox inset="0,0,0,0">
                        <w:txbxContent>
                          <w:p w14:paraId="64DFDCFA" w14:textId="77777777" w:rsidR="009D0C1D" w:rsidRPr="002E2F4B" w:rsidRDefault="009D0C1D" w:rsidP="004F6FB8">
                            <w:pPr>
                              <w:rPr>
                                <w:rFonts w:ascii="Century Gothic" w:hAnsi="Century Gothic" w:cstheme="minorBidi"/>
                                <w:color w:val="343433"/>
                                <w:kern w:val="24"/>
                                <w:sz w:val="12"/>
                                <w:szCs w:val="12"/>
                              </w:rPr>
                            </w:pPr>
                            <w:r w:rsidRPr="002E2F4B">
                              <w:rPr>
                                <w:rFonts w:ascii="Century Gothic" w:hAnsi="Century Gothic"/>
                                <w:color w:val="343433"/>
                                <w:sz w:val="12"/>
                                <w:szCs w:val="20"/>
                              </w:rPr>
                              <w:t>Особа, яку оцінюють на ТБ</w:t>
                            </w:r>
                            <w:r w:rsidRPr="002E2F4B">
                              <w:rPr>
                                <w:rFonts w:ascii="Century Gothic" w:hAnsi="Century Gothic"/>
                                <w:b/>
                                <w:color w:val="0099D6"/>
                                <w:sz w:val="12"/>
                                <w:szCs w:val="20"/>
                                <w:vertAlign w:val="superscript"/>
                              </w:rPr>
                              <w:t>a</w:t>
                            </w:r>
                          </w:p>
                        </w:txbxContent>
                      </v:textbox>
                    </v:rect>
                  </w:pict>
                </mc:Fallback>
              </mc:AlternateContent>
            </w:r>
            <w:r w:rsidR="004F6FB8">
              <w:rPr>
                <w:noProof/>
              </w:rPr>
              <mc:AlternateContent>
                <mc:Choice Requires="wps">
                  <w:drawing>
                    <wp:anchor distT="0" distB="0" distL="114300" distR="114300" simplePos="0" relativeHeight="251550720" behindDoc="0" locked="0" layoutInCell="1" allowOverlap="1" wp14:anchorId="24B6F452" wp14:editId="38DF39C2">
                      <wp:simplePos x="0" y="0"/>
                      <wp:positionH relativeFrom="column">
                        <wp:posOffset>360896</wp:posOffset>
                      </wp:positionH>
                      <wp:positionV relativeFrom="paragraph">
                        <wp:posOffset>5278062</wp:posOffset>
                      </wp:positionV>
                      <wp:extent cx="402336" cy="92333"/>
                      <wp:effectExtent l="0" t="0" r="0" b="3175"/>
                      <wp:wrapNone/>
                      <wp:docPr id="440910826" name="Прямокутник 1045727713"/>
                      <wp:cNvGraphicFramePr/>
                      <a:graphic xmlns:a="http://schemas.openxmlformats.org/drawingml/2006/main">
                        <a:graphicData uri="http://schemas.microsoft.com/office/word/2010/wordprocessingShape">
                          <wps:wsp>
                            <wps:cNvSpPr/>
                            <wps:spPr>
                              <a:xfrm>
                                <a:off x="0" y="0"/>
                                <a:ext cx="402336" cy="92333"/>
                              </a:xfrm>
                              <a:prstGeom prst="rect">
                                <a:avLst/>
                              </a:prstGeom>
                              <a:solidFill>
                                <a:srgbClr val="A8B1CE"/>
                              </a:solidFill>
                            </wps:spPr>
                            <wps:txbx>
                              <w:txbxContent>
                                <w:p w14:paraId="72DF5DC8"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LC-aNAAT</w:t>
                                  </w:r>
                                </w:p>
                              </w:txbxContent>
                            </wps:txbx>
                            <wps:bodyPr wrap="square" lIns="0" tIns="0" rIns="0" bIns="0">
                              <a:noAutofit/>
                            </wps:bodyPr>
                          </wps:wsp>
                        </a:graphicData>
                      </a:graphic>
                    </wp:anchor>
                  </w:drawing>
                </mc:Choice>
                <mc:Fallback>
                  <w:pict>
                    <v:rect w14:anchorId="24B6F452" id="Прямокутник 1045727713" o:spid="_x0000_s1229" style="position:absolute;margin-left:28.4pt;margin-top:415.6pt;width:31.7pt;height:7.25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" fillcolor="#a8b1ce" stroked="f">
                      <v:textbox inset="0,0,0,0">
                        <w:txbxContent>
                          <w:p w14:paraId="72DF5DC8"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LC-aNAAT</w:t>
                            </w:r>
                          </w:p>
                        </w:txbxContent>
                      </v:textbox>
                    </v:rect>
                  </w:pict>
                </mc:Fallback>
              </mc:AlternateContent>
            </w:r>
            <w:r w:rsidR="004F6FB8">
              <w:rPr>
                <w:noProof/>
              </w:rPr>
              <mc:AlternateContent>
                <mc:Choice Requires="wps">
                  <w:drawing>
                    <wp:anchor distT="0" distB="0" distL="114300" distR="114300" simplePos="0" relativeHeight="251569152" behindDoc="0" locked="0" layoutInCell="1" allowOverlap="1" wp14:anchorId="789027F2" wp14:editId="7067BBA5">
                      <wp:simplePos x="0" y="0"/>
                      <wp:positionH relativeFrom="column">
                        <wp:posOffset>351752</wp:posOffset>
                      </wp:positionH>
                      <wp:positionV relativeFrom="paragraph">
                        <wp:posOffset>5558478</wp:posOffset>
                      </wp:positionV>
                      <wp:extent cx="277368" cy="92333"/>
                      <wp:effectExtent l="0" t="0" r="8890" b="3175"/>
                      <wp:wrapNone/>
                      <wp:docPr id="1749535564" name="Прямокутник 823765365"/>
                      <wp:cNvGraphicFramePr/>
                      <a:graphic xmlns:a="http://schemas.openxmlformats.org/drawingml/2006/main">
                        <a:graphicData uri="http://schemas.microsoft.com/office/word/2010/wordprocessingShape">
                          <wps:wsp>
                            <wps:cNvSpPr/>
                            <wps:spPr>
                              <a:xfrm>
                                <a:off x="0" y="0"/>
                                <a:ext cx="277368" cy="92333"/>
                              </a:xfrm>
                              <a:prstGeom prst="rect">
                                <a:avLst/>
                              </a:prstGeom>
                              <a:solidFill>
                                <a:srgbClr val="A8B1CE"/>
                              </a:solidFill>
                            </wps:spPr>
                            <wps:txbx>
                              <w:txbxContent>
                                <w:p w14:paraId="2AE00950"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SL-LPA</w:t>
                                  </w:r>
                                </w:p>
                              </w:txbxContent>
                            </wps:txbx>
                            <wps:bodyPr wrap="square" lIns="0" tIns="0" rIns="0" bIns="0">
                              <a:noAutofit/>
                            </wps:bodyPr>
                          </wps:wsp>
                        </a:graphicData>
                      </a:graphic>
                    </wp:anchor>
                  </w:drawing>
                </mc:Choice>
                <mc:Fallback>
                  <w:pict>
                    <v:rect w14:anchorId="789027F2" id="Прямокутник 823765365" o:spid="_x0000_s1230" style="position:absolute;margin-left:27.7pt;margin-top:437.7pt;width:21.85pt;height:7.2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" fillcolor="#a8b1ce" stroked="f">
                      <v:textbox inset="0,0,0,0">
                        <w:txbxContent>
                          <w:p w14:paraId="2AE00950"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SL-LPA</w:t>
                            </w:r>
                          </w:p>
                        </w:txbxContent>
                      </v:textbox>
                    </v:rect>
                  </w:pict>
                </mc:Fallback>
              </mc:AlternateContent>
            </w:r>
            <w:r w:rsidR="004F6FB8">
              <w:rPr>
                <w:noProof/>
              </w:rPr>
              <mc:AlternateContent>
                <mc:Choice Requires="wps">
                  <w:drawing>
                    <wp:anchor distT="0" distB="0" distL="114300" distR="114300" simplePos="0" relativeHeight="251571200" behindDoc="0" locked="0" layoutInCell="1" allowOverlap="1" wp14:anchorId="7E69E651" wp14:editId="4895F009">
                      <wp:simplePos x="0" y="0"/>
                      <wp:positionH relativeFrom="column">
                        <wp:posOffset>366992</wp:posOffset>
                      </wp:positionH>
                      <wp:positionV relativeFrom="paragraph">
                        <wp:posOffset>5704782</wp:posOffset>
                      </wp:positionV>
                      <wp:extent cx="390144" cy="92333"/>
                      <wp:effectExtent l="0" t="0" r="0" b="3175"/>
                      <wp:wrapNone/>
                      <wp:docPr id="1809671294" name="Прямокутник 464287002"/>
                      <wp:cNvGraphicFramePr/>
                      <a:graphic xmlns:a="http://schemas.openxmlformats.org/drawingml/2006/main">
                        <a:graphicData uri="http://schemas.microsoft.com/office/word/2010/wordprocessingShape">
                          <wps:wsp>
                            <wps:cNvSpPr/>
                            <wps:spPr>
                              <a:xfrm>
                                <a:off x="0" y="0"/>
                                <a:ext cx="390144" cy="92333"/>
                              </a:xfrm>
                              <a:prstGeom prst="rect">
                                <a:avLst/>
                              </a:prstGeom>
                              <a:solidFill>
                                <a:srgbClr val="A8B1CE"/>
                              </a:solidFill>
                            </wps:spPr>
                            <wps:txbx>
                              <w:txbxContent>
                                <w:p w14:paraId="6A1DC33E"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HC-rNAAT</w:t>
                                  </w:r>
                                </w:p>
                              </w:txbxContent>
                            </wps:txbx>
                            <wps:bodyPr wrap="square" lIns="0" tIns="0" rIns="0" bIns="0">
                              <a:noAutofit/>
                            </wps:bodyPr>
                          </wps:wsp>
                        </a:graphicData>
                      </a:graphic>
                    </wp:anchor>
                  </w:drawing>
                </mc:Choice>
                <mc:Fallback>
                  <w:pict>
                    <v:rect w14:anchorId="7E69E651" id="Прямокутник 464287002" o:spid="_x0000_s1231" style="position:absolute;margin-left:28.9pt;margin-top:449.2pt;width:30.7pt;height:7.25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" fillcolor="#a8b1ce" stroked="f">
                      <v:textbox inset="0,0,0,0">
                        <w:txbxContent>
                          <w:p w14:paraId="6A1DC33E"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HC-rNAAT</w:t>
                            </w:r>
                          </w:p>
                        </w:txbxContent>
                      </v:textbox>
                    </v:rect>
                  </w:pict>
                </mc:Fallback>
              </mc:AlternateContent>
            </w:r>
            <w:r w:rsidR="004F6FB8">
              <w:rPr>
                <w:noProof/>
              </w:rPr>
              <mc:AlternateContent>
                <mc:Choice Requires="wps">
                  <w:drawing>
                    <wp:anchor distT="0" distB="0" distL="114300" distR="114300" simplePos="0" relativeHeight="251572224" behindDoc="0" locked="0" layoutInCell="1" allowOverlap="1" wp14:anchorId="609263A3" wp14:editId="393B6C7C">
                      <wp:simplePos x="0" y="0"/>
                      <wp:positionH relativeFrom="column">
                        <wp:posOffset>799808</wp:posOffset>
                      </wp:positionH>
                      <wp:positionV relativeFrom="paragraph">
                        <wp:posOffset>4799526</wp:posOffset>
                      </wp:positionV>
                      <wp:extent cx="76200" cy="61555"/>
                      <wp:effectExtent l="0" t="0" r="0" b="0"/>
                      <wp:wrapNone/>
                      <wp:docPr id="1820207553" name="Прямокутник 2026600291"/>
                      <wp:cNvGraphicFramePr/>
                      <a:graphic xmlns:a="http://schemas.openxmlformats.org/drawingml/2006/main">
                        <a:graphicData uri="http://schemas.microsoft.com/office/word/2010/wordprocessingShape">
                          <wps:wsp>
                            <wps:cNvSpPr/>
                            <wps:spPr>
                              <a:xfrm>
                                <a:off x="0" y="0"/>
                                <a:ext cx="76200" cy="61555"/>
                              </a:xfrm>
                              <a:prstGeom prst="rect">
                                <a:avLst/>
                              </a:prstGeom>
                              <a:solidFill>
                                <a:srgbClr val="CD2E38"/>
                              </a:solidFill>
                            </wps:spPr>
                            <wps:txbx>
                              <w:txbxContent>
                                <w:p w14:paraId="2596A5A3" w14:textId="77777777" w:rsidR="009D0C1D" w:rsidRDefault="009D0C1D" w:rsidP="004F6FB8">
                                  <w:pPr>
                                    <w:rPr>
                                      <w:rFonts w:ascii="Century Gothic" w:hAnsi="Century Gothic" w:cstheme="minorBidi"/>
                                      <w:b/>
                                      <w:bCs/>
                                      <w:color w:val="FFFFFF"/>
                                      <w:kern w:val="24"/>
                                      <w:sz w:val="8"/>
                                      <w:szCs w:val="8"/>
                                    </w:rPr>
                                  </w:pPr>
                                  <w:r>
                                    <w:rPr>
                                      <w:rFonts w:ascii="Century Gothic" w:hAnsi="Century Gothic"/>
                                      <w:b/>
                                      <w:color w:val="FFFFFF"/>
                                      <w:sz w:val="8"/>
                                    </w:rPr>
                                    <w:t>RIF</w:t>
                                  </w:r>
                                </w:p>
                              </w:txbxContent>
                            </wps:txbx>
                            <wps:bodyPr wrap="square" lIns="0" tIns="0" rIns="0" bIns="0">
                              <a:noAutofit/>
                            </wps:bodyPr>
                          </wps:wsp>
                        </a:graphicData>
                      </a:graphic>
                    </wp:anchor>
                  </w:drawing>
                </mc:Choice>
                <mc:Fallback>
                  <w:pict>
                    <v:rect w14:anchorId="609263A3" id="Прямокутник 2026600291" o:spid="_x0000_s1232" style="position:absolute;margin-left:63pt;margin-top:377.9pt;width:6pt;height:4.8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" fillcolor="#cd2e38" stroked="f">
                      <v:textbox inset="0,0,0,0">
                        <w:txbxContent>
                          <w:p w14:paraId="2596A5A3" w14:textId="77777777" w:rsidR="009D0C1D" w:rsidRDefault="009D0C1D" w:rsidP="004F6FB8">
                            <w:pPr>
                              <w:rPr>
                                <w:rFonts w:ascii="Century Gothic" w:hAnsi="Century Gothic" w:cstheme="minorBidi"/>
                                <w:b/>
                                <w:bCs/>
                                <w:color w:val="FFFFFF"/>
                                <w:kern w:val="24"/>
                                <w:sz w:val="8"/>
                                <w:szCs w:val="8"/>
                              </w:rPr>
                            </w:pPr>
                            <w:r>
                              <w:rPr>
                                <w:rFonts w:ascii="Century Gothic" w:hAnsi="Century Gothic"/>
                                <w:b/>
                                <w:color w:val="FFFFFF"/>
                                <w:sz w:val="8"/>
                              </w:rPr>
                              <w:t>RIF</w:t>
                            </w:r>
                          </w:p>
                        </w:txbxContent>
                      </v:textbox>
                    </v:rect>
                  </w:pict>
                </mc:Fallback>
              </mc:AlternateContent>
            </w:r>
            <w:r w:rsidR="004F6FB8">
              <w:rPr>
                <w:noProof/>
              </w:rPr>
              <mc:AlternateContent>
                <mc:Choice Requires="wps">
                  <w:drawing>
                    <wp:anchor distT="0" distB="0" distL="114300" distR="114300" simplePos="0" relativeHeight="251568128" behindDoc="0" locked="0" layoutInCell="1" allowOverlap="1" wp14:anchorId="287B9B14" wp14:editId="3F52500D">
                      <wp:simplePos x="0" y="0"/>
                      <wp:positionH relativeFrom="column">
                        <wp:posOffset>2055584</wp:posOffset>
                      </wp:positionH>
                      <wp:positionV relativeFrom="paragraph">
                        <wp:posOffset>5284158</wp:posOffset>
                      </wp:positionV>
                      <wp:extent cx="243840" cy="92333"/>
                      <wp:effectExtent l="0" t="0" r="3810" b="3175"/>
                      <wp:wrapNone/>
                      <wp:docPr id="1709198895" name="Прямокутник 1844888788"/>
                      <wp:cNvGraphicFramePr/>
                      <a:graphic xmlns:a="http://schemas.openxmlformats.org/drawingml/2006/main">
                        <a:graphicData uri="http://schemas.microsoft.com/office/word/2010/wordprocessingShape">
                          <wps:wsp>
                            <wps:cNvSpPr/>
                            <wps:spPr>
                              <a:xfrm>
                                <a:off x="0" y="0"/>
                                <a:ext cx="243840" cy="92333"/>
                              </a:xfrm>
                              <a:prstGeom prst="rect">
                                <a:avLst/>
                              </a:prstGeom>
                              <a:solidFill>
                                <a:srgbClr val="A8B1CE"/>
                              </a:solidFill>
                            </wps:spPr>
                            <wps:txbx>
                              <w:txbxContent>
                                <w:p w14:paraId="0FE31B0E"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FL-LPA</w:t>
                                  </w:r>
                                </w:p>
                              </w:txbxContent>
                            </wps:txbx>
                            <wps:bodyPr wrap="square" lIns="0" tIns="0" rIns="0" bIns="0">
                              <a:noAutofit/>
                            </wps:bodyPr>
                          </wps:wsp>
                        </a:graphicData>
                      </a:graphic>
                    </wp:anchor>
                  </w:drawing>
                </mc:Choice>
                <mc:Fallback>
                  <w:pict>
                    <v:rect w14:anchorId="287B9B14" id="Прямокутник 1844888788" o:spid="_x0000_s1233" style="position:absolute;margin-left:161.85pt;margin-top:416.1pt;width:19.2pt;height:7.2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" fillcolor="#a8b1ce" stroked="f">
                      <v:textbox inset="0,0,0,0">
                        <w:txbxContent>
                          <w:p w14:paraId="0FE31B0E"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FL-LPA</w:t>
                            </w:r>
                          </w:p>
                        </w:txbxContent>
                      </v:textbox>
                    </v:rect>
                  </w:pict>
                </mc:Fallback>
              </mc:AlternateContent>
            </w:r>
            <w:r w:rsidR="004F6FB8">
              <w:rPr>
                <w:noProof/>
              </w:rPr>
              <mc:AlternateContent>
                <mc:Choice Requires="wps">
                  <w:drawing>
                    <wp:anchor distT="0" distB="0" distL="114300" distR="114300" simplePos="0" relativeHeight="251553792" behindDoc="0" locked="0" layoutInCell="1" allowOverlap="1" wp14:anchorId="6BAFE508" wp14:editId="53D5DA3D">
                      <wp:simplePos x="0" y="0"/>
                      <wp:positionH relativeFrom="column">
                        <wp:posOffset>2052536</wp:posOffset>
                      </wp:positionH>
                      <wp:positionV relativeFrom="paragraph">
                        <wp:posOffset>5427414</wp:posOffset>
                      </wp:positionV>
                      <wp:extent cx="390144" cy="92333"/>
                      <wp:effectExtent l="0" t="0" r="0" b="3175"/>
                      <wp:wrapNone/>
                      <wp:docPr id="640868566" name="Прямокутник 1727683838"/>
                      <wp:cNvGraphicFramePr/>
                      <a:graphic xmlns:a="http://schemas.openxmlformats.org/drawingml/2006/main">
                        <a:graphicData uri="http://schemas.microsoft.com/office/word/2010/wordprocessingShape">
                          <wps:wsp>
                            <wps:cNvSpPr/>
                            <wps:spPr>
                              <a:xfrm>
                                <a:off x="0" y="0"/>
                                <a:ext cx="390144" cy="92333"/>
                              </a:xfrm>
                              <a:prstGeom prst="rect">
                                <a:avLst/>
                              </a:prstGeom>
                              <a:solidFill>
                                <a:srgbClr val="A8B1CE"/>
                              </a:solidFill>
                            </wps:spPr>
                            <wps:txbx>
                              <w:txbxContent>
                                <w:p w14:paraId="6D87D846"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LC-aNAAT</w:t>
                                  </w:r>
                                </w:p>
                              </w:txbxContent>
                            </wps:txbx>
                            <wps:bodyPr wrap="square" lIns="0" tIns="0" rIns="0" bIns="0">
                              <a:noAutofit/>
                            </wps:bodyPr>
                          </wps:wsp>
                        </a:graphicData>
                      </a:graphic>
                    </wp:anchor>
                  </w:drawing>
                </mc:Choice>
                <mc:Fallback>
                  <w:pict>
                    <v:rect w14:anchorId="6BAFE508" id="Прямокутник 1727683838" o:spid="_x0000_s1234" style="position:absolute;margin-left:161.6pt;margin-top:427.35pt;width:30.7pt;height:7.2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" fillcolor="#a8b1ce" stroked="f">
                      <v:textbox inset="0,0,0,0">
                        <w:txbxContent>
                          <w:p w14:paraId="6D87D846"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LC-aNAAT</w:t>
                            </w:r>
                          </w:p>
                        </w:txbxContent>
                      </v:textbox>
                    </v:rect>
                  </w:pict>
                </mc:Fallback>
              </mc:AlternateContent>
            </w:r>
            <w:r w:rsidR="004F6FB8">
              <w:rPr>
                <w:noProof/>
              </w:rPr>
              <mc:AlternateContent>
                <mc:Choice Requires="wps">
                  <w:drawing>
                    <wp:anchor distT="0" distB="0" distL="114300" distR="114300" simplePos="0" relativeHeight="251573248" behindDoc="0" locked="0" layoutInCell="1" allowOverlap="1" wp14:anchorId="140BA029" wp14:editId="6B7D1924">
                      <wp:simplePos x="0" y="0"/>
                      <wp:positionH relativeFrom="column">
                        <wp:posOffset>2052536</wp:posOffset>
                      </wp:positionH>
                      <wp:positionV relativeFrom="paragraph">
                        <wp:posOffset>5570670</wp:posOffset>
                      </wp:positionV>
                      <wp:extent cx="423672" cy="92333"/>
                      <wp:effectExtent l="0" t="0" r="0" b="3175"/>
                      <wp:wrapNone/>
                      <wp:docPr id="1852661615" name="Прямокутник 2035479475"/>
                      <wp:cNvGraphicFramePr/>
                      <a:graphic xmlns:a="http://schemas.openxmlformats.org/drawingml/2006/main">
                        <a:graphicData uri="http://schemas.microsoft.com/office/word/2010/wordprocessingShape">
                          <wps:wsp>
                            <wps:cNvSpPr/>
                            <wps:spPr>
                              <a:xfrm>
                                <a:off x="0" y="0"/>
                                <a:ext cx="423672" cy="92333"/>
                              </a:xfrm>
                              <a:prstGeom prst="rect">
                                <a:avLst/>
                              </a:prstGeom>
                              <a:solidFill>
                                <a:srgbClr val="A8B1CE"/>
                              </a:solidFill>
                            </wps:spPr>
                            <wps:txbx>
                              <w:txbxContent>
                                <w:p w14:paraId="5C6B5280"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MC-aNAAT</w:t>
                                  </w:r>
                                </w:p>
                              </w:txbxContent>
                            </wps:txbx>
                            <wps:bodyPr wrap="square" lIns="0" tIns="0" rIns="0" bIns="0">
                              <a:noAutofit/>
                            </wps:bodyPr>
                          </wps:wsp>
                        </a:graphicData>
                      </a:graphic>
                    </wp:anchor>
                  </w:drawing>
                </mc:Choice>
                <mc:Fallback>
                  <w:pict>
                    <v:rect w14:anchorId="140BA029" id="Прямокутник 2035479475" o:spid="_x0000_s1235" style="position:absolute;margin-left:161.6pt;margin-top:438.65pt;width:33.35pt;height:7.25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" fillcolor="#a8b1ce" stroked="f">
                      <v:textbox inset="0,0,0,0">
                        <w:txbxContent>
                          <w:p w14:paraId="5C6B5280" w14:textId="77777777" w:rsidR="009D0C1D" w:rsidRPr="002E2F4B" w:rsidRDefault="009D0C1D" w:rsidP="004F6FB8">
                            <w:pPr>
                              <w:rPr>
                                <w:rFonts w:ascii="Century Gothic" w:hAnsi="Century Gothic" w:cstheme="minorBidi"/>
                                <w:b/>
                                <w:bCs/>
                                <w:color w:val="343433"/>
                                <w:kern w:val="24"/>
                                <w:sz w:val="10"/>
                                <w:szCs w:val="10"/>
                              </w:rPr>
                            </w:pPr>
                            <w:r w:rsidRPr="002E2F4B">
                              <w:rPr>
                                <w:rFonts w:ascii="Century Gothic" w:hAnsi="Century Gothic"/>
                                <w:b/>
                                <w:color w:val="343433"/>
                                <w:sz w:val="10"/>
                                <w:szCs w:val="22"/>
                              </w:rPr>
                              <w:t>MC-aNAAT</w:t>
                            </w:r>
                          </w:p>
                        </w:txbxContent>
                      </v:textbox>
                    </v:rect>
                  </w:pict>
                </mc:Fallback>
              </mc:AlternateContent>
            </w:r>
            <w:r w:rsidR="004F6FB8">
              <w:rPr>
                <w:noProof/>
              </w:rPr>
              <mc:AlternateContent>
                <mc:Choice Requires="wps">
                  <w:drawing>
                    <wp:anchor distT="0" distB="0" distL="114300" distR="114300" simplePos="0" relativeHeight="251551744" behindDoc="0" locked="0" layoutInCell="1" allowOverlap="1" wp14:anchorId="374255DA" wp14:editId="7AA5C499">
                      <wp:simplePos x="0" y="0"/>
                      <wp:positionH relativeFrom="column">
                        <wp:posOffset>1278725</wp:posOffset>
                      </wp:positionH>
                      <wp:positionV relativeFrom="paragraph">
                        <wp:posOffset>4036700</wp:posOffset>
                      </wp:positionV>
                      <wp:extent cx="169164" cy="92333"/>
                      <wp:effectExtent l="0" t="0" r="2540" b="3175"/>
                      <wp:wrapNone/>
                      <wp:docPr id="489308516" name="Прямокутник 1722917819">
                        <a:extLst xmlns:a="http://schemas.openxmlformats.org/drawingml/2006/main">
                          <a:ext uri="{FF2B5EF4-FFF2-40B4-BE49-F238E27FC236}">
                            <a16:creationId xmlns:a16="http://schemas.microsoft.com/office/drawing/2014/main" id="{B9EFFA97-1607-7C1A-0C1D-2E12CF89A9F5}"/>
                          </a:ext>
                        </a:extLst>
                      </wp:docPr>
                      <wp:cNvGraphicFramePr/>
                      <a:graphic xmlns:a="http://schemas.openxmlformats.org/drawingml/2006/main">
                        <a:graphicData uri="http://schemas.microsoft.com/office/word/2010/wordprocessingShape">
                          <wps:wsp>
                            <wps:cNvSpPr/>
                            <wps:spPr>
                              <a:xfrm>
                                <a:off x="0" y="0"/>
                                <a:ext cx="169164" cy="92333"/>
                              </a:xfrm>
                              <a:prstGeom prst="rect">
                                <a:avLst/>
                              </a:prstGeom>
                              <a:solidFill>
                                <a:srgbClr val="04AAE6"/>
                              </a:solidFill>
                            </wps:spPr>
                            <wps:txbx>
                              <w:txbxContent>
                                <w:p w14:paraId="0B07819A" w14:textId="77777777" w:rsidR="009D0C1D" w:rsidRDefault="009D0C1D" w:rsidP="004F6FB8">
                                  <w:pPr>
                                    <w:rPr>
                                      <w:rFonts w:ascii="Century Gothic" w:hAnsi="Century Gothic" w:cstheme="minorBidi"/>
                                      <w:b/>
                                      <w:bCs/>
                                      <w:color w:val="FFFFFF"/>
                                      <w:kern w:val="24"/>
                                      <w:sz w:val="12"/>
                                      <w:szCs w:val="12"/>
                                    </w:rPr>
                                  </w:pPr>
                                  <w:r>
                                    <w:rPr>
                                      <w:rFonts w:ascii="Century Gothic" w:hAnsi="Century Gothic"/>
                                      <w:b/>
                                      <w:color w:val="FFFFFF"/>
                                      <w:sz w:val="12"/>
                                    </w:rPr>
                                    <w:t>Чи є резистентність до RIF?</w:t>
                                  </w:r>
                                </w:p>
                              </w:txbxContent>
                            </wps:txbx>
                            <wps:bodyPr wrap="square" lIns="0" tIns="0" rIns="0" bIns="0">
                              <a:noAutofit/>
                            </wps:bodyPr>
                          </wps:wsp>
                        </a:graphicData>
                      </a:graphic>
                    </wp:anchor>
                  </w:drawing>
                </mc:Choice>
                <mc:Fallback>
                  <w:pict>
                    <v:rect w14:anchorId="374255DA" id="Прямокутник 1722917819" o:spid="_x0000_s1236" style="position:absolute;margin-left:100.7pt;margin-top:317.85pt;width:13.3pt;height:7.25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" fillcolor="#04aae6" stroked="f">
                      <v:textbox inset="0,0,0,0">
                        <w:txbxContent>
                          <w:p w14:paraId="0B07819A" w14:textId="77777777" w:rsidR="009D0C1D" w:rsidRDefault="009D0C1D" w:rsidP="004F6FB8">
                            <w:pPr>
                              <w:rPr>
                                <w:rFonts w:ascii="Century Gothic" w:hAnsi="Century Gothic" w:cstheme="minorBidi"/>
                                <w:b/>
                                <w:bCs/>
                                <w:color w:val="FFFFFF"/>
                                <w:kern w:val="24"/>
                                <w:sz w:val="12"/>
                                <w:szCs w:val="12"/>
                              </w:rPr>
                            </w:pPr>
                            <w:r>
                              <w:rPr>
                                <w:rFonts w:ascii="Century Gothic" w:hAnsi="Century Gothic"/>
                                <w:b/>
                                <w:color w:val="FFFFFF"/>
                                <w:sz w:val="12"/>
                              </w:rPr>
                              <w:t>Чи є резистентність до RIF?</w:t>
                            </w:r>
                          </w:p>
                        </w:txbxContent>
                      </v:textbox>
                    </v:rect>
                  </w:pict>
                </mc:Fallback>
              </mc:AlternateContent>
            </w:r>
            <w:r w:rsidR="004F6FB8">
              <w:rPr>
                <w:noProof/>
              </w:rPr>
              <mc:AlternateContent>
                <mc:Choice Requires="wps">
                  <w:drawing>
                    <wp:anchor distT="0" distB="0" distL="114300" distR="114300" simplePos="0" relativeHeight="251559936" behindDoc="0" locked="0" layoutInCell="1" allowOverlap="1" wp14:anchorId="4238219B" wp14:editId="44742741">
                      <wp:simplePos x="0" y="0"/>
                      <wp:positionH relativeFrom="column">
                        <wp:posOffset>1688300</wp:posOffset>
                      </wp:positionH>
                      <wp:positionV relativeFrom="paragraph">
                        <wp:posOffset>3608075</wp:posOffset>
                      </wp:positionV>
                      <wp:extent cx="143256" cy="92333"/>
                      <wp:effectExtent l="0" t="0" r="9525" b="3175"/>
                      <wp:wrapNone/>
                      <wp:docPr id="986561443" name="Прямокутник 1415753557">
                        <a:extLst xmlns:a="http://schemas.openxmlformats.org/drawingml/2006/main">
                          <a:ext uri="{FF2B5EF4-FFF2-40B4-BE49-F238E27FC236}">
                            <a16:creationId xmlns:a16="http://schemas.microsoft.com/office/drawing/2014/main" id="{9AF54E5A-E03D-37EB-94BE-B5429964EA07}"/>
                          </a:ext>
                        </a:extLst>
                      </wp:docPr>
                      <wp:cNvGraphicFramePr/>
                      <a:graphic xmlns:a="http://schemas.openxmlformats.org/drawingml/2006/main">
                        <a:graphicData uri="http://schemas.microsoft.com/office/word/2010/wordprocessingShape">
                          <wps:wsp>
                            <wps:cNvSpPr/>
                            <wps:spPr>
                              <a:xfrm>
                                <a:off x="0" y="0"/>
                                <a:ext cx="143256" cy="92333"/>
                              </a:xfrm>
                              <a:prstGeom prst="rect">
                                <a:avLst/>
                              </a:prstGeom>
                              <a:solidFill>
                                <a:srgbClr val="04AAE6"/>
                              </a:solidFill>
                            </wps:spPr>
                            <wps:txbx>
                              <w:txbxContent>
                                <w:p w14:paraId="3A8800BB" w14:textId="77777777" w:rsidR="009D0C1D" w:rsidRDefault="009D0C1D" w:rsidP="004F6FB8">
                                  <w:pPr>
                                    <w:rPr>
                                      <w:rFonts w:ascii="Century Gothic" w:hAnsi="Century Gothic" w:cstheme="minorBidi"/>
                                      <w:b/>
                                      <w:bCs/>
                                      <w:color w:val="FFFFFF"/>
                                      <w:kern w:val="24"/>
                                      <w:sz w:val="12"/>
                                      <w:szCs w:val="12"/>
                                    </w:rPr>
                                  </w:pPr>
                                  <w:r>
                                    <w:rPr>
                                      <w:rFonts w:ascii="Century Gothic" w:hAnsi="Century Gothic"/>
                                      <w:b/>
                                      <w:color w:val="FFFFFF"/>
                                      <w:sz w:val="12"/>
                                    </w:rPr>
                                    <w:t>Чи є ТБ?</w:t>
                                  </w:r>
                                </w:p>
                              </w:txbxContent>
                            </wps:txbx>
                            <wps:bodyPr wrap="square" lIns="0" tIns="0" rIns="0" bIns="0">
                              <a:noAutofit/>
                            </wps:bodyPr>
                          </wps:wsp>
                        </a:graphicData>
                      </a:graphic>
                    </wp:anchor>
                  </w:drawing>
                </mc:Choice>
                <mc:Fallback>
                  <w:pict>
                    <v:rect w14:anchorId="4238219B" id="Прямокутник 1415753557" o:spid="_x0000_s1237" style="position:absolute;margin-left:132.95pt;margin-top:284.1pt;width:11.3pt;height:7.25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" fillcolor="#04aae6" stroked="f">
                      <v:textbox inset="0,0,0,0">
                        <w:txbxContent>
                          <w:p w14:paraId="3A8800BB" w14:textId="77777777" w:rsidR="009D0C1D" w:rsidRDefault="009D0C1D" w:rsidP="004F6FB8">
                            <w:pPr>
                              <w:rPr>
                                <w:rFonts w:ascii="Century Gothic" w:hAnsi="Century Gothic" w:cstheme="minorBidi"/>
                                <w:b/>
                                <w:bCs/>
                                <w:color w:val="FFFFFF"/>
                                <w:kern w:val="24"/>
                                <w:sz w:val="12"/>
                                <w:szCs w:val="12"/>
                              </w:rPr>
                            </w:pPr>
                            <w:r>
                              <w:rPr>
                                <w:rFonts w:ascii="Century Gothic" w:hAnsi="Century Gothic"/>
                                <w:b/>
                                <w:color w:val="FFFFFF"/>
                                <w:sz w:val="12"/>
                              </w:rPr>
                              <w:t>Чи є ТБ?</w:t>
                            </w:r>
                          </w:p>
                        </w:txbxContent>
                      </v:textbox>
                    </v:rect>
                  </w:pict>
                </mc:Fallback>
              </mc:AlternateContent>
            </w:r>
            <w:r w:rsidR="004F6FB8">
              <w:rPr>
                <w:noProof/>
              </w:rPr>
              <mc:AlternateContent>
                <mc:Choice Requires="wps">
                  <w:drawing>
                    <wp:anchor distT="0" distB="0" distL="114300" distR="114300" simplePos="0" relativeHeight="251574272" behindDoc="0" locked="0" layoutInCell="1" allowOverlap="1" wp14:anchorId="2B136E4F" wp14:editId="3712C440">
                      <wp:simplePos x="0" y="0"/>
                      <wp:positionH relativeFrom="column">
                        <wp:posOffset>1681950</wp:posOffset>
                      </wp:positionH>
                      <wp:positionV relativeFrom="paragraph">
                        <wp:posOffset>1404434</wp:posOffset>
                      </wp:positionV>
                      <wp:extent cx="143256" cy="76944"/>
                      <wp:effectExtent l="0" t="0" r="9525" b="0"/>
                      <wp:wrapNone/>
                      <wp:docPr id="1996376515" name="Прямокутник 1363047331">
                        <a:extLst xmlns:a="http://schemas.openxmlformats.org/drawingml/2006/main">
                          <a:ext uri="{FF2B5EF4-FFF2-40B4-BE49-F238E27FC236}">
                            <a16:creationId xmlns:a16="http://schemas.microsoft.com/office/drawing/2014/main" id="{2491FDC6-46F4-7E9E-400A-B7C1BEF916B9}"/>
                          </a:ext>
                        </a:extLst>
                      </wp:docPr>
                      <wp:cNvGraphicFramePr/>
                      <a:graphic xmlns:a="http://schemas.openxmlformats.org/drawingml/2006/main">
                        <a:graphicData uri="http://schemas.microsoft.com/office/word/2010/wordprocessingShape">
                          <wps:wsp>
                            <wps:cNvSpPr/>
                            <wps:spPr>
                              <a:xfrm>
                                <a:off x="0" y="0"/>
                                <a:ext cx="143256" cy="76944"/>
                              </a:xfrm>
                              <a:prstGeom prst="rect">
                                <a:avLst/>
                              </a:prstGeom>
                              <a:solidFill>
                                <a:srgbClr val="04AAE6"/>
                              </a:solidFill>
                            </wps:spPr>
                            <wps:txbx>
                              <w:txbxContent>
                                <w:p w14:paraId="6838B157" w14:textId="77777777" w:rsidR="009D0C1D" w:rsidRDefault="009D0C1D" w:rsidP="004F6FB8">
                                  <w:pPr>
                                    <w:rPr>
                                      <w:rFonts w:ascii="Century Gothic" w:hAnsi="Century Gothic" w:cstheme="minorBidi"/>
                                      <w:b/>
                                      <w:bCs/>
                                      <w:color w:val="FFFFFF"/>
                                      <w:kern w:val="24"/>
                                      <w:sz w:val="10"/>
                                      <w:szCs w:val="10"/>
                                    </w:rPr>
                                  </w:pPr>
                                  <w:r>
                                    <w:rPr>
                                      <w:rFonts w:ascii="Century Gothic" w:hAnsi="Century Gothic"/>
                                      <w:b/>
                                      <w:color w:val="FFFFFF"/>
                                      <w:sz w:val="10"/>
                                    </w:rPr>
                                    <w:t>Чи є ВІЛ?</w:t>
                                  </w:r>
                                </w:p>
                              </w:txbxContent>
                            </wps:txbx>
                            <wps:bodyPr wrap="square" lIns="0" tIns="0" rIns="0" bIns="0">
                              <a:noAutofit/>
                            </wps:bodyPr>
                          </wps:wsp>
                        </a:graphicData>
                      </a:graphic>
                    </wp:anchor>
                  </w:drawing>
                </mc:Choice>
                <mc:Fallback>
                  <w:pict>
                    <v:rect w14:anchorId="2B136E4F" id="Прямокутник 1363047331" o:spid="_x0000_s1238" style="position:absolute;margin-left:132.45pt;margin-top:110.6pt;width:11.3pt;height:6.0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" fillcolor="#04aae6" stroked="f">
                      <v:textbox inset="0,0,0,0">
                        <w:txbxContent>
                          <w:p w14:paraId="6838B157" w14:textId="77777777" w:rsidR="009D0C1D" w:rsidRDefault="009D0C1D" w:rsidP="004F6FB8">
                            <w:pPr>
                              <w:rPr>
                                <w:rFonts w:ascii="Century Gothic" w:hAnsi="Century Gothic" w:cstheme="minorBidi"/>
                                <w:b/>
                                <w:bCs/>
                                <w:color w:val="FFFFFF"/>
                                <w:kern w:val="24"/>
                                <w:sz w:val="10"/>
                                <w:szCs w:val="10"/>
                              </w:rPr>
                            </w:pPr>
                            <w:r>
                              <w:rPr>
                                <w:rFonts w:ascii="Century Gothic" w:hAnsi="Century Gothic"/>
                                <w:b/>
                                <w:color w:val="FFFFFF"/>
                                <w:sz w:val="10"/>
                              </w:rPr>
                              <w:t>Чи є ВІЛ?</w:t>
                            </w:r>
                          </w:p>
                        </w:txbxContent>
                      </v:textbox>
                    </v:rect>
                  </w:pict>
                </mc:Fallback>
              </mc:AlternateContent>
            </w:r>
            <w:r w:rsidR="004F6FB8">
              <w:rPr>
                <w:noProof/>
              </w:rPr>
              <w:drawing>
                <wp:inline distT="0" distB="0" distL="0" distR="0" wp14:anchorId="43401C32" wp14:editId="0D8671BA">
                  <wp:extent cx="5782310" cy="629412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7"/>
                          <a:stretch/>
                        </pic:blipFill>
                        <pic:spPr>
                          <a:xfrm>
                            <a:off x="0" y="0"/>
                            <a:ext cx="5782310" cy="6294120"/>
                          </a:xfrm>
                          <a:prstGeom prst="rect">
                            <a:avLst/>
                          </a:prstGeom>
                        </pic:spPr>
                      </pic:pic>
                    </a:graphicData>
                  </a:graphic>
                </wp:inline>
              </w:drawing>
            </w:r>
          </w:p>
        </w:tc>
      </w:tr>
      <w:tr w:rsidR="00366CB9" w14:paraId="49817AD4" w14:textId="77777777" w:rsidTr="002E2F4B">
        <w:trPr>
          <w:trHeight w:hRule="exact" w:val="2347"/>
        </w:trPr>
        <w:tc>
          <w:tcPr>
            <w:tcW w:w="9106" w:type="dxa"/>
            <w:shd w:val="clear" w:color="auto" w:fill="FFFFFF"/>
            <w:vAlign w:val="bottom"/>
          </w:tcPr>
          <w:p w14:paraId="39675098" w14:textId="77777777" w:rsidR="00366CB9" w:rsidRDefault="009D0C1D" w:rsidP="00501A18">
            <w:pPr>
              <w:pStyle w:val="a6"/>
              <w:shd w:val="clear" w:color="auto" w:fill="auto"/>
              <w:spacing w:after="40" w:line="266" w:lineRule="auto"/>
              <w:rPr>
                <w:sz w:val="17"/>
                <w:szCs w:val="17"/>
              </w:rPr>
            </w:pPr>
            <w:r>
              <w:rPr>
                <w:b w:val="0"/>
                <w:color w:val="000000"/>
                <w:sz w:val="17"/>
              </w:rPr>
              <w:t>ТМЧ: тестування медикаментозної чутливості; FL-LPA: аналіз олігонуклеотидними зондами для препаратів першої лінії; HC-rNAAT: NAAT на основі зворотної гібридизації високої складності; LC-aNAAT: автоматизований NAAT на основі зворотної гібридизації низької складності; LF-LAM: ліпоарабіноманнановий тест бокового зсуву; MC-aNAAT: автоматизований NAAT середньої складності; mWRD: молекулярний експрес-тест для діагностики туберкульозу, рекомендований ВООЗ; NAAT: аналіз ампліфікації нуклеїнових кислот; СНП: секвенування наступного покоління; SL-LPA: аналіз олігонуклеотидними зондами для препаратів другої лінії; ТБ: туберкульоз; ПЛТ: профілактичне лікування туберкульозу; ВООЗ: Всесвітня організація охорони здоров’я.</w:t>
            </w:r>
          </w:p>
          <w:p w14:paraId="4B8B9C61" w14:textId="77777777" w:rsidR="00366CB9" w:rsidRDefault="009D0C1D" w:rsidP="00501A18">
            <w:pPr>
              <w:pStyle w:val="a6"/>
              <w:shd w:val="clear" w:color="auto" w:fill="auto"/>
              <w:spacing w:after="40" w:line="266" w:lineRule="auto"/>
              <w:rPr>
                <w:sz w:val="17"/>
                <w:szCs w:val="17"/>
              </w:rPr>
            </w:pPr>
            <w:r>
              <w:rPr>
                <w:b w:val="0"/>
                <w:color w:val="000000"/>
                <w:sz w:val="17"/>
              </w:rPr>
              <w:t>Лікарські засоби: INH: ізоніазид; RIF: рифампіцин.</w:t>
            </w:r>
          </w:p>
          <w:p w14:paraId="45FB01D1" w14:textId="7DFC6C6C" w:rsidR="00366CB9" w:rsidRDefault="009D0C1D" w:rsidP="00501A18">
            <w:pPr>
              <w:pStyle w:val="a6"/>
              <w:shd w:val="clear" w:color="auto" w:fill="auto"/>
              <w:spacing w:after="40" w:line="266" w:lineRule="auto"/>
              <w:ind w:left="160" w:hanging="160"/>
              <w:rPr>
                <w:sz w:val="17"/>
                <w:szCs w:val="17"/>
              </w:rPr>
            </w:pPr>
            <w:r>
              <w:rPr>
                <w:b w:val="0"/>
                <w:color w:val="000000"/>
                <w:sz w:val="17"/>
                <w:vertAlign w:val="superscript"/>
              </w:rPr>
              <w:t>a</w:t>
            </w:r>
            <w:r w:rsidR="002E2F4B">
              <w:tab/>
            </w:r>
            <w:r>
              <w:rPr>
                <w:b w:val="0"/>
                <w:color w:val="000000"/>
                <w:sz w:val="17"/>
              </w:rPr>
              <w:t xml:space="preserve">Див. визначення щодо того, хто підлягає скринінгу на ТБ у публікації: </w:t>
            </w:r>
            <w:r>
              <w:rPr>
                <w:b w:val="0"/>
                <w:i/>
                <w:color w:val="000000"/>
                <w:sz w:val="17"/>
              </w:rPr>
              <w:t>«Консолідовані настанови ВООЗ з туберкульозу: модуль 2: скринінгу: систематичний скринінг на туберкульоз» (</w:t>
            </w:r>
            <w:hyperlink w:anchor="bookmark200" w:tooltip="Поточний документ">
              <w:r w:rsidR="00366CB9">
                <w:rPr>
                  <w:b w:val="0"/>
                  <w:i/>
                  <w:color w:val="000000"/>
                  <w:sz w:val="17"/>
                </w:rPr>
                <w:t>81</w:t>
              </w:r>
            </w:hyperlink>
            <w:r>
              <w:rPr>
                <w:b w:val="0"/>
                <w:i/>
                <w:color w:val="000000"/>
                <w:sz w:val="17"/>
              </w:rPr>
              <w:t>).</w:t>
            </w:r>
          </w:p>
        </w:tc>
      </w:tr>
    </w:tbl>
    <w:p w14:paraId="0751F0EF" w14:textId="4BAE94F0"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6D94B319" w14:textId="77777777" w:rsidR="00366CB9" w:rsidRDefault="00366CB9" w:rsidP="00425523">
      <w:pPr>
        <w:spacing w:line="1" w:lineRule="exact"/>
      </w:pPr>
    </w:p>
    <w:p w14:paraId="7CA7C1B6" w14:textId="77777777" w:rsidR="00366CB9" w:rsidRDefault="009D0C1D" w:rsidP="00501A18">
      <w:pPr>
        <w:pStyle w:val="22"/>
        <w:numPr>
          <w:ilvl w:val="0"/>
          <w:numId w:val="13"/>
        </w:numPr>
        <w:shd w:val="clear" w:color="auto" w:fill="auto"/>
        <w:tabs>
          <w:tab w:val="left" w:pos="697"/>
        </w:tabs>
        <w:spacing w:after="140" w:line="264" w:lineRule="auto"/>
      </w:pPr>
      <w:bookmarkStart w:id="166" w:name="bookmark164"/>
      <w:bookmarkStart w:id="167" w:name="bookmark165"/>
      <w:bookmarkStart w:id="168" w:name="bookmark163"/>
      <w:r>
        <w:t>Алгоритм 1 – WRD як початкові діагностичні тести на ТБ</w:t>
      </w:r>
      <w:bookmarkEnd w:id="166"/>
      <w:bookmarkEnd w:id="167"/>
      <w:bookmarkEnd w:id="168"/>
    </w:p>
    <w:p w14:paraId="4ABF583B" w14:textId="77777777" w:rsidR="00366CB9" w:rsidRPr="002E2F4B" w:rsidRDefault="009D0C1D" w:rsidP="00501A18">
      <w:pPr>
        <w:pStyle w:val="1"/>
        <w:shd w:val="clear" w:color="auto" w:fill="auto"/>
        <w:spacing w:after="140" w:line="324" w:lineRule="auto"/>
        <w:jc w:val="both"/>
        <w:rPr>
          <w:sz w:val="18"/>
          <w:szCs w:val="18"/>
        </w:rPr>
      </w:pPr>
      <w:r w:rsidRPr="002E2F4B">
        <w:rPr>
          <w:sz w:val="18"/>
          <w:szCs w:val="18"/>
        </w:rPr>
        <w:t>Алгоритм 1 є початковою діагностичною схемою, і в цьому контексті рекомендовані класи WRD включають як молекулярні тести (LC-mNAAT, LC-aNAAT та MC-aNAAT), так і тест на біомаркери (LF-LAM) (</w:t>
      </w:r>
      <w:hyperlink w:anchor="bookmark166" w:tooltip="Поточний документ">
        <w:r w:rsidR="00366CB9" w:rsidRPr="002E2F4B">
          <w:rPr>
            <w:b/>
            <w:sz w:val="18"/>
            <w:szCs w:val="18"/>
          </w:rPr>
          <w:t>рис. 6.2</w:t>
        </w:r>
      </w:hyperlink>
      <w:r w:rsidRPr="002E2F4B">
        <w:rPr>
          <w:sz w:val="18"/>
          <w:szCs w:val="18"/>
        </w:rPr>
        <w:t>). У державах-членах можна обрати mWRD, який найкраще відповідає умовам, задовольняє потреби пацієнтів та забезпечує загальний доступ до діагностичного тестування та тестування на виявлення резистентності до RIF. Класи mWRD дають різні типи результатів:</w:t>
      </w:r>
    </w:p>
    <w:p w14:paraId="29A8A5AE" w14:textId="334A2890" w:rsidR="00366CB9" w:rsidRPr="002E2F4B" w:rsidRDefault="009D0C1D" w:rsidP="002E2F4B">
      <w:pPr>
        <w:pStyle w:val="1"/>
        <w:shd w:val="clear" w:color="auto" w:fill="auto"/>
        <w:tabs>
          <w:tab w:val="left" w:pos="284"/>
        </w:tabs>
        <w:spacing w:line="326" w:lineRule="auto"/>
        <w:jc w:val="both"/>
        <w:rPr>
          <w:sz w:val="18"/>
          <w:szCs w:val="18"/>
        </w:rPr>
      </w:pPr>
      <w:r w:rsidRPr="002E2F4B">
        <w:rPr>
          <w:color w:val="019648"/>
          <w:sz w:val="18"/>
          <w:szCs w:val="18"/>
        </w:rPr>
        <w:t xml:space="preserve">• </w:t>
      </w:r>
      <w:r w:rsidR="002E2F4B" w:rsidRPr="002E2F4B">
        <w:rPr>
          <w:sz w:val="18"/>
          <w:szCs w:val="18"/>
        </w:rPr>
        <w:tab/>
      </w:r>
      <w:r w:rsidRPr="002E2F4B">
        <w:rPr>
          <w:sz w:val="18"/>
          <w:szCs w:val="18"/>
        </w:rPr>
        <w:t>тільки діагностика ТБ за допомогою LC-mNAAT;</w:t>
      </w:r>
    </w:p>
    <w:p w14:paraId="45E8BA4F" w14:textId="66B84480" w:rsidR="00366CB9" w:rsidRPr="002E2F4B" w:rsidRDefault="009D0C1D" w:rsidP="002E2F4B">
      <w:pPr>
        <w:pStyle w:val="1"/>
        <w:shd w:val="clear" w:color="auto" w:fill="auto"/>
        <w:tabs>
          <w:tab w:val="left" w:pos="284"/>
        </w:tabs>
        <w:spacing w:line="326" w:lineRule="auto"/>
        <w:ind w:left="280" w:hanging="280"/>
        <w:jc w:val="both"/>
        <w:rPr>
          <w:sz w:val="18"/>
          <w:szCs w:val="18"/>
        </w:rPr>
      </w:pPr>
      <w:r w:rsidRPr="002E2F4B">
        <w:rPr>
          <w:color w:val="019648"/>
          <w:sz w:val="18"/>
          <w:szCs w:val="18"/>
        </w:rPr>
        <w:t xml:space="preserve">• </w:t>
      </w:r>
      <w:r w:rsidR="002E2F4B" w:rsidRPr="002E2F4B">
        <w:rPr>
          <w:sz w:val="18"/>
          <w:szCs w:val="18"/>
        </w:rPr>
        <w:tab/>
      </w:r>
      <w:r w:rsidRPr="002E2F4B">
        <w:rPr>
          <w:sz w:val="18"/>
          <w:szCs w:val="18"/>
        </w:rPr>
        <w:t>діагностика ТБ та виявлення резистентності до RIF (одночасно або в рамках двоетапного процесу) за допомогою LC-aNAAT; або</w:t>
      </w:r>
    </w:p>
    <w:p w14:paraId="0C404816" w14:textId="0C5D0905" w:rsidR="00366CB9" w:rsidRPr="002E2F4B" w:rsidRDefault="009D0C1D" w:rsidP="002E2F4B">
      <w:pPr>
        <w:pStyle w:val="1"/>
        <w:shd w:val="clear" w:color="auto" w:fill="auto"/>
        <w:tabs>
          <w:tab w:val="left" w:pos="284"/>
        </w:tabs>
        <w:spacing w:after="140" w:line="326" w:lineRule="auto"/>
        <w:ind w:left="280" w:hanging="280"/>
        <w:jc w:val="both"/>
        <w:rPr>
          <w:sz w:val="18"/>
          <w:szCs w:val="18"/>
        </w:rPr>
      </w:pPr>
      <w:r w:rsidRPr="002E2F4B">
        <w:rPr>
          <w:color w:val="019648"/>
          <w:sz w:val="18"/>
          <w:szCs w:val="18"/>
        </w:rPr>
        <w:t xml:space="preserve">• </w:t>
      </w:r>
      <w:r w:rsidR="002E2F4B" w:rsidRPr="002E2F4B">
        <w:rPr>
          <w:sz w:val="18"/>
          <w:szCs w:val="18"/>
        </w:rPr>
        <w:tab/>
      </w:r>
      <w:r w:rsidRPr="002E2F4B">
        <w:rPr>
          <w:sz w:val="18"/>
          <w:szCs w:val="18"/>
        </w:rPr>
        <w:t>діагностика ТБ та виявлення резистентності до RIF та INH (одночасно або в рамках двоетапного процесу) за допомогою MC-aNAAT.</w:t>
      </w:r>
    </w:p>
    <w:p w14:paraId="191A303D" w14:textId="77777777" w:rsidR="00366CB9" w:rsidRPr="002E2F4B" w:rsidRDefault="009D0C1D" w:rsidP="00501A18">
      <w:pPr>
        <w:pStyle w:val="1"/>
        <w:shd w:val="clear" w:color="auto" w:fill="auto"/>
        <w:spacing w:after="140" w:line="324" w:lineRule="auto"/>
        <w:jc w:val="both"/>
        <w:rPr>
          <w:sz w:val="18"/>
          <w:szCs w:val="18"/>
        </w:rPr>
      </w:pPr>
      <w:r w:rsidRPr="002E2F4B">
        <w:rPr>
          <w:sz w:val="18"/>
          <w:szCs w:val="18"/>
        </w:rPr>
        <w:t>При застосуванні LC-mNAAT може знадобитись подальше тестування на виявлення резистентності до RIF.</w:t>
      </w:r>
    </w:p>
    <w:p w14:paraId="1CB94923" w14:textId="77777777" w:rsidR="00366CB9" w:rsidRPr="002E2F4B" w:rsidRDefault="009D0C1D" w:rsidP="00501A18">
      <w:pPr>
        <w:pStyle w:val="1"/>
        <w:shd w:val="clear" w:color="auto" w:fill="auto"/>
        <w:spacing w:after="140" w:line="324" w:lineRule="auto"/>
        <w:jc w:val="both"/>
        <w:rPr>
          <w:sz w:val="18"/>
          <w:szCs w:val="18"/>
        </w:rPr>
      </w:pPr>
      <w:r w:rsidRPr="002E2F4B">
        <w:rPr>
          <w:sz w:val="18"/>
          <w:szCs w:val="18"/>
        </w:rPr>
        <w:t>LF-LAM надає результат лише для діагностики ТБ (без резистентності до RIF). Рекомендації щодо LF-LAM сечі були розширені для включення всіх осіб з ВІЛ, незалежно від умов та числа CD4; також тест разом з LC-aNAAT було включено у нещодавно рекомендовану стратегію супутнього тестування для дорослих, підлітків та дітей, які живуть з ВІЛ. Рекомендації щодо супутнього тестування не включають LC-mNAAT або MC-aNAAT.</w:t>
      </w:r>
    </w:p>
    <w:p w14:paraId="0B37874E" w14:textId="77777777" w:rsidR="00366CB9" w:rsidRPr="002E2F4B" w:rsidRDefault="009D0C1D" w:rsidP="00501A18">
      <w:pPr>
        <w:pStyle w:val="1"/>
        <w:shd w:val="clear" w:color="auto" w:fill="auto"/>
        <w:spacing w:after="140" w:line="324" w:lineRule="auto"/>
        <w:jc w:val="both"/>
        <w:rPr>
          <w:sz w:val="18"/>
          <w:szCs w:val="18"/>
        </w:rPr>
      </w:pPr>
      <w:r w:rsidRPr="002E2F4B">
        <w:rPr>
          <w:sz w:val="18"/>
          <w:szCs w:val="18"/>
        </w:rPr>
        <w:t>Варіанти тестування в рамках Алгоритму 1 мають різну складність. LF-LAM є єдиним ЕТ для початкового виявлення ТБ, що не вимагає спеціальних навичок для тестування або лабораторних виробничих потужностей. LC-aNAAT вимагають основних навичок піпетування та їх легко децентралізувати до основних лабораторій; однак у них обмежена пропускна здатність із поширеними приладами. Для порівняння деякі MC-aNAAT вимагають більше часу активної участі та передбачають суттєві вимоги до виробничих потужностей; більшість із них мають високу пропускну здатність та підходять для відомих лабораторій з надійними мережами перенаправлення зразків. На практиці потреби в тестах та пов’язаний вибір може залежати від країни або регіону. Необхідно звернути увагу на гібридні моделі, що передбачають комбінацію тестів від різних виробників; це має додаткову перевагу, забезпечуючи механізм безпеки у разі очікуваної проблеми з постачальником.</w:t>
      </w:r>
    </w:p>
    <w:p w14:paraId="6C4E68AA" w14:textId="77777777" w:rsidR="00366CB9" w:rsidRPr="002E2F4B" w:rsidRDefault="009D0C1D" w:rsidP="00501A18">
      <w:pPr>
        <w:pStyle w:val="1"/>
        <w:shd w:val="clear" w:color="auto" w:fill="auto"/>
        <w:spacing w:line="326" w:lineRule="auto"/>
        <w:jc w:val="both"/>
        <w:rPr>
          <w:sz w:val="18"/>
          <w:szCs w:val="18"/>
        </w:rPr>
      </w:pPr>
      <w:r w:rsidRPr="002E2F4B">
        <w:rPr>
          <w:sz w:val="18"/>
          <w:szCs w:val="18"/>
        </w:rPr>
        <w:t>Доцільно впровадити Алгоритм 1, якщо тестування mWRD можна провести на місці або доступне через надійну систему перенаправлення з коротким часом обробки.</w:t>
      </w:r>
    </w:p>
    <w:p w14:paraId="17123DD8"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31DB3327"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3267"/>
      </w:tblGrid>
      <w:tr w:rsidR="00366CB9" w14:paraId="3D6D7A41" w14:textId="77777777">
        <w:trPr>
          <w:trHeight w:hRule="exact" w:val="826"/>
        </w:trPr>
        <w:tc>
          <w:tcPr>
            <w:tcW w:w="13267" w:type="dxa"/>
            <w:shd w:val="clear" w:color="auto" w:fill="FFFFFF"/>
          </w:tcPr>
          <w:p w14:paraId="41463509" w14:textId="77777777" w:rsidR="00366CB9" w:rsidRDefault="009D0C1D" w:rsidP="00501A18">
            <w:pPr>
              <w:pStyle w:val="a6"/>
              <w:shd w:val="clear" w:color="auto" w:fill="auto"/>
              <w:spacing w:line="334" w:lineRule="auto"/>
              <w:rPr>
                <w:sz w:val="20"/>
                <w:szCs w:val="20"/>
              </w:rPr>
            </w:pPr>
            <w:bookmarkStart w:id="169" w:name="bookmark166"/>
            <w:r>
              <w:rPr>
                <w:color w:val="636466"/>
                <w:sz w:val="24"/>
              </w:rPr>
              <w:t>Рис. 6.2</w:t>
            </w:r>
            <w:r>
              <w:rPr>
                <w:b w:val="0"/>
                <w:color w:val="636466"/>
                <w:sz w:val="24"/>
              </w:rPr>
              <w:t xml:space="preserve">. Алгоритм 1: mWRD як початковий діагностичний тест на ТБ </w:t>
            </w:r>
            <w:r>
              <w:rPr>
                <w:b w:val="0"/>
                <w:color w:val="636466"/>
                <w:sz w:val="20"/>
              </w:rPr>
              <w:t>Виноски є інтерактивними</w:t>
            </w:r>
            <w:bookmarkEnd w:id="169"/>
          </w:p>
        </w:tc>
      </w:tr>
      <w:tr w:rsidR="00366CB9" w14:paraId="5EEF4DE4" w14:textId="77777777" w:rsidTr="00515F9C">
        <w:trPr>
          <w:trHeight w:hRule="exact" w:val="9038"/>
        </w:trPr>
        <w:tc>
          <w:tcPr>
            <w:tcW w:w="13267" w:type="dxa"/>
            <w:shd w:val="clear" w:color="auto" w:fill="FFFFFF"/>
          </w:tcPr>
          <w:p w14:paraId="2BF7DD3E" w14:textId="6F3EA14B" w:rsidR="00366CB9" w:rsidRDefault="00272AC7" w:rsidP="00501A18">
            <w:pPr>
              <w:rPr>
                <w:sz w:val="2"/>
                <w:szCs w:val="2"/>
              </w:rPr>
            </w:pPr>
            <w:r>
              <w:rPr>
                <w:noProof/>
              </w:rPr>
              <mc:AlternateContent>
                <mc:Choice Requires="wps">
                  <w:drawing>
                    <wp:anchor distT="0" distB="0" distL="114300" distR="114300" simplePos="0" relativeHeight="251607040" behindDoc="0" locked="0" layoutInCell="1" allowOverlap="1" wp14:anchorId="69107639" wp14:editId="6508698A">
                      <wp:simplePos x="0" y="0"/>
                      <wp:positionH relativeFrom="column">
                        <wp:posOffset>3993377</wp:posOffset>
                      </wp:positionH>
                      <wp:positionV relativeFrom="paragraph">
                        <wp:posOffset>4595302</wp:posOffset>
                      </wp:positionV>
                      <wp:extent cx="301487" cy="112395"/>
                      <wp:effectExtent l="0" t="0" r="3810" b="1905"/>
                      <wp:wrapNone/>
                      <wp:docPr id="33" name="Прямокутник 32"/>
                      <wp:cNvGraphicFramePr/>
                      <a:graphic xmlns:a="http://schemas.openxmlformats.org/drawingml/2006/main">
                        <a:graphicData uri="http://schemas.microsoft.com/office/word/2010/wordprocessingShape">
                          <wps:wsp>
                            <wps:cNvSpPr/>
                            <wps:spPr>
                              <a:xfrm>
                                <a:off x="0" y="0"/>
                                <a:ext cx="301487" cy="112395"/>
                              </a:xfrm>
                              <a:prstGeom prst="rect">
                                <a:avLst/>
                              </a:prstGeom>
                              <a:solidFill>
                                <a:srgbClr val="FBD4D5"/>
                              </a:solidFill>
                            </wps:spPr>
                            <wps:txbx>
                              <w:txbxContent>
                                <w:p w14:paraId="64317C6F"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LF-LAM</w:t>
                                  </w:r>
                                  <w:r>
                                    <w:rPr>
                                      <w:rFonts w:ascii="Century Gothic" w:hAnsi="Century Gothic"/>
                                      <w:b/>
                                      <w:color w:val="0099D6"/>
                                      <w:sz w:val="12"/>
                                      <w:vertAlign w:val="superscript"/>
                                    </w:rPr>
                                    <w:t>f</w:t>
                                  </w:r>
                                </w:p>
                              </w:txbxContent>
                            </wps:txbx>
                            <wps:bodyPr wrap="square" lIns="0" tIns="0" rIns="0" bIns="0">
                              <a:noAutofit/>
                            </wps:bodyPr>
                          </wps:wsp>
                        </a:graphicData>
                      </a:graphic>
                      <wp14:sizeRelH relativeFrom="margin">
                        <wp14:pctWidth>0</wp14:pctWidth>
                      </wp14:sizeRelH>
                    </wp:anchor>
                  </w:drawing>
                </mc:Choice>
                <mc:Fallback>
                  <w:pict>
                    <v:rect w14:anchorId="69107639" id="Прямокутник 32" o:spid="_x0000_s1239" style="position:absolute;margin-left:314.45pt;margin-top:361.85pt;width:23.75pt;height:8.8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" fillcolor="#fbd4d5" stroked="f">
                      <v:textbox inset="0,0,0,0">
                        <w:txbxContent>
                          <w:p w14:paraId="64317C6F"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LF-LAM</w:t>
                            </w:r>
                            <w:r>
                              <w:rPr>
                                <w:rFonts w:ascii="Century Gothic" w:hAnsi="Century Gothic"/>
                                <w:b/>
                                <w:color w:val="0099D6"/>
                                <w:sz w:val="12"/>
                                <w:vertAlign w:val="superscript"/>
                              </w:rPr>
                              <w:t>f</w:t>
                            </w:r>
                          </w:p>
                        </w:txbxContent>
                      </v:textbox>
                    </v:rect>
                  </w:pict>
                </mc:Fallback>
              </mc:AlternateContent>
            </w:r>
            <w:r>
              <w:rPr>
                <w:noProof/>
              </w:rPr>
              <mc:AlternateContent>
                <mc:Choice Requires="wps">
                  <w:drawing>
                    <wp:anchor distT="0" distB="0" distL="114300" distR="114300" simplePos="0" relativeHeight="251611136" behindDoc="0" locked="0" layoutInCell="1" allowOverlap="1" wp14:anchorId="06F1CEE7" wp14:editId="579B25DB">
                      <wp:simplePos x="0" y="0"/>
                      <wp:positionH relativeFrom="column">
                        <wp:posOffset>4911090</wp:posOffset>
                      </wp:positionH>
                      <wp:positionV relativeFrom="paragraph">
                        <wp:posOffset>4595302</wp:posOffset>
                      </wp:positionV>
                      <wp:extent cx="308113" cy="112395"/>
                      <wp:effectExtent l="0" t="0" r="0" b="1905"/>
                      <wp:wrapNone/>
                      <wp:docPr id="1981495411" name="Прямокутник 36"/>
                      <wp:cNvGraphicFramePr/>
                      <a:graphic xmlns:a="http://schemas.openxmlformats.org/drawingml/2006/main">
                        <a:graphicData uri="http://schemas.microsoft.com/office/word/2010/wordprocessingShape">
                          <wps:wsp>
                            <wps:cNvSpPr/>
                            <wps:spPr>
                              <a:xfrm>
                                <a:off x="0" y="0"/>
                                <a:ext cx="308113" cy="112395"/>
                              </a:xfrm>
                              <a:prstGeom prst="rect">
                                <a:avLst/>
                              </a:prstGeom>
                              <a:solidFill>
                                <a:srgbClr val="F9E4DF"/>
                              </a:solidFill>
                            </wps:spPr>
                            <wps:txbx>
                              <w:txbxContent>
                                <w:p w14:paraId="6C4B819C"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LF-LAM</w:t>
                                  </w:r>
                                  <w:r>
                                    <w:rPr>
                                      <w:rFonts w:ascii="Century Gothic" w:hAnsi="Century Gothic"/>
                                      <w:b/>
                                      <w:color w:val="0099D6"/>
                                      <w:sz w:val="12"/>
                                      <w:vertAlign w:val="superscript"/>
                                    </w:rPr>
                                    <w:t>f</w:t>
                                  </w:r>
                                </w:p>
                              </w:txbxContent>
                            </wps:txbx>
                            <wps:bodyPr wrap="square" lIns="0" tIns="0" rIns="0" bIns="0">
                              <a:noAutofit/>
                            </wps:bodyPr>
                          </wps:wsp>
                        </a:graphicData>
                      </a:graphic>
                      <wp14:sizeRelH relativeFrom="margin">
                        <wp14:pctWidth>0</wp14:pctWidth>
                      </wp14:sizeRelH>
                    </wp:anchor>
                  </w:drawing>
                </mc:Choice>
                <mc:Fallback>
                  <w:pict>
                    <v:rect w14:anchorId="06F1CEE7" id="Прямокутник 36" o:spid="_x0000_s1240" style="position:absolute;margin-left:386.7pt;margin-top:361.85pt;width:24.25pt;height:8.8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" fillcolor="#f9e4df" stroked="f">
                      <v:textbox inset="0,0,0,0">
                        <w:txbxContent>
                          <w:p w14:paraId="6C4B819C"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LF-LAM</w:t>
                            </w:r>
                            <w:r>
                              <w:rPr>
                                <w:rFonts w:ascii="Century Gothic" w:hAnsi="Century Gothic"/>
                                <w:b/>
                                <w:color w:val="0099D6"/>
                                <w:sz w:val="12"/>
                                <w:vertAlign w:val="superscript"/>
                              </w:rPr>
                              <w:t>f</w:t>
                            </w:r>
                          </w:p>
                        </w:txbxContent>
                      </v:textbox>
                    </v:rect>
                  </w:pict>
                </mc:Fallback>
              </mc:AlternateContent>
            </w:r>
            <w:r>
              <w:rPr>
                <w:noProof/>
              </w:rPr>
              <mc:AlternateContent>
                <mc:Choice Requires="wps">
                  <w:drawing>
                    <wp:anchor distT="0" distB="0" distL="114300" distR="114300" simplePos="0" relativeHeight="251613184" behindDoc="0" locked="0" layoutInCell="1" allowOverlap="1" wp14:anchorId="4C1D1FA7" wp14:editId="2576BB30">
                      <wp:simplePos x="0" y="0"/>
                      <wp:positionH relativeFrom="column">
                        <wp:posOffset>5818864</wp:posOffset>
                      </wp:positionH>
                      <wp:positionV relativeFrom="paragraph">
                        <wp:posOffset>4598615</wp:posOffset>
                      </wp:positionV>
                      <wp:extent cx="304800" cy="103367"/>
                      <wp:effectExtent l="0" t="0" r="0" b="0"/>
                      <wp:wrapNone/>
                      <wp:docPr id="39" name="Прямокутник 38"/>
                      <wp:cNvGraphicFramePr/>
                      <a:graphic xmlns:a="http://schemas.openxmlformats.org/drawingml/2006/main">
                        <a:graphicData uri="http://schemas.microsoft.com/office/word/2010/wordprocessingShape">
                          <wps:wsp>
                            <wps:cNvSpPr/>
                            <wps:spPr>
                              <a:xfrm>
                                <a:off x="0" y="0"/>
                                <a:ext cx="304800" cy="103367"/>
                              </a:xfrm>
                              <a:prstGeom prst="rect">
                                <a:avLst/>
                              </a:prstGeom>
                              <a:solidFill>
                                <a:srgbClr val="F9E4DF"/>
                              </a:solidFill>
                            </wps:spPr>
                            <wps:txbx>
                              <w:txbxContent>
                                <w:p w14:paraId="21AD9ED0"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LF-LAM</w:t>
                                  </w:r>
                                  <w:r>
                                    <w:rPr>
                                      <w:rFonts w:ascii="Century Gothic" w:hAnsi="Century Gothic"/>
                                      <w:b/>
                                      <w:color w:val="0099D6"/>
                                      <w:sz w:val="12"/>
                                      <w:vertAlign w:val="superscript"/>
                                    </w:rPr>
                                    <w:t>f</w:t>
                                  </w:r>
                                </w:p>
                              </w:txbxContent>
                            </wps:txbx>
                            <wps:bodyPr wrap="square" lIns="0" tIns="0" rIns="0" bIns="0">
                              <a:noAutofit/>
                            </wps:bodyPr>
                          </wps:wsp>
                        </a:graphicData>
                      </a:graphic>
                      <wp14:sizeRelH relativeFrom="margin">
                        <wp14:pctWidth>0</wp14:pctWidth>
                      </wp14:sizeRelH>
                    </wp:anchor>
                  </w:drawing>
                </mc:Choice>
                <mc:Fallback>
                  <w:pict>
                    <v:rect w14:anchorId="4C1D1FA7" id="Прямокутник 38" o:spid="_x0000_s1241" style="position:absolute;margin-left:458.2pt;margin-top:362.1pt;width:24pt;height:8.1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" fillcolor="#f9e4df" stroked="f">
                      <v:textbox inset="0,0,0,0">
                        <w:txbxContent>
                          <w:p w14:paraId="21AD9ED0"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LF-LAM</w:t>
                            </w:r>
                            <w:r>
                              <w:rPr>
                                <w:rFonts w:ascii="Century Gothic" w:hAnsi="Century Gothic"/>
                                <w:b/>
                                <w:color w:val="0099D6"/>
                                <w:sz w:val="12"/>
                                <w:vertAlign w:val="superscript"/>
                              </w:rPr>
                              <w:t>f</w:t>
                            </w:r>
                          </w:p>
                        </w:txbxContent>
                      </v:textbox>
                    </v:rect>
                  </w:pict>
                </mc:Fallback>
              </mc:AlternateContent>
            </w:r>
            <w:r>
              <w:rPr>
                <w:noProof/>
              </w:rPr>
              <mc:AlternateContent>
                <mc:Choice Requires="wps">
                  <w:drawing>
                    <wp:anchor distT="0" distB="0" distL="114300" distR="114300" simplePos="0" relativeHeight="251626496" behindDoc="0" locked="0" layoutInCell="1" allowOverlap="1" wp14:anchorId="4B486DA8" wp14:editId="25F1C51C">
                      <wp:simplePos x="0" y="0"/>
                      <wp:positionH relativeFrom="column">
                        <wp:posOffset>7611220</wp:posOffset>
                      </wp:positionH>
                      <wp:positionV relativeFrom="paragraph">
                        <wp:posOffset>4466093</wp:posOffset>
                      </wp:positionV>
                      <wp:extent cx="337931" cy="109220"/>
                      <wp:effectExtent l="0" t="0" r="5080" b="5080"/>
                      <wp:wrapNone/>
                      <wp:docPr id="52" name="Прямокутник 51"/>
                      <wp:cNvGraphicFramePr/>
                      <a:graphic xmlns:a="http://schemas.openxmlformats.org/drawingml/2006/main">
                        <a:graphicData uri="http://schemas.microsoft.com/office/word/2010/wordprocessingShape">
                          <wps:wsp>
                            <wps:cNvSpPr/>
                            <wps:spPr>
                              <a:xfrm>
                                <a:off x="0" y="0"/>
                                <a:ext cx="337931" cy="109220"/>
                              </a:xfrm>
                              <a:prstGeom prst="rect">
                                <a:avLst/>
                              </a:prstGeom>
                              <a:solidFill>
                                <a:srgbClr val="B3B4B5"/>
                              </a:solidFill>
                            </wps:spPr>
                            <wps:txbx>
                              <w:txbxContent>
                                <w:p w14:paraId="6606786F"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LF-LAM</w:t>
                                  </w:r>
                                  <w:r>
                                    <w:rPr>
                                      <w:rFonts w:ascii="Century Gothic" w:hAnsi="Century Gothic"/>
                                      <w:b/>
                                      <w:color w:val="0099D6"/>
                                      <w:sz w:val="12"/>
                                      <w:vertAlign w:val="superscript"/>
                                    </w:rPr>
                                    <w:t>f</w:t>
                                  </w:r>
                                </w:p>
                              </w:txbxContent>
                            </wps:txbx>
                            <wps:bodyPr wrap="square" lIns="0" tIns="0" rIns="0" bIns="0">
                              <a:noAutofit/>
                            </wps:bodyPr>
                          </wps:wsp>
                        </a:graphicData>
                      </a:graphic>
                      <wp14:sizeRelH relativeFrom="margin">
                        <wp14:pctWidth>0</wp14:pctWidth>
                      </wp14:sizeRelH>
                    </wp:anchor>
                  </w:drawing>
                </mc:Choice>
                <mc:Fallback>
                  <w:pict>
                    <v:rect w14:anchorId="4B486DA8" id="Прямокутник 51" o:spid="_x0000_s1242" style="position:absolute;margin-left:599.3pt;margin-top:351.65pt;width:26.6pt;height:8.6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" fillcolor="#b3b4b5" stroked="f">
                      <v:textbox inset="0,0,0,0">
                        <w:txbxContent>
                          <w:p w14:paraId="6606786F"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LF-LAM</w:t>
                            </w:r>
                            <w:r>
                              <w:rPr>
                                <w:rFonts w:ascii="Century Gothic" w:hAnsi="Century Gothic"/>
                                <w:b/>
                                <w:color w:val="0099D6"/>
                                <w:sz w:val="12"/>
                                <w:vertAlign w:val="superscript"/>
                              </w:rPr>
                              <w:t>f</w:t>
                            </w:r>
                          </w:p>
                        </w:txbxContent>
                      </v:textbox>
                    </v:rect>
                  </w:pict>
                </mc:Fallback>
              </mc:AlternateContent>
            </w:r>
            <w:r>
              <w:rPr>
                <w:noProof/>
              </w:rPr>
              <mc:AlternateContent>
                <mc:Choice Requires="wps">
                  <w:drawing>
                    <wp:anchor distT="0" distB="0" distL="114300" distR="114300" simplePos="0" relativeHeight="251621376" behindDoc="0" locked="0" layoutInCell="1" allowOverlap="1" wp14:anchorId="1CD64B97" wp14:editId="09C6413E">
                      <wp:simplePos x="0" y="0"/>
                      <wp:positionH relativeFrom="column">
                        <wp:posOffset>6703447</wp:posOffset>
                      </wp:positionH>
                      <wp:positionV relativeFrom="paragraph">
                        <wp:posOffset>4595302</wp:posOffset>
                      </wp:positionV>
                      <wp:extent cx="314739" cy="106680"/>
                      <wp:effectExtent l="0" t="0" r="9525" b="7620"/>
                      <wp:wrapNone/>
                      <wp:docPr id="1687031056" name="Прямокутник 46"/>
                      <wp:cNvGraphicFramePr/>
                      <a:graphic xmlns:a="http://schemas.openxmlformats.org/drawingml/2006/main">
                        <a:graphicData uri="http://schemas.microsoft.com/office/word/2010/wordprocessingShape">
                          <wps:wsp>
                            <wps:cNvSpPr/>
                            <wps:spPr>
                              <a:xfrm>
                                <a:off x="0" y="0"/>
                                <a:ext cx="314739" cy="106680"/>
                              </a:xfrm>
                              <a:prstGeom prst="rect">
                                <a:avLst/>
                              </a:prstGeom>
                              <a:solidFill>
                                <a:srgbClr val="CFC2D2"/>
                              </a:solidFill>
                            </wps:spPr>
                            <wps:txbx>
                              <w:txbxContent>
                                <w:p w14:paraId="1D693046"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LF-LAM</w:t>
                                  </w:r>
                                  <w:r>
                                    <w:rPr>
                                      <w:rFonts w:ascii="Century Gothic" w:hAnsi="Century Gothic"/>
                                      <w:b/>
                                      <w:color w:val="0099D6"/>
                                      <w:sz w:val="12"/>
                                      <w:vertAlign w:val="superscript"/>
                                    </w:rPr>
                                    <w:t>f</w:t>
                                  </w:r>
                                </w:p>
                              </w:txbxContent>
                            </wps:txbx>
                            <wps:bodyPr wrap="square" lIns="0" tIns="0" rIns="0" bIns="0">
                              <a:noAutofit/>
                            </wps:bodyPr>
                          </wps:wsp>
                        </a:graphicData>
                      </a:graphic>
                      <wp14:sizeRelH relativeFrom="margin">
                        <wp14:pctWidth>0</wp14:pctWidth>
                      </wp14:sizeRelH>
                    </wp:anchor>
                  </w:drawing>
                </mc:Choice>
                <mc:Fallback>
                  <w:pict>
                    <v:rect w14:anchorId="1CD64B97" id="Прямокутник 46" o:spid="_x0000_s1243" style="position:absolute;margin-left:527.85pt;margin-top:361.85pt;width:24.8pt;height:8.4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" fillcolor="#cfc2d2" stroked="f">
                      <v:textbox inset="0,0,0,0">
                        <w:txbxContent>
                          <w:p w14:paraId="1D693046"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LF-LAM</w:t>
                            </w:r>
                            <w:r>
                              <w:rPr>
                                <w:rFonts w:ascii="Century Gothic" w:hAnsi="Century Gothic"/>
                                <w:b/>
                                <w:color w:val="0099D6"/>
                                <w:sz w:val="12"/>
                                <w:vertAlign w:val="superscript"/>
                              </w:rPr>
                              <w:t>f</w:t>
                            </w:r>
                          </w:p>
                        </w:txbxContent>
                      </v:textbox>
                    </v:rect>
                  </w:pict>
                </mc:Fallback>
              </mc:AlternateContent>
            </w:r>
            <w:r>
              <w:rPr>
                <w:noProof/>
              </w:rPr>
              <mc:AlternateContent>
                <mc:Choice Requires="wps">
                  <w:drawing>
                    <wp:anchor distT="0" distB="0" distL="114300" distR="114300" simplePos="0" relativeHeight="251627520" behindDoc="0" locked="0" layoutInCell="1" allowOverlap="1" wp14:anchorId="02C6305F" wp14:editId="45443092">
                      <wp:simplePos x="0" y="0"/>
                      <wp:positionH relativeFrom="column">
                        <wp:posOffset>7581402</wp:posOffset>
                      </wp:positionH>
                      <wp:positionV relativeFrom="paragraph">
                        <wp:posOffset>5513015</wp:posOffset>
                      </wp:positionV>
                      <wp:extent cx="249859" cy="122555"/>
                      <wp:effectExtent l="0" t="0" r="0" b="0"/>
                      <wp:wrapNone/>
                      <wp:docPr id="53" name="Прямокутник 52"/>
                      <wp:cNvGraphicFramePr/>
                      <a:graphic xmlns:a="http://schemas.openxmlformats.org/drawingml/2006/main">
                        <a:graphicData uri="http://schemas.microsoft.com/office/word/2010/wordprocessingShape">
                          <wps:wsp>
                            <wps:cNvSpPr/>
                            <wps:spPr>
                              <a:xfrm>
                                <a:off x="0" y="0"/>
                                <a:ext cx="249859" cy="122555"/>
                              </a:xfrm>
                              <a:prstGeom prst="rect">
                                <a:avLst/>
                              </a:prstGeom>
                              <a:solidFill>
                                <a:srgbClr val="B3B4B5"/>
                              </a:solidFill>
                            </wps:spPr>
                            <wps:txbx>
                              <w:txbxContent>
                                <w:p w14:paraId="371A309C" w14:textId="77777777" w:rsidR="009D0C1D" w:rsidRDefault="009D0C1D" w:rsidP="00272AC7">
                                  <w:pPr>
                                    <w:rPr>
                                      <w:rFonts w:ascii="Century Gothic" w:hAnsi="Century Gothic"/>
                                      <w:b/>
                                      <w:color w:val="343533"/>
                                      <w:sz w:val="6"/>
                                      <w:szCs w:val="18"/>
                                    </w:rPr>
                                  </w:pPr>
                                  <w:r w:rsidRPr="002E2F4B">
                                    <w:rPr>
                                      <w:rFonts w:ascii="Century Gothic" w:hAnsi="Century Gothic"/>
                                      <w:b/>
                                      <w:color w:val="343533"/>
                                      <w:sz w:val="6"/>
                                      <w:szCs w:val="18"/>
                                    </w:rPr>
                                    <w:t>Дотри</w:t>
                                  </w:r>
                                  <w:r>
                                    <w:rPr>
                                      <w:rFonts w:ascii="Century Gothic" w:hAnsi="Century Gothic"/>
                                      <w:b/>
                                      <w:color w:val="343533"/>
                                      <w:sz w:val="6"/>
                                      <w:szCs w:val="18"/>
                                    </w:rPr>
                                    <w:t>-</w:t>
                                  </w:r>
                                </w:p>
                                <w:p w14:paraId="02C7B18F" w14:textId="77777777" w:rsidR="009D0C1D" w:rsidRPr="002E2F4B" w:rsidRDefault="009D0C1D" w:rsidP="00272AC7">
                                  <w:pPr>
                                    <w:rPr>
                                      <w:rFonts w:ascii="Century Gothic" w:hAnsi="Century Gothic" w:cstheme="minorBidi"/>
                                      <w:b/>
                                      <w:bCs/>
                                      <w:color w:val="343533"/>
                                      <w:kern w:val="24"/>
                                      <w:sz w:val="6"/>
                                      <w:szCs w:val="6"/>
                                    </w:rPr>
                                  </w:pPr>
                                  <w:r w:rsidRPr="002E2F4B">
                                    <w:rPr>
                                      <w:rFonts w:ascii="Century Gothic" w:hAnsi="Century Gothic"/>
                                      <w:b/>
                                      <w:color w:val="343533"/>
                                      <w:sz w:val="6"/>
                                      <w:szCs w:val="18"/>
                                    </w:rPr>
                                    <w:t>муватися</w:t>
                                  </w:r>
                                </w:p>
                                <w:p w14:paraId="4013D2F6" w14:textId="61132909" w:rsidR="009D0C1D" w:rsidRDefault="009D0C1D" w:rsidP="004F6FB8">
                                  <w:pPr>
                                    <w:rPr>
                                      <w:rFonts w:ascii="Century Gothic" w:hAnsi="Century Gothic" w:cstheme="minorBidi"/>
                                      <w:b/>
                                      <w:bCs/>
                                      <w:color w:val="343533"/>
                                      <w:kern w:val="24"/>
                                      <w:sz w:val="12"/>
                                      <w:szCs w:val="1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2C6305F" id="Прямокутник 52" o:spid="_x0000_s1244" style="position:absolute;margin-left:596.95pt;margin-top:434.1pt;width:19.65pt;height:9.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" fillcolor="#b3b4b5" stroked="f">
                      <v:textbox inset="0,0,0,0">
                        <w:txbxContent>
                          <w:p w14:paraId="371A309C" w14:textId="77777777" w:rsidR="009D0C1D" w:rsidRDefault="009D0C1D" w:rsidP="00272AC7">
                            <w:pPr>
                              <w:rPr>
                                <w:rFonts w:ascii="Century Gothic" w:hAnsi="Century Gothic"/>
                                <w:b/>
                                <w:color w:val="343533"/>
                                <w:sz w:val="6"/>
                                <w:szCs w:val="18"/>
                              </w:rPr>
                            </w:pPr>
                            <w:r w:rsidRPr="002E2F4B">
                              <w:rPr>
                                <w:rFonts w:ascii="Century Gothic" w:hAnsi="Century Gothic"/>
                                <w:b/>
                                <w:color w:val="343533"/>
                                <w:sz w:val="6"/>
                                <w:szCs w:val="18"/>
                              </w:rPr>
                              <w:t>Дотри</w:t>
                            </w:r>
                            <w:r>
                              <w:rPr>
                                <w:rFonts w:ascii="Century Gothic" w:hAnsi="Century Gothic"/>
                                <w:b/>
                                <w:color w:val="343533"/>
                                <w:sz w:val="6"/>
                                <w:szCs w:val="18"/>
                              </w:rPr>
                              <w:t>-</w:t>
                            </w:r>
                          </w:p>
                          <w:p w14:paraId="02C7B18F" w14:textId="77777777" w:rsidR="009D0C1D" w:rsidRPr="002E2F4B" w:rsidRDefault="009D0C1D" w:rsidP="00272AC7">
                            <w:pPr>
                              <w:rPr>
                                <w:rFonts w:ascii="Century Gothic" w:hAnsi="Century Gothic" w:cstheme="minorBidi"/>
                                <w:b/>
                                <w:bCs/>
                                <w:color w:val="343533"/>
                                <w:kern w:val="24"/>
                                <w:sz w:val="6"/>
                                <w:szCs w:val="6"/>
                              </w:rPr>
                            </w:pPr>
                            <w:r w:rsidRPr="002E2F4B">
                              <w:rPr>
                                <w:rFonts w:ascii="Century Gothic" w:hAnsi="Century Gothic"/>
                                <w:b/>
                                <w:color w:val="343533"/>
                                <w:sz w:val="6"/>
                                <w:szCs w:val="18"/>
                              </w:rPr>
                              <w:t>муватися</w:t>
                            </w:r>
                          </w:p>
                          <w:p w14:paraId="4013D2F6" w14:textId="61132909" w:rsidR="009D0C1D" w:rsidRDefault="009D0C1D" w:rsidP="004F6FB8">
                            <w:pPr>
                              <w:rPr>
                                <w:rFonts w:ascii="Century Gothic" w:hAnsi="Century Gothic" w:cstheme="minorBidi"/>
                                <w:b/>
                                <w:bCs/>
                                <w:color w:val="343533"/>
                                <w:kern w:val="24"/>
                                <w:sz w:val="12"/>
                                <w:szCs w:val="12"/>
                              </w:rPr>
                            </w:pPr>
                          </w:p>
                        </w:txbxContent>
                      </v:textbox>
                    </v:rect>
                  </w:pict>
                </mc:Fallback>
              </mc:AlternateContent>
            </w:r>
            <w:r w:rsidR="002E2F4B">
              <w:rPr>
                <w:noProof/>
              </w:rPr>
              <mc:AlternateContent>
                <mc:Choice Requires="wps">
                  <w:drawing>
                    <wp:anchor distT="0" distB="0" distL="114300" distR="114300" simplePos="0" relativeHeight="251624448" behindDoc="0" locked="0" layoutInCell="1" allowOverlap="1" wp14:anchorId="0480CEC7" wp14:editId="06D2D611">
                      <wp:simplePos x="0" y="0"/>
                      <wp:positionH relativeFrom="column">
                        <wp:posOffset>6680255</wp:posOffset>
                      </wp:positionH>
                      <wp:positionV relativeFrom="paragraph">
                        <wp:posOffset>5513014</wp:posOffset>
                      </wp:positionV>
                      <wp:extent cx="274983" cy="122555"/>
                      <wp:effectExtent l="0" t="0" r="0" b="0"/>
                      <wp:wrapNone/>
                      <wp:docPr id="50" name="Прямокутник 49"/>
                      <wp:cNvGraphicFramePr/>
                      <a:graphic xmlns:a="http://schemas.openxmlformats.org/drawingml/2006/main">
                        <a:graphicData uri="http://schemas.microsoft.com/office/word/2010/wordprocessingShape">
                          <wps:wsp>
                            <wps:cNvSpPr/>
                            <wps:spPr>
                              <a:xfrm>
                                <a:off x="0" y="0"/>
                                <a:ext cx="274983" cy="122555"/>
                              </a:xfrm>
                              <a:prstGeom prst="rect">
                                <a:avLst/>
                              </a:prstGeom>
                              <a:solidFill>
                                <a:srgbClr val="CFC2D2"/>
                              </a:solidFill>
                            </wps:spPr>
                            <wps:txbx>
                              <w:txbxContent>
                                <w:p w14:paraId="3F624EE2" w14:textId="77777777" w:rsidR="009D0C1D" w:rsidRDefault="009D0C1D" w:rsidP="002E2F4B">
                                  <w:pPr>
                                    <w:rPr>
                                      <w:rFonts w:ascii="Century Gothic" w:hAnsi="Century Gothic"/>
                                      <w:b/>
                                      <w:color w:val="343533"/>
                                      <w:sz w:val="6"/>
                                      <w:szCs w:val="18"/>
                                    </w:rPr>
                                  </w:pPr>
                                  <w:r w:rsidRPr="002E2F4B">
                                    <w:rPr>
                                      <w:rFonts w:ascii="Century Gothic" w:hAnsi="Century Gothic"/>
                                      <w:b/>
                                      <w:color w:val="343533"/>
                                      <w:sz w:val="6"/>
                                      <w:szCs w:val="18"/>
                                    </w:rPr>
                                    <w:t>Дотри</w:t>
                                  </w:r>
                                  <w:r>
                                    <w:rPr>
                                      <w:rFonts w:ascii="Century Gothic" w:hAnsi="Century Gothic"/>
                                      <w:b/>
                                      <w:color w:val="343533"/>
                                      <w:sz w:val="6"/>
                                      <w:szCs w:val="18"/>
                                    </w:rPr>
                                    <w:t>-</w:t>
                                  </w:r>
                                </w:p>
                                <w:p w14:paraId="397910B7" w14:textId="77777777" w:rsidR="009D0C1D" w:rsidRPr="002E2F4B" w:rsidRDefault="009D0C1D" w:rsidP="002E2F4B">
                                  <w:pPr>
                                    <w:rPr>
                                      <w:rFonts w:ascii="Century Gothic" w:hAnsi="Century Gothic" w:cstheme="minorBidi"/>
                                      <w:b/>
                                      <w:bCs/>
                                      <w:color w:val="343533"/>
                                      <w:kern w:val="24"/>
                                      <w:sz w:val="6"/>
                                      <w:szCs w:val="6"/>
                                    </w:rPr>
                                  </w:pPr>
                                  <w:r w:rsidRPr="002E2F4B">
                                    <w:rPr>
                                      <w:rFonts w:ascii="Century Gothic" w:hAnsi="Century Gothic"/>
                                      <w:b/>
                                      <w:color w:val="343533"/>
                                      <w:sz w:val="6"/>
                                      <w:szCs w:val="18"/>
                                    </w:rPr>
                                    <w:t>муватися</w:t>
                                  </w:r>
                                </w:p>
                                <w:p w14:paraId="2D324E2B" w14:textId="0969EAD3" w:rsidR="009D0C1D" w:rsidRDefault="009D0C1D" w:rsidP="004F6FB8">
                                  <w:pPr>
                                    <w:rPr>
                                      <w:rFonts w:ascii="Century Gothic" w:hAnsi="Century Gothic" w:cstheme="minorBidi"/>
                                      <w:b/>
                                      <w:bCs/>
                                      <w:color w:val="343533"/>
                                      <w:kern w:val="24"/>
                                      <w:sz w:val="12"/>
                                      <w:szCs w:val="1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480CEC7" id="Прямокутник 49" o:spid="_x0000_s1245" style="position:absolute;margin-left:526pt;margin-top:434.1pt;width:21.65pt;height:9.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" fillcolor="#cfc2d2" stroked="f">
                      <v:textbox inset="0,0,0,0">
                        <w:txbxContent>
                          <w:p w14:paraId="3F624EE2" w14:textId="77777777" w:rsidR="009D0C1D" w:rsidRDefault="009D0C1D" w:rsidP="002E2F4B">
                            <w:pPr>
                              <w:rPr>
                                <w:rFonts w:ascii="Century Gothic" w:hAnsi="Century Gothic"/>
                                <w:b/>
                                <w:color w:val="343533"/>
                                <w:sz w:val="6"/>
                                <w:szCs w:val="18"/>
                              </w:rPr>
                            </w:pPr>
                            <w:r w:rsidRPr="002E2F4B">
                              <w:rPr>
                                <w:rFonts w:ascii="Century Gothic" w:hAnsi="Century Gothic"/>
                                <w:b/>
                                <w:color w:val="343533"/>
                                <w:sz w:val="6"/>
                                <w:szCs w:val="18"/>
                              </w:rPr>
                              <w:t>Дотри</w:t>
                            </w:r>
                            <w:r>
                              <w:rPr>
                                <w:rFonts w:ascii="Century Gothic" w:hAnsi="Century Gothic"/>
                                <w:b/>
                                <w:color w:val="343533"/>
                                <w:sz w:val="6"/>
                                <w:szCs w:val="18"/>
                              </w:rPr>
                              <w:t>-</w:t>
                            </w:r>
                          </w:p>
                          <w:p w14:paraId="397910B7" w14:textId="77777777" w:rsidR="009D0C1D" w:rsidRPr="002E2F4B" w:rsidRDefault="009D0C1D" w:rsidP="002E2F4B">
                            <w:pPr>
                              <w:rPr>
                                <w:rFonts w:ascii="Century Gothic" w:hAnsi="Century Gothic" w:cstheme="minorBidi"/>
                                <w:b/>
                                <w:bCs/>
                                <w:color w:val="343533"/>
                                <w:kern w:val="24"/>
                                <w:sz w:val="6"/>
                                <w:szCs w:val="6"/>
                              </w:rPr>
                            </w:pPr>
                            <w:r w:rsidRPr="002E2F4B">
                              <w:rPr>
                                <w:rFonts w:ascii="Century Gothic" w:hAnsi="Century Gothic"/>
                                <w:b/>
                                <w:color w:val="343533"/>
                                <w:sz w:val="6"/>
                                <w:szCs w:val="18"/>
                              </w:rPr>
                              <w:t>муватися</w:t>
                            </w:r>
                          </w:p>
                          <w:p w14:paraId="2D324E2B" w14:textId="0969EAD3" w:rsidR="009D0C1D" w:rsidRDefault="009D0C1D" w:rsidP="004F6FB8">
                            <w:pPr>
                              <w:rPr>
                                <w:rFonts w:ascii="Century Gothic" w:hAnsi="Century Gothic" w:cstheme="minorBidi"/>
                                <w:b/>
                                <w:bCs/>
                                <w:color w:val="343533"/>
                                <w:kern w:val="24"/>
                                <w:sz w:val="12"/>
                                <w:szCs w:val="12"/>
                              </w:rPr>
                            </w:pPr>
                          </w:p>
                        </w:txbxContent>
                      </v:textbox>
                    </v:rect>
                  </w:pict>
                </mc:Fallback>
              </mc:AlternateContent>
            </w:r>
            <w:r w:rsidR="002E2F4B">
              <w:rPr>
                <w:noProof/>
              </w:rPr>
              <mc:AlternateContent>
                <mc:Choice Requires="wps">
                  <w:drawing>
                    <wp:anchor distT="0" distB="0" distL="114300" distR="114300" simplePos="0" relativeHeight="251618304" behindDoc="0" locked="0" layoutInCell="1" allowOverlap="1" wp14:anchorId="1D356B71" wp14:editId="6C3FFB5A">
                      <wp:simplePos x="0" y="0"/>
                      <wp:positionH relativeFrom="column">
                        <wp:posOffset>5364977</wp:posOffset>
                      </wp:positionH>
                      <wp:positionV relativeFrom="paragraph">
                        <wp:posOffset>5513015</wp:posOffset>
                      </wp:positionV>
                      <wp:extent cx="258417" cy="122582"/>
                      <wp:effectExtent l="0" t="0" r="8890" b="0"/>
                      <wp:wrapNone/>
                      <wp:docPr id="44" name="Прямокутник 43"/>
                      <wp:cNvGraphicFramePr/>
                      <a:graphic xmlns:a="http://schemas.openxmlformats.org/drawingml/2006/main">
                        <a:graphicData uri="http://schemas.microsoft.com/office/word/2010/wordprocessingShape">
                          <wps:wsp>
                            <wps:cNvSpPr/>
                            <wps:spPr>
                              <a:xfrm>
                                <a:off x="0" y="0"/>
                                <a:ext cx="258417" cy="122582"/>
                              </a:xfrm>
                              <a:prstGeom prst="rect">
                                <a:avLst/>
                              </a:prstGeom>
                              <a:solidFill>
                                <a:srgbClr val="F9E4DF"/>
                              </a:solidFill>
                            </wps:spPr>
                            <wps:txbx>
                              <w:txbxContent>
                                <w:p w14:paraId="021CB424" w14:textId="77777777" w:rsidR="009D0C1D" w:rsidRDefault="009D0C1D" w:rsidP="002E2F4B">
                                  <w:pPr>
                                    <w:rPr>
                                      <w:rFonts w:ascii="Century Gothic" w:hAnsi="Century Gothic"/>
                                      <w:b/>
                                      <w:color w:val="343533"/>
                                      <w:sz w:val="6"/>
                                      <w:szCs w:val="18"/>
                                    </w:rPr>
                                  </w:pPr>
                                  <w:r w:rsidRPr="002E2F4B">
                                    <w:rPr>
                                      <w:rFonts w:ascii="Century Gothic" w:hAnsi="Century Gothic"/>
                                      <w:b/>
                                      <w:color w:val="343533"/>
                                      <w:sz w:val="6"/>
                                      <w:szCs w:val="18"/>
                                    </w:rPr>
                                    <w:t>Дотри</w:t>
                                  </w:r>
                                  <w:r>
                                    <w:rPr>
                                      <w:rFonts w:ascii="Century Gothic" w:hAnsi="Century Gothic"/>
                                      <w:b/>
                                      <w:color w:val="343533"/>
                                      <w:sz w:val="6"/>
                                      <w:szCs w:val="18"/>
                                    </w:rPr>
                                    <w:t>-</w:t>
                                  </w:r>
                                </w:p>
                                <w:p w14:paraId="22377703" w14:textId="77777777" w:rsidR="009D0C1D" w:rsidRPr="002E2F4B" w:rsidRDefault="009D0C1D" w:rsidP="002E2F4B">
                                  <w:pPr>
                                    <w:rPr>
                                      <w:rFonts w:ascii="Century Gothic" w:hAnsi="Century Gothic" w:cstheme="minorBidi"/>
                                      <w:b/>
                                      <w:bCs/>
                                      <w:color w:val="343533"/>
                                      <w:kern w:val="24"/>
                                      <w:sz w:val="6"/>
                                      <w:szCs w:val="6"/>
                                    </w:rPr>
                                  </w:pPr>
                                  <w:r w:rsidRPr="002E2F4B">
                                    <w:rPr>
                                      <w:rFonts w:ascii="Century Gothic" w:hAnsi="Century Gothic"/>
                                      <w:b/>
                                      <w:color w:val="343533"/>
                                      <w:sz w:val="6"/>
                                      <w:szCs w:val="18"/>
                                    </w:rPr>
                                    <w:t>муватися</w:t>
                                  </w:r>
                                </w:p>
                                <w:p w14:paraId="58092C0D" w14:textId="21277769" w:rsidR="009D0C1D" w:rsidRDefault="009D0C1D" w:rsidP="004F6FB8">
                                  <w:pPr>
                                    <w:jc w:val="right"/>
                                    <w:rPr>
                                      <w:rFonts w:ascii="Century Gothic" w:hAnsi="Century Gothic" w:cstheme="minorBidi"/>
                                      <w:b/>
                                      <w:bCs/>
                                      <w:color w:val="343533"/>
                                      <w:kern w:val="24"/>
                                      <w:sz w:val="12"/>
                                      <w:szCs w:val="1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D356B71" id="Прямокутник 43" o:spid="_x0000_s1246" style="position:absolute;margin-left:422.45pt;margin-top:434.1pt;width:20.35pt;height:9.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" fillcolor="#f9e4df" stroked="f">
                      <v:textbox inset="0,0,0,0">
                        <w:txbxContent>
                          <w:p w14:paraId="021CB424" w14:textId="77777777" w:rsidR="009D0C1D" w:rsidRDefault="009D0C1D" w:rsidP="002E2F4B">
                            <w:pPr>
                              <w:rPr>
                                <w:rFonts w:ascii="Century Gothic" w:hAnsi="Century Gothic"/>
                                <w:b/>
                                <w:color w:val="343533"/>
                                <w:sz w:val="6"/>
                                <w:szCs w:val="18"/>
                              </w:rPr>
                            </w:pPr>
                            <w:r w:rsidRPr="002E2F4B">
                              <w:rPr>
                                <w:rFonts w:ascii="Century Gothic" w:hAnsi="Century Gothic"/>
                                <w:b/>
                                <w:color w:val="343533"/>
                                <w:sz w:val="6"/>
                                <w:szCs w:val="18"/>
                              </w:rPr>
                              <w:t>Дотри</w:t>
                            </w:r>
                            <w:r>
                              <w:rPr>
                                <w:rFonts w:ascii="Century Gothic" w:hAnsi="Century Gothic"/>
                                <w:b/>
                                <w:color w:val="343533"/>
                                <w:sz w:val="6"/>
                                <w:szCs w:val="18"/>
                              </w:rPr>
                              <w:t>-</w:t>
                            </w:r>
                          </w:p>
                          <w:p w14:paraId="22377703" w14:textId="77777777" w:rsidR="009D0C1D" w:rsidRPr="002E2F4B" w:rsidRDefault="009D0C1D" w:rsidP="002E2F4B">
                            <w:pPr>
                              <w:rPr>
                                <w:rFonts w:ascii="Century Gothic" w:hAnsi="Century Gothic" w:cstheme="minorBidi"/>
                                <w:b/>
                                <w:bCs/>
                                <w:color w:val="343533"/>
                                <w:kern w:val="24"/>
                                <w:sz w:val="6"/>
                                <w:szCs w:val="6"/>
                              </w:rPr>
                            </w:pPr>
                            <w:r w:rsidRPr="002E2F4B">
                              <w:rPr>
                                <w:rFonts w:ascii="Century Gothic" w:hAnsi="Century Gothic"/>
                                <w:b/>
                                <w:color w:val="343533"/>
                                <w:sz w:val="6"/>
                                <w:szCs w:val="18"/>
                              </w:rPr>
                              <w:t>муватися</w:t>
                            </w:r>
                          </w:p>
                          <w:p w14:paraId="58092C0D" w14:textId="21277769" w:rsidR="009D0C1D" w:rsidRDefault="009D0C1D" w:rsidP="004F6FB8">
                            <w:pPr>
                              <w:jc w:val="right"/>
                              <w:rPr>
                                <w:rFonts w:ascii="Century Gothic" w:hAnsi="Century Gothic" w:cstheme="minorBidi"/>
                                <w:b/>
                                <w:bCs/>
                                <w:color w:val="343533"/>
                                <w:kern w:val="24"/>
                                <w:sz w:val="12"/>
                                <w:szCs w:val="12"/>
                              </w:rPr>
                            </w:pPr>
                          </w:p>
                        </w:txbxContent>
                      </v:textbox>
                    </v:rect>
                  </w:pict>
                </mc:Fallback>
              </mc:AlternateContent>
            </w:r>
            <w:r w:rsidR="002E2F4B">
              <w:rPr>
                <w:noProof/>
              </w:rPr>
              <mc:AlternateContent>
                <mc:Choice Requires="wps">
                  <w:drawing>
                    <wp:anchor distT="0" distB="0" distL="114300" distR="114300" simplePos="0" relativeHeight="251610112" behindDoc="0" locked="0" layoutInCell="1" allowOverlap="1" wp14:anchorId="091485A5" wp14:editId="3B9A1514">
                      <wp:simplePos x="0" y="0"/>
                      <wp:positionH relativeFrom="column">
                        <wp:posOffset>3963560</wp:posOffset>
                      </wp:positionH>
                      <wp:positionV relativeFrom="paragraph">
                        <wp:posOffset>5532893</wp:posOffset>
                      </wp:positionV>
                      <wp:extent cx="266230" cy="149087"/>
                      <wp:effectExtent l="0" t="0" r="635" b="3810"/>
                      <wp:wrapNone/>
                      <wp:docPr id="1887315357" name="Прямокутник 35"/>
                      <wp:cNvGraphicFramePr/>
                      <a:graphic xmlns:a="http://schemas.openxmlformats.org/drawingml/2006/main">
                        <a:graphicData uri="http://schemas.microsoft.com/office/word/2010/wordprocessingShape">
                          <wps:wsp>
                            <wps:cNvSpPr/>
                            <wps:spPr>
                              <a:xfrm>
                                <a:off x="0" y="0"/>
                                <a:ext cx="266230" cy="149087"/>
                              </a:xfrm>
                              <a:prstGeom prst="rect">
                                <a:avLst/>
                              </a:prstGeom>
                              <a:solidFill>
                                <a:srgbClr val="FBD4D5"/>
                              </a:solidFill>
                            </wps:spPr>
                            <wps:txbx>
                              <w:txbxContent>
                                <w:p w14:paraId="1FCAB280" w14:textId="77777777" w:rsidR="009D0C1D" w:rsidRDefault="009D0C1D" w:rsidP="002E2F4B">
                                  <w:pPr>
                                    <w:rPr>
                                      <w:rFonts w:ascii="Century Gothic" w:hAnsi="Century Gothic"/>
                                      <w:b/>
                                      <w:color w:val="343533"/>
                                      <w:sz w:val="6"/>
                                      <w:szCs w:val="18"/>
                                    </w:rPr>
                                  </w:pPr>
                                  <w:r w:rsidRPr="002E2F4B">
                                    <w:rPr>
                                      <w:rFonts w:ascii="Century Gothic" w:hAnsi="Century Gothic"/>
                                      <w:b/>
                                      <w:color w:val="343533"/>
                                      <w:sz w:val="6"/>
                                      <w:szCs w:val="18"/>
                                    </w:rPr>
                                    <w:t>Дотри</w:t>
                                  </w:r>
                                  <w:r>
                                    <w:rPr>
                                      <w:rFonts w:ascii="Century Gothic" w:hAnsi="Century Gothic"/>
                                      <w:b/>
                                      <w:color w:val="343533"/>
                                      <w:sz w:val="6"/>
                                      <w:szCs w:val="18"/>
                                    </w:rPr>
                                    <w:t>-</w:t>
                                  </w:r>
                                </w:p>
                                <w:p w14:paraId="3E2E889B" w14:textId="77777777" w:rsidR="009D0C1D" w:rsidRPr="002E2F4B" w:rsidRDefault="009D0C1D" w:rsidP="002E2F4B">
                                  <w:pPr>
                                    <w:rPr>
                                      <w:rFonts w:ascii="Century Gothic" w:hAnsi="Century Gothic" w:cstheme="minorBidi"/>
                                      <w:b/>
                                      <w:bCs/>
                                      <w:color w:val="343533"/>
                                      <w:kern w:val="24"/>
                                      <w:sz w:val="6"/>
                                      <w:szCs w:val="6"/>
                                    </w:rPr>
                                  </w:pPr>
                                  <w:r w:rsidRPr="002E2F4B">
                                    <w:rPr>
                                      <w:rFonts w:ascii="Century Gothic" w:hAnsi="Century Gothic"/>
                                      <w:b/>
                                      <w:color w:val="343533"/>
                                      <w:sz w:val="6"/>
                                      <w:szCs w:val="18"/>
                                    </w:rPr>
                                    <w:t>муватися</w:t>
                                  </w:r>
                                </w:p>
                                <w:p w14:paraId="11C3B03D" w14:textId="1BDD9C87" w:rsidR="009D0C1D" w:rsidRDefault="009D0C1D" w:rsidP="004F6FB8">
                                  <w:pPr>
                                    <w:rPr>
                                      <w:rFonts w:ascii="Century Gothic" w:hAnsi="Century Gothic" w:cstheme="minorBidi"/>
                                      <w:b/>
                                      <w:bCs/>
                                      <w:color w:val="343533"/>
                                      <w:kern w:val="24"/>
                                      <w:sz w:val="12"/>
                                      <w:szCs w:val="1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91485A5" id="Прямокутник 35" o:spid="_x0000_s1247" style="position:absolute;margin-left:312.1pt;margin-top:435.65pt;width:20.95pt;height:11.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" fillcolor="#fbd4d5" stroked="f">
                      <v:textbox inset="0,0,0,0">
                        <w:txbxContent>
                          <w:p w14:paraId="1FCAB280" w14:textId="77777777" w:rsidR="009D0C1D" w:rsidRDefault="009D0C1D" w:rsidP="002E2F4B">
                            <w:pPr>
                              <w:rPr>
                                <w:rFonts w:ascii="Century Gothic" w:hAnsi="Century Gothic"/>
                                <w:b/>
                                <w:color w:val="343533"/>
                                <w:sz w:val="6"/>
                                <w:szCs w:val="18"/>
                              </w:rPr>
                            </w:pPr>
                            <w:r w:rsidRPr="002E2F4B">
                              <w:rPr>
                                <w:rFonts w:ascii="Century Gothic" w:hAnsi="Century Gothic"/>
                                <w:b/>
                                <w:color w:val="343533"/>
                                <w:sz w:val="6"/>
                                <w:szCs w:val="18"/>
                              </w:rPr>
                              <w:t>Дотри</w:t>
                            </w:r>
                            <w:r>
                              <w:rPr>
                                <w:rFonts w:ascii="Century Gothic" w:hAnsi="Century Gothic"/>
                                <w:b/>
                                <w:color w:val="343533"/>
                                <w:sz w:val="6"/>
                                <w:szCs w:val="18"/>
                              </w:rPr>
                              <w:t>-</w:t>
                            </w:r>
                          </w:p>
                          <w:p w14:paraId="3E2E889B" w14:textId="77777777" w:rsidR="009D0C1D" w:rsidRPr="002E2F4B" w:rsidRDefault="009D0C1D" w:rsidP="002E2F4B">
                            <w:pPr>
                              <w:rPr>
                                <w:rFonts w:ascii="Century Gothic" w:hAnsi="Century Gothic" w:cstheme="minorBidi"/>
                                <w:b/>
                                <w:bCs/>
                                <w:color w:val="343533"/>
                                <w:kern w:val="24"/>
                                <w:sz w:val="6"/>
                                <w:szCs w:val="6"/>
                              </w:rPr>
                            </w:pPr>
                            <w:r w:rsidRPr="002E2F4B">
                              <w:rPr>
                                <w:rFonts w:ascii="Century Gothic" w:hAnsi="Century Gothic"/>
                                <w:b/>
                                <w:color w:val="343533"/>
                                <w:sz w:val="6"/>
                                <w:szCs w:val="18"/>
                              </w:rPr>
                              <w:t>муватися</w:t>
                            </w:r>
                          </w:p>
                          <w:p w14:paraId="11C3B03D" w14:textId="1BDD9C87" w:rsidR="009D0C1D" w:rsidRDefault="009D0C1D" w:rsidP="004F6FB8">
                            <w:pPr>
                              <w:rPr>
                                <w:rFonts w:ascii="Century Gothic" w:hAnsi="Century Gothic" w:cstheme="minorBidi"/>
                                <w:b/>
                                <w:bCs/>
                                <w:color w:val="343533"/>
                                <w:kern w:val="24"/>
                                <w:sz w:val="12"/>
                                <w:szCs w:val="12"/>
                              </w:rPr>
                            </w:pPr>
                          </w:p>
                        </w:txbxContent>
                      </v:textbox>
                    </v:rect>
                  </w:pict>
                </mc:Fallback>
              </mc:AlternateContent>
            </w:r>
            <w:r w:rsidR="002E2F4B">
              <w:rPr>
                <w:noProof/>
              </w:rPr>
              <mc:AlternateContent>
                <mc:Choice Requires="wps">
                  <w:drawing>
                    <wp:anchor distT="0" distB="0" distL="114300" distR="114300" simplePos="0" relativeHeight="251603968" behindDoc="0" locked="0" layoutInCell="1" allowOverlap="1" wp14:anchorId="0F12FE54" wp14:editId="222320F5">
                      <wp:simplePos x="0" y="0"/>
                      <wp:positionH relativeFrom="column">
                        <wp:posOffset>3025968</wp:posOffset>
                      </wp:positionH>
                      <wp:positionV relativeFrom="paragraph">
                        <wp:posOffset>5519641</wp:posOffset>
                      </wp:positionV>
                      <wp:extent cx="321365" cy="135835"/>
                      <wp:effectExtent l="0" t="0" r="2540" b="0"/>
                      <wp:wrapNone/>
                      <wp:docPr id="659392308" name="Прямокутник 29"/>
                      <wp:cNvGraphicFramePr/>
                      <a:graphic xmlns:a="http://schemas.openxmlformats.org/drawingml/2006/main">
                        <a:graphicData uri="http://schemas.microsoft.com/office/word/2010/wordprocessingShape">
                          <wps:wsp>
                            <wps:cNvSpPr/>
                            <wps:spPr>
                              <a:xfrm>
                                <a:off x="0" y="0"/>
                                <a:ext cx="321365" cy="135835"/>
                              </a:xfrm>
                              <a:prstGeom prst="rect">
                                <a:avLst/>
                              </a:prstGeom>
                              <a:solidFill>
                                <a:srgbClr val="FFF697"/>
                              </a:solidFill>
                            </wps:spPr>
                            <wps:txbx>
                              <w:txbxContent>
                                <w:p w14:paraId="7B289979" w14:textId="5F94B6B5" w:rsidR="009D0C1D" w:rsidRPr="002E2F4B" w:rsidRDefault="009D0C1D" w:rsidP="002E2F4B">
                                  <w:pPr>
                                    <w:rPr>
                                      <w:rFonts w:ascii="Century Gothic" w:hAnsi="Century Gothic"/>
                                      <w:b/>
                                      <w:color w:val="343533"/>
                                      <w:sz w:val="6"/>
                                      <w:szCs w:val="18"/>
                                    </w:rPr>
                                  </w:pPr>
                                  <w:r w:rsidRPr="002E2F4B">
                                    <w:rPr>
                                      <w:rFonts w:ascii="Century Gothic" w:hAnsi="Century Gothic"/>
                                      <w:b/>
                                      <w:color w:val="343533"/>
                                      <w:sz w:val="6"/>
                                      <w:szCs w:val="18"/>
                                    </w:rPr>
                                    <w:t>Дотри</w:t>
                                  </w:r>
                                  <w:r>
                                    <w:rPr>
                                      <w:rFonts w:ascii="Century Gothic" w:hAnsi="Century Gothic"/>
                                      <w:b/>
                                      <w:color w:val="343533"/>
                                      <w:sz w:val="6"/>
                                      <w:szCs w:val="18"/>
                                    </w:rPr>
                                    <w:t>-</w:t>
                                  </w:r>
                                  <w:r w:rsidRPr="002E2F4B">
                                    <w:rPr>
                                      <w:rFonts w:ascii="Century Gothic" w:hAnsi="Century Gothic"/>
                                      <w:b/>
                                      <w:color w:val="343533"/>
                                      <w:sz w:val="6"/>
                                      <w:szCs w:val="18"/>
                                    </w:rPr>
                                    <w:t>муватися</w:t>
                                  </w:r>
                                </w:p>
                                <w:p w14:paraId="58732D0A" w14:textId="4FED429B" w:rsidR="009D0C1D" w:rsidRDefault="009D0C1D" w:rsidP="004F6FB8">
                                  <w:pPr>
                                    <w:rPr>
                                      <w:rFonts w:ascii="Century Gothic" w:hAnsi="Century Gothic" w:cstheme="minorBidi"/>
                                      <w:b/>
                                      <w:bCs/>
                                      <w:color w:val="343533"/>
                                      <w:kern w:val="24"/>
                                      <w:sz w:val="12"/>
                                      <w:szCs w:val="1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F12FE54" id="Прямокутник 29" o:spid="_x0000_s1248" style="position:absolute;margin-left:238.25pt;margin-top:434.6pt;width:25.3pt;height:10.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" fillcolor="#fff697" stroked="f">
                      <v:textbox inset="0,0,0,0">
                        <w:txbxContent>
                          <w:p w14:paraId="7B289979" w14:textId="5F94B6B5" w:rsidR="009D0C1D" w:rsidRPr="002E2F4B" w:rsidRDefault="009D0C1D" w:rsidP="002E2F4B">
                            <w:pPr>
                              <w:rPr>
                                <w:rFonts w:ascii="Century Gothic" w:hAnsi="Century Gothic"/>
                                <w:b/>
                                <w:color w:val="343533"/>
                                <w:sz w:val="6"/>
                                <w:szCs w:val="18"/>
                              </w:rPr>
                            </w:pPr>
                            <w:r w:rsidRPr="002E2F4B">
                              <w:rPr>
                                <w:rFonts w:ascii="Century Gothic" w:hAnsi="Century Gothic"/>
                                <w:b/>
                                <w:color w:val="343533"/>
                                <w:sz w:val="6"/>
                                <w:szCs w:val="18"/>
                              </w:rPr>
                              <w:t>Дотри</w:t>
                            </w:r>
                            <w:r>
                              <w:rPr>
                                <w:rFonts w:ascii="Century Gothic" w:hAnsi="Century Gothic"/>
                                <w:b/>
                                <w:color w:val="343533"/>
                                <w:sz w:val="6"/>
                                <w:szCs w:val="18"/>
                              </w:rPr>
                              <w:t>-</w:t>
                            </w:r>
                            <w:r w:rsidRPr="002E2F4B">
                              <w:rPr>
                                <w:rFonts w:ascii="Century Gothic" w:hAnsi="Century Gothic"/>
                                <w:b/>
                                <w:color w:val="343533"/>
                                <w:sz w:val="6"/>
                                <w:szCs w:val="18"/>
                              </w:rPr>
                              <w:t>муватися</w:t>
                            </w:r>
                          </w:p>
                          <w:p w14:paraId="58732D0A" w14:textId="4FED429B" w:rsidR="009D0C1D" w:rsidRDefault="009D0C1D" w:rsidP="004F6FB8">
                            <w:pPr>
                              <w:rPr>
                                <w:rFonts w:ascii="Century Gothic" w:hAnsi="Century Gothic" w:cstheme="minorBidi"/>
                                <w:b/>
                                <w:bCs/>
                                <w:color w:val="343533"/>
                                <w:kern w:val="24"/>
                                <w:sz w:val="12"/>
                                <w:szCs w:val="12"/>
                              </w:rPr>
                            </w:pPr>
                          </w:p>
                        </w:txbxContent>
                      </v:textbox>
                    </v:rect>
                  </w:pict>
                </mc:Fallback>
              </mc:AlternateContent>
            </w:r>
            <w:r w:rsidR="002E2F4B">
              <w:rPr>
                <w:noProof/>
              </w:rPr>
              <mc:AlternateContent>
                <mc:Choice Requires="wps">
                  <w:drawing>
                    <wp:anchor distT="0" distB="0" distL="114300" distR="114300" simplePos="0" relativeHeight="251599872" behindDoc="0" locked="0" layoutInCell="1" allowOverlap="1" wp14:anchorId="6B1D2764" wp14:editId="058ABF97">
                      <wp:simplePos x="0" y="0"/>
                      <wp:positionH relativeFrom="column">
                        <wp:posOffset>2104942</wp:posOffset>
                      </wp:positionH>
                      <wp:positionV relativeFrom="paragraph">
                        <wp:posOffset>5503076</wp:posOffset>
                      </wp:positionV>
                      <wp:extent cx="251791" cy="152400"/>
                      <wp:effectExtent l="0" t="0" r="0" b="0"/>
                      <wp:wrapNone/>
                      <wp:docPr id="26" name="Прямокутник 25"/>
                      <wp:cNvGraphicFramePr/>
                      <a:graphic xmlns:a="http://schemas.openxmlformats.org/drawingml/2006/main">
                        <a:graphicData uri="http://schemas.microsoft.com/office/word/2010/wordprocessingShape">
                          <wps:wsp>
                            <wps:cNvSpPr/>
                            <wps:spPr>
                              <a:xfrm>
                                <a:off x="0" y="0"/>
                                <a:ext cx="251791" cy="152400"/>
                              </a:xfrm>
                              <a:prstGeom prst="rect">
                                <a:avLst/>
                              </a:prstGeom>
                              <a:solidFill>
                                <a:srgbClr val="CCD7C7"/>
                              </a:solidFill>
                            </wps:spPr>
                            <wps:txbx>
                              <w:txbxContent>
                                <w:p w14:paraId="4E295FE4" w14:textId="77777777" w:rsidR="009D0C1D" w:rsidRDefault="009D0C1D" w:rsidP="004F6FB8">
                                  <w:pPr>
                                    <w:rPr>
                                      <w:rFonts w:ascii="Century Gothic" w:hAnsi="Century Gothic"/>
                                      <w:b/>
                                      <w:color w:val="343533"/>
                                      <w:sz w:val="6"/>
                                      <w:szCs w:val="18"/>
                                    </w:rPr>
                                  </w:pPr>
                                  <w:r w:rsidRPr="002E2F4B">
                                    <w:rPr>
                                      <w:rFonts w:ascii="Century Gothic" w:hAnsi="Century Gothic"/>
                                      <w:b/>
                                      <w:color w:val="343533"/>
                                      <w:sz w:val="6"/>
                                      <w:szCs w:val="18"/>
                                    </w:rPr>
                                    <w:t>Дотри</w:t>
                                  </w:r>
                                  <w:r>
                                    <w:rPr>
                                      <w:rFonts w:ascii="Century Gothic" w:hAnsi="Century Gothic"/>
                                      <w:b/>
                                      <w:color w:val="343533"/>
                                      <w:sz w:val="6"/>
                                      <w:szCs w:val="18"/>
                                    </w:rPr>
                                    <w:t>-</w:t>
                                  </w:r>
                                </w:p>
                                <w:p w14:paraId="003E4612" w14:textId="0018B020" w:rsidR="009D0C1D" w:rsidRPr="002E2F4B" w:rsidRDefault="009D0C1D" w:rsidP="004F6FB8">
                                  <w:pPr>
                                    <w:rPr>
                                      <w:rFonts w:ascii="Century Gothic" w:hAnsi="Century Gothic" w:cstheme="minorBidi"/>
                                      <w:b/>
                                      <w:bCs/>
                                      <w:color w:val="343533"/>
                                      <w:kern w:val="24"/>
                                      <w:sz w:val="6"/>
                                      <w:szCs w:val="6"/>
                                    </w:rPr>
                                  </w:pPr>
                                  <w:r w:rsidRPr="002E2F4B">
                                    <w:rPr>
                                      <w:rFonts w:ascii="Century Gothic" w:hAnsi="Century Gothic"/>
                                      <w:b/>
                                      <w:color w:val="343533"/>
                                      <w:sz w:val="6"/>
                                      <w:szCs w:val="18"/>
                                    </w:rPr>
                                    <w:t>муватися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B1D2764" id="Прямокутник 25" o:spid="_x0000_s1249" style="position:absolute;margin-left:165.75pt;margin-top:433.3pt;width:19.85pt;height:1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" fillcolor="#ccd7c7" stroked="f">
                      <v:textbox inset="0,0,0,0">
                        <w:txbxContent>
                          <w:p w14:paraId="4E295FE4" w14:textId="77777777" w:rsidR="009D0C1D" w:rsidRDefault="009D0C1D" w:rsidP="004F6FB8">
                            <w:pPr>
                              <w:rPr>
                                <w:rFonts w:ascii="Century Gothic" w:hAnsi="Century Gothic"/>
                                <w:b/>
                                <w:color w:val="343533"/>
                                <w:sz w:val="6"/>
                                <w:szCs w:val="18"/>
                              </w:rPr>
                            </w:pPr>
                            <w:r w:rsidRPr="002E2F4B">
                              <w:rPr>
                                <w:rFonts w:ascii="Century Gothic" w:hAnsi="Century Gothic"/>
                                <w:b/>
                                <w:color w:val="343533"/>
                                <w:sz w:val="6"/>
                                <w:szCs w:val="18"/>
                              </w:rPr>
                              <w:t>Дотри</w:t>
                            </w:r>
                            <w:r>
                              <w:rPr>
                                <w:rFonts w:ascii="Century Gothic" w:hAnsi="Century Gothic"/>
                                <w:b/>
                                <w:color w:val="343533"/>
                                <w:sz w:val="6"/>
                                <w:szCs w:val="18"/>
                              </w:rPr>
                              <w:t>-</w:t>
                            </w:r>
                          </w:p>
                          <w:p w14:paraId="003E4612" w14:textId="0018B020" w:rsidR="009D0C1D" w:rsidRPr="002E2F4B" w:rsidRDefault="009D0C1D" w:rsidP="004F6FB8">
                            <w:pPr>
                              <w:rPr>
                                <w:rFonts w:ascii="Century Gothic" w:hAnsi="Century Gothic" w:cstheme="minorBidi"/>
                                <w:b/>
                                <w:bCs/>
                                <w:color w:val="343533"/>
                                <w:kern w:val="24"/>
                                <w:sz w:val="6"/>
                                <w:szCs w:val="6"/>
                              </w:rPr>
                            </w:pPr>
                            <w:r w:rsidRPr="002E2F4B">
                              <w:rPr>
                                <w:rFonts w:ascii="Century Gothic" w:hAnsi="Century Gothic"/>
                                <w:b/>
                                <w:color w:val="343533"/>
                                <w:sz w:val="6"/>
                                <w:szCs w:val="18"/>
                              </w:rPr>
                              <w:t>муватися</w:t>
                            </w:r>
                          </w:p>
                        </w:txbxContent>
                      </v:textbox>
                    </v:rect>
                  </w:pict>
                </mc:Fallback>
              </mc:AlternateContent>
            </w:r>
            <w:r w:rsidR="002E2F4B">
              <w:rPr>
                <w:noProof/>
              </w:rPr>
              <mc:AlternateContent>
                <mc:Choice Requires="wps">
                  <w:drawing>
                    <wp:anchor distT="0" distB="0" distL="114300" distR="114300" simplePos="0" relativeHeight="251596800" behindDoc="0" locked="0" layoutInCell="1" allowOverlap="1" wp14:anchorId="30570744" wp14:editId="6E95BB5F">
                      <wp:simplePos x="0" y="0"/>
                      <wp:positionH relativeFrom="column">
                        <wp:posOffset>1024816</wp:posOffset>
                      </wp:positionH>
                      <wp:positionV relativeFrom="paragraph">
                        <wp:posOffset>5412703</wp:posOffset>
                      </wp:positionV>
                      <wp:extent cx="493059" cy="85165"/>
                      <wp:effectExtent l="0" t="0" r="2540" b="0"/>
                      <wp:wrapNone/>
                      <wp:docPr id="23" name="Прямокутник 22"/>
                      <wp:cNvGraphicFramePr/>
                      <a:graphic xmlns:a="http://schemas.openxmlformats.org/drawingml/2006/main">
                        <a:graphicData uri="http://schemas.microsoft.com/office/word/2010/wordprocessingShape">
                          <wps:wsp>
                            <wps:cNvSpPr/>
                            <wps:spPr>
                              <a:xfrm>
                                <a:off x="0" y="0"/>
                                <a:ext cx="493059" cy="85165"/>
                              </a:xfrm>
                              <a:prstGeom prst="rect">
                                <a:avLst/>
                              </a:prstGeom>
                              <a:solidFill>
                                <a:srgbClr val="DEDEDE"/>
                              </a:solidFill>
                            </wps:spPr>
                            <wps:txbx>
                              <w:txbxContent>
                                <w:p w14:paraId="108AB316" w14:textId="77777777" w:rsidR="009D0C1D" w:rsidRPr="002E2F4B" w:rsidRDefault="009D0C1D" w:rsidP="004F6FB8">
                                  <w:pPr>
                                    <w:rPr>
                                      <w:rFonts w:ascii="Century Gothic" w:hAnsi="Century Gothic" w:cstheme="minorBidi"/>
                                      <w:b/>
                                      <w:bCs/>
                                      <w:color w:val="343533"/>
                                      <w:kern w:val="24"/>
                                      <w:sz w:val="8"/>
                                      <w:szCs w:val="8"/>
                                    </w:rPr>
                                  </w:pPr>
                                  <w:r w:rsidRPr="002E2F4B">
                                    <w:rPr>
                                      <w:rFonts w:ascii="Century Gothic" w:hAnsi="Century Gothic"/>
                                      <w:b/>
                                      <w:color w:val="343533"/>
                                      <w:sz w:val="8"/>
                                      <w:szCs w:val="20"/>
                                    </w:rPr>
                                    <w:t>Дотримуватися</w:t>
                                  </w:r>
                                </w:p>
                              </w:txbxContent>
                            </wps:txbx>
                            <wps:bodyPr wrap="square" lIns="0" tIns="0" rIns="0" bIns="0">
                              <a:noAutofit/>
                            </wps:bodyPr>
                          </wps:wsp>
                        </a:graphicData>
                      </a:graphic>
                      <wp14:sizeRelH relativeFrom="margin">
                        <wp14:pctWidth>0</wp14:pctWidth>
                      </wp14:sizeRelH>
                    </wp:anchor>
                  </w:drawing>
                </mc:Choice>
                <mc:Fallback>
                  <w:pict>
                    <v:rect w14:anchorId="30570744" id="Прямокутник 22" o:spid="_x0000_s1250" style="position:absolute;margin-left:80.7pt;margin-top:426.2pt;width:38.8pt;height:6.7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" fillcolor="#dedede" stroked="f">
                      <v:textbox inset="0,0,0,0">
                        <w:txbxContent>
                          <w:p w14:paraId="108AB316" w14:textId="77777777" w:rsidR="009D0C1D" w:rsidRPr="002E2F4B" w:rsidRDefault="009D0C1D" w:rsidP="004F6FB8">
                            <w:pPr>
                              <w:rPr>
                                <w:rFonts w:ascii="Century Gothic" w:hAnsi="Century Gothic" w:cstheme="minorBidi"/>
                                <w:b/>
                                <w:bCs/>
                                <w:color w:val="343533"/>
                                <w:kern w:val="24"/>
                                <w:sz w:val="8"/>
                                <w:szCs w:val="8"/>
                              </w:rPr>
                            </w:pPr>
                            <w:r w:rsidRPr="002E2F4B">
                              <w:rPr>
                                <w:rFonts w:ascii="Century Gothic" w:hAnsi="Century Gothic"/>
                                <w:b/>
                                <w:color w:val="343533"/>
                                <w:sz w:val="8"/>
                                <w:szCs w:val="20"/>
                              </w:rPr>
                              <w:t>Дотримуватися</w:t>
                            </w:r>
                          </w:p>
                        </w:txbxContent>
                      </v:textbox>
                    </v:rect>
                  </w:pict>
                </mc:Fallback>
              </mc:AlternateContent>
            </w:r>
            <w:r w:rsidR="002E2F4B">
              <w:rPr>
                <w:noProof/>
              </w:rPr>
              <mc:AlternateContent>
                <mc:Choice Requires="wps">
                  <w:drawing>
                    <wp:anchor distT="0" distB="0" distL="114300" distR="114300" simplePos="0" relativeHeight="251593728" behindDoc="0" locked="0" layoutInCell="1" allowOverlap="1" wp14:anchorId="7B896FFA" wp14:editId="799314F0">
                      <wp:simplePos x="0" y="0"/>
                      <wp:positionH relativeFrom="column">
                        <wp:posOffset>159797</wp:posOffset>
                      </wp:positionH>
                      <wp:positionV relativeFrom="paragraph">
                        <wp:posOffset>5417520</wp:posOffset>
                      </wp:positionV>
                      <wp:extent cx="479612" cy="85165"/>
                      <wp:effectExtent l="0" t="0" r="0" b="0"/>
                      <wp:wrapNone/>
                      <wp:docPr id="20" name="Прямокутник 19"/>
                      <wp:cNvGraphicFramePr/>
                      <a:graphic xmlns:a="http://schemas.openxmlformats.org/drawingml/2006/main">
                        <a:graphicData uri="http://schemas.microsoft.com/office/word/2010/wordprocessingShape">
                          <wps:wsp>
                            <wps:cNvSpPr/>
                            <wps:spPr>
                              <a:xfrm>
                                <a:off x="0" y="0"/>
                                <a:ext cx="479612" cy="85165"/>
                              </a:xfrm>
                              <a:prstGeom prst="rect">
                                <a:avLst/>
                              </a:prstGeom>
                              <a:solidFill>
                                <a:srgbClr val="CCD7C7"/>
                              </a:solidFill>
                            </wps:spPr>
                            <wps:txbx>
                              <w:txbxContent>
                                <w:p w14:paraId="49EDA83A" w14:textId="77777777" w:rsidR="009D0C1D" w:rsidRPr="002E2F4B" w:rsidRDefault="009D0C1D" w:rsidP="002E2F4B">
                                  <w:pPr>
                                    <w:jc w:val="center"/>
                                    <w:rPr>
                                      <w:rFonts w:ascii="Century Gothic" w:hAnsi="Century Gothic" w:cstheme="minorBidi"/>
                                      <w:b/>
                                      <w:bCs/>
                                      <w:color w:val="343533"/>
                                      <w:kern w:val="24"/>
                                      <w:sz w:val="8"/>
                                      <w:szCs w:val="8"/>
                                    </w:rPr>
                                  </w:pPr>
                                  <w:r w:rsidRPr="002E2F4B">
                                    <w:rPr>
                                      <w:rFonts w:ascii="Century Gothic" w:hAnsi="Century Gothic"/>
                                      <w:b/>
                                      <w:color w:val="343533"/>
                                      <w:sz w:val="8"/>
                                      <w:szCs w:val="20"/>
                                    </w:rPr>
                                    <w:t>Дотримуватися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B896FFA" id="Прямокутник 19" o:spid="_x0000_s1251" style="position:absolute;margin-left:12.6pt;margin-top:426.6pt;width:37.75pt;height:6.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" fillcolor="#ccd7c7" stroked="f">
                      <v:textbox inset="0,0,0,0">
                        <w:txbxContent>
                          <w:p w14:paraId="49EDA83A" w14:textId="77777777" w:rsidR="009D0C1D" w:rsidRPr="002E2F4B" w:rsidRDefault="009D0C1D" w:rsidP="002E2F4B">
                            <w:pPr>
                              <w:jc w:val="center"/>
                              <w:rPr>
                                <w:rFonts w:ascii="Century Gothic" w:hAnsi="Century Gothic" w:cstheme="minorBidi"/>
                                <w:b/>
                                <w:bCs/>
                                <w:color w:val="343533"/>
                                <w:kern w:val="24"/>
                                <w:sz w:val="8"/>
                                <w:szCs w:val="8"/>
                              </w:rPr>
                            </w:pPr>
                            <w:r w:rsidRPr="002E2F4B">
                              <w:rPr>
                                <w:rFonts w:ascii="Century Gothic" w:hAnsi="Century Gothic"/>
                                <w:b/>
                                <w:color w:val="343533"/>
                                <w:sz w:val="8"/>
                                <w:szCs w:val="20"/>
                              </w:rPr>
                              <w:t>Дотримуватися</w:t>
                            </w:r>
                          </w:p>
                        </w:txbxContent>
                      </v:textbox>
                    </v:rect>
                  </w:pict>
                </mc:Fallback>
              </mc:AlternateContent>
            </w:r>
            <w:r w:rsidR="002E2F4B">
              <w:rPr>
                <w:noProof/>
              </w:rPr>
              <mc:AlternateContent>
                <mc:Choice Requires="wps">
                  <w:drawing>
                    <wp:anchor distT="0" distB="0" distL="114300" distR="114300" simplePos="0" relativeHeight="251598848" behindDoc="0" locked="0" layoutInCell="1" allowOverlap="1" wp14:anchorId="3C297D9A" wp14:editId="50F429D9">
                      <wp:simplePos x="0" y="0"/>
                      <wp:positionH relativeFrom="column">
                        <wp:posOffset>2114102</wp:posOffset>
                      </wp:positionH>
                      <wp:positionV relativeFrom="paragraph">
                        <wp:posOffset>4597251</wp:posOffset>
                      </wp:positionV>
                      <wp:extent cx="363070" cy="103505"/>
                      <wp:effectExtent l="0" t="0" r="0" b="0"/>
                      <wp:wrapNone/>
                      <wp:docPr id="25" name="Прямокутник 24"/>
                      <wp:cNvGraphicFramePr/>
                      <a:graphic xmlns:a="http://schemas.openxmlformats.org/drawingml/2006/main">
                        <a:graphicData uri="http://schemas.microsoft.com/office/word/2010/wordprocessingShape">
                          <wps:wsp>
                            <wps:cNvSpPr/>
                            <wps:spPr>
                              <a:xfrm>
                                <a:off x="0" y="0"/>
                                <a:ext cx="363070" cy="103505"/>
                              </a:xfrm>
                              <a:prstGeom prst="rect">
                                <a:avLst/>
                              </a:prstGeom>
                              <a:solidFill>
                                <a:srgbClr val="CCD7C7"/>
                              </a:solidFill>
                            </wps:spPr>
                            <wps:txbx>
                              <w:txbxContent>
                                <w:p w14:paraId="2AF31A5C"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LF-LAM</w:t>
                                  </w:r>
                                  <w:r>
                                    <w:rPr>
                                      <w:rFonts w:ascii="Century Gothic" w:hAnsi="Century Gothic"/>
                                      <w:b/>
                                      <w:color w:val="0099D6"/>
                                      <w:sz w:val="12"/>
                                      <w:vertAlign w:val="superscript"/>
                                    </w:rPr>
                                    <w:t>f</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C297D9A" id="Прямокутник 24" o:spid="_x0000_s1252" style="position:absolute;margin-left:166.45pt;margin-top:362pt;width:28.6pt;height:8.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" fillcolor="#ccd7c7" stroked="f">
                      <v:textbox inset="0,0,0,0">
                        <w:txbxContent>
                          <w:p w14:paraId="2AF31A5C"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LF-LAM</w:t>
                            </w:r>
                            <w:r>
                              <w:rPr>
                                <w:rFonts w:ascii="Century Gothic" w:hAnsi="Century Gothic"/>
                                <w:b/>
                                <w:color w:val="0099D6"/>
                                <w:sz w:val="12"/>
                                <w:vertAlign w:val="superscript"/>
                              </w:rPr>
                              <w:t>f</w:t>
                            </w:r>
                          </w:p>
                        </w:txbxContent>
                      </v:textbox>
                    </v:rect>
                  </w:pict>
                </mc:Fallback>
              </mc:AlternateContent>
            </w:r>
            <w:r w:rsidR="002E2F4B">
              <w:rPr>
                <w:noProof/>
              </w:rPr>
              <mc:AlternateContent>
                <mc:Choice Requires="wps">
                  <w:drawing>
                    <wp:anchor distT="0" distB="0" distL="114300" distR="114300" simplePos="0" relativeHeight="251602944" behindDoc="0" locked="0" layoutInCell="1" allowOverlap="1" wp14:anchorId="18E2FD52" wp14:editId="530C32C2">
                      <wp:simplePos x="0" y="0"/>
                      <wp:positionH relativeFrom="column">
                        <wp:posOffset>3050914</wp:posOffset>
                      </wp:positionH>
                      <wp:positionV relativeFrom="paragraph">
                        <wp:posOffset>4597250</wp:posOffset>
                      </wp:positionV>
                      <wp:extent cx="318247" cy="112395"/>
                      <wp:effectExtent l="0" t="0" r="5715" b="1905"/>
                      <wp:wrapNone/>
                      <wp:docPr id="29" name="Прямокутник 28"/>
                      <wp:cNvGraphicFramePr/>
                      <a:graphic xmlns:a="http://schemas.openxmlformats.org/drawingml/2006/main">
                        <a:graphicData uri="http://schemas.microsoft.com/office/word/2010/wordprocessingShape">
                          <wps:wsp>
                            <wps:cNvSpPr/>
                            <wps:spPr>
                              <a:xfrm>
                                <a:off x="0" y="0"/>
                                <a:ext cx="318247" cy="112395"/>
                              </a:xfrm>
                              <a:prstGeom prst="rect">
                                <a:avLst/>
                              </a:prstGeom>
                              <a:solidFill>
                                <a:srgbClr val="FFF697"/>
                              </a:solidFill>
                            </wps:spPr>
                            <wps:txbx>
                              <w:txbxContent>
                                <w:p w14:paraId="45C7774A"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LF-LAM</w:t>
                                  </w:r>
                                  <w:r>
                                    <w:rPr>
                                      <w:rFonts w:ascii="Century Gothic" w:hAnsi="Century Gothic"/>
                                      <w:b/>
                                      <w:color w:val="0099D6"/>
                                      <w:sz w:val="12"/>
                                      <w:vertAlign w:val="superscript"/>
                                    </w:rPr>
                                    <w:t>f</w:t>
                                  </w:r>
                                </w:p>
                              </w:txbxContent>
                            </wps:txbx>
                            <wps:bodyPr wrap="square" lIns="0" tIns="0" rIns="0" bIns="0">
                              <a:noAutofit/>
                            </wps:bodyPr>
                          </wps:wsp>
                        </a:graphicData>
                      </a:graphic>
                      <wp14:sizeRelH relativeFrom="margin">
                        <wp14:pctWidth>0</wp14:pctWidth>
                      </wp14:sizeRelH>
                    </wp:anchor>
                  </w:drawing>
                </mc:Choice>
                <mc:Fallback>
                  <w:pict>
                    <v:rect w14:anchorId="18E2FD52" id="Прямокутник 28" o:spid="_x0000_s1253" style="position:absolute;margin-left:240.25pt;margin-top:362pt;width:25.05pt;height:8.85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" fillcolor="#fff697" stroked="f">
                      <v:textbox inset="0,0,0,0">
                        <w:txbxContent>
                          <w:p w14:paraId="45C7774A"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LF-LAM</w:t>
                            </w:r>
                            <w:r>
                              <w:rPr>
                                <w:rFonts w:ascii="Century Gothic" w:hAnsi="Century Gothic"/>
                                <w:b/>
                                <w:color w:val="0099D6"/>
                                <w:sz w:val="12"/>
                                <w:vertAlign w:val="superscript"/>
                              </w:rPr>
                              <w:t>f</w:t>
                            </w:r>
                          </w:p>
                        </w:txbxContent>
                      </v:textbox>
                    </v:rect>
                  </w:pict>
                </mc:Fallback>
              </mc:AlternateContent>
            </w:r>
            <w:r w:rsidR="002E2F4B">
              <w:rPr>
                <w:noProof/>
              </w:rPr>
              <mc:AlternateContent>
                <mc:Choice Requires="wps">
                  <w:drawing>
                    <wp:anchor distT="0" distB="0" distL="114300" distR="114300" simplePos="0" relativeHeight="251601920" behindDoc="0" locked="0" layoutInCell="1" allowOverlap="1" wp14:anchorId="66BAD1BC" wp14:editId="24F050A9">
                      <wp:simplePos x="0" y="0"/>
                      <wp:positionH relativeFrom="column">
                        <wp:posOffset>3046431</wp:posOffset>
                      </wp:positionH>
                      <wp:positionV relativeFrom="paragraph">
                        <wp:posOffset>4202804</wp:posOffset>
                      </wp:positionV>
                      <wp:extent cx="569595" cy="295835"/>
                      <wp:effectExtent l="0" t="0" r="1905" b="9525"/>
                      <wp:wrapNone/>
                      <wp:docPr id="28" name="Прямокутник 27"/>
                      <wp:cNvGraphicFramePr/>
                      <a:graphic xmlns:a="http://schemas.openxmlformats.org/drawingml/2006/main">
                        <a:graphicData uri="http://schemas.microsoft.com/office/word/2010/wordprocessingShape">
                          <wps:wsp>
                            <wps:cNvSpPr/>
                            <wps:spPr>
                              <a:xfrm>
                                <a:off x="0" y="0"/>
                                <a:ext cx="569595" cy="295835"/>
                              </a:xfrm>
                              <a:prstGeom prst="rect">
                                <a:avLst/>
                              </a:prstGeom>
                              <a:solidFill>
                                <a:srgbClr val="FFF697"/>
                              </a:solidFill>
                            </wps:spPr>
                            <wps:txbx>
                              <w:txbxContent>
                                <w:p w14:paraId="6E8373BF" w14:textId="77777777" w:rsidR="009D0C1D" w:rsidRPr="002E2F4B" w:rsidRDefault="009D0C1D" w:rsidP="004F6FB8">
                                  <w:pPr>
                                    <w:spacing w:line="290" w:lineRule="auto"/>
                                    <w:rPr>
                                      <w:rFonts w:ascii="Century Gothic" w:hAnsi="Century Gothic" w:cstheme="minorBidi"/>
                                      <w:color w:val="343433"/>
                                      <w:kern w:val="24"/>
                                      <w:sz w:val="10"/>
                                      <w:szCs w:val="10"/>
                                    </w:rPr>
                                  </w:pPr>
                                  <w:r w:rsidRPr="002E2F4B">
                                    <w:rPr>
                                      <w:rFonts w:ascii="Century Gothic" w:hAnsi="Century Gothic"/>
                                      <w:color w:val="343433"/>
                                      <w:sz w:val="10"/>
                                      <w:szCs w:val="22"/>
                                    </w:rPr>
                                    <w:t xml:space="preserve">Резистентність до RIF </w:t>
                                  </w:r>
                                  <w:r w:rsidRPr="002E2F4B">
                                    <w:rPr>
                                      <w:rFonts w:ascii="Century Gothic" w:hAnsi="Century Gothic"/>
                                      <w:b/>
                                      <w:color w:val="343433"/>
                                      <w:sz w:val="10"/>
                                      <w:szCs w:val="22"/>
                                    </w:rPr>
                                    <w:t>НЕ виявлено</w:t>
                                  </w:r>
                                </w:p>
                              </w:txbxContent>
                            </wps:txbx>
                            <wps:bodyPr lIns="0" tIns="0" rIns="0" bIns="0">
                              <a:noAutofit/>
                            </wps:bodyPr>
                          </wps:wsp>
                        </a:graphicData>
                      </a:graphic>
                      <wp14:sizeRelV relativeFrom="margin">
                        <wp14:pctHeight>0</wp14:pctHeight>
                      </wp14:sizeRelV>
                    </wp:anchor>
                  </w:drawing>
                </mc:Choice>
                <mc:Fallback>
                  <w:pict>
                    <v:rect w14:anchorId="66BAD1BC" id="Прямокутник 27" o:spid="_x0000_s1254" style="position:absolute;margin-left:239.9pt;margin-top:330.95pt;width:44.85pt;height:23.3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" fillcolor="#fff697" stroked="f">
                      <v:textbox inset="0,0,0,0">
                        <w:txbxContent>
                          <w:p w14:paraId="6E8373BF" w14:textId="77777777" w:rsidR="009D0C1D" w:rsidRPr="002E2F4B" w:rsidRDefault="009D0C1D" w:rsidP="004F6FB8">
                            <w:pPr>
                              <w:spacing w:line="290" w:lineRule="auto"/>
                              <w:rPr>
                                <w:rFonts w:ascii="Century Gothic" w:hAnsi="Century Gothic" w:cstheme="minorBidi"/>
                                <w:color w:val="343433"/>
                                <w:kern w:val="24"/>
                                <w:sz w:val="10"/>
                                <w:szCs w:val="10"/>
                              </w:rPr>
                            </w:pPr>
                            <w:r w:rsidRPr="002E2F4B">
                              <w:rPr>
                                <w:rFonts w:ascii="Century Gothic" w:hAnsi="Century Gothic"/>
                                <w:color w:val="343433"/>
                                <w:sz w:val="10"/>
                                <w:szCs w:val="22"/>
                              </w:rPr>
                              <w:t xml:space="preserve">Резистентність до RIF </w:t>
                            </w:r>
                            <w:r w:rsidRPr="002E2F4B">
                              <w:rPr>
                                <w:rFonts w:ascii="Century Gothic" w:hAnsi="Century Gothic"/>
                                <w:b/>
                                <w:color w:val="343433"/>
                                <w:sz w:val="10"/>
                                <w:szCs w:val="22"/>
                              </w:rPr>
                              <w:t>НЕ виявлено</w:t>
                            </w:r>
                          </w:p>
                        </w:txbxContent>
                      </v:textbox>
                    </v:rect>
                  </w:pict>
                </mc:Fallback>
              </mc:AlternateContent>
            </w:r>
            <w:r w:rsidR="002E2F4B">
              <w:rPr>
                <w:noProof/>
              </w:rPr>
              <mc:AlternateContent>
                <mc:Choice Requires="wps">
                  <w:drawing>
                    <wp:anchor distT="0" distB="0" distL="114300" distR="114300" simplePos="0" relativeHeight="251600896" behindDoc="0" locked="0" layoutInCell="1" allowOverlap="1" wp14:anchorId="518B1EF2" wp14:editId="75F03C8B">
                      <wp:simplePos x="0" y="0"/>
                      <wp:positionH relativeFrom="column">
                        <wp:posOffset>3046431</wp:posOffset>
                      </wp:positionH>
                      <wp:positionV relativeFrom="paragraph">
                        <wp:posOffset>4081779</wp:posOffset>
                      </wp:positionV>
                      <wp:extent cx="407035" cy="103505"/>
                      <wp:effectExtent l="0" t="0" r="0" b="0"/>
                      <wp:wrapNone/>
                      <wp:docPr id="27" name="Прямокутник 26"/>
                      <wp:cNvGraphicFramePr/>
                      <a:graphic xmlns:a="http://schemas.openxmlformats.org/drawingml/2006/main">
                        <a:graphicData uri="http://schemas.microsoft.com/office/word/2010/wordprocessingShape">
                          <wps:wsp>
                            <wps:cNvSpPr/>
                            <wps:spPr>
                              <a:xfrm>
                                <a:off x="0" y="0"/>
                                <a:ext cx="407035" cy="103505"/>
                              </a:xfrm>
                              <a:prstGeom prst="rect">
                                <a:avLst/>
                              </a:prstGeom>
                              <a:solidFill>
                                <a:srgbClr val="FFF697"/>
                              </a:solidFill>
                            </wps:spPr>
                            <wps:txbx>
                              <w:txbxContent>
                                <w:p w14:paraId="1A880FB8"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LC-aNAAT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18B1EF2" id="Прямокутник 26" o:spid="_x0000_s1255" style="position:absolute;margin-left:239.9pt;margin-top:321.4pt;width:32.05pt;height:8.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" fillcolor="#fff697" stroked="f">
                      <v:textbox inset="0,0,0,0">
                        <w:txbxContent>
                          <w:p w14:paraId="1A880FB8"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LC-aNAAT</w:t>
                            </w:r>
                          </w:p>
                        </w:txbxContent>
                      </v:textbox>
                    </v:rect>
                  </w:pict>
                </mc:Fallback>
              </mc:AlternateContent>
            </w:r>
            <w:r w:rsidR="002E2F4B">
              <w:rPr>
                <w:noProof/>
              </w:rPr>
              <mc:AlternateContent>
                <mc:Choice Requires="wps">
                  <w:drawing>
                    <wp:anchor distT="0" distB="0" distL="114300" distR="114300" simplePos="0" relativeHeight="251597824" behindDoc="0" locked="0" layoutInCell="1" allowOverlap="1" wp14:anchorId="46F55B49" wp14:editId="6C720FF2">
                      <wp:simplePos x="0" y="0"/>
                      <wp:positionH relativeFrom="column">
                        <wp:posOffset>2118584</wp:posOffset>
                      </wp:positionH>
                      <wp:positionV relativeFrom="paragraph">
                        <wp:posOffset>4081780</wp:posOffset>
                      </wp:positionV>
                      <wp:extent cx="396315" cy="121024"/>
                      <wp:effectExtent l="0" t="0" r="3810" b="0"/>
                      <wp:wrapNone/>
                      <wp:docPr id="24" name="Прямокутник 23"/>
                      <wp:cNvGraphicFramePr/>
                      <a:graphic xmlns:a="http://schemas.openxmlformats.org/drawingml/2006/main">
                        <a:graphicData uri="http://schemas.microsoft.com/office/word/2010/wordprocessingShape">
                          <wps:wsp>
                            <wps:cNvSpPr/>
                            <wps:spPr>
                              <a:xfrm>
                                <a:off x="0" y="0"/>
                                <a:ext cx="396315" cy="121024"/>
                              </a:xfrm>
                              <a:prstGeom prst="rect">
                                <a:avLst/>
                              </a:prstGeom>
                              <a:solidFill>
                                <a:srgbClr val="CCD7C7"/>
                              </a:solidFill>
                            </wps:spPr>
                            <wps:txbx>
                              <w:txbxContent>
                                <w:p w14:paraId="418527DE"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LC-aNAAT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6F55B49" id="Прямокутник 23" o:spid="_x0000_s1256" style="position:absolute;margin-left:166.8pt;margin-top:321.4pt;width:31.2pt;height:9.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" fillcolor="#ccd7c7" stroked="f">
                      <v:textbox inset="0,0,0,0">
                        <w:txbxContent>
                          <w:p w14:paraId="418527DE"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LC-aNAAT</w:t>
                            </w:r>
                          </w:p>
                        </w:txbxContent>
                      </v:textbox>
                    </v:rect>
                  </w:pict>
                </mc:Fallback>
              </mc:AlternateContent>
            </w:r>
            <w:r w:rsidR="002E2F4B">
              <w:rPr>
                <w:noProof/>
              </w:rPr>
              <mc:AlternateContent>
                <mc:Choice Requires="wps">
                  <w:drawing>
                    <wp:anchor distT="0" distB="0" distL="114300" distR="114300" simplePos="0" relativeHeight="251594752" behindDoc="0" locked="0" layoutInCell="1" allowOverlap="1" wp14:anchorId="422FCB2F" wp14:editId="7A5E0B85">
                      <wp:simplePos x="0" y="0"/>
                      <wp:positionH relativeFrom="column">
                        <wp:posOffset>1101090</wp:posOffset>
                      </wp:positionH>
                      <wp:positionV relativeFrom="paragraph">
                        <wp:posOffset>4346239</wp:posOffset>
                      </wp:positionV>
                      <wp:extent cx="309282" cy="119270"/>
                      <wp:effectExtent l="0" t="0" r="0" b="0"/>
                      <wp:wrapNone/>
                      <wp:docPr id="21" name="Прямокутник 20"/>
                      <wp:cNvGraphicFramePr/>
                      <a:graphic xmlns:a="http://schemas.openxmlformats.org/drawingml/2006/main">
                        <a:graphicData uri="http://schemas.microsoft.com/office/word/2010/wordprocessingShape">
                          <wps:wsp>
                            <wps:cNvSpPr/>
                            <wps:spPr>
                              <a:xfrm>
                                <a:off x="0" y="0"/>
                                <a:ext cx="309282" cy="119270"/>
                              </a:xfrm>
                              <a:prstGeom prst="rect">
                                <a:avLst/>
                              </a:prstGeom>
                              <a:solidFill>
                                <a:srgbClr val="FBD4D5"/>
                              </a:solidFill>
                            </wps:spPr>
                            <wps:txbx>
                              <w:txbxContent>
                                <w:p w14:paraId="7FEE65FB"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mWRD</w:t>
                                  </w:r>
                                  <w:r>
                                    <w:rPr>
                                      <w:rFonts w:ascii="Century Gothic" w:hAnsi="Century Gothic"/>
                                      <w:b/>
                                      <w:color w:val="0099D6"/>
                                      <w:sz w:val="12"/>
                                      <w:vertAlign w:val="superscript"/>
                                    </w:rPr>
                                    <w:t>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22FCB2F" id="Прямокутник 20" o:spid="_x0000_s1257" style="position:absolute;margin-left:86.7pt;margin-top:342.2pt;width:24.35pt;height:9.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" fillcolor="#fbd4d5" stroked="f">
                      <v:textbox inset="0,0,0,0">
                        <w:txbxContent>
                          <w:p w14:paraId="7FEE65FB"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mWRD</w:t>
                            </w:r>
                            <w:r>
                              <w:rPr>
                                <w:rFonts w:ascii="Century Gothic" w:hAnsi="Century Gothic"/>
                                <w:b/>
                                <w:color w:val="0099D6"/>
                                <w:sz w:val="12"/>
                                <w:vertAlign w:val="superscript"/>
                              </w:rPr>
                              <w:t>e</w:t>
                            </w:r>
                          </w:p>
                        </w:txbxContent>
                      </v:textbox>
                    </v:rect>
                  </w:pict>
                </mc:Fallback>
              </mc:AlternateContent>
            </w:r>
            <w:r w:rsidR="002E2F4B">
              <w:rPr>
                <w:noProof/>
              </w:rPr>
              <mc:AlternateContent>
                <mc:Choice Requires="wps">
                  <w:drawing>
                    <wp:anchor distT="0" distB="0" distL="114300" distR="114300" simplePos="0" relativeHeight="251591680" behindDoc="0" locked="0" layoutInCell="1" allowOverlap="1" wp14:anchorId="2AA296B2" wp14:editId="05C1F6F3">
                      <wp:simplePos x="0" y="0"/>
                      <wp:positionH relativeFrom="column">
                        <wp:posOffset>271854</wp:posOffset>
                      </wp:positionH>
                      <wp:positionV relativeFrom="paragraph">
                        <wp:posOffset>4332792</wp:posOffset>
                      </wp:positionV>
                      <wp:extent cx="327211" cy="108585"/>
                      <wp:effectExtent l="0" t="0" r="0" b="5715"/>
                      <wp:wrapNone/>
                      <wp:docPr id="18" name="Прямокутник 17"/>
                      <wp:cNvGraphicFramePr/>
                      <a:graphic xmlns:a="http://schemas.openxmlformats.org/drawingml/2006/main">
                        <a:graphicData uri="http://schemas.microsoft.com/office/word/2010/wordprocessingShape">
                          <wps:wsp>
                            <wps:cNvSpPr/>
                            <wps:spPr>
                              <a:xfrm>
                                <a:off x="0" y="0"/>
                                <a:ext cx="327211" cy="108585"/>
                              </a:xfrm>
                              <a:prstGeom prst="rect">
                                <a:avLst/>
                              </a:prstGeom>
                              <a:solidFill>
                                <a:srgbClr val="CCD7C7"/>
                              </a:solidFill>
                            </wps:spPr>
                            <wps:txbx>
                              <w:txbxContent>
                                <w:p w14:paraId="553B9DDB"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mWRD</w:t>
                                  </w:r>
                                  <w:r>
                                    <w:rPr>
                                      <w:rFonts w:ascii="Century Gothic" w:hAnsi="Century Gothic"/>
                                      <w:b/>
                                      <w:color w:val="0099D6"/>
                                      <w:sz w:val="12"/>
                                      <w:vertAlign w:val="superscript"/>
                                    </w:rPr>
                                    <w:t>e</w:t>
                                  </w:r>
                                </w:p>
                              </w:txbxContent>
                            </wps:txbx>
                            <wps:bodyPr wrap="square" lIns="0" tIns="0" rIns="0" bIns="0">
                              <a:noAutofit/>
                            </wps:bodyPr>
                          </wps:wsp>
                        </a:graphicData>
                      </a:graphic>
                      <wp14:sizeRelH relativeFrom="margin">
                        <wp14:pctWidth>0</wp14:pctWidth>
                      </wp14:sizeRelH>
                    </wp:anchor>
                  </w:drawing>
                </mc:Choice>
                <mc:Fallback>
                  <w:pict>
                    <v:rect w14:anchorId="2AA296B2" id="Прямокутник 17" o:spid="_x0000_s1258" style="position:absolute;margin-left:21.4pt;margin-top:341.15pt;width:25.75pt;height:8.55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" fillcolor="#ccd7c7" stroked="f">
                      <v:textbox inset="0,0,0,0">
                        <w:txbxContent>
                          <w:p w14:paraId="553B9DDB"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mWRD</w:t>
                            </w:r>
                            <w:r>
                              <w:rPr>
                                <w:rFonts w:ascii="Century Gothic" w:hAnsi="Century Gothic"/>
                                <w:b/>
                                <w:color w:val="0099D6"/>
                                <w:sz w:val="12"/>
                                <w:vertAlign w:val="superscript"/>
                              </w:rPr>
                              <w:t>e</w:t>
                            </w:r>
                          </w:p>
                        </w:txbxContent>
                      </v:textbox>
                    </v:rect>
                  </w:pict>
                </mc:Fallback>
              </mc:AlternateContent>
            </w:r>
            <w:r w:rsidR="002E2F4B">
              <w:rPr>
                <w:noProof/>
              </w:rPr>
              <mc:AlternateContent>
                <mc:Choice Requires="wps">
                  <w:drawing>
                    <wp:anchor distT="0" distB="0" distL="114300" distR="114300" simplePos="0" relativeHeight="251587584" behindDoc="0" locked="0" layoutInCell="1" allowOverlap="1" wp14:anchorId="11AB947D" wp14:editId="6D1AB12E">
                      <wp:simplePos x="0" y="0"/>
                      <wp:positionH relativeFrom="column">
                        <wp:posOffset>4615255</wp:posOffset>
                      </wp:positionH>
                      <wp:positionV relativeFrom="paragraph">
                        <wp:posOffset>2096098</wp:posOffset>
                      </wp:positionV>
                      <wp:extent cx="1140460" cy="313690"/>
                      <wp:effectExtent l="0" t="0" r="2540" b="0"/>
                      <wp:wrapNone/>
                      <wp:docPr id="14" name="Прямокутник 13"/>
                      <wp:cNvGraphicFramePr/>
                      <a:graphic xmlns:a="http://schemas.openxmlformats.org/drawingml/2006/main">
                        <a:graphicData uri="http://schemas.microsoft.com/office/word/2010/wordprocessingShape">
                          <wps:wsp>
                            <wps:cNvSpPr/>
                            <wps:spPr>
                              <a:xfrm>
                                <a:off x="0" y="0"/>
                                <a:ext cx="1140460" cy="313690"/>
                              </a:xfrm>
                              <a:prstGeom prst="rect">
                                <a:avLst/>
                              </a:prstGeom>
                              <a:solidFill>
                                <a:srgbClr val="B8DCF3"/>
                              </a:solidFill>
                            </wps:spPr>
                            <wps:txbx>
                              <w:txbxContent>
                                <w:p w14:paraId="32DC8E87" w14:textId="77777777" w:rsidR="009D0C1D" w:rsidRPr="002E2F4B" w:rsidRDefault="009D0C1D" w:rsidP="004F6FB8">
                                  <w:pPr>
                                    <w:spacing w:line="276" w:lineRule="auto"/>
                                    <w:jc w:val="center"/>
                                    <w:rPr>
                                      <w:rFonts w:ascii="Century Gothic" w:hAnsi="Century Gothic" w:cstheme="minorBidi"/>
                                      <w:b/>
                                      <w:bCs/>
                                      <w:color w:val="343433"/>
                                      <w:kern w:val="24"/>
                                      <w:sz w:val="12"/>
                                      <w:szCs w:val="12"/>
                                    </w:rPr>
                                  </w:pPr>
                                  <w:r w:rsidRPr="002E2F4B">
                                    <w:rPr>
                                      <w:rFonts w:ascii="Century Gothic" w:hAnsi="Century Gothic"/>
                                      <w:b/>
                                      <w:color w:val="343433"/>
                                      <w:sz w:val="12"/>
                                      <w:szCs w:val="22"/>
                                    </w:rPr>
                                    <w:t>Дорослі та підлітки, які живуть із ВІЛ</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1AB947D" id="Прямокутник 13" o:spid="_x0000_s1259" style="position:absolute;margin-left:363.4pt;margin-top:165.05pt;width:89.8pt;height:24.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" fillcolor="#b8dcf3" stroked="f">
                      <v:textbox inset="0,0,0,0">
                        <w:txbxContent>
                          <w:p w14:paraId="32DC8E87" w14:textId="77777777" w:rsidR="009D0C1D" w:rsidRPr="002E2F4B" w:rsidRDefault="009D0C1D" w:rsidP="004F6FB8">
                            <w:pPr>
                              <w:spacing w:line="276" w:lineRule="auto"/>
                              <w:jc w:val="center"/>
                              <w:rPr>
                                <w:rFonts w:ascii="Century Gothic" w:hAnsi="Century Gothic" w:cstheme="minorBidi"/>
                                <w:b/>
                                <w:bCs/>
                                <w:color w:val="343433"/>
                                <w:kern w:val="24"/>
                                <w:sz w:val="12"/>
                                <w:szCs w:val="12"/>
                              </w:rPr>
                            </w:pPr>
                            <w:r w:rsidRPr="002E2F4B">
                              <w:rPr>
                                <w:rFonts w:ascii="Century Gothic" w:hAnsi="Century Gothic"/>
                                <w:b/>
                                <w:color w:val="343433"/>
                                <w:sz w:val="12"/>
                                <w:szCs w:val="22"/>
                              </w:rPr>
                              <w:t>Дорослі та підлітки, які живуть із ВІЛ</w:t>
                            </w:r>
                          </w:p>
                        </w:txbxContent>
                      </v:textbox>
                    </v:rect>
                  </w:pict>
                </mc:Fallback>
              </mc:AlternateContent>
            </w:r>
            <w:r w:rsidR="002E2F4B">
              <w:rPr>
                <w:noProof/>
              </w:rPr>
              <mc:AlternateContent>
                <mc:Choice Requires="wps">
                  <w:drawing>
                    <wp:anchor distT="0" distB="0" distL="114300" distR="114300" simplePos="0" relativeHeight="251589632" behindDoc="0" locked="0" layoutInCell="1" allowOverlap="1" wp14:anchorId="4C84D6B7" wp14:editId="2A79A261">
                      <wp:simplePos x="0" y="0"/>
                      <wp:positionH relativeFrom="column">
                        <wp:posOffset>6869878</wp:posOffset>
                      </wp:positionH>
                      <wp:positionV relativeFrom="paragraph">
                        <wp:posOffset>2096098</wp:posOffset>
                      </wp:positionV>
                      <wp:extent cx="850265" cy="313764"/>
                      <wp:effectExtent l="0" t="0" r="6985" b="0"/>
                      <wp:wrapNone/>
                      <wp:docPr id="16" name="Прямокутник 15"/>
                      <wp:cNvGraphicFramePr/>
                      <a:graphic xmlns:a="http://schemas.openxmlformats.org/drawingml/2006/main">
                        <a:graphicData uri="http://schemas.microsoft.com/office/word/2010/wordprocessingShape">
                          <wps:wsp>
                            <wps:cNvSpPr/>
                            <wps:spPr>
                              <a:xfrm>
                                <a:off x="0" y="0"/>
                                <a:ext cx="850265" cy="313764"/>
                              </a:xfrm>
                              <a:prstGeom prst="rect">
                                <a:avLst/>
                              </a:prstGeom>
                              <a:solidFill>
                                <a:srgbClr val="B8DCF3"/>
                              </a:solidFill>
                            </wps:spPr>
                            <wps:txbx>
                              <w:txbxContent>
                                <w:p w14:paraId="5693D7E1" w14:textId="77777777" w:rsidR="009D0C1D" w:rsidRPr="002E2F4B" w:rsidRDefault="009D0C1D" w:rsidP="004F6FB8">
                                  <w:pPr>
                                    <w:spacing w:line="276" w:lineRule="auto"/>
                                    <w:jc w:val="center"/>
                                    <w:rPr>
                                      <w:rFonts w:ascii="Century Gothic" w:hAnsi="Century Gothic" w:cstheme="minorBidi"/>
                                      <w:b/>
                                      <w:bCs/>
                                      <w:color w:val="343433"/>
                                      <w:kern w:val="24"/>
                                      <w:sz w:val="12"/>
                                      <w:szCs w:val="12"/>
                                    </w:rPr>
                                  </w:pPr>
                                  <w:r w:rsidRPr="002E2F4B">
                                    <w:rPr>
                                      <w:rFonts w:ascii="Century Gothic" w:hAnsi="Century Gothic"/>
                                      <w:b/>
                                      <w:color w:val="343433"/>
                                      <w:sz w:val="12"/>
                                      <w:szCs w:val="22"/>
                                    </w:rPr>
                                    <w:t>Діти у віці ≤ 10 років, які живуть з ВІЛ</w:t>
                                  </w:r>
                                </w:p>
                              </w:txbxContent>
                            </wps:txbx>
                            <wps:bodyPr lIns="0" tIns="0" rIns="0" bIns="0">
                              <a:noAutofit/>
                            </wps:bodyPr>
                          </wps:wsp>
                        </a:graphicData>
                      </a:graphic>
                      <wp14:sizeRelV relativeFrom="margin">
                        <wp14:pctHeight>0</wp14:pctHeight>
                      </wp14:sizeRelV>
                    </wp:anchor>
                  </w:drawing>
                </mc:Choice>
                <mc:Fallback>
                  <w:pict>
                    <v:rect w14:anchorId="4C84D6B7" id="Прямокутник 15" o:spid="_x0000_s1260" style="position:absolute;margin-left:540.95pt;margin-top:165.05pt;width:66.95pt;height:24.7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" fillcolor="#b8dcf3" stroked="f">
                      <v:textbox inset="0,0,0,0">
                        <w:txbxContent>
                          <w:p w14:paraId="5693D7E1" w14:textId="77777777" w:rsidR="009D0C1D" w:rsidRPr="002E2F4B" w:rsidRDefault="009D0C1D" w:rsidP="004F6FB8">
                            <w:pPr>
                              <w:spacing w:line="276" w:lineRule="auto"/>
                              <w:jc w:val="center"/>
                              <w:rPr>
                                <w:rFonts w:ascii="Century Gothic" w:hAnsi="Century Gothic" w:cstheme="minorBidi"/>
                                <w:b/>
                                <w:bCs/>
                                <w:color w:val="343433"/>
                                <w:kern w:val="24"/>
                                <w:sz w:val="12"/>
                                <w:szCs w:val="12"/>
                              </w:rPr>
                            </w:pPr>
                            <w:r w:rsidRPr="002E2F4B">
                              <w:rPr>
                                <w:rFonts w:ascii="Century Gothic" w:hAnsi="Century Gothic"/>
                                <w:b/>
                                <w:color w:val="343433"/>
                                <w:sz w:val="12"/>
                                <w:szCs w:val="22"/>
                              </w:rPr>
                              <w:t>Діти у віці ≤ 10 років, які живуть з ВІЛ</w:t>
                            </w:r>
                          </w:p>
                        </w:txbxContent>
                      </v:textbox>
                    </v:rect>
                  </w:pict>
                </mc:Fallback>
              </mc:AlternateContent>
            </w:r>
            <w:r w:rsidR="002E2F4B">
              <w:rPr>
                <w:noProof/>
              </w:rPr>
              <mc:AlternateContent>
                <mc:Choice Requires="wps">
                  <w:drawing>
                    <wp:anchor distT="0" distB="0" distL="114300" distR="114300" simplePos="0" relativeHeight="251590656" behindDoc="0" locked="0" layoutInCell="1" allowOverlap="1" wp14:anchorId="449941C1" wp14:editId="1E0FFEA3">
                      <wp:simplePos x="0" y="0"/>
                      <wp:positionH relativeFrom="column">
                        <wp:posOffset>6645761</wp:posOffset>
                      </wp:positionH>
                      <wp:positionV relativeFrom="paragraph">
                        <wp:posOffset>2768450</wp:posOffset>
                      </wp:positionV>
                      <wp:extent cx="1187823" cy="824753"/>
                      <wp:effectExtent l="0" t="0" r="0" b="0"/>
                      <wp:wrapNone/>
                      <wp:docPr id="17" name="Прямокутник 16"/>
                      <wp:cNvGraphicFramePr/>
                      <a:graphic xmlns:a="http://schemas.openxmlformats.org/drawingml/2006/main">
                        <a:graphicData uri="http://schemas.microsoft.com/office/word/2010/wordprocessingShape">
                          <wps:wsp>
                            <wps:cNvSpPr/>
                            <wps:spPr>
                              <a:xfrm>
                                <a:off x="0" y="0"/>
                                <a:ext cx="1187823" cy="824753"/>
                              </a:xfrm>
                              <a:prstGeom prst="rect">
                                <a:avLst/>
                              </a:prstGeom>
                              <a:solidFill>
                                <a:srgbClr val="D2E9FB"/>
                              </a:solidFill>
                            </wps:spPr>
                            <wps:txbx>
                              <w:txbxContent>
                                <w:p w14:paraId="6F7363A4" w14:textId="6470ED07" w:rsidR="009D0C1D" w:rsidRPr="002E2F4B" w:rsidRDefault="009D0C1D" w:rsidP="004F6FB8">
                                  <w:pPr>
                                    <w:spacing w:after="42"/>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rsidRPr="002E2F4B">
                                    <w:rPr>
                                      <w:sz w:val="22"/>
                                      <w:szCs w:val="22"/>
                                    </w:rP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 xml:space="preserve">зразок з дихальних шляхів </w:t>
                                  </w:r>
                                  <w:r w:rsidRPr="002E2F4B">
                                    <w:rPr>
                                      <w:rFonts w:ascii="Century Gothic" w:hAnsi="Century Gothic"/>
                                      <w:color w:val="343433"/>
                                      <w:sz w:val="12"/>
                                      <w:szCs w:val="22"/>
                                    </w:rPr>
                                    <w:t>для LC-aNAAT</w:t>
                                  </w:r>
                                </w:p>
                                <w:p w14:paraId="38C26CF6" w14:textId="17EABA34" w:rsidR="009D0C1D" w:rsidRPr="002E2F4B" w:rsidRDefault="009D0C1D" w:rsidP="004F6FB8">
                                  <w:pPr>
                                    <w:spacing w:after="42"/>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rsidRPr="002E2F4B">
                                    <w:rPr>
                                      <w:sz w:val="22"/>
                                      <w:szCs w:val="22"/>
                                    </w:rP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 xml:space="preserve">зразок калу </w:t>
                                  </w:r>
                                  <w:r w:rsidRPr="002E2F4B">
                                    <w:rPr>
                                      <w:rFonts w:ascii="Century Gothic" w:hAnsi="Century Gothic"/>
                                      <w:color w:val="343433"/>
                                      <w:sz w:val="12"/>
                                      <w:szCs w:val="22"/>
                                    </w:rPr>
                                    <w:t>для LC-aNAAT</w:t>
                                  </w:r>
                                </w:p>
                                <w:p w14:paraId="15DAEB6B" w14:textId="67CCBE1E" w:rsidR="009D0C1D" w:rsidRPr="002E2F4B" w:rsidRDefault="009D0C1D" w:rsidP="004F6FB8">
                                  <w:pPr>
                                    <w:spacing w:line="254" w:lineRule="auto"/>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 xml:space="preserve">зразок сечі </w:t>
                                  </w:r>
                                  <w:r w:rsidRPr="002E2F4B">
                                    <w:rPr>
                                      <w:rFonts w:ascii="Century Gothic" w:hAnsi="Century Gothic"/>
                                      <w:color w:val="343433"/>
                                      <w:sz w:val="12"/>
                                      <w:szCs w:val="22"/>
                                    </w:rPr>
                                    <w:t>для LF-LAM</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49941C1" id="Прямокутник 16" o:spid="_x0000_s1261" style="position:absolute;margin-left:523.3pt;margin-top:218pt;width:93.55pt;height:64.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" fillcolor="#d2e9fb" stroked="f">
                      <v:textbox inset="0,0,0,0">
                        <w:txbxContent>
                          <w:p w14:paraId="6F7363A4" w14:textId="6470ED07" w:rsidR="009D0C1D" w:rsidRPr="002E2F4B" w:rsidRDefault="009D0C1D" w:rsidP="004F6FB8">
                            <w:pPr>
                              <w:spacing w:after="42"/>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rsidRPr="002E2F4B">
                              <w:rPr>
                                <w:sz w:val="22"/>
                                <w:szCs w:val="22"/>
                              </w:rP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 xml:space="preserve">зразок з дихальних шляхів </w:t>
                            </w:r>
                            <w:r w:rsidRPr="002E2F4B">
                              <w:rPr>
                                <w:rFonts w:ascii="Century Gothic" w:hAnsi="Century Gothic"/>
                                <w:color w:val="343433"/>
                                <w:sz w:val="12"/>
                                <w:szCs w:val="22"/>
                              </w:rPr>
                              <w:t>для LC-aNAAT</w:t>
                            </w:r>
                          </w:p>
                          <w:p w14:paraId="38C26CF6" w14:textId="17EABA34" w:rsidR="009D0C1D" w:rsidRPr="002E2F4B" w:rsidRDefault="009D0C1D" w:rsidP="004F6FB8">
                            <w:pPr>
                              <w:spacing w:after="42"/>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rsidRPr="002E2F4B">
                              <w:rPr>
                                <w:sz w:val="22"/>
                                <w:szCs w:val="22"/>
                              </w:rP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 xml:space="preserve">зразок калу </w:t>
                            </w:r>
                            <w:r w:rsidRPr="002E2F4B">
                              <w:rPr>
                                <w:rFonts w:ascii="Century Gothic" w:hAnsi="Century Gothic"/>
                                <w:color w:val="343433"/>
                                <w:sz w:val="12"/>
                                <w:szCs w:val="22"/>
                              </w:rPr>
                              <w:t>для LC-aNAAT</w:t>
                            </w:r>
                          </w:p>
                          <w:p w14:paraId="15DAEB6B" w14:textId="67CCBE1E" w:rsidR="009D0C1D" w:rsidRPr="002E2F4B" w:rsidRDefault="009D0C1D" w:rsidP="004F6FB8">
                            <w:pPr>
                              <w:spacing w:line="254" w:lineRule="auto"/>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 xml:space="preserve">зразок сечі </w:t>
                            </w:r>
                            <w:r w:rsidRPr="002E2F4B">
                              <w:rPr>
                                <w:rFonts w:ascii="Century Gothic" w:hAnsi="Century Gothic"/>
                                <w:color w:val="343433"/>
                                <w:sz w:val="12"/>
                                <w:szCs w:val="22"/>
                              </w:rPr>
                              <w:t>для LF-LAM</w:t>
                            </w:r>
                          </w:p>
                        </w:txbxContent>
                      </v:textbox>
                    </v:rect>
                  </w:pict>
                </mc:Fallback>
              </mc:AlternateContent>
            </w:r>
            <w:r w:rsidR="002E2F4B">
              <w:rPr>
                <w:noProof/>
              </w:rPr>
              <mc:AlternateContent>
                <mc:Choice Requires="wps">
                  <w:drawing>
                    <wp:anchor distT="0" distB="0" distL="114300" distR="114300" simplePos="0" relativeHeight="251588608" behindDoc="0" locked="0" layoutInCell="1" allowOverlap="1" wp14:anchorId="1BBA542B" wp14:editId="44EE6ACE">
                      <wp:simplePos x="0" y="0"/>
                      <wp:positionH relativeFrom="column">
                        <wp:posOffset>4382172</wp:posOffset>
                      </wp:positionH>
                      <wp:positionV relativeFrom="paragraph">
                        <wp:posOffset>2902921</wp:posOffset>
                      </wp:positionV>
                      <wp:extent cx="1127760" cy="578224"/>
                      <wp:effectExtent l="0" t="0" r="0" b="0"/>
                      <wp:wrapNone/>
                      <wp:docPr id="15" name="Прямокутник 14"/>
                      <wp:cNvGraphicFramePr/>
                      <a:graphic xmlns:a="http://schemas.openxmlformats.org/drawingml/2006/main">
                        <a:graphicData uri="http://schemas.microsoft.com/office/word/2010/wordprocessingShape">
                          <wps:wsp>
                            <wps:cNvSpPr/>
                            <wps:spPr>
                              <a:xfrm>
                                <a:off x="0" y="0"/>
                                <a:ext cx="1127760" cy="578224"/>
                              </a:xfrm>
                              <a:prstGeom prst="rect">
                                <a:avLst/>
                              </a:prstGeom>
                              <a:solidFill>
                                <a:srgbClr val="D2E9FB"/>
                              </a:solidFill>
                            </wps:spPr>
                            <wps:txbx>
                              <w:txbxContent>
                                <w:p w14:paraId="16040814" w14:textId="35EACE18" w:rsidR="009D0C1D" w:rsidRPr="002E2F4B" w:rsidRDefault="009D0C1D" w:rsidP="004F6FB8">
                                  <w:pPr>
                                    <w:spacing w:after="42"/>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rsidRPr="002E2F4B">
                                    <w:rPr>
                                      <w:sz w:val="22"/>
                                      <w:szCs w:val="22"/>
                                    </w:rP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 xml:space="preserve">зразок з дихальних шляхів </w:t>
                                  </w:r>
                                  <w:r w:rsidRPr="002E2F4B">
                                    <w:rPr>
                                      <w:rFonts w:ascii="Century Gothic" w:hAnsi="Century Gothic"/>
                                      <w:color w:val="343433"/>
                                      <w:sz w:val="12"/>
                                      <w:szCs w:val="22"/>
                                    </w:rPr>
                                    <w:t>для LC-aNAAT</w:t>
                                  </w:r>
                                </w:p>
                                <w:p w14:paraId="33B6981F" w14:textId="1C6FC0C6" w:rsidR="009D0C1D" w:rsidRPr="002E2F4B" w:rsidRDefault="009D0C1D" w:rsidP="004F6FB8">
                                  <w:pPr>
                                    <w:spacing w:line="254" w:lineRule="auto"/>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 xml:space="preserve">зразок сечі </w:t>
                                  </w:r>
                                  <w:r w:rsidRPr="002E2F4B">
                                    <w:rPr>
                                      <w:rFonts w:ascii="Century Gothic" w:hAnsi="Century Gothic"/>
                                      <w:color w:val="343433"/>
                                      <w:sz w:val="12"/>
                                      <w:szCs w:val="22"/>
                                    </w:rPr>
                                    <w:t>для LF-LAM</w:t>
                                  </w:r>
                                </w:p>
                              </w:txbxContent>
                            </wps:txbx>
                            <wps:bodyPr lIns="0" tIns="0" rIns="0" bIns="0">
                              <a:noAutofit/>
                            </wps:bodyPr>
                          </wps:wsp>
                        </a:graphicData>
                      </a:graphic>
                      <wp14:sizeRelV relativeFrom="margin">
                        <wp14:pctHeight>0</wp14:pctHeight>
                      </wp14:sizeRelV>
                    </wp:anchor>
                  </w:drawing>
                </mc:Choice>
                <mc:Fallback>
                  <w:pict>
                    <v:rect w14:anchorId="1BBA542B" id="Прямокутник 14" o:spid="_x0000_s1262" style="position:absolute;margin-left:345.05pt;margin-top:228.6pt;width:88.8pt;height:45.55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" fillcolor="#d2e9fb" stroked="f">
                      <v:textbox inset="0,0,0,0">
                        <w:txbxContent>
                          <w:p w14:paraId="16040814" w14:textId="35EACE18" w:rsidR="009D0C1D" w:rsidRPr="002E2F4B" w:rsidRDefault="009D0C1D" w:rsidP="004F6FB8">
                            <w:pPr>
                              <w:spacing w:after="42"/>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rsidRPr="002E2F4B">
                              <w:rPr>
                                <w:sz w:val="22"/>
                                <w:szCs w:val="22"/>
                              </w:rP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 xml:space="preserve">зразок з дихальних шляхів </w:t>
                            </w:r>
                            <w:r w:rsidRPr="002E2F4B">
                              <w:rPr>
                                <w:rFonts w:ascii="Century Gothic" w:hAnsi="Century Gothic"/>
                                <w:color w:val="343433"/>
                                <w:sz w:val="12"/>
                                <w:szCs w:val="22"/>
                              </w:rPr>
                              <w:t>для LC-aNAAT</w:t>
                            </w:r>
                          </w:p>
                          <w:p w14:paraId="33B6981F" w14:textId="1C6FC0C6" w:rsidR="009D0C1D" w:rsidRPr="002E2F4B" w:rsidRDefault="009D0C1D" w:rsidP="004F6FB8">
                            <w:pPr>
                              <w:spacing w:line="254" w:lineRule="auto"/>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 xml:space="preserve">зразок сечі </w:t>
                            </w:r>
                            <w:r w:rsidRPr="002E2F4B">
                              <w:rPr>
                                <w:rFonts w:ascii="Century Gothic" w:hAnsi="Century Gothic"/>
                                <w:color w:val="343433"/>
                                <w:sz w:val="12"/>
                                <w:szCs w:val="22"/>
                              </w:rPr>
                              <w:t>для LF-LAM</w:t>
                            </w:r>
                          </w:p>
                        </w:txbxContent>
                      </v:textbox>
                    </v:rect>
                  </w:pict>
                </mc:Fallback>
              </mc:AlternateContent>
            </w:r>
            <w:r w:rsidR="002E2F4B">
              <w:rPr>
                <w:noProof/>
              </w:rPr>
              <mc:AlternateContent>
                <mc:Choice Requires="wps">
                  <w:drawing>
                    <wp:anchor distT="0" distB="0" distL="114300" distR="114300" simplePos="0" relativeHeight="251586560" behindDoc="0" locked="0" layoutInCell="1" allowOverlap="1" wp14:anchorId="0535D56F" wp14:editId="3D66EE1E">
                      <wp:simplePos x="0" y="0"/>
                      <wp:positionH relativeFrom="column">
                        <wp:posOffset>2132031</wp:posOffset>
                      </wp:positionH>
                      <wp:positionV relativeFrom="paragraph">
                        <wp:posOffset>2911886</wp:posOffset>
                      </wp:positionV>
                      <wp:extent cx="1121410" cy="621105"/>
                      <wp:effectExtent l="0" t="0" r="2540" b="7620"/>
                      <wp:wrapNone/>
                      <wp:docPr id="67615539" name="Прямокутник 12"/>
                      <wp:cNvGraphicFramePr/>
                      <a:graphic xmlns:a="http://schemas.openxmlformats.org/drawingml/2006/main">
                        <a:graphicData uri="http://schemas.microsoft.com/office/word/2010/wordprocessingShape">
                          <wps:wsp>
                            <wps:cNvSpPr/>
                            <wps:spPr>
                              <a:xfrm>
                                <a:off x="0" y="0"/>
                                <a:ext cx="1121410" cy="621105"/>
                              </a:xfrm>
                              <a:prstGeom prst="rect">
                                <a:avLst/>
                              </a:prstGeom>
                              <a:solidFill>
                                <a:srgbClr val="D2E9FB"/>
                              </a:solidFill>
                            </wps:spPr>
                            <wps:txbx>
                              <w:txbxContent>
                                <w:p w14:paraId="5CEC8973" w14:textId="034B3969" w:rsidR="009D0C1D" w:rsidRPr="002E2F4B" w:rsidRDefault="009D0C1D" w:rsidP="004F6FB8">
                                  <w:pPr>
                                    <w:spacing w:after="42"/>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rsidRPr="002E2F4B">
                                    <w:rPr>
                                      <w:sz w:val="22"/>
                                      <w:szCs w:val="22"/>
                                    </w:rP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 xml:space="preserve">зразок з дихальних шляхів </w:t>
                                  </w:r>
                                  <w:r w:rsidRPr="002E2F4B">
                                    <w:rPr>
                                      <w:rFonts w:ascii="Century Gothic" w:hAnsi="Century Gothic"/>
                                      <w:color w:val="343433"/>
                                      <w:sz w:val="12"/>
                                      <w:szCs w:val="22"/>
                                    </w:rPr>
                                    <w:t>для LC-aNAAT</w:t>
                                  </w:r>
                                </w:p>
                                <w:p w14:paraId="7961F24A" w14:textId="2B5EC830" w:rsidR="009D0C1D" w:rsidRPr="002E2F4B" w:rsidRDefault="009D0C1D" w:rsidP="004F6FB8">
                                  <w:pPr>
                                    <w:spacing w:line="254" w:lineRule="auto"/>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rsidRPr="002E2F4B">
                                    <w:rPr>
                                      <w:sz w:val="22"/>
                                      <w:szCs w:val="22"/>
                                    </w:rP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 xml:space="preserve">зразок калу </w:t>
                                  </w:r>
                                  <w:r w:rsidRPr="002E2F4B">
                                    <w:rPr>
                                      <w:rFonts w:ascii="Century Gothic" w:hAnsi="Century Gothic"/>
                                      <w:color w:val="343433"/>
                                      <w:sz w:val="12"/>
                                      <w:szCs w:val="22"/>
                                    </w:rPr>
                                    <w:t>для LC-aNAAT</w:t>
                                  </w:r>
                                </w:p>
                              </w:txbxContent>
                            </wps:txbx>
                            <wps:bodyPr lIns="0" tIns="0" rIns="0" bIns="0">
                              <a:noAutofit/>
                            </wps:bodyPr>
                          </wps:wsp>
                        </a:graphicData>
                      </a:graphic>
                      <wp14:sizeRelV relativeFrom="margin">
                        <wp14:pctHeight>0</wp14:pctHeight>
                      </wp14:sizeRelV>
                    </wp:anchor>
                  </w:drawing>
                </mc:Choice>
                <mc:Fallback>
                  <w:pict>
                    <v:rect w14:anchorId="0535D56F" id="_x0000_s1263" style="position:absolute;margin-left:167.9pt;margin-top:229.3pt;width:88.3pt;height:48.9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" fillcolor="#d2e9fb" stroked="f">
                      <v:textbox inset="0,0,0,0">
                        <w:txbxContent>
                          <w:p w14:paraId="5CEC8973" w14:textId="034B3969" w:rsidR="009D0C1D" w:rsidRPr="002E2F4B" w:rsidRDefault="009D0C1D" w:rsidP="004F6FB8">
                            <w:pPr>
                              <w:spacing w:after="42"/>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rsidRPr="002E2F4B">
                              <w:rPr>
                                <w:sz w:val="22"/>
                                <w:szCs w:val="22"/>
                              </w:rP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 xml:space="preserve">зразок з дихальних шляхів </w:t>
                            </w:r>
                            <w:r w:rsidRPr="002E2F4B">
                              <w:rPr>
                                <w:rFonts w:ascii="Century Gothic" w:hAnsi="Century Gothic"/>
                                <w:color w:val="343433"/>
                                <w:sz w:val="12"/>
                                <w:szCs w:val="22"/>
                              </w:rPr>
                              <w:t>для LC-aNAAT</w:t>
                            </w:r>
                          </w:p>
                          <w:p w14:paraId="7961F24A" w14:textId="2B5EC830" w:rsidR="009D0C1D" w:rsidRPr="002E2F4B" w:rsidRDefault="009D0C1D" w:rsidP="004F6FB8">
                            <w:pPr>
                              <w:spacing w:line="254" w:lineRule="auto"/>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rsidRPr="002E2F4B">
                              <w:rPr>
                                <w:sz w:val="22"/>
                                <w:szCs w:val="22"/>
                              </w:rP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 xml:space="preserve">зразок калу </w:t>
                            </w:r>
                            <w:r w:rsidRPr="002E2F4B">
                              <w:rPr>
                                <w:rFonts w:ascii="Century Gothic" w:hAnsi="Century Gothic"/>
                                <w:color w:val="343433"/>
                                <w:sz w:val="12"/>
                                <w:szCs w:val="22"/>
                              </w:rPr>
                              <w:t>для LC-aNAAT</w:t>
                            </w:r>
                          </w:p>
                        </w:txbxContent>
                      </v:textbox>
                    </v:rect>
                  </w:pict>
                </mc:Fallback>
              </mc:AlternateContent>
            </w:r>
            <w:r w:rsidR="002E2F4B">
              <w:rPr>
                <w:noProof/>
              </w:rPr>
              <mc:AlternateContent>
                <mc:Choice Requires="wps">
                  <w:drawing>
                    <wp:anchor distT="0" distB="0" distL="114300" distR="114300" simplePos="0" relativeHeight="251583488" behindDoc="0" locked="0" layoutInCell="1" allowOverlap="1" wp14:anchorId="136DC136" wp14:editId="5390A829">
                      <wp:simplePos x="0" y="0"/>
                      <wp:positionH relativeFrom="column">
                        <wp:posOffset>127423</wp:posOffset>
                      </wp:positionH>
                      <wp:positionV relativeFrom="paragraph">
                        <wp:posOffset>2913380</wp:posOffset>
                      </wp:positionV>
                      <wp:extent cx="1033145" cy="478155"/>
                      <wp:effectExtent l="0" t="0" r="0" b="0"/>
                      <wp:wrapNone/>
                      <wp:docPr id="1858980130" name="Прямокутник 9"/>
                      <wp:cNvGraphicFramePr/>
                      <a:graphic xmlns:a="http://schemas.openxmlformats.org/drawingml/2006/main">
                        <a:graphicData uri="http://schemas.microsoft.com/office/word/2010/wordprocessingShape">
                          <wps:wsp>
                            <wps:cNvSpPr/>
                            <wps:spPr>
                              <a:xfrm>
                                <a:off x="0" y="0"/>
                                <a:ext cx="1033145" cy="478155"/>
                              </a:xfrm>
                              <a:prstGeom prst="rect">
                                <a:avLst/>
                              </a:prstGeom>
                              <a:solidFill>
                                <a:srgbClr val="F9E4DF"/>
                              </a:solidFill>
                            </wps:spPr>
                            <wps:txbx>
                              <w:txbxContent>
                                <w:p w14:paraId="75DB22DF" w14:textId="57740BB8" w:rsidR="009D0C1D" w:rsidRPr="002E2F4B" w:rsidRDefault="009D0C1D" w:rsidP="004F6FB8">
                                  <w:pPr>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дихальну пробу</w:t>
                                  </w:r>
                                  <w:r w:rsidRPr="002E2F4B">
                                    <w:rPr>
                                      <w:rFonts w:ascii="Century Gothic" w:hAnsi="Century Gothic"/>
                                      <w:b/>
                                      <w:color w:val="00AEEF"/>
                                      <w:sz w:val="10"/>
                                      <w:szCs w:val="22"/>
                                      <w:vertAlign w:val="superscript"/>
                                    </w:rPr>
                                    <w:t>b</w:t>
                                  </w:r>
                                  <w:r w:rsidRPr="002E2F4B">
                                    <w:rPr>
                                      <w:rFonts w:ascii="Century Gothic" w:hAnsi="Century Gothic"/>
                                      <w:b/>
                                      <w:color w:val="00AEEF"/>
                                      <w:sz w:val="10"/>
                                      <w:szCs w:val="22"/>
                                    </w:rPr>
                                    <w:t xml:space="preserve"> </w:t>
                                  </w:r>
                                  <w:r w:rsidRPr="002E2F4B">
                                    <w:rPr>
                                      <w:rFonts w:ascii="Century Gothic" w:hAnsi="Century Gothic"/>
                                      <w:color w:val="343433"/>
                                      <w:sz w:val="12"/>
                                      <w:szCs w:val="22"/>
                                    </w:rPr>
                                    <w:t>для тестування</w:t>
                                  </w:r>
                                  <w:r w:rsidRPr="002E2F4B">
                                    <w:rPr>
                                      <w:rFonts w:ascii="Century Gothic" w:hAnsi="Century Gothic"/>
                                      <w:b/>
                                      <w:color w:val="00AEEF"/>
                                      <w:sz w:val="10"/>
                                      <w:szCs w:val="22"/>
                                      <w:vertAlign w:val="superscript"/>
                                    </w:rPr>
                                    <w:t xml:space="preserve">c </w:t>
                                  </w:r>
                                  <w:r w:rsidRPr="002E2F4B">
                                    <w:rPr>
                                      <w:rFonts w:ascii="Century Gothic" w:hAnsi="Century Gothic"/>
                                      <w:color w:val="343433"/>
                                      <w:sz w:val="12"/>
                                      <w:szCs w:val="22"/>
                                    </w:rPr>
                                    <w:t>mWRD</w:t>
                                  </w:r>
                                </w:p>
                              </w:txbxContent>
                            </wps:txbx>
                            <wps:bodyPr lIns="0" tIns="0" rIns="0" bIns="0">
                              <a:noAutofit/>
                            </wps:bodyPr>
                          </wps:wsp>
                        </a:graphicData>
                      </a:graphic>
                      <wp14:sizeRelV relativeFrom="margin">
                        <wp14:pctHeight>0</wp14:pctHeight>
                      </wp14:sizeRelV>
                    </wp:anchor>
                  </w:drawing>
                </mc:Choice>
                <mc:Fallback>
                  <w:pict>
                    <v:rect w14:anchorId="136DC136" id="_x0000_s1264" style="position:absolute;margin-left:10.05pt;margin-top:229.4pt;width:81.35pt;height:37.65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" fillcolor="#f9e4df" stroked="f">
                      <v:textbox inset="0,0,0,0">
                        <w:txbxContent>
                          <w:p w14:paraId="75DB22DF" w14:textId="57740BB8" w:rsidR="009D0C1D" w:rsidRPr="002E2F4B" w:rsidRDefault="009D0C1D" w:rsidP="004F6FB8">
                            <w:pPr>
                              <w:ind w:left="158" w:hanging="158"/>
                              <w:rPr>
                                <w:rFonts w:ascii="Century Gothic" w:hAnsi="Century Gothic" w:cstheme="minorBidi"/>
                                <w:color w:val="343433"/>
                                <w:kern w:val="24"/>
                                <w:sz w:val="12"/>
                                <w:szCs w:val="12"/>
                              </w:rPr>
                            </w:pPr>
                            <w:r w:rsidRPr="002E2F4B">
                              <w:rPr>
                                <w:rFonts w:ascii="Century Gothic" w:hAnsi="Century Gothic"/>
                                <w:color w:val="343433"/>
                                <w:sz w:val="12"/>
                                <w:szCs w:val="22"/>
                              </w:rPr>
                              <w:t xml:space="preserve">• </w:t>
                            </w:r>
                            <w:r>
                              <w:tab/>
                            </w:r>
                            <w:r w:rsidRPr="002E2F4B">
                              <w:rPr>
                                <w:rFonts w:ascii="Century Gothic" w:hAnsi="Century Gothic"/>
                                <w:color w:val="343433"/>
                                <w:sz w:val="12"/>
                                <w:szCs w:val="22"/>
                              </w:rPr>
                              <w:t xml:space="preserve">Забрати </w:t>
                            </w:r>
                            <w:r w:rsidRPr="002E2F4B">
                              <w:rPr>
                                <w:rFonts w:ascii="Century Gothic" w:hAnsi="Century Gothic"/>
                                <w:b/>
                                <w:color w:val="343433"/>
                                <w:sz w:val="12"/>
                                <w:szCs w:val="22"/>
                              </w:rPr>
                              <w:t>дихальну пробу</w:t>
                            </w:r>
                            <w:r w:rsidRPr="002E2F4B">
                              <w:rPr>
                                <w:rFonts w:ascii="Century Gothic" w:hAnsi="Century Gothic"/>
                                <w:b/>
                                <w:color w:val="00AEEF"/>
                                <w:sz w:val="10"/>
                                <w:szCs w:val="22"/>
                                <w:vertAlign w:val="superscript"/>
                              </w:rPr>
                              <w:t>b</w:t>
                            </w:r>
                            <w:r w:rsidRPr="002E2F4B">
                              <w:rPr>
                                <w:rFonts w:ascii="Century Gothic" w:hAnsi="Century Gothic"/>
                                <w:b/>
                                <w:color w:val="00AEEF"/>
                                <w:sz w:val="10"/>
                                <w:szCs w:val="22"/>
                              </w:rPr>
                              <w:t xml:space="preserve"> </w:t>
                            </w:r>
                            <w:r w:rsidRPr="002E2F4B">
                              <w:rPr>
                                <w:rFonts w:ascii="Century Gothic" w:hAnsi="Century Gothic"/>
                                <w:color w:val="343433"/>
                                <w:sz w:val="12"/>
                                <w:szCs w:val="22"/>
                              </w:rPr>
                              <w:t>для тестування</w:t>
                            </w:r>
                            <w:r w:rsidRPr="002E2F4B">
                              <w:rPr>
                                <w:rFonts w:ascii="Century Gothic" w:hAnsi="Century Gothic"/>
                                <w:b/>
                                <w:color w:val="00AEEF"/>
                                <w:sz w:val="10"/>
                                <w:szCs w:val="22"/>
                                <w:vertAlign w:val="superscript"/>
                              </w:rPr>
                              <w:t xml:space="preserve">c </w:t>
                            </w:r>
                            <w:r w:rsidRPr="002E2F4B">
                              <w:rPr>
                                <w:rFonts w:ascii="Century Gothic" w:hAnsi="Century Gothic"/>
                                <w:color w:val="343433"/>
                                <w:sz w:val="12"/>
                                <w:szCs w:val="22"/>
                              </w:rPr>
                              <w:t>mWRD</w:t>
                            </w:r>
                          </w:p>
                        </w:txbxContent>
                      </v:textbox>
                    </v:rect>
                  </w:pict>
                </mc:Fallback>
              </mc:AlternateContent>
            </w:r>
            <w:r w:rsidR="002E2F4B">
              <w:rPr>
                <w:noProof/>
              </w:rPr>
              <mc:AlternateContent>
                <mc:Choice Requires="wps">
                  <w:drawing>
                    <wp:anchor distT="0" distB="0" distL="114300" distR="114300" simplePos="0" relativeHeight="251585536" behindDoc="0" locked="0" layoutInCell="1" allowOverlap="1" wp14:anchorId="13ACD7E9" wp14:editId="79A5571B">
                      <wp:simplePos x="0" y="0"/>
                      <wp:positionH relativeFrom="column">
                        <wp:posOffset>2134023</wp:posOffset>
                      </wp:positionH>
                      <wp:positionV relativeFrom="paragraph">
                        <wp:posOffset>2227580</wp:posOffset>
                      </wp:positionV>
                      <wp:extent cx="1530350" cy="134620"/>
                      <wp:effectExtent l="0" t="0" r="0" b="0"/>
                      <wp:wrapNone/>
                      <wp:docPr id="922837579" name="Прямокутник 11"/>
                      <wp:cNvGraphicFramePr/>
                      <a:graphic xmlns:a="http://schemas.openxmlformats.org/drawingml/2006/main">
                        <a:graphicData uri="http://schemas.microsoft.com/office/word/2010/wordprocessingShape">
                          <wps:wsp>
                            <wps:cNvSpPr/>
                            <wps:spPr>
                              <a:xfrm>
                                <a:off x="0" y="0"/>
                                <a:ext cx="1530350" cy="134620"/>
                              </a:xfrm>
                              <a:prstGeom prst="rect">
                                <a:avLst/>
                              </a:prstGeom>
                              <a:solidFill>
                                <a:srgbClr val="B8DCF3"/>
                              </a:solidFill>
                            </wps:spPr>
                            <wps:txbx>
                              <w:txbxContent>
                                <w:p w14:paraId="42452A04" w14:textId="77777777" w:rsidR="009D0C1D" w:rsidRPr="002E2F4B" w:rsidRDefault="009D0C1D" w:rsidP="004F6FB8">
                                  <w:pPr>
                                    <w:rPr>
                                      <w:rFonts w:ascii="Century Gothic" w:hAnsi="Century Gothic" w:cstheme="minorBidi"/>
                                      <w:color w:val="343433"/>
                                      <w:kern w:val="24"/>
                                      <w:sz w:val="12"/>
                                      <w:szCs w:val="12"/>
                                    </w:rPr>
                                  </w:pPr>
                                  <w:r w:rsidRPr="002E2F4B">
                                    <w:rPr>
                                      <w:rFonts w:ascii="Century Gothic" w:hAnsi="Century Gothic"/>
                                      <w:color w:val="343433"/>
                                      <w:sz w:val="12"/>
                                      <w:szCs w:val="22"/>
                                    </w:rPr>
                                    <w:t>(Негативний або невідомий ВІЛ-статус)</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3ACD7E9" id="_x0000_s1265" style="position:absolute;margin-left:168.05pt;margin-top:175.4pt;width:120.5pt;height:10.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" fillcolor="#b8dcf3" stroked="f">
                      <v:textbox inset="0,0,0,0">
                        <w:txbxContent>
                          <w:p w14:paraId="42452A04" w14:textId="77777777" w:rsidR="009D0C1D" w:rsidRPr="002E2F4B" w:rsidRDefault="009D0C1D" w:rsidP="004F6FB8">
                            <w:pPr>
                              <w:rPr>
                                <w:rFonts w:ascii="Century Gothic" w:hAnsi="Century Gothic" w:cstheme="minorBidi"/>
                                <w:color w:val="343433"/>
                                <w:kern w:val="24"/>
                                <w:sz w:val="12"/>
                                <w:szCs w:val="12"/>
                              </w:rPr>
                            </w:pPr>
                            <w:r w:rsidRPr="002E2F4B">
                              <w:rPr>
                                <w:rFonts w:ascii="Century Gothic" w:hAnsi="Century Gothic"/>
                                <w:color w:val="343433"/>
                                <w:sz w:val="12"/>
                                <w:szCs w:val="22"/>
                              </w:rPr>
                              <w:t>(Негативний або невідомий ВІЛ-статус)</w:t>
                            </w:r>
                          </w:p>
                        </w:txbxContent>
                      </v:textbox>
                    </v:rect>
                  </w:pict>
                </mc:Fallback>
              </mc:AlternateContent>
            </w:r>
            <w:r w:rsidR="002E2F4B">
              <w:rPr>
                <w:noProof/>
              </w:rPr>
              <mc:AlternateContent>
                <mc:Choice Requires="wps">
                  <w:drawing>
                    <wp:anchor distT="0" distB="0" distL="114300" distR="114300" simplePos="0" relativeHeight="251582464" behindDoc="0" locked="0" layoutInCell="1" allowOverlap="1" wp14:anchorId="509F0924" wp14:editId="0AB3B2EF">
                      <wp:simplePos x="0" y="0"/>
                      <wp:positionH relativeFrom="column">
                        <wp:posOffset>127423</wp:posOffset>
                      </wp:positionH>
                      <wp:positionV relativeFrom="paragraph">
                        <wp:posOffset>2219112</wp:posOffset>
                      </wp:positionV>
                      <wp:extent cx="1565910" cy="143087"/>
                      <wp:effectExtent l="0" t="0" r="0" b="9525"/>
                      <wp:wrapNone/>
                      <wp:docPr id="996783004" name="Прямокутник 8"/>
                      <wp:cNvGraphicFramePr/>
                      <a:graphic xmlns:a="http://schemas.openxmlformats.org/drawingml/2006/main">
                        <a:graphicData uri="http://schemas.microsoft.com/office/word/2010/wordprocessingShape">
                          <wps:wsp>
                            <wps:cNvSpPr/>
                            <wps:spPr>
                              <a:xfrm>
                                <a:off x="0" y="0"/>
                                <a:ext cx="1565910" cy="143087"/>
                              </a:xfrm>
                              <a:prstGeom prst="rect">
                                <a:avLst/>
                              </a:prstGeom>
                              <a:solidFill>
                                <a:srgbClr val="F9E4DF"/>
                              </a:solidFill>
                            </wps:spPr>
                            <wps:txbx>
                              <w:txbxContent>
                                <w:p w14:paraId="5E8FC521" w14:textId="77777777" w:rsidR="009D0C1D" w:rsidRPr="002E2F4B" w:rsidRDefault="009D0C1D" w:rsidP="004F6FB8">
                                  <w:pPr>
                                    <w:rPr>
                                      <w:rFonts w:ascii="Century Gothic" w:hAnsi="Century Gothic" w:cstheme="minorBidi"/>
                                      <w:color w:val="343433"/>
                                      <w:kern w:val="24"/>
                                      <w:sz w:val="12"/>
                                      <w:szCs w:val="12"/>
                                    </w:rPr>
                                  </w:pPr>
                                  <w:r w:rsidRPr="002E2F4B">
                                    <w:rPr>
                                      <w:rFonts w:ascii="Century Gothic" w:hAnsi="Century Gothic"/>
                                      <w:color w:val="343433"/>
                                      <w:sz w:val="12"/>
                                      <w:szCs w:val="22"/>
                                    </w:rPr>
                                    <w:t>(Негативний або невідомий ВІЛ-статус)</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09F0924" id="_x0000_s1266" style="position:absolute;margin-left:10.05pt;margin-top:174.75pt;width:123.3pt;height:11.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" fillcolor="#f9e4df" stroked="f">
                      <v:textbox inset="0,0,0,0">
                        <w:txbxContent>
                          <w:p w14:paraId="5E8FC521" w14:textId="77777777" w:rsidR="009D0C1D" w:rsidRPr="002E2F4B" w:rsidRDefault="009D0C1D" w:rsidP="004F6FB8">
                            <w:pPr>
                              <w:rPr>
                                <w:rFonts w:ascii="Century Gothic" w:hAnsi="Century Gothic" w:cstheme="minorBidi"/>
                                <w:color w:val="343433"/>
                                <w:kern w:val="24"/>
                                <w:sz w:val="12"/>
                                <w:szCs w:val="12"/>
                              </w:rPr>
                            </w:pPr>
                            <w:r w:rsidRPr="002E2F4B">
                              <w:rPr>
                                <w:rFonts w:ascii="Century Gothic" w:hAnsi="Century Gothic"/>
                                <w:color w:val="343433"/>
                                <w:sz w:val="12"/>
                                <w:szCs w:val="22"/>
                              </w:rPr>
                              <w:t>(Негативний або невідомий ВІЛ-статус)</w:t>
                            </w:r>
                          </w:p>
                        </w:txbxContent>
                      </v:textbox>
                    </v:rect>
                  </w:pict>
                </mc:Fallback>
              </mc:AlternateContent>
            </w:r>
            <w:r w:rsidR="002E2F4B">
              <w:rPr>
                <w:noProof/>
              </w:rPr>
              <mc:AlternateContent>
                <mc:Choice Requires="wps">
                  <w:drawing>
                    <wp:anchor distT="0" distB="0" distL="114300" distR="114300" simplePos="0" relativeHeight="251580416" behindDoc="0" locked="0" layoutInCell="1" allowOverlap="1" wp14:anchorId="1BF7948A" wp14:editId="4E41CE6A">
                      <wp:simplePos x="0" y="0"/>
                      <wp:positionH relativeFrom="column">
                        <wp:posOffset>3073823</wp:posOffset>
                      </wp:positionH>
                      <wp:positionV relativeFrom="paragraph">
                        <wp:posOffset>1677246</wp:posOffset>
                      </wp:positionV>
                      <wp:extent cx="1878965" cy="194733"/>
                      <wp:effectExtent l="0" t="0" r="6985" b="0"/>
                      <wp:wrapNone/>
                      <wp:docPr id="7" name="Прямокутник 6"/>
                      <wp:cNvGraphicFramePr/>
                      <a:graphic xmlns:a="http://schemas.openxmlformats.org/drawingml/2006/main">
                        <a:graphicData uri="http://schemas.microsoft.com/office/word/2010/wordprocessingShape">
                          <wps:wsp>
                            <wps:cNvSpPr/>
                            <wps:spPr>
                              <a:xfrm>
                                <a:off x="0" y="0"/>
                                <a:ext cx="1878965" cy="194733"/>
                              </a:xfrm>
                              <a:prstGeom prst="rect">
                                <a:avLst/>
                              </a:prstGeom>
                              <a:solidFill>
                                <a:srgbClr val="E1EFFC"/>
                              </a:solidFill>
                            </wps:spPr>
                            <wps:txbx>
                              <w:txbxContent>
                                <w:p w14:paraId="7BF14580" w14:textId="77777777" w:rsidR="009D0C1D" w:rsidRDefault="009D0C1D" w:rsidP="004F6FB8">
                                  <w:pPr>
                                    <w:rPr>
                                      <w:rFonts w:ascii="Century Gothic" w:hAnsi="Century Gothic" w:cstheme="minorBidi"/>
                                      <w:b/>
                                      <w:bCs/>
                                      <w:color w:val="107BA3"/>
                                      <w:kern w:val="24"/>
                                      <w:sz w:val="14"/>
                                      <w:szCs w:val="14"/>
                                    </w:rPr>
                                  </w:pPr>
                                  <w:r>
                                    <w:rPr>
                                      <w:rFonts w:ascii="Century Gothic" w:hAnsi="Century Gothic"/>
                                      <w:b/>
                                      <w:color w:val="107BA3"/>
                                      <w:sz w:val="14"/>
                                    </w:rPr>
                                    <w:t>Супутнє тестування дітей та ЛЖВІЛ</w:t>
                                  </w:r>
                                  <w:r>
                                    <w:rPr>
                                      <w:rFonts w:ascii="Century Gothic" w:hAnsi="Century Gothic"/>
                                      <w:b/>
                                      <w:color w:val="0099D6"/>
                                      <w:sz w:val="12"/>
                                      <w:vertAlign w:val="superscript"/>
                                    </w:rPr>
                                    <w:t>d</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BF7948A" id="Прямокутник 6" o:spid="_x0000_s1267" style="position:absolute;margin-left:242.05pt;margin-top:132.05pt;width:147.95pt;height:15.3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" fillcolor="#e1effc" stroked="f">
                      <v:textbox inset="0,0,0,0">
                        <w:txbxContent>
                          <w:p w14:paraId="7BF14580" w14:textId="77777777" w:rsidR="009D0C1D" w:rsidRDefault="009D0C1D" w:rsidP="004F6FB8">
                            <w:pPr>
                              <w:rPr>
                                <w:rFonts w:ascii="Century Gothic" w:hAnsi="Century Gothic" w:cstheme="minorBidi"/>
                                <w:b/>
                                <w:bCs/>
                                <w:color w:val="107BA3"/>
                                <w:kern w:val="24"/>
                                <w:sz w:val="14"/>
                                <w:szCs w:val="14"/>
                              </w:rPr>
                            </w:pPr>
                            <w:r>
                              <w:rPr>
                                <w:rFonts w:ascii="Century Gothic" w:hAnsi="Century Gothic"/>
                                <w:b/>
                                <w:color w:val="107BA3"/>
                                <w:sz w:val="14"/>
                              </w:rPr>
                              <w:t>Супутнє тестування дітей та ЛЖВІЛ</w:t>
                            </w:r>
                            <w:r>
                              <w:rPr>
                                <w:rFonts w:ascii="Century Gothic" w:hAnsi="Century Gothic"/>
                                <w:b/>
                                <w:color w:val="0099D6"/>
                                <w:sz w:val="12"/>
                                <w:vertAlign w:val="superscript"/>
                              </w:rPr>
                              <w:t>d</w:t>
                            </w:r>
                          </w:p>
                        </w:txbxContent>
                      </v:textbox>
                    </v:rect>
                  </w:pict>
                </mc:Fallback>
              </mc:AlternateContent>
            </w:r>
            <w:r w:rsidR="002E2F4B">
              <w:rPr>
                <w:noProof/>
              </w:rPr>
              <mc:AlternateContent>
                <mc:Choice Requires="wps">
                  <w:drawing>
                    <wp:anchor distT="0" distB="0" distL="114300" distR="114300" simplePos="0" relativeHeight="251628544" behindDoc="0" locked="0" layoutInCell="1" allowOverlap="1" wp14:anchorId="419E28CD" wp14:editId="073BAF27">
                      <wp:simplePos x="0" y="0"/>
                      <wp:positionH relativeFrom="column">
                        <wp:posOffset>5829723</wp:posOffset>
                      </wp:positionH>
                      <wp:positionV relativeFrom="paragraph">
                        <wp:posOffset>1372235</wp:posOffset>
                      </wp:positionV>
                      <wp:extent cx="1036955" cy="100330"/>
                      <wp:effectExtent l="0" t="0" r="0" b="0"/>
                      <wp:wrapNone/>
                      <wp:docPr id="54" name="Прямокутник 53"/>
                      <wp:cNvGraphicFramePr/>
                      <a:graphic xmlns:a="http://schemas.openxmlformats.org/drawingml/2006/main">
                        <a:graphicData uri="http://schemas.microsoft.com/office/word/2010/wordprocessingShape">
                          <wps:wsp>
                            <wps:cNvSpPr/>
                            <wps:spPr>
                              <a:xfrm>
                                <a:off x="0" y="0"/>
                                <a:ext cx="1036955" cy="100330"/>
                              </a:xfrm>
                              <a:prstGeom prst="rect">
                                <a:avLst/>
                              </a:prstGeom>
                              <a:solidFill>
                                <a:srgbClr val="B4B4B4"/>
                              </a:solidFill>
                            </wps:spPr>
                            <wps:txbx>
                              <w:txbxContent>
                                <w:p w14:paraId="7F214651" w14:textId="77777777" w:rsidR="009D0C1D" w:rsidRPr="002E2F4B" w:rsidRDefault="009D0C1D" w:rsidP="004F6FB8">
                                  <w:pPr>
                                    <w:rPr>
                                      <w:rFonts w:ascii="Century Gothic" w:hAnsi="Century Gothic" w:cstheme="minorBidi"/>
                                      <w:color w:val="343433"/>
                                      <w:kern w:val="24"/>
                                      <w:sz w:val="12"/>
                                      <w:szCs w:val="12"/>
                                    </w:rPr>
                                  </w:pPr>
                                  <w:r w:rsidRPr="002E2F4B">
                                    <w:rPr>
                                      <w:rFonts w:ascii="Century Gothic" w:hAnsi="Century Gothic"/>
                                      <w:color w:val="343433"/>
                                      <w:sz w:val="12"/>
                                      <w:szCs w:val="22"/>
                                    </w:rPr>
                                    <w:t>ВІЛ-позитивний статус</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19E28CD" id="Прямокутник 53" o:spid="_x0000_s1268" style="position:absolute;margin-left:459.05pt;margin-top:108.05pt;width:81.65pt;height:7.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" fillcolor="#b4b4b4" stroked="f">
                      <v:textbox inset="0,0,0,0">
                        <w:txbxContent>
                          <w:p w14:paraId="7F214651" w14:textId="77777777" w:rsidR="009D0C1D" w:rsidRPr="002E2F4B" w:rsidRDefault="009D0C1D" w:rsidP="004F6FB8">
                            <w:pPr>
                              <w:rPr>
                                <w:rFonts w:ascii="Century Gothic" w:hAnsi="Century Gothic" w:cstheme="minorBidi"/>
                                <w:color w:val="343433"/>
                                <w:kern w:val="24"/>
                                <w:sz w:val="12"/>
                                <w:szCs w:val="12"/>
                              </w:rPr>
                            </w:pPr>
                            <w:r w:rsidRPr="002E2F4B">
                              <w:rPr>
                                <w:rFonts w:ascii="Century Gothic" w:hAnsi="Century Gothic"/>
                                <w:color w:val="343433"/>
                                <w:sz w:val="12"/>
                                <w:szCs w:val="22"/>
                              </w:rPr>
                              <w:t>ВІЛ-позитивний статус</w:t>
                            </w:r>
                          </w:p>
                        </w:txbxContent>
                      </v:textbox>
                    </v:rect>
                  </w:pict>
                </mc:Fallback>
              </mc:AlternateContent>
            </w:r>
            <w:r w:rsidR="002E2F4B">
              <w:rPr>
                <w:noProof/>
              </w:rPr>
              <mc:AlternateContent>
                <mc:Choice Requires="wps">
                  <w:drawing>
                    <wp:anchor distT="0" distB="0" distL="114300" distR="114300" simplePos="0" relativeHeight="251579392" behindDoc="0" locked="0" layoutInCell="1" allowOverlap="1" wp14:anchorId="7E809CB6" wp14:editId="2841CCEE">
                      <wp:simplePos x="0" y="0"/>
                      <wp:positionH relativeFrom="column">
                        <wp:posOffset>1143423</wp:posOffset>
                      </wp:positionH>
                      <wp:positionV relativeFrom="paragraph">
                        <wp:posOffset>1363980</wp:posOffset>
                      </wp:positionV>
                      <wp:extent cx="1458595" cy="108797"/>
                      <wp:effectExtent l="0" t="0" r="8255" b="5715"/>
                      <wp:wrapNone/>
                      <wp:docPr id="645750934" name="Прямокутник 5"/>
                      <wp:cNvGraphicFramePr/>
                      <a:graphic xmlns:a="http://schemas.openxmlformats.org/drawingml/2006/main">
                        <a:graphicData uri="http://schemas.microsoft.com/office/word/2010/wordprocessingShape">
                          <wps:wsp>
                            <wps:cNvSpPr/>
                            <wps:spPr>
                              <a:xfrm>
                                <a:off x="0" y="0"/>
                                <a:ext cx="1458595" cy="108797"/>
                              </a:xfrm>
                              <a:prstGeom prst="rect">
                                <a:avLst/>
                              </a:prstGeom>
                              <a:solidFill>
                                <a:srgbClr val="B4B4B4"/>
                              </a:solidFill>
                            </wps:spPr>
                            <wps:txbx>
                              <w:txbxContent>
                                <w:p w14:paraId="492EF66E" w14:textId="77777777" w:rsidR="009D0C1D" w:rsidRPr="002E2F4B" w:rsidRDefault="009D0C1D" w:rsidP="004F6FB8">
                                  <w:pPr>
                                    <w:rPr>
                                      <w:rFonts w:ascii="Century Gothic" w:hAnsi="Century Gothic" w:cstheme="minorBidi"/>
                                      <w:color w:val="343433"/>
                                      <w:kern w:val="24"/>
                                      <w:sz w:val="12"/>
                                      <w:szCs w:val="12"/>
                                    </w:rPr>
                                  </w:pPr>
                                  <w:r w:rsidRPr="002E2F4B">
                                    <w:rPr>
                                      <w:rFonts w:ascii="Century Gothic" w:hAnsi="Century Gothic"/>
                                      <w:color w:val="343433"/>
                                      <w:sz w:val="12"/>
                                      <w:szCs w:val="22"/>
                                    </w:rPr>
                                    <w:t>Негативний або невідомий ВІЛ-статус</w:t>
                                  </w:r>
                                </w:p>
                              </w:txbxContent>
                            </wps:txbx>
                            <wps:bodyPr wrap="square" lIns="0" tIns="0" rIns="0" bIns="0">
                              <a:noAutofit/>
                            </wps:bodyPr>
                          </wps:wsp>
                        </a:graphicData>
                      </a:graphic>
                      <wp14:sizeRelH relativeFrom="margin">
                        <wp14:pctWidth>0</wp14:pctWidth>
                      </wp14:sizeRelH>
                    </wp:anchor>
                  </w:drawing>
                </mc:Choice>
                <mc:Fallback>
                  <w:pict>
                    <v:rect w14:anchorId="7E809CB6" id="_x0000_s1269" style="position:absolute;margin-left:90.05pt;margin-top:107.4pt;width:114.85pt;height:8.55pt;z-index:25157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" fillcolor="#b4b4b4" stroked="f">
                      <v:textbox inset="0,0,0,0">
                        <w:txbxContent>
                          <w:p w14:paraId="492EF66E" w14:textId="77777777" w:rsidR="009D0C1D" w:rsidRPr="002E2F4B" w:rsidRDefault="009D0C1D" w:rsidP="004F6FB8">
                            <w:pPr>
                              <w:rPr>
                                <w:rFonts w:ascii="Century Gothic" w:hAnsi="Century Gothic" w:cstheme="minorBidi"/>
                                <w:color w:val="343433"/>
                                <w:kern w:val="24"/>
                                <w:sz w:val="12"/>
                                <w:szCs w:val="12"/>
                              </w:rPr>
                            </w:pPr>
                            <w:r w:rsidRPr="002E2F4B">
                              <w:rPr>
                                <w:rFonts w:ascii="Century Gothic" w:hAnsi="Century Gothic"/>
                                <w:color w:val="343433"/>
                                <w:sz w:val="12"/>
                                <w:szCs w:val="22"/>
                              </w:rPr>
                              <w:t>Негативний або невідомий ВІЛ-статус</w:t>
                            </w:r>
                          </w:p>
                        </w:txbxContent>
                      </v:textbox>
                    </v:rect>
                  </w:pict>
                </mc:Fallback>
              </mc:AlternateContent>
            </w:r>
            <w:r w:rsidR="00B97539">
              <w:rPr>
                <w:noProof/>
              </w:rPr>
              <mc:AlternateContent>
                <mc:Choice Requires="wps">
                  <w:drawing>
                    <wp:anchor distT="0" distB="0" distL="114300" distR="114300" simplePos="0" relativeHeight="251614208" behindDoc="0" locked="0" layoutInCell="1" allowOverlap="1" wp14:anchorId="7900199F" wp14:editId="453576A1">
                      <wp:simplePos x="0" y="0"/>
                      <wp:positionH relativeFrom="column">
                        <wp:posOffset>2355408</wp:posOffset>
                      </wp:positionH>
                      <wp:positionV relativeFrom="paragraph">
                        <wp:posOffset>4960398</wp:posOffset>
                      </wp:positionV>
                      <wp:extent cx="158750" cy="118745"/>
                      <wp:effectExtent l="0" t="0" r="0" b="0"/>
                      <wp:wrapNone/>
                      <wp:docPr id="189510275" name="Прямокутник 39"/>
                      <wp:cNvGraphicFramePr/>
                      <a:graphic xmlns:a="http://schemas.openxmlformats.org/drawingml/2006/main">
                        <a:graphicData uri="http://schemas.microsoft.com/office/word/2010/wordprocessingShape">
                          <wps:wsp>
                            <wps:cNvSpPr/>
                            <wps:spPr>
                              <a:xfrm>
                                <a:off x="0" y="0"/>
                                <a:ext cx="158750" cy="118745"/>
                              </a:xfrm>
                              <a:prstGeom prst="rect">
                                <a:avLst/>
                              </a:prstGeom>
                              <a:solidFill>
                                <a:srgbClr val="CCD7C7"/>
                              </a:solidFill>
                            </wps:spPr>
                            <wps:txbx>
                              <w:txbxContent>
                                <w:p w14:paraId="7FE3ED39"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900199F" id="Прямокутник 39" o:spid="_x0000_s1270" style="position:absolute;margin-left:185.45pt;margin-top:390.6pt;width:12.5pt;height:9.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" fillcolor="#ccd7c7" stroked="f">
                      <v:textbox inset="0,0,0,0">
                        <w:txbxContent>
                          <w:p w14:paraId="7FE3ED39"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v:textbox>
                    </v:rect>
                  </w:pict>
                </mc:Fallback>
              </mc:AlternateContent>
            </w:r>
            <w:r w:rsidR="00B97539">
              <w:rPr>
                <w:noProof/>
              </w:rPr>
              <mc:AlternateContent>
                <mc:Choice Requires="wps">
                  <w:drawing>
                    <wp:anchor distT="0" distB="0" distL="114300" distR="114300" simplePos="0" relativeHeight="251595776" behindDoc="0" locked="0" layoutInCell="1" allowOverlap="1" wp14:anchorId="1A36FEBA" wp14:editId="3A8AC36B">
                      <wp:simplePos x="0" y="0"/>
                      <wp:positionH relativeFrom="column">
                        <wp:posOffset>1146810</wp:posOffset>
                      </wp:positionH>
                      <wp:positionV relativeFrom="paragraph">
                        <wp:posOffset>4960399</wp:posOffset>
                      </wp:positionV>
                      <wp:extent cx="154940" cy="115570"/>
                      <wp:effectExtent l="0" t="0" r="0" b="0"/>
                      <wp:wrapNone/>
                      <wp:docPr id="22" name="Прямокутник 21"/>
                      <wp:cNvGraphicFramePr/>
                      <a:graphic xmlns:a="http://schemas.openxmlformats.org/drawingml/2006/main">
                        <a:graphicData uri="http://schemas.microsoft.com/office/word/2010/wordprocessingShape">
                          <wps:wsp>
                            <wps:cNvSpPr/>
                            <wps:spPr>
                              <a:xfrm>
                                <a:off x="0" y="0"/>
                                <a:ext cx="154940" cy="115570"/>
                              </a:xfrm>
                              <a:prstGeom prst="rect">
                                <a:avLst/>
                              </a:prstGeom>
                              <a:solidFill>
                                <a:srgbClr val="FBD4D5"/>
                              </a:solidFill>
                            </wps:spPr>
                            <wps:txbx>
                              <w:txbxContent>
                                <w:p w14:paraId="4E4E74EB"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A36FEBA" id="Прямокутник 21" o:spid="_x0000_s1271" style="position:absolute;margin-left:90.3pt;margin-top:390.6pt;width:12.2pt;height:9.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" fillcolor="#fbd4d5" stroked="f">
                      <v:textbox inset="0,0,0,0">
                        <w:txbxContent>
                          <w:p w14:paraId="4E4E74EB"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v:textbox>
                    </v:rect>
                  </w:pict>
                </mc:Fallback>
              </mc:AlternateContent>
            </w:r>
            <w:r w:rsidR="00B97539">
              <w:rPr>
                <w:noProof/>
              </w:rPr>
              <mc:AlternateContent>
                <mc:Choice Requires="wps">
                  <w:drawing>
                    <wp:anchor distT="0" distB="0" distL="114300" distR="114300" simplePos="0" relativeHeight="251623424" behindDoc="0" locked="0" layoutInCell="1" allowOverlap="1" wp14:anchorId="40F845F0" wp14:editId="6994CBF1">
                      <wp:simplePos x="0" y="0"/>
                      <wp:positionH relativeFrom="column">
                        <wp:posOffset>6919457</wp:posOffset>
                      </wp:positionH>
                      <wp:positionV relativeFrom="paragraph">
                        <wp:posOffset>4960399</wp:posOffset>
                      </wp:positionV>
                      <wp:extent cx="153670" cy="118745"/>
                      <wp:effectExtent l="0" t="0" r="0" b="0"/>
                      <wp:wrapNone/>
                      <wp:docPr id="49" name="Прямокутник 48"/>
                      <wp:cNvGraphicFramePr/>
                      <a:graphic xmlns:a="http://schemas.openxmlformats.org/drawingml/2006/main">
                        <a:graphicData uri="http://schemas.microsoft.com/office/word/2010/wordprocessingShape">
                          <wps:wsp>
                            <wps:cNvSpPr/>
                            <wps:spPr>
                              <a:xfrm>
                                <a:off x="0" y="0"/>
                                <a:ext cx="153670" cy="118745"/>
                              </a:xfrm>
                              <a:prstGeom prst="rect">
                                <a:avLst/>
                              </a:prstGeom>
                              <a:solidFill>
                                <a:srgbClr val="CFC2D2"/>
                              </a:solidFill>
                            </wps:spPr>
                            <wps:txbx>
                              <w:txbxContent>
                                <w:p w14:paraId="1090F87C"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0F845F0" id="Прямокутник 48" o:spid="_x0000_s1272" style="position:absolute;margin-left:544.85pt;margin-top:390.6pt;width:12.1pt;height:9.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" fillcolor="#cfc2d2" stroked="f">
                      <v:textbox inset="0,0,0,0">
                        <w:txbxContent>
                          <w:p w14:paraId="1090F87C"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v:textbox>
                    </v:rect>
                  </w:pict>
                </mc:Fallback>
              </mc:AlternateContent>
            </w:r>
            <w:r w:rsidR="00B97539">
              <w:rPr>
                <w:noProof/>
              </w:rPr>
              <mc:AlternateContent>
                <mc:Choice Requires="wps">
                  <w:drawing>
                    <wp:anchor distT="0" distB="0" distL="114300" distR="114300" simplePos="0" relativeHeight="251616256" behindDoc="0" locked="0" layoutInCell="1" allowOverlap="1" wp14:anchorId="08DACDF8" wp14:editId="4E8DEBC6">
                      <wp:simplePos x="0" y="0"/>
                      <wp:positionH relativeFrom="column">
                        <wp:posOffset>4219989</wp:posOffset>
                      </wp:positionH>
                      <wp:positionV relativeFrom="paragraph">
                        <wp:posOffset>4960399</wp:posOffset>
                      </wp:positionV>
                      <wp:extent cx="137795" cy="115570"/>
                      <wp:effectExtent l="0" t="0" r="0" b="0"/>
                      <wp:wrapNone/>
                      <wp:docPr id="2077968759" name="Прямокутник 41"/>
                      <wp:cNvGraphicFramePr/>
                      <a:graphic xmlns:a="http://schemas.openxmlformats.org/drawingml/2006/main">
                        <a:graphicData uri="http://schemas.microsoft.com/office/word/2010/wordprocessingShape">
                          <wps:wsp>
                            <wps:cNvSpPr/>
                            <wps:spPr>
                              <a:xfrm>
                                <a:off x="0" y="0"/>
                                <a:ext cx="137795" cy="115570"/>
                              </a:xfrm>
                              <a:prstGeom prst="rect">
                                <a:avLst/>
                              </a:prstGeom>
                              <a:solidFill>
                                <a:srgbClr val="FBD4D5"/>
                              </a:solidFill>
                            </wps:spPr>
                            <wps:txbx>
                              <w:txbxContent>
                                <w:p w14:paraId="6901D103"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8DACDF8" id="Прямокутник 41" o:spid="_x0000_s1273" style="position:absolute;margin-left:332.3pt;margin-top:390.6pt;width:10.85pt;height:9.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" fillcolor="#fbd4d5" stroked="f">
                      <v:textbox inset="0,0,0,0">
                        <w:txbxContent>
                          <w:p w14:paraId="6901D103"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v:textbox>
                    </v:rect>
                  </w:pict>
                </mc:Fallback>
              </mc:AlternateContent>
            </w:r>
            <w:r w:rsidR="00B97539">
              <w:rPr>
                <w:noProof/>
              </w:rPr>
              <mc:AlternateContent>
                <mc:Choice Requires="wps">
                  <w:drawing>
                    <wp:anchor distT="0" distB="0" distL="114300" distR="114300" simplePos="0" relativeHeight="251617280" behindDoc="0" locked="0" layoutInCell="1" allowOverlap="1" wp14:anchorId="5323915B" wp14:editId="2B63E443">
                      <wp:simplePos x="0" y="0"/>
                      <wp:positionH relativeFrom="column">
                        <wp:posOffset>5126438</wp:posOffset>
                      </wp:positionH>
                      <wp:positionV relativeFrom="paragraph">
                        <wp:posOffset>4960399</wp:posOffset>
                      </wp:positionV>
                      <wp:extent cx="161290" cy="118745"/>
                      <wp:effectExtent l="0" t="0" r="0" b="0"/>
                      <wp:wrapNone/>
                      <wp:docPr id="1009536276" name="Прямокутник 42"/>
                      <wp:cNvGraphicFramePr/>
                      <a:graphic xmlns:a="http://schemas.openxmlformats.org/drawingml/2006/main">
                        <a:graphicData uri="http://schemas.microsoft.com/office/word/2010/wordprocessingShape">
                          <wps:wsp>
                            <wps:cNvSpPr/>
                            <wps:spPr>
                              <a:xfrm>
                                <a:off x="0" y="0"/>
                                <a:ext cx="161290" cy="118745"/>
                              </a:xfrm>
                              <a:prstGeom prst="rect">
                                <a:avLst/>
                              </a:prstGeom>
                              <a:solidFill>
                                <a:srgbClr val="F9E4DF"/>
                              </a:solidFill>
                            </wps:spPr>
                            <wps:txbx>
                              <w:txbxContent>
                                <w:p w14:paraId="21D907B2"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323915B" id="Прямокутник 42" o:spid="_x0000_s1274" style="position:absolute;margin-left:403.65pt;margin-top:390.6pt;width:12.7pt;height:9.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" fillcolor="#f9e4df" stroked="f">
                      <v:textbox inset="0,0,0,0">
                        <w:txbxContent>
                          <w:p w14:paraId="21D907B2"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v:textbox>
                    </v:rect>
                  </w:pict>
                </mc:Fallback>
              </mc:AlternateContent>
            </w:r>
            <w:r w:rsidR="00B97539">
              <w:rPr>
                <w:noProof/>
              </w:rPr>
              <mc:AlternateContent>
                <mc:Choice Requires="wps">
                  <w:drawing>
                    <wp:anchor distT="0" distB="0" distL="114300" distR="114300" simplePos="0" relativeHeight="251592704" behindDoc="0" locked="0" layoutInCell="1" allowOverlap="1" wp14:anchorId="4235E100" wp14:editId="77CA67C9">
                      <wp:simplePos x="0" y="0"/>
                      <wp:positionH relativeFrom="column">
                        <wp:posOffset>291465</wp:posOffset>
                      </wp:positionH>
                      <wp:positionV relativeFrom="paragraph">
                        <wp:posOffset>4959985</wp:posOffset>
                      </wp:positionV>
                      <wp:extent cx="163002" cy="115570"/>
                      <wp:effectExtent l="0" t="0" r="8890" b="0"/>
                      <wp:wrapNone/>
                      <wp:docPr id="19" name="Прямокутник 18"/>
                      <wp:cNvGraphicFramePr/>
                      <a:graphic xmlns:a="http://schemas.openxmlformats.org/drawingml/2006/main">
                        <a:graphicData uri="http://schemas.microsoft.com/office/word/2010/wordprocessingShape">
                          <wps:wsp>
                            <wps:cNvSpPr/>
                            <wps:spPr>
                              <a:xfrm>
                                <a:off x="0" y="0"/>
                                <a:ext cx="163002" cy="115570"/>
                              </a:xfrm>
                              <a:prstGeom prst="rect">
                                <a:avLst/>
                              </a:prstGeom>
                              <a:solidFill>
                                <a:srgbClr val="CCD7C7"/>
                              </a:solidFill>
                            </wps:spPr>
                            <wps:txbx>
                              <w:txbxContent>
                                <w:p w14:paraId="57B7B197"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wps:txbx>
                            <wps:bodyPr wrap="square" lIns="0" tIns="0" rIns="0" bIns="0">
                              <a:noAutofit/>
                            </wps:bodyPr>
                          </wps:wsp>
                        </a:graphicData>
                      </a:graphic>
                      <wp14:sizeRelH relativeFrom="margin">
                        <wp14:pctWidth>0</wp14:pctWidth>
                      </wp14:sizeRelH>
                    </wp:anchor>
                  </w:drawing>
                </mc:Choice>
                <mc:Fallback>
                  <w:pict>
                    <v:rect w14:anchorId="4235E100" id="Прямокутник 18" o:spid="_x0000_s1275" style="position:absolute;margin-left:22.95pt;margin-top:390.55pt;width:12.85pt;height:9.1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" fillcolor="#ccd7c7" stroked="f">
                      <v:textbox inset="0,0,0,0">
                        <w:txbxContent>
                          <w:p w14:paraId="57B7B197"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v:textbox>
                    </v:rect>
                  </w:pict>
                </mc:Fallback>
              </mc:AlternateContent>
            </w:r>
            <w:r w:rsidR="00B97539">
              <w:rPr>
                <w:noProof/>
              </w:rPr>
              <mc:AlternateContent>
                <mc:Choice Requires="wps">
                  <w:drawing>
                    <wp:anchor distT="0" distB="0" distL="114300" distR="114300" simplePos="0" relativeHeight="251615232" behindDoc="0" locked="0" layoutInCell="1" allowOverlap="1" wp14:anchorId="29A0DB27" wp14:editId="221C623F">
                      <wp:simplePos x="0" y="0"/>
                      <wp:positionH relativeFrom="column">
                        <wp:posOffset>3277235</wp:posOffset>
                      </wp:positionH>
                      <wp:positionV relativeFrom="paragraph">
                        <wp:posOffset>4959985</wp:posOffset>
                      </wp:positionV>
                      <wp:extent cx="178904" cy="118745"/>
                      <wp:effectExtent l="0" t="0" r="0" b="0"/>
                      <wp:wrapNone/>
                      <wp:docPr id="896454334" name="Прямокутник 40"/>
                      <wp:cNvGraphicFramePr/>
                      <a:graphic xmlns:a="http://schemas.openxmlformats.org/drawingml/2006/main">
                        <a:graphicData uri="http://schemas.microsoft.com/office/word/2010/wordprocessingShape">
                          <wps:wsp>
                            <wps:cNvSpPr/>
                            <wps:spPr>
                              <a:xfrm>
                                <a:off x="0" y="0"/>
                                <a:ext cx="178904" cy="118745"/>
                              </a:xfrm>
                              <a:prstGeom prst="rect">
                                <a:avLst/>
                              </a:prstGeom>
                              <a:solidFill>
                                <a:srgbClr val="FFF697"/>
                              </a:solidFill>
                            </wps:spPr>
                            <wps:txbx>
                              <w:txbxContent>
                                <w:p w14:paraId="246D75D9"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wps:txbx>
                            <wps:bodyPr wrap="square" lIns="0" tIns="0" rIns="0" bIns="0">
                              <a:noAutofit/>
                            </wps:bodyPr>
                          </wps:wsp>
                        </a:graphicData>
                      </a:graphic>
                      <wp14:sizeRelH relativeFrom="margin">
                        <wp14:pctWidth>0</wp14:pctWidth>
                      </wp14:sizeRelH>
                    </wp:anchor>
                  </w:drawing>
                </mc:Choice>
                <mc:Fallback>
                  <w:pict>
                    <v:rect w14:anchorId="29A0DB27" id="Прямокутник 40" o:spid="_x0000_s1276" style="position:absolute;margin-left:258.05pt;margin-top:390.55pt;width:14.1pt;height:9.3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" fillcolor="#fff697" stroked="f">
                      <v:textbox inset="0,0,0,0">
                        <w:txbxContent>
                          <w:p w14:paraId="246D75D9"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v:textbox>
                    </v:rect>
                  </w:pict>
                </mc:Fallback>
              </mc:AlternateContent>
            </w:r>
            <w:r w:rsidR="00B97539">
              <w:rPr>
                <w:noProof/>
              </w:rPr>
              <mc:AlternateContent>
                <mc:Choice Requires="wps">
                  <w:drawing>
                    <wp:anchor distT="0" distB="0" distL="114300" distR="114300" simplePos="0" relativeHeight="251622400" behindDoc="0" locked="0" layoutInCell="1" allowOverlap="1" wp14:anchorId="06C735DF" wp14:editId="1DBBD6F2">
                      <wp:simplePos x="0" y="0"/>
                      <wp:positionH relativeFrom="column">
                        <wp:posOffset>6032500</wp:posOffset>
                      </wp:positionH>
                      <wp:positionV relativeFrom="paragraph">
                        <wp:posOffset>4959985</wp:posOffset>
                      </wp:positionV>
                      <wp:extent cx="186855" cy="115570"/>
                      <wp:effectExtent l="0" t="0" r="3810" b="0"/>
                      <wp:wrapNone/>
                      <wp:docPr id="48" name="Прямокутник 47"/>
                      <wp:cNvGraphicFramePr/>
                      <a:graphic xmlns:a="http://schemas.openxmlformats.org/drawingml/2006/main">
                        <a:graphicData uri="http://schemas.microsoft.com/office/word/2010/wordprocessingShape">
                          <wps:wsp>
                            <wps:cNvSpPr/>
                            <wps:spPr>
                              <a:xfrm>
                                <a:off x="0" y="0"/>
                                <a:ext cx="186855" cy="115570"/>
                              </a:xfrm>
                              <a:prstGeom prst="rect">
                                <a:avLst/>
                              </a:prstGeom>
                              <a:solidFill>
                                <a:srgbClr val="F9E4DF"/>
                              </a:solidFill>
                            </wps:spPr>
                            <wps:txbx>
                              <w:txbxContent>
                                <w:p w14:paraId="75FEBC37"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wps:txbx>
                            <wps:bodyPr wrap="square" lIns="0" tIns="0" rIns="0" bIns="0">
                              <a:noAutofit/>
                            </wps:bodyPr>
                          </wps:wsp>
                        </a:graphicData>
                      </a:graphic>
                      <wp14:sizeRelH relativeFrom="margin">
                        <wp14:pctWidth>0</wp14:pctWidth>
                      </wp14:sizeRelH>
                    </wp:anchor>
                  </w:drawing>
                </mc:Choice>
                <mc:Fallback>
                  <w:pict>
                    <v:rect w14:anchorId="06C735DF" id="Прямокутник 47" o:spid="_x0000_s1277" style="position:absolute;margin-left:475pt;margin-top:390.55pt;width:14.7pt;height:9.1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" fillcolor="#f9e4df" stroked="f">
                      <v:textbox inset="0,0,0,0">
                        <w:txbxContent>
                          <w:p w14:paraId="75FEBC37"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v:textbox>
                    </v:rect>
                  </w:pict>
                </mc:Fallback>
              </mc:AlternateContent>
            </w:r>
            <w:r w:rsidR="00B97539">
              <w:rPr>
                <w:noProof/>
              </w:rPr>
              <mc:AlternateContent>
                <mc:Choice Requires="wps">
                  <w:drawing>
                    <wp:anchor distT="0" distB="0" distL="114300" distR="114300" simplePos="0" relativeHeight="251629568" behindDoc="0" locked="0" layoutInCell="1" allowOverlap="1" wp14:anchorId="12BB1FD0" wp14:editId="6E509033">
                      <wp:simplePos x="0" y="0"/>
                      <wp:positionH relativeFrom="column">
                        <wp:posOffset>7833360</wp:posOffset>
                      </wp:positionH>
                      <wp:positionV relativeFrom="paragraph">
                        <wp:posOffset>4959985</wp:posOffset>
                      </wp:positionV>
                      <wp:extent cx="178904" cy="118745"/>
                      <wp:effectExtent l="0" t="0" r="0" b="0"/>
                      <wp:wrapNone/>
                      <wp:docPr id="55" name="Прямокутник 54"/>
                      <wp:cNvGraphicFramePr/>
                      <a:graphic xmlns:a="http://schemas.openxmlformats.org/drawingml/2006/main">
                        <a:graphicData uri="http://schemas.microsoft.com/office/word/2010/wordprocessingShape">
                          <wps:wsp>
                            <wps:cNvSpPr/>
                            <wps:spPr>
                              <a:xfrm>
                                <a:off x="0" y="0"/>
                                <a:ext cx="178904" cy="118745"/>
                              </a:xfrm>
                              <a:prstGeom prst="rect">
                                <a:avLst/>
                              </a:prstGeom>
                              <a:solidFill>
                                <a:srgbClr val="B3B4B5"/>
                              </a:solidFill>
                            </wps:spPr>
                            <wps:txbx>
                              <w:txbxContent>
                                <w:p w14:paraId="48A8B1DC"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wps:txbx>
                            <wps:bodyPr wrap="square" lIns="0" tIns="0" rIns="0" bIns="0">
                              <a:noAutofit/>
                            </wps:bodyPr>
                          </wps:wsp>
                        </a:graphicData>
                      </a:graphic>
                      <wp14:sizeRelH relativeFrom="margin">
                        <wp14:pctWidth>0</wp14:pctWidth>
                      </wp14:sizeRelH>
                    </wp:anchor>
                  </w:drawing>
                </mc:Choice>
                <mc:Fallback>
                  <w:pict>
                    <v:rect w14:anchorId="12BB1FD0" id="Прямокутник 54" o:spid="_x0000_s1278" style="position:absolute;margin-left:616.8pt;margin-top:390.55pt;width:14.1pt;height:9.3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" fillcolor="#b3b4b5" stroked="f">
                      <v:textbox inset="0,0,0,0">
                        <w:txbxContent>
                          <w:p w14:paraId="48A8B1DC" w14:textId="77777777" w:rsidR="009D0C1D" w:rsidRDefault="009D0C1D" w:rsidP="004F6FB8">
                            <w:pPr>
                              <w:rPr>
                                <w:rFonts w:ascii="Century Gothic" w:hAnsi="Century Gothic" w:cstheme="minorBidi"/>
                                <w:b/>
                                <w:bCs/>
                                <w:color w:val="343533"/>
                                <w:kern w:val="24"/>
                                <w:sz w:val="18"/>
                                <w:szCs w:val="18"/>
                              </w:rPr>
                            </w:pPr>
                            <w:r>
                              <w:rPr>
                                <w:rFonts w:ascii="Century Gothic" w:hAnsi="Century Gothic"/>
                                <w:b/>
                                <w:color w:val="343533"/>
                                <w:sz w:val="18"/>
                              </w:rPr>
                              <w:t>ТБ</w:t>
                            </w:r>
                          </w:p>
                        </w:txbxContent>
                      </v:textbox>
                    </v:rect>
                  </w:pict>
                </mc:Fallback>
              </mc:AlternateContent>
            </w:r>
            <w:r w:rsidR="00B97539">
              <w:rPr>
                <w:noProof/>
              </w:rPr>
              <mc:AlternateContent>
                <mc:Choice Requires="wps">
                  <w:drawing>
                    <wp:anchor distT="0" distB="0" distL="114300" distR="114300" simplePos="0" relativeHeight="251625472" behindDoc="0" locked="0" layoutInCell="1" allowOverlap="1" wp14:anchorId="1D69FC8B" wp14:editId="3335D44F">
                      <wp:simplePos x="0" y="0"/>
                      <wp:positionH relativeFrom="column">
                        <wp:posOffset>7604760</wp:posOffset>
                      </wp:positionH>
                      <wp:positionV relativeFrom="paragraph">
                        <wp:posOffset>4077970</wp:posOffset>
                      </wp:positionV>
                      <wp:extent cx="426720" cy="91440"/>
                      <wp:effectExtent l="0" t="0" r="4445" b="3810"/>
                      <wp:wrapNone/>
                      <wp:docPr id="51" name="Прямокутник 50"/>
                      <wp:cNvGraphicFramePr/>
                      <a:graphic xmlns:a="http://schemas.openxmlformats.org/drawingml/2006/main">
                        <a:graphicData uri="http://schemas.microsoft.com/office/word/2010/wordprocessingShape">
                          <wps:wsp>
                            <wps:cNvSpPr/>
                            <wps:spPr>
                              <a:xfrm>
                                <a:off x="0" y="0"/>
                                <a:ext cx="426720" cy="91440"/>
                              </a:xfrm>
                              <a:prstGeom prst="rect">
                                <a:avLst/>
                              </a:prstGeom>
                              <a:solidFill>
                                <a:srgbClr val="B3B4B5"/>
                              </a:solidFill>
                            </wps:spPr>
                            <wps:txbx>
                              <w:txbxContent>
                                <w:p w14:paraId="1FC56423"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LC-aNAAT</w:t>
                                  </w:r>
                                </w:p>
                              </w:txbxContent>
                            </wps:txbx>
                            <wps:bodyPr wrap="none" lIns="0" tIns="0" rIns="0" bIns="0">
                              <a:noAutofit/>
                            </wps:bodyPr>
                          </wps:wsp>
                        </a:graphicData>
                      </a:graphic>
                    </wp:anchor>
                  </w:drawing>
                </mc:Choice>
                <mc:Fallback>
                  <w:pict>
                    <v:rect w14:anchorId="1D69FC8B" id="Прямокутник 50" o:spid="_x0000_s1279" style="position:absolute;margin-left:598.8pt;margin-top:321.1pt;width:33.6pt;height:7.2pt;z-index:25162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" fillcolor="#b3b4b5" stroked="f">
                      <v:textbox inset="0,0,0,0">
                        <w:txbxContent>
                          <w:p w14:paraId="1FC56423"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LC-aNAAT</w:t>
                            </w:r>
                          </w:p>
                        </w:txbxContent>
                      </v:textbox>
                    </v:rect>
                  </w:pict>
                </mc:Fallback>
              </mc:AlternateContent>
            </w:r>
            <w:r w:rsidR="00B97539">
              <w:rPr>
                <w:noProof/>
              </w:rPr>
              <mc:AlternateContent>
                <mc:Choice Requires="wps">
                  <w:drawing>
                    <wp:anchor distT="0" distB="0" distL="114300" distR="114300" simplePos="0" relativeHeight="251620352" behindDoc="0" locked="0" layoutInCell="1" allowOverlap="1" wp14:anchorId="1FABF4C5" wp14:editId="38536825">
                      <wp:simplePos x="0" y="0"/>
                      <wp:positionH relativeFrom="column">
                        <wp:posOffset>6702425</wp:posOffset>
                      </wp:positionH>
                      <wp:positionV relativeFrom="paragraph">
                        <wp:posOffset>4208780</wp:posOffset>
                      </wp:positionV>
                      <wp:extent cx="545465" cy="234315"/>
                      <wp:effectExtent l="0" t="0" r="6985" b="0"/>
                      <wp:wrapNone/>
                      <wp:docPr id="1801347906" name="Прямокутник 45"/>
                      <wp:cNvGraphicFramePr/>
                      <a:graphic xmlns:a="http://schemas.openxmlformats.org/drawingml/2006/main">
                        <a:graphicData uri="http://schemas.microsoft.com/office/word/2010/wordprocessingShape">
                          <wps:wsp>
                            <wps:cNvSpPr/>
                            <wps:spPr>
                              <a:xfrm>
                                <a:off x="0" y="0"/>
                                <a:ext cx="545465" cy="234315"/>
                              </a:xfrm>
                              <a:prstGeom prst="rect">
                                <a:avLst/>
                              </a:prstGeom>
                              <a:solidFill>
                                <a:srgbClr val="CFC2D2"/>
                              </a:solidFill>
                            </wps:spPr>
                            <wps:txbx>
                              <w:txbxContent>
                                <w:p w14:paraId="64BC8F2F"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Xpert MTB/RIF</w:t>
                                  </w:r>
                                </w:p>
                                <w:p w14:paraId="30CDF43D"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Слід Ultra</w:t>
                                  </w:r>
                                </w:p>
                              </w:txbxContent>
                            </wps:txbx>
                            <wps:bodyPr lIns="0" tIns="0" rIns="0" bIns="0">
                              <a:noAutofit/>
                            </wps:bodyPr>
                          </wps:wsp>
                        </a:graphicData>
                      </a:graphic>
                    </wp:anchor>
                  </w:drawing>
                </mc:Choice>
                <mc:Fallback>
                  <w:pict>
                    <v:rect w14:anchorId="1FABF4C5" id="Прямокутник 45" o:spid="_x0000_s1280" style="position:absolute;margin-left:527.75pt;margin-top:331.4pt;width:42.95pt;height:18.4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" fillcolor="#cfc2d2" stroked="f">
                      <v:textbox inset="0,0,0,0">
                        <w:txbxContent>
                          <w:p w14:paraId="64BC8F2F"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Xpert MTB/RIF</w:t>
                            </w:r>
                          </w:p>
                          <w:p w14:paraId="30CDF43D"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Слід Ultra</w:t>
                            </w:r>
                          </w:p>
                        </w:txbxContent>
                      </v:textbox>
                    </v:rect>
                  </w:pict>
                </mc:Fallback>
              </mc:AlternateContent>
            </w:r>
            <w:r w:rsidR="00B97539">
              <w:rPr>
                <w:noProof/>
              </w:rPr>
              <mc:AlternateContent>
                <mc:Choice Requires="wps">
                  <w:drawing>
                    <wp:anchor distT="0" distB="0" distL="114300" distR="114300" simplePos="0" relativeHeight="251619328" behindDoc="0" locked="0" layoutInCell="1" allowOverlap="1" wp14:anchorId="0F6803A4" wp14:editId="7D98897A">
                      <wp:simplePos x="0" y="0"/>
                      <wp:positionH relativeFrom="column">
                        <wp:posOffset>6696075</wp:posOffset>
                      </wp:positionH>
                      <wp:positionV relativeFrom="paragraph">
                        <wp:posOffset>4071620</wp:posOffset>
                      </wp:positionV>
                      <wp:extent cx="429260" cy="97155"/>
                      <wp:effectExtent l="0" t="0" r="4445" b="0"/>
                      <wp:wrapNone/>
                      <wp:docPr id="1535217882" name="Прямокутник 44"/>
                      <wp:cNvGraphicFramePr/>
                      <a:graphic xmlns:a="http://schemas.openxmlformats.org/drawingml/2006/main">
                        <a:graphicData uri="http://schemas.microsoft.com/office/word/2010/wordprocessingShape">
                          <wps:wsp>
                            <wps:cNvSpPr/>
                            <wps:spPr>
                              <a:xfrm>
                                <a:off x="0" y="0"/>
                                <a:ext cx="429260" cy="97155"/>
                              </a:xfrm>
                              <a:prstGeom prst="rect">
                                <a:avLst/>
                              </a:prstGeom>
                              <a:solidFill>
                                <a:srgbClr val="CFC2D2"/>
                              </a:solidFill>
                            </wps:spPr>
                            <wps:txbx>
                              <w:txbxContent>
                                <w:p w14:paraId="5A157282"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LC-aNAAT</w:t>
                                  </w:r>
                                </w:p>
                              </w:txbxContent>
                            </wps:txbx>
                            <wps:bodyPr wrap="none" lIns="0" tIns="0" rIns="0" bIns="0">
                              <a:noAutofit/>
                            </wps:bodyPr>
                          </wps:wsp>
                        </a:graphicData>
                      </a:graphic>
                    </wp:anchor>
                  </w:drawing>
                </mc:Choice>
                <mc:Fallback>
                  <w:pict>
                    <v:rect w14:anchorId="0F6803A4" id="Прямокутник 44" o:spid="_x0000_s1281" style="position:absolute;margin-left:527.25pt;margin-top:320.6pt;width:33.8pt;height:7.65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" fillcolor="#cfc2d2" stroked="f">
                      <v:textbox inset="0,0,0,0">
                        <w:txbxContent>
                          <w:p w14:paraId="5A157282"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LC-aNAAT</w:t>
                            </w:r>
                          </w:p>
                        </w:txbxContent>
                      </v:textbox>
                    </v:rect>
                  </w:pict>
                </mc:Fallback>
              </mc:AlternateContent>
            </w:r>
            <w:r w:rsidR="00B97539">
              <w:rPr>
                <w:noProof/>
              </w:rPr>
              <mc:AlternateContent>
                <mc:Choice Requires="wps">
                  <w:drawing>
                    <wp:anchor distT="0" distB="0" distL="114300" distR="114300" simplePos="0" relativeHeight="251612160" behindDoc="0" locked="0" layoutInCell="1" allowOverlap="1" wp14:anchorId="2BC4A50E" wp14:editId="2B00C1D0">
                      <wp:simplePos x="0" y="0"/>
                      <wp:positionH relativeFrom="column">
                        <wp:posOffset>5815330</wp:posOffset>
                      </wp:positionH>
                      <wp:positionV relativeFrom="paragraph">
                        <wp:posOffset>4083685</wp:posOffset>
                      </wp:positionV>
                      <wp:extent cx="414020" cy="103505"/>
                      <wp:effectExtent l="0" t="0" r="4445" b="0"/>
                      <wp:wrapNone/>
                      <wp:docPr id="1082522337" name="Прямокутник 37"/>
                      <wp:cNvGraphicFramePr/>
                      <a:graphic xmlns:a="http://schemas.openxmlformats.org/drawingml/2006/main">
                        <a:graphicData uri="http://schemas.microsoft.com/office/word/2010/wordprocessingShape">
                          <wps:wsp>
                            <wps:cNvSpPr/>
                            <wps:spPr>
                              <a:xfrm>
                                <a:off x="0" y="0"/>
                                <a:ext cx="414020" cy="103505"/>
                              </a:xfrm>
                              <a:prstGeom prst="rect">
                                <a:avLst/>
                              </a:prstGeom>
                              <a:solidFill>
                                <a:srgbClr val="F9E4DF"/>
                              </a:solidFill>
                            </wps:spPr>
                            <wps:txbx>
                              <w:txbxContent>
                                <w:p w14:paraId="5D1186D6"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LC-aNAAT</w:t>
                                  </w:r>
                                </w:p>
                              </w:txbxContent>
                            </wps:txbx>
                            <wps:bodyPr wrap="none" lIns="0" tIns="0" rIns="0" bIns="0">
                              <a:noAutofit/>
                            </wps:bodyPr>
                          </wps:wsp>
                        </a:graphicData>
                      </a:graphic>
                    </wp:anchor>
                  </w:drawing>
                </mc:Choice>
                <mc:Fallback>
                  <w:pict>
                    <v:rect w14:anchorId="2BC4A50E" id="Прямокутник 37" o:spid="_x0000_s1282" style="position:absolute;margin-left:457.9pt;margin-top:321.55pt;width:32.6pt;height:8.15pt;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" fillcolor="#f9e4df" stroked="f">
                      <v:textbox inset="0,0,0,0">
                        <w:txbxContent>
                          <w:p w14:paraId="5D1186D6"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LC-aNAAT</w:t>
                            </w:r>
                          </w:p>
                        </w:txbxContent>
                      </v:textbox>
                    </v:rect>
                  </w:pict>
                </mc:Fallback>
              </mc:AlternateContent>
            </w:r>
            <w:r w:rsidR="00B97539">
              <w:rPr>
                <w:noProof/>
              </w:rPr>
              <mc:AlternateContent>
                <mc:Choice Requires="wps">
                  <w:drawing>
                    <wp:anchor distT="0" distB="0" distL="114300" distR="114300" simplePos="0" relativeHeight="251609088" behindDoc="0" locked="0" layoutInCell="1" allowOverlap="1" wp14:anchorId="039594F7" wp14:editId="48A6D440">
                      <wp:simplePos x="0" y="0"/>
                      <wp:positionH relativeFrom="column">
                        <wp:posOffset>4907280</wp:posOffset>
                      </wp:positionH>
                      <wp:positionV relativeFrom="paragraph">
                        <wp:posOffset>4208780</wp:posOffset>
                      </wp:positionV>
                      <wp:extent cx="535940" cy="234315"/>
                      <wp:effectExtent l="0" t="0" r="0" b="0"/>
                      <wp:wrapNone/>
                      <wp:docPr id="35" name="Прямокутник 34"/>
                      <wp:cNvGraphicFramePr/>
                      <a:graphic xmlns:a="http://schemas.openxmlformats.org/drawingml/2006/main">
                        <a:graphicData uri="http://schemas.microsoft.com/office/word/2010/wordprocessingShape">
                          <wps:wsp>
                            <wps:cNvSpPr/>
                            <wps:spPr>
                              <a:xfrm>
                                <a:off x="0" y="0"/>
                                <a:ext cx="535940" cy="234315"/>
                              </a:xfrm>
                              <a:prstGeom prst="rect">
                                <a:avLst/>
                              </a:prstGeom>
                              <a:solidFill>
                                <a:srgbClr val="F9E4DF"/>
                              </a:solidFill>
                            </wps:spPr>
                            <wps:txbx>
                              <w:txbxContent>
                                <w:p w14:paraId="01BFE5D8" w14:textId="77777777" w:rsidR="009D0C1D" w:rsidRDefault="009D0C1D" w:rsidP="004F6FB8">
                                  <w:pPr>
                                    <w:spacing w:line="290" w:lineRule="auto"/>
                                    <w:rPr>
                                      <w:rFonts w:ascii="Century Gothic" w:hAnsi="Century Gothic" w:cstheme="minorBidi"/>
                                      <w:color w:val="343433"/>
                                      <w:kern w:val="24"/>
                                      <w:sz w:val="12"/>
                                      <w:szCs w:val="12"/>
                                    </w:rPr>
                                  </w:pPr>
                                  <w:r>
                                    <w:rPr>
                                      <w:rFonts w:ascii="Century Gothic" w:hAnsi="Century Gothic"/>
                                      <w:color w:val="343433"/>
                                      <w:sz w:val="12"/>
                                    </w:rPr>
                                    <w:t xml:space="preserve">Резистентність до RIF </w:t>
                                  </w:r>
                                  <w:r>
                                    <w:rPr>
                                      <w:rFonts w:ascii="Century Gothic" w:hAnsi="Century Gothic"/>
                                      <w:b/>
                                      <w:color w:val="343433"/>
                                      <w:sz w:val="12"/>
                                    </w:rPr>
                                    <w:t>невідома</w:t>
                                  </w:r>
                                </w:p>
                              </w:txbxContent>
                            </wps:txbx>
                            <wps:bodyPr lIns="0" tIns="0" rIns="0" bIns="0">
                              <a:noAutofit/>
                            </wps:bodyPr>
                          </wps:wsp>
                        </a:graphicData>
                      </a:graphic>
                    </wp:anchor>
                  </w:drawing>
                </mc:Choice>
                <mc:Fallback>
                  <w:pict>
                    <v:rect w14:anchorId="039594F7" id="Прямокутник 34" o:spid="_x0000_s1283" style="position:absolute;margin-left:386.4pt;margin-top:331.4pt;width:42.2pt;height:18.4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" fillcolor="#f9e4df" stroked="f">
                      <v:textbox inset="0,0,0,0">
                        <w:txbxContent>
                          <w:p w14:paraId="01BFE5D8" w14:textId="77777777" w:rsidR="009D0C1D" w:rsidRDefault="009D0C1D" w:rsidP="004F6FB8">
                            <w:pPr>
                              <w:spacing w:line="290" w:lineRule="auto"/>
                              <w:rPr>
                                <w:rFonts w:ascii="Century Gothic" w:hAnsi="Century Gothic" w:cstheme="minorBidi"/>
                                <w:color w:val="343433"/>
                                <w:kern w:val="24"/>
                                <w:sz w:val="12"/>
                                <w:szCs w:val="12"/>
                              </w:rPr>
                            </w:pPr>
                            <w:r>
                              <w:rPr>
                                <w:rFonts w:ascii="Century Gothic" w:hAnsi="Century Gothic"/>
                                <w:color w:val="343433"/>
                                <w:sz w:val="12"/>
                              </w:rPr>
                              <w:t xml:space="preserve">Резистентність до RIF </w:t>
                            </w:r>
                            <w:r>
                              <w:rPr>
                                <w:rFonts w:ascii="Century Gothic" w:hAnsi="Century Gothic"/>
                                <w:b/>
                                <w:color w:val="343433"/>
                                <w:sz w:val="12"/>
                              </w:rPr>
                              <w:t>невідома</w:t>
                            </w:r>
                          </w:p>
                        </w:txbxContent>
                      </v:textbox>
                    </v:rect>
                  </w:pict>
                </mc:Fallback>
              </mc:AlternateContent>
            </w:r>
            <w:r w:rsidR="00B97539">
              <w:rPr>
                <w:noProof/>
              </w:rPr>
              <mc:AlternateContent>
                <mc:Choice Requires="wps">
                  <w:drawing>
                    <wp:anchor distT="0" distB="0" distL="114300" distR="114300" simplePos="0" relativeHeight="251608064" behindDoc="0" locked="0" layoutInCell="1" allowOverlap="1" wp14:anchorId="51253FDD" wp14:editId="35F61894">
                      <wp:simplePos x="0" y="0"/>
                      <wp:positionH relativeFrom="column">
                        <wp:posOffset>4910455</wp:posOffset>
                      </wp:positionH>
                      <wp:positionV relativeFrom="paragraph">
                        <wp:posOffset>4071620</wp:posOffset>
                      </wp:positionV>
                      <wp:extent cx="405130" cy="109220"/>
                      <wp:effectExtent l="0" t="0" r="4445" b="5080"/>
                      <wp:wrapNone/>
                      <wp:docPr id="441216124" name="Прямокутник 33"/>
                      <wp:cNvGraphicFramePr/>
                      <a:graphic xmlns:a="http://schemas.openxmlformats.org/drawingml/2006/main">
                        <a:graphicData uri="http://schemas.microsoft.com/office/word/2010/wordprocessingShape">
                          <wps:wsp>
                            <wps:cNvSpPr/>
                            <wps:spPr>
                              <a:xfrm>
                                <a:off x="0" y="0"/>
                                <a:ext cx="405130" cy="109220"/>
                              </a:xfrm>
                              <a:prstGeom prst="rect">
                                <a:avLst/>
                              </a:prstGeom>
                              <a:solidFill>
                                <a:srgbClr val="F9E4DF"/>
                              </a:solidFill>
                            </wps:spPr>
                            <wps:txbx>
                              <w:txbxContent>
                                <w:p w14:paraId="0CABA407" w14:textId="77777777" w:rsidR="009D0C1D" w:rsidRDefault="009D0C1D" w:rsidP="004F6FB8">
                                  <w:pPr>
                                    <w:jc w:val="right"/>
                                    <w:rPr>
                                      <w:rFonts w:ascii="Century Gothic" w:hAnsi="Century Gothic" w:cstheme="minorBidi"/>
                                      <w:b/>
                                      <w:bCs/>
                                      <w:color w:val="343433"/>
                                      <w:kern w:val="24"/>
                                      <w:sz w:val="12"/>
                                      <w:szCs w:val="12"/>
                                    </w:rPr>
                                  </w:pPr>
                                  <w:r>
                                    <w:rPr>
                                      <w:rFonts w:ascii="Century Gothic" w:hAnsi="Century Gothic"/>
                                      <w:b/>
                                      <w:color w:val="343433"/>
                                      <w:sz w:val="12"/>
                                    </w:rPr>
                                    <w:t>LC-aNAAT</w:t>
                                  </w:r>
                                </w:p>
                              </w:txbxContent>
                            </wps:txbx>
                            <wps:bodyPr wrap="none" lIns="0" tIns="0" rIns="0" bIns="0">
                              <a:noAutofit/>
                            </wps:bodyPr>
                          </wps:wsp>
                        </a:graphicData>
                      </a:graphic>
                    </wp:anchor>
                  </w:drawing>
                </mc:Choice>
                <mc:Fallback>
                  <w:pict>
                    <v:rect w14:anchorId="51253FDD" id="Прямокутник 33" o:spid="_x0000_s1284" style="position:absolute;margin-left:386.65pt;margin-top:320.6pt;width:31.9pt;height:8.6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" fillcolor="#f9e4df" stroked="f">
                      <v:textbox inset="0,0,0,0">
                        <w:txbxContent>
                          <w:p w14:paraId="0CABA407" w14:textId="77777777" w:rsidR="009D0C1D" w:rsidRDefault="009D0C1D" w:rsidP="004F6FB8">
                            <w:pPr>
                              <w:jc w:val="right"/>
                              <w:rPr>
                                <w:rFonts w:ascii="Century Gothic" w:hAnsi="Century Gothic" w:cstheme="minorBidi"/>
                                <w:b/>
                                <w:bCs/>
                                <w:color w:val="343433"/>
                                <w:kern w:val="24"/>
                                <w:sz w:val="12"/>
                                <w:szCs w:val="12"/>
                              </w:rPr>
                            </w:pPr>
                            <w:r>
                              <w:rPr>
                                <w:rFonts w:ascii="Century Gothic" w:hAnsi="Century Gothic"/>
                                <w:b/>
                                <w:color w:val="343433"/>
                                <w:sz w:val="12"/>
                              </w:rPr>
                              <w:t>LC-aNAAT</w:t>
                            </w:r>
                          </w:p>
                        </w:txbxContent>
                      </v:textbox>
                    </v:rect>
                  </w:pict>
                </mc:Fallback>
              </mc:AlternateContent>
            </w:r>
            <w:r w:rsidR="00B97539">
              <w:rPr>
                <w:noProof/>
              </w:rPr>
              <mc:AlternateContent>
                <mc:Choice Requires="wps">
                  <w:drawing>
                    <wp:anchor distT="0" distB="0" distL="114300" distR="114300" simplePos="0" relativeHeight="251606016" behindDoc="0" locked="0" layoutInCell="1" allowOverlap="1" wp14:anchorId="750636BF" wp14:editId="4EC89C2E">
                      <wp:simplePos x="0" y="0"/>
                      <wp:positionH relativeFrom="column">
                        <wp:posOffset>3971290</wp:posOffset>
                      </wp:positionH>
                      <wp:positionV relativeFrom="paragraph">
                        <wp:posOffset>4215130</wp:posOffset>
                      </wp:positionV>
                      <wp:extent cx="563880" cy="215900"/>
                      <wp:effectExtent l="0" t="0" r="7620" b="0"/>
                      <wp:wrapNone/>
                      <wp:docPr id="1032099411" name="Прямокутник 31"/>
                      <wp:cNvGraphicFramePr/>
                      <a:graphic xmlns:a="http://schemas.openxmlformats.org/drawingml/2006/main">
                        <a:graphicData uri="http://schemas.microsoft.com/office/word/2010/wordprocessingShape">
                          <wps:wsp>
                            <wps:cNvSpPr/>
                            <wps:spPr>
                              <a:xfrm>
                                <a:off x="0" y="0"/>
                                <a:ext cx="563880" cy="215900"/>
                              </a:xfrm>
                              <a:prstGeom prst="rect">
                                <a:avLst/>
                              </a:prstGeom>
                              <a:solidFill>
                                <a:srgbClr val="FBD4D5"/>
                              </a:solidFill>
                            </wps:spPr>
                            <wps:txbx>
                              <w:txbxContent>
                                <w:p w14:paraId="634A9369" w14:textId="77777777" w:rsidR="009D0C1D" w:rsidRDefault="009D0C1D" w:rsidP="004F6FB8">
                                  <w:pPr>
                                    <w:spacing w:line="290" w:lineRule="auto"/>
                                    <w:rPr>
                                      <w:rFonts w:ascii="Century Gothic" w:hAnsi="Century Gothic" w:cstheme="minorBidi"/>
                                      <w:color w:val="343433"/>
                                      <w:kern w:val="24"/>
                                      <w:sz w:val="12"/>
                                      <w:szCs w:val="12"/>
                                    </w:rPr>
                                  </w:pPr>
                                  <w:r>
                                    <w:rPr>
                                      <w:rFonts w:ascii="Century Gothic" w:hAnsi="Century Gothic"/>
                                      <w:color w:val="343433"/>
                                      <w:sz w:val="12"/>
                                    </w:rPr>
                                    <w:t xml:space="preserve">Резистентність до RIF </w:t>
                                  </w:r>
                                  <w:r>
                                    <w:rPr>
                                      <w:rFonts w:ascii="Century Gothic" w:hAnsi="Century Gothic"/>
                                      <w:b/>
                                      <w:color w:val="343433"/>
                                      <w:sz w:val="12"/>
                                    </w:rPr>
                                    <w:t>виявлено</w:t>
                                  </w:r>
                                </w:p>
                              </w:txbxContent>
                            </wps:txbx>
                            <wps:bodyPr lIns="0" tIns="0" rIns="0" bIns="0">
                              <a:noAutofit/>
                            </wps:bodyPr>
                          </wps:wsp>
                        </a:graphicData>
                      </a:graphic>
                    </wp:anchor>
                  </w:drawing>
                </mc:Choice>
                <mc:Fallback>
                  <w:pict>
                    <v:rect w14:anchorId="750636BF" id="Прямокутник 31" o:spid="_x0000_s1285" style="position:absolute;margin-left:312.7pt;margin-top:331.9pt;width:44.4pt;height:17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" fillcolor="#fbd4d5" stroked="f">
                      <v:textbox inset="0,0,0,0">
                        <w:txbxContent>
                          <w:p w14:paraId="634A9369" w14:textId="77777777" w:rsidR="009D0C1D" w:rsidRDefault="009D0C1D" w:rsidP="004F6FB8">
                            <w:pPr>
                              <w:spacing w:line="290" w:lineRule="auto"/>
                              <w:rPr>
                                <w:rFonts w:ascii="Century Gothic" w:hAnsi="Century Gothic" w:cstheme="minorBidi"/>
                                <w:color w:val="343433"/>
                                <w:kern w:val="24"/>
                                <w:sz w:val="12"/>
                                <w:szCs w:val="12"/>
                              </w:rPr>
                            </w:pPr>
                            <w:r>
                              <w:rPr>
                                <w:rFonts w:ascii="Century Gothic" w:hAnsi="Century Gothic"/>
                                <w:color w:val="343433"/>
                                <w:sz w:val="12"/>
                              </w:rPr>
                              <w:t xml:space="preserve">Резистентність до RIF </w:t>
                            </w:r>
                            <w:r>
                              <w:rPr>
                                <w:rFonts w:ascii="Century Gothic" w:hAnsi="Century Gothic"/>
                                <w:b/>
                                <w:color w:val="343433"/>
                                <w:sz w:val="12"/>
                              </w:rPr>
                              <w:t>виявлено</w:t>
                            </w:r>
                          </w:p>
                        </w:txbxContent>
                      </v:textbox>
                    </v:rect>
                  </w:pict>
                </mc:Fallback>
              </mc:AlternateContent>
            </w:r>
            <w:r w:rsidR="00B97539">
              <w:rPr>
                <w:noProof/>
              </w:rPr>
              <mc:AlternateContent>
                <mc:Choice Requires="wps">
                  <w:drawing>
                    <wp:anchor distT="0" distB="0" distL="114300" distR="114300" simplePos="0" relativeHeight="251604992" behindDoc="0" locked="0" layoutInCell="1" allowOverlap="1" wp14:anchorId="140C1967" wp14:editId="528F06DB">
                      <wp:simplePos x="0" y="0"/>
                      <wp:positionH relativeFrom="column">
                        <wp:posOffset>3980815</wp:posOffset>
                      </wp:positionH>
                      <wp:positionV relativeFrom="paragraph">
                        <wp:posOffset>4083685</wp:posOffset>
                      </wp:positionV>
                      <wp:extent cx="420370" cy="97155"/>
                      <wp:effectExtent l="0" t="0" r="4445" b="0"/>
                      <wp:wrapNone/>
                      <wp:docPr id="31" name="Прямокутник 30"/>
                      <wp:cNvGraphicFramePr/>
                      <a:graphic xmlns:a="http://schemas.openxmlformats.org/drawingml/2006/main">
                        <a:graphicData uri="http://schemas.microsoft.com/office/word/2010/wordprocessingShape">
                          <wps:wsp>
                            <wps:cNvSpPr/>
                            <wps:spPr>
                              <a:xfrm>
                                <a:off x="0" y="0"/>
                                <a:ext cx="420370" cy="97155"/>
                              </a:xfrm>
                              <a:prstGeom prst="rect">
                                <a:avLst/>
                              </a:prstGeom>
                              <a:solidFill>
                                <a:srgbClr val="FBD4D5"/>
                              </a:solidFill>
                            </wps:spPr>
                            <wps:txbx>
                              <w:txbxContent>
                                <w:p w14:paraId="1E637B6F"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LC-aNAAT</w:t>
                                  </w:r>
                                </w:p>
                              </w:txbxContent>
                            </wps:txbx>
                            <wps:bodyPr wrap="none" lIns="0" tIns="0" rIns="0" bIns="0">
                              <a:noAutofit/>
                            </wps:bodyPr>
                          </wps:wsp>
                        </a:graphicData>
                      </a:graphic>
                    </wp:anchor>
                  </w:drawing>
                </mc:Choice>
                <mc:Fallback>
                  <w:pict>
                    <v:rect w14:anchorId="140C1967" id="Прямокутник 30" o:spid="_x0000_s1286" style="position:absolute;margin-left:313.45pt;margin-top:321.55pt;width:33.1pt;height:7.65pt;z-index:251604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" fillcolor="#fbd4d5" stroked="f">
                      <v:textbox inset="0,0,0,0">
                        <w:txbxContent>
                          <w:p w14:paraId="1E637B6F" w14:textId="77777777" w:rsidR="009D0C1D" w:rsidRDefault="009D0C1D" w:rsidP="004F6FB8">
                            <w:pPr>
                              <w:rPr>
                                <w:rFonts w:ascii="Century Gothic" w:hAnsi="Century Gothic" w:cstheme="minorBidi"/>
                                <w:b/>
                                <w:bCs/>
                                <w:color w:val="343433"/>
                                <w:kern w:val="24"/>
                                <w:sz w:val="12"/>
                                <w:szCs w:val="12"/>
                              </w:rPr>
                            </w:pPr>
                            <w:r>
                              <w:rPr>
                                <w:rFonts w:ascii="Century Gothic" w:hAnsi="Century Gothic"/>
                                <w:b/>
                                <w:color w:val="343433"/>
                                <w:sz w:val="12"/>
                              </w:rPr>
                              <w:t>LC-aNAAT</w:t>
                            </w:r>
                          </w:p>
                        </w:txbxContent>
                      </v:textbox>
                    </v:rect>
                  </w:pict>
                </mc:Fallback>
              </mc:AlternateContent>
            </w:r>
            <w:r w:rsidR="00B97539">
              <w:rPr>
                <w:noProof/>
              </w:rPr>
              <mc:AlternateContent>
                <mc:Choice Requires="wps">
                  <w:drawing>
                    <wp:anchor distT="0" distB="0" distL="114300" distR="114300" simplePos="0" relativeHeight="251581440" behindDoc="0" locked="0" layoutInCell="1" allowOverlap="1" wp14:anchorId="17F21993" wp14:editId="748D3625">
                      <wp:simplePos x="0" y="0"/>
                      <wp:positionH relativeFrom="column">
                        <wp:posOffset>320675</wp:posOffset>
                      </wp:positionH>
                      <wp:positionV relativeFrom="paragraph">
                        <wp:posOffset>2101850</wp:posOffset>
                      </wp:positionV>
                      <wp:extent cx="1144905" cy="112395"/>
                      <wp:effectExtent l="0" t="0" r="0" b="1905"/>
                      <wp:wrapNone/>
                      <wp:docPr id="800185644" name="Прямокутник 7"/>
                      <wp:cNvGraphicFramePr/>
                      <a:graphic xmlns:a="http://schemas.openxmlformats.org/drawingml/2006/main">
                        <a:graphicData uri="http://schemas.microsoft.com/office/word/2010/wordprocessingShape">
                          <wps:wsp>
                            <wps:cNvSpPr/>
                            <wps:spPr>
                              <a:xfrm>
                                <a:off x="0" y="0"/>
                                <a:ext cx="1144905" cy="112395"/>
                              </a:xfrm>
                              <a:prstGeom prst="rect">
                                <a:avLst/>
                              </a:prstGeom>
                              <a:solidFill>
                                <a:srgbClr val="F9E4DF"/>
                              </a:solidFill>
                            </wps:spPr>
                            <wps:txbx>
                              <w:txbxContent>
                                <w:p w14:paraId="29E418EE" w14:textId="77777777" w:rsidR="009D0C1D" w:rsidRPr="002E2F4B" w:rsidRDefault="009D0C1D" w:rsidP="004F6FB8">
                                  <w:pPr>
                                    <w:rPr>
                                      <w:rFonts w:ascii="Century Gothic" w:hAnsi="Century Gothic" w:cstheme="minorBidi"/>
                                      <w:b/>
                                      <w:bCs/>
                                      <w:color w:val="343433"/>
                                      <w:kern w:val="24"/>
                                      <w:sz w:val="12"/>
                                      <w:szCs w:val="12"/>
                                    </w:rPr>
                                  </w:pPr>
                                  <w:r w:rsidRPr="002E2F4B">
                                    <w:rPr>
                                      <w:rFonts w:ascii="Century Gothic" w:hAnsi="Century Gothic"/>
                                      <w:b/>
                                      <w:color w:val="343433"/>
                                      <w:sz w:val="12"/>
                                      <w:szCs w:val="22"/>
                                    </w:rPr>
                                    <w:t>Дорослі та підлітки</w:t>
                                  </w:r>
                                </w:p>
                              </w:txbxContent>
                            </wps:txbx>
                            <wps:bodyPr wrap="square" lIns="0" tIns="0" rIns="0" bIns="0">
                              <a:noAutofit/>
                            </wps:bodyPr>
                          </wps:wsp>
                        </a:graphicData>
                      </a:graphic>
                      <wp14:sizeRelH relativeFrom="margin">
                        <wp14:pctWidth>0</wp14:pctWidth>
                      </wp14:sizeRelH>
                    </wp:anchor>
                  </w:drawing>
                </mc:Choice>
                <mc:Fallback>
                  <w:pict>
                    <v:rect w14:anchorId="17F21993" id="_x0000_s1287" style="position:absolute;margin-left:25.25pt;margin-top:165.5pt;width:90.15pt;height:8.85p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" fillcolor="#f9e4df" stroked="f">
                      <v:textbox inset="0,0,0,0">
                        <w:txbxContent>
                          <w:p w14:paraId="29E418EE" w14:textId="77777777" w:rsidR="009D0C1D" w:rsidRPr="002E2F4B" w:rsidRDefault="009D0C1D" w:rsidP="004F6FB8">
                            <w:pPr>
                              <w:rPr>
                                <w:rFonts w:ascii="Century Gothic" w:hAnsi="Century Gothic" w:cstheme="minorBidi"/>
                                <w:b/>
                                <w:bCs/>
                                <w:color w:val="343433"/>
                                <w:kern w:val="24"/>
                                <w:sz w:val="12"/>
                                <w:szCs w:val="12"/>
                              </w:rPr>
                            </w:pPr>
                            <w:r w:rsidRPr="002E2F4B">
                              <w:rPr>
                                <w:rFonts w:ascii="Century Gothic" w:hAnsi="Century Gothic"/>
                                <w:b/>
                                <w:color w:val="343433"/>
                                <w:sz w:val="12"/>
                                <w:szCs w:val="22"/>
                              </w:rPr>
                              <w:t>Дорослі та підлітки</w:t>
                            </w:r>
                          </w:p>
                        </w:txbxContent>
                      </v:textbox>
                    </v:rect>
                  </w:pict>
                </mc:Fallback>
              </mc:AlternateContent>
            </w:r>
            <w:r w:rsidR="00B97539">
              <w:rPr>
                <w:noProof/>
              </w:rPr>
              <mc:AlternateContent>
                <mc:Choice Requires="wps">
                  <w:drawing>
                    <wp:anchor distT="0" distB="0" distL="114300" distR="114300" simplePos="0" relativeHeight="251584512" behindDoc="0" locked="0" layoutInCell="1" allowOverlap="1" wp14:anchorId="4F27A3BB" wp14:editId="6D7CB9FF">
                      <wp:simplePos x="0" y="0"/>
                      <wp:positionH relativeFrom="column">
                        <wp:posOffset>2427605</wp:posOffset>
                      </wp:positionH>
                      <wp:positionV relativeFrom="paragraph">
                        <wp:posOffset>2101850</wp:posOffset>
                      </wp:positionV>
                      <wp:extent cx="964565" cy="109220"/>
                      <wp:effectExtent l="0" t="0" r="6985" b="5080"/>
                      <wp:wrapNone/>
                      <wp:docPr id="298712694" name="Прямокутник 10"/>
                      <wp:cNvGraphicFramePr/>
                      <a:graphic xmlns:a="http://schemas.openxmlformats.org/drawingml/2006/main">
                        <a:graphicData uri="http://schemas.microsoft.com/office/word/2010/wordprocessingShape">
                          <wps:wsp>
                            <wps:cNvSpPr/>
                            <wps:spPr>
                              <a:xfrm>
                                <a:off x="0" y="0"/>
                                <a:ext cx="964565" cy="109220"/>
                              </a:xfrm>
                              <a:prstGeom prst="rect">
                                <a:avLst/>
                              </a:prstGeom>
                              <a:solidFill>
                                <a:srgbClr val="B8DCF3"/>
                              </a:solidFill>
                            </wps:spPr>
                            <wps:txbx>
                              <w:txbxContent>
                                <w:p w14:paraId="0B77BDB3" w14:textId="77777777" w:rsidR="009D0C1D" w:rsidRPr="002E2F4B" w:rsidRDefault="009D0C1D" w:rsidP="004F6FB8">
                                  <w:pPr>
                                    <w:rPr>
                                      <w:rFonts w:ascii="Century Gothic" w:hAnsi="Century Gothic" w:cstheme="minorBidi"/>
                                      <w:b/>
                                      <w:bCs/>
                                      <w:color w:val="343433"/>
                                      <w:kern w:val="24"/>
                                      <w:sz w:val="12"/>
                                      <w:szCs w:val="12"/>
                                    </w:rPr>
                                  </w:pPr>
                                  <w:r w:rsidRPr="002E2F4B">
                                    <w:rPr>
                                      <w:rFonts w:ascii="Century Gothic" w:hAnsi="Century Gothic"/>
                                      <w:b/>
                                      <w:color w:val="343433"/>
                                      <w:sz w:val="12"/>
                                      <w:szCs w:val="22"/>
                                    </w:rPr>
                                    <w:t>Діти у віці ≤ 10 років</w:t>
                                  </w:r>
                                </w:p>
                              </w:txbxContent>
                            </wps:txbx>
                            <wps:bodyPr wrap="square" lIns="0" tIns="0" rIns="0" bIns="0">
                              <a:noAutofit/>
                            </wps:bodyPr>
                          </wps:wsp>
                        </a:graphicData>
                      </a:graphic>
                      <wp14:sizeRelH relativeFrom="margin">
                        <wp14:pctWidth>0</wp14:pctWidth>
                      </wp14:sizeRelH>
                    </wp:anchor>
                  </w:drawing>
                </mc:Choice>
                <mc:Fallback>
                  <w:pict>
                    <v:rect w14:anchorId="4F27A3BB" id="_x0000_s1288" style="position:absolute;margin-left:191.15pt;margin-top:165.5pt;width:75.95pt;height:8.6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" fillcolor="#b8dcf3" stroked="f">
                      <v:textbox inset="0,0,0,0">
                        <w:txbxContent>
                          <w:p w14:paraId="0B77BDB3" w14:textId="77777777" w:rsidR="009D0C1D" w:rsidRPr="002E2F4B" w:rsidRDefault="009D0C1D" w:rsidP="004F6FB8">
                            <w:pPr>
                              <w:rPr>
                                <w:rFonts w:ascii="Century Gothic" w:hAnsi="Century Gothic" w:cstheme="minorBidi"/>
                                <w:b/>
                                <w:bCs/>
                                <w:color w:val="343433"/>
                                <w:kern w:val="24"/>
                                <w:sz w:val="12"/>
                                <w:szCs w:val="12"/>
                              </w:rPr>
                            </w:pPr>
                            <w:r w:rsidRPr="002E2F4B">
                              <w:rPr>
                                <w:rFonts w:ascii="Century Gothic" w:hAnsi="Century Gothic"/>
                                <w:b/>
                                <w:color w:val="343433"/>
                                <w:sz w:val="12"/>
                                <w:szCs w:val="22"/>
                              </w:rPr>
                              <w:t>Діти у віці ≤ 10 років</w:t>
                            </w:r>
                          </w:p>
                        </w:txbxContent>
                      </v:textbox>
                    </v:rect>
                  </w:pict>
                </mc:Fallback>
              </mc:AlternateContent>
            </w:r>
            <w:r w:rsidR="00B97539">
              <w:rPr>
                <w:noProof/>
              </w:rPr>
              <mc:AlternateContent>
                <mc:Choice Requires="wps">
                  <w:drawing>
                    <wp:anchor distT="0" distB="0" distL="114300" distR="114300" simplePos="0" relativeHeight="251577344" behindDoc="0" locked="0" layoutInCell="1" allowOverlap="1" wp14:anchorId="37D92535" wp14:editId="4EBB0EAF">
                      <wp:simplePos x="0" y="0"/>
                      <wp:positionH relativeFrom="column">
                        <wp:posOffset>3050540</wp:posOffset>
                      </wp:positionH>
                      <wp:positionV relativeFrom="paragraph">
                        <wp:posOffset>177634</wp:posOffset>
                      </wp:positionV>
                      <wp:extent cx="1355698" cy="109220"/>
                      <wp:effectExtent l="0" t="0" r="0" b="5080"/>
                      <wp:wrapNone/>
                      <wp:docPr id="590230806" name="Прямокутник 3"/>
                      <wp:cNvGraphicFramePr/>
                      <a:graphic xmlns:a="http://schemas.openxmlformats.org/drawingml/2006/main">
                        <a:graphicData uri="http://schemas.microsoft.com/office/word/2010/wordprocessingShape">
                          <wps:wsp>
                            <wps:cNvSpPr/>
                            <wps:spPr>
                              <a:xfrm>
                                <a:off x="0" y="0"/>
                                <a:ext cx="1355698" cy="109220"/>
                              </a:xfrm>
                              <a:prstGeom prst="rect">
                                <a:avLst/>
                              </a:prstGeom>
                              <a:solidFill>
                                <a:srgbClr val="E6E6E6"/>
                              </a:solidFill>
                            </wps:spPr>
                            <wps:txbx>
                              <w:txbxContent>
                                <w:p w14:paraId="01C5E91D" w14:textId="77777777" w:rsidR="009D0C1D" w:rsidRDefault="009D0C1D" w:rsidP="004F6FB8">
                                  <w:pPr>
                                    <w:rPr>
                                      <w:rFonts w:ascii="Century Gothic" w:hAnsi="Century Gothic" w:cstheme="minorBidi"/>
                                      <w:color w:val="343433"/>
                                      <w:kern w:val="24"/>
                                      <w:sz w:val="14"/>
                                      <w:szCs w:val="14"/>
                                    </w:rPr>
                                  </w:pPr>
                                  <w:r>
                                    <w:rPr>
                                      <w:rFonts w:ascii="Century Gothic" w:hAnsi="Century Gothic"/>
                                      <w:color w:val="343433"/>
                                      <w:sz w:val="14"/>
                                    </w:rPr>
                                    <w:t>Особа з підозрою на ТБ</w:t>
                                  </w:r>
                                  <w:r>
                                    <w:rPr>
                                      <w:rFonts w:ascii="Century Gothic" w:hAnsi="Century Gothic"/>
                                      <w:b/>
                                      <w:color w:val="0099D6"/>
                                      <w:sz w:val="12"/>
                                      <w:vertAlign w:val="superscript"/>
                                    </w:rPr>
                                    <w:t>a</w:t>
                                  </w:r>
                                </w:p>
                              </w:txbxContent>
                            </wps:txbx>
                            <wps:bodyPr wrap="square" lIns="0" tIns="0" rIns="0" bIns="0">
                              <a:noAutofit/>
                            </wps:bodyPr>
                          </wps:wsp>
                        </a:graphicData>
                      </a:graphic>
                      <wp14:sizeRelH relativeFrom="margin">
                        <wp14:pctWidth>0</wp14:pctWidth>
                      </wp14:sizeRelH>
                    </wp:anchor>
                  </w:drawing>
                </mc:Choice>
                <mc:Fallback>
                  <w:pict>
                    <v:rect w14:anchorId="37D92535" id="_x0000_s1289" style="position:absolute;margin-left:240.2pt;margin-top:14pt;width:106.75pt;height:8.6p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" fillcolor="#e6e6e6" stroked="f">
                      <v:textbox inset="0,0,0,0">
                        <w:txbxContent>
                          <w:p w14:paraId="01C5E91D" w14:textId="77777777" w:rsidR="009D0C1D" w:rsidRDefault="009D0C1D" w:rsidP="004F6FB8">
                            <w:pPr>
                              <w:rPr>
                                <w:rFonts w:ascii="Century Gothic" w:hAnsi="Century Gothic" w:cstheme="minorBidi"/>
                                <w:color w:val="343433"/>
                                <w:kern w:val="24"/>
                                <w:sz w:val="14"/>
                                <w:szCs w:val="14"/>
                              </w:rPr>
                            </w:pPr>
                            <w:r>
                              <w:rPr>
                                <w:rFonts w:ascii="Century Gothic" w:hAnsi="Century Gothic"/>
                                <w:color w:val="343433"/>
                                <w:sz w:val="14"/>
                              </w:rPr>
                              <w:t>Особа з підозрою на ТБ</w:t>
                            </w:r>
                            <w:r>
                              <w:rPr>
                                <w:rFonts w:ascii="Century Gothic" w:hAnsi="Century Gothic"/>
                                <w:b/>
                                <w:color w:val="0099D6"/>
                                <w:sz w:val="12"/>
                                <w:vertAlign w:val="superscript"/>
                              </w:rPr>
                              <w:t>a</w:t>
                            </w:r>
                          </w:p>
                        </w:txbxContent>
                      </v:textbox>
                    </v:rect>
                  </w:pict>
                </mc:Fallback>
              </mc:AlternateContent>
            </w:r>
            <w:r w:rsidR="00B97539">
              <w:rPr>
                <w:noProof/>
              </w:rPr>
              <mc:AlternateContent>
                <mc:Choice Requires="wps">
                  <w:drawing>
                    <wp:anchor distT="0" distB="0" distL="114300" distR="114300" simplePos="0" relativeHeight="251578368" behindDoc="0" locked="0" layoutInCell="1" allowOverlap="1" wp14:anchorId="4BEE3DA2" wp14:editId="1E1FB70E">
                      <wp:simplePos x="0" y="0"/>
                      <wp:positionH relativeFrom="column">
                        <wp:posOffset>3249930</wp:posOffset>
                      </wp:positionH>
                      <wp:positionV relativeFrom="paragraph">
                        <wp:posOffset>674646</wp:posOffset>
                      </wp:positionV>
                      <wp:extent cx="978645" cy="103505"/>
                      <wp:effectExtent l="0" t="0" r="0" b="0"/>
                      <wp:wrapNone/>
                      <wp:docPr id="2040659109" name="Прямокутник 4"/>
                      <wp:cNvGraphicFramePr/>
                      <a:graphic xmlns:a="http://schemas.openxmlformats.org/drawingml/2006/main">
                        <a:graphicData uri="http://schemas.microsoft.com/office/word/2010/wordprocessingShape">
                          <wps:wsp>
                            <wps:cNvSpPr/>
                            <wps:spPr>
                              <a:xfrm>
                                <a:off x="0" y="0"/>
                                <a:ext cx="978645" cy="103505"/>
                              </a:xfrm>
                              <a:prstGeom prst="rect">
                                <a:avLst/>
                              </a:prstGeom>
                              <a:solidFill>
                                <a:srgbClr val="B4B4B4"/>
                              </a:solidFill>
                            </wps:spPr>
                            <wps:txbx>
                              <w:txbxContent>
                                <w:p w14:paraId="50BD2E46" w14:textId="77777777" w:rsidR="009D0C1D" w:rsidRDefault="009D0C1D" w:rsidP="004F6FB8">
                                  <w:pPr>
                                    <w:rPr>
                                      <w:rFonts w:ascii="Century Gothic" w:hAnsi="Century Gothic" w:cstheme="minorBidi"/>
                                      <w:color w:val="343433"/>
                                      <w:kern w:val="24"/>
                                      <w:sz w:val="14"/>
                                      <w:szCs w:val="14"/>
                                    </w:rPr>
                                  </w:pPr>
                                  <w:r>
                                    <w:rPr>
                                      <w:rFonts w:ascii="Century Gothic" w:hAnsi="Century Gothic"/>
                                      <w:color w:val="343433"/>
                                      <w:sz w:val="14"/>
                                    </w:rPr>
                                    <w:t>Визначити ВІЛ-статус</w:t>
                                  </w:r>
                                </w:p>
                              </w:txbxContent>
                            </wps:txbx>
                            <wps:bodyPr wrap="square" lIns="0" tIns="0" rIns="0" bIns="0">
                              <a:noAutofit/>
                            </wps:bodyPr>
                          </wps:wsp>
                        </a:graphicData>
                      </a:graphic>
                      <wp14:sizeRelH relativeFrom="margin">
                        <wp14:pctWidth>0</wp14:pctWidth>
                      </wp14:sizeRelH>
                    </wp:anchor>
                  </w:drawing>
                </mc:Choice>
                <mc:Fallback>
                  <w:pict>
                    <v:rect w14:anchorId="4BEE3DA2" id="_x0000_s1290" style="position:absolute;margin-left:255.9pt;margin-top:53.1pt;width:77.05pt;height:8.15pt;z-index:25157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" fillcolor="#b4b4b4" stroked="f">
                      <v:textbox inset="0,0,0,0">
                        <w:txbxContent>
                          <w:p w14:paraId="50BD2E46" w14:textId="77777777" w:rsidR="009D0C1D" w:rsidRDefault="009D0C1D" w:rsidP="004F6FB8">
                            <w:pPr>
                              <w:rPr>
                                <w:rFonts w:ascii="Century Gothic" w:hAnsi="Century Gothic" w:cstheme="minorBidi"/>
                                <w:color w:val="343433"/>
                                <w:kern w:val="24"/>
                                <w:sz w:val="14"/>
                                <w:szCs w:val="14"/>
                              </w:rPr>
                            </w:pPr>
                            <w:r>
                              <w:rPr>
                                <w:rFonts w:ascii="Century Gothic" w:hAnsi="Century Gothic"/>
                                <w:color w:val="343433"/>
                                <w:sz w:val="14"/>
                              </w:rPr>
                              <w:t>Визначити ВІЛ-статус</w:t>
                            </w:r>
                          </w:p>
                        </w:txbxContent>
                      </v:textbox>
                    </v:rect>
                  </w:pict>
                </mc:Fallback>
              </mc:AlternateContent>
            </w:r>
            <w:r w:rsidR="00B97539">
              <w:rPr>
                <w:noProof/>
              </w:rPr>
              <w:drawing>
                <wp:inline distT="0" distB="0" distL="0" distR="0" wp14:anchorId="79C5970D" wp14:editId="1976A122">
                  <wp:extent cx="8424545" cy="573913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8"/>
                          <a:stretch/>
                        </pic:blipFill>
                        <pic:spPr>
                          <a:xfrm>
                            <a:off x="0" y="0"/>
                            <a:ext cx="8424545" cy="5739130"/>
                          </a:xfrm>
                          <a:prstGeom prst="rect">
                            <a:avLst/>
                          </a:prstGeom>
                        </pic:spPr>
                      </pic:pic>
                    </a:graphicData>
                  </a:graphic>
                </wp:inline>
              </w:drawing>
            </w:r>
          </w:p>
        </w:tc>
      </w:tr>
    </w:tbl>
    <w:tbl>
      <w:tblPr>
        <w:tblOverlap w:val="never"/>
        <w:tblW w:w="0" w:type="auto"/>
        <w:tblLayout w:type="fixed"/>
        <w:tblCellMar>
          <w:left w:w="10" w:type="dxa"/>
          <w:right w:w="10" w:type="dxa"/>
        </w:tblCellMar>
        <w:tblLook w:val="0000" w:firstRow="0" w:lastRow="0" w:firstColumn="0" w:lastColumn="0" w:noHBand="0" w:noVBand="0"/>
      </w:tblPr>
      <w:tblGrid>
        <w:gridCol w:w="173"/>
      </w:tblGrid>
      <w:tr w:rsidR="00366CB9" w14:paraId="216C59D1" w14:textId="77777777">
        <w:trPr>
          <w:trHeight w:hRule="exact" w:val="600"/>
        </w:trPr>
        <w:tc>
          <w:tcPr>
            <w:tcW w:w="173" w:type="dxa"/>
            <w:shd w:val="clear" w:color="auto" w:fill="FFFFFF"/>
            <w:textDirection w:val="tbRl"/>
          </w:tcPr>
          <w:p w14:paraId="1D8C10C7" w14:textId="77777777" w:rsidR="00366CB9" w:rsidRDefault="009D0C1D" w:rsidP="00425523">
            <w:pPr>
              <w:pStyle w:val="a6"/>
              <w:framePr w:w="173" w:h="5400" w:wrap="none" w:vAnchor="page" w:hAnchor="page" w:x="709" w:y="776"/>
              <w:shd w:val="clear" w:color="auto" w:fill="auto"/>
              <w:rPr>
                <w:sz w:val="15"/>
                <w:szCs w:val="15"/>
              </w:rPr>
            </w:pPr>
            <w:r>
              <w:rPr>
                <w:b w:val="0"/>
                <w:color w:val="019648"/>
                <w:sz w:val="15"/>
              </w:rPr>
              <w:t>112</w:t>
            </w:r>
          </w:p>
        </w:tc>
      </w:tr>
      <w:tr w:rsidR="00366CB9" w14:paraId="290BABA6" w14:textId="77777777" w:rsidTr="002E2F4B">
        <w:trPr>
          <w:trHeight w:hRule="exact" w:val="5349"/>
        </w:trPr>
        <w:tc>
          <w:tcPr>
            <w:tcW w:w="173" w:type="dxa"/>
            <w:shd w:val="clear" w:color="auto" w:fill="FFFFFF"/>
            <w:textDirection w:val="tbRl"/>
          </w:tcPr>
          <w:p w14:paraId="54BE7141" w14:textId="77777777" w:rsidR="00366CB9" w:rsidRDefault="009D0C1D" w:rsidP="00425523">
            <w:pPr>
              <w:pStyle w:val="a6"/>
              <w:framePr w:w="173" w:h="5400" w:wrap="none" w:vAnchor="page" w:hAnchor="page" w:x="709" w:y="776"/>
              <w:shd w:val="clear" w:color="auto" w:fill="auto"/>
              <w:rPr>
                <w:sz w:val="15"/>
                <w:szCs w:val="15"/>
              </w:rPr>
            </w:pPr>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p>
        </w:tc>
      </w:tr>
    </w:tbl>
    <w:p w14:paraId="3FC4BB66" w14:textId="032B86E7" w:rsidR="00366CB9" w:rsidRDefault="00366CB9" w:rsidP="00425523">
      <w:pPr>
        <w:spacing w:line="1" w:lineRule="exact"/>
        <w:sectPr w:rsidR="00366CB9" w:rsidSect="00501A18">
          <w:footerReference w:type="even" r:id="rId119"/>
          <w:pgSz w:w="16840" w:h="11913" w:orient="landscape"/>
          <w:pgMar w:top="1385" w:right="2077" w:bottom="643" w:left="1496" w:header="0" w:footer="6" w:gutter="0"/>
          <w:paperSrc w:first="15" w:other="15"/>
          <w:cols w:space="720"/>
          <w:noEndnote/>
          <w:docGrid w:linePitch="360"/>
        </w:sectPr>
      </w:pPr>
    </w:p>
    <w:p w14:paraId="79560574" w14:textId="5B0E94C2"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206"/>
      </w:tblGrid>
      <w:tr w:rsidR="00366CB9" w14:paraId="76D100D2" w14:textId="77777777" w:rsidTr="00272AC7">
        <w:trPr>
          <w:trHeight w:hRule="exact" w:val="1839"/>
        </w:trPr>
        <w:tc>
          <w:tcPr>
            <w:tcW w:w="206" w:type="dxa"/>
            <w:shd w:val="clear" w:color="auto" w:fill="FFFFFF"/>
            <w:textDirection w:val="tbRl"/>
          </w:tcPr>
          <w:p w14:paraId="741C2554" w14:textId="77777777" w:rsidR="00366CB9" w:rsidRDefault="009D0C1D" w:rsidP="00425523">
            <w:pPr>
              <w:pStyle w:val="a6"/>
              <w:framePr w:w="206" w:h="2117" w:wrap="none" w:vAnchor="page" w:hAnchor="page" w:x="676" w:y="9032"/>
              <w:shd w:val="clear" w:color="auto" w:fill="auto"/>
              <w:rPr>
                <w:sz w:val="15"/>
                <w:szCs w:val="15"/>
              </w:rPr>
            </w:pPr>
            <w:r>
              <w:rPr>
                <w:b w:val="0"/>
                <w:color w:val="019648"/>
                <w:sz w:val="15"/>
              </w:rPr>
              <w:t>6. Модельні алгоритми</w:t>
            </w:r>
          </w:p>
        </w:tc>
      </w:tr>
      <w:tr w:rsidR="00366CB9" w14:paraId="2BA34659" w14:textId="77777777">
        <w:trPr>
          <w:trHeight w:hRule="exact" w:val="638"/>
        </w:trPr>
        <w:tc>
          <w:tcPr>
            <w:tcW w:w="206" w:type="dxa"/>
            <w:shd w:val="clear" w:color="auto" w:fill="FFFFFF"/>
            <w:textDirection w:val="tbRl"/>
          </w:tcPr>
          <w:p w14:paraId="4B197B7D" w14:textId="77777777" w:rsidR="00366CB9" w:rsidRDefault="009D0C1D" w:rsidP="00425523">
            <w:pPr>
              <w:pStyle w:val="a6"/>
              <w:framePr w:w="206" w:h="2117" w:wrap="none" w:vAnchor="page" w:hAnchor="page" w:x="676" w:y="9032"/>
              <w:shd w:val="clear" w:color="auto" w:fill="auto"/>
              <w:jc w:val="right"/>
              <w:rPr>
                <w:sz w:val="15"/>
                <w:szCs w:val="15"/>
              </w:rPr>
            </w:pPr>
            <w:r>
              <w:rPr>
                <w:b w:val="0"/>
                <w:color w:val="019648"/>
                <w:sz w:val="15"/>
              </w:rPr>
              <w:t>113</w:t>
            </w:r>
          </w:p>
        </w:tc>
      </w:tr>
    </w:tbl>
    <w:p w14:paraId="31CE994D" w14:textId="1D0F6B9C" w:rsidR="00366CB9" w:rsidRDefault="00272AC7" w:rsidP="00515F9C">
      <w:pPr>
        <w:sectPr w:rsidR="00366CB9" w:rsidSect="00515F9C">
          <w:footerReference w:type="default" r:id="rId120"/>
          <w:type w:val="nextColumn"/>
          <w:pgSz w:w="16840" w:h="11913" w:orient="landscape"/>
          <w:pgMar w:top="1469" w:right="1260" w:bottom="851" w:left="1484" w:header="0" w:footer="6" w:gutter="0"/>
          <w:paperSrc w:first="15" w:other="15"/>
          <w:cols w:space="720"/>
          <w:noEndnote/>
          <w:docGrid w:linePitch="360"/>
        </w:sectPr>
      </w:pPr>
      <w:r>
        <w:rPr>
          <w:noProof/>
        </w:rPr>
        <mc:AlternateContent>
          <mc:Choice Requires="wps">
            <w:drawing>
              <wp:anchor distT="0" distB="0" distL="114300" distR="114300" simplePos="0" relativeHeight="251667456" behindDoc="0" locked="0" layoutInCell="1" allowOverlap="1" wp14:anchorId="0B56479B" wp14:editId="298B9852">
                <wp:simplePos x="0" y="0"/>
                <wp:positionH relativeFrom="column">
                  <wp:posOffset>7797800</wp:posOffset>
                </wp:positionH>
                <wp:positionV relativeFrom="paragraph">
                  <wp:posOffset>853440</wp:posOffset>
                </wp:positionV>
                <wp:extent cx="999490" cy="254000"/>
                <wp:effectExtent l="0" t="0" r="0" b="0"/>
                <wp:wrapNone/>
                <wp:docPr id="2099447218" name="Прямокутник 40"/>
                <wp:cNvGraphicFramePr/>
                <a:graphic xmlns:a="http://schemas.openxmlformats.org/drawingml/2006/main">
                  <a:graphicData uri="http://schemas.microsoft.com/office/word/2010/wordprocessingShape">
                    <wps:wsp>
                      <wps:cNvSpPr/>
                      <wps:spPr>
                        <a:xfrm>
                          <a:off x="0" y="0"/>
                          <a:ext cx="999490" cy="254000"/>
                        </a:xfrm>
                        <a:prstGeom prst="rect">
                          <a:avLst/>
                        </a:prstGeom>
                        <a:solidFill>
                          <a:srgbClr val="B2B2B2"/>
                        </a:solidFill>
                      </wps:spPr>
                      <wps:txbx>
                        <w:txbxContent>
                          <w:p w14:paraId="3C9A0FF6" w14:textId="77777777" w:rsidR="009D0C1D" w:rsidRPr="00272AC7" w:rsidRDefault="009D0C1D" w:rsidP="005816C2">
                            <w:pPr>
                              <w:spacing w:line="223" w:lineRule="auto"/>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Відсутність результатів, помилки або недійсного (-их) результату (-ів) для всіх тестів</w:t>
                            </w:r>
                          </w:p>
                        </w:txbxContent>
                      </wps:txbx>
                      <wps:bodyPr wrap="square" lIns="0" tIns="0" rIns="0" bIns="0">
                        <a:noAutofit/>
                      </wps:bodyPr>
                    </wps:wsp>
                  </a:graphicData>
                </a:graphic>
                <wp14:sizeRelV relativeFrom="margin">
                  <wp14:pctHeight>0</wp14:pctHeight>
                </wp14:sizeRelV>
              </wp:anchor>
            </w:drawing>
          </mc:Choice>
          <mc:Fallback>
            <w:pict>
              <v:rect w14:anchorId="0B56479B" id="_x0000_s1291" style="position:absolute;margin-left:614pt;margin-top:67.2pt;width:78.7pt;height:2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" fillcolor="#b2b2b2" stroked="f">
                <v:textbox inset="0,0,0,0">
                  <w:txbxContent>
                    <w:p w14:paraId="3C9A0FF6" w14:textId="77777777" w:rsidR="009D0C1D" w:rsidRPr="00272AC7" w:rsidRDefault="009D0C1D" w:rsidP="005816C2">
                      <w:pPr>
                        <w:spacing w:line="223" w:lineRule="auto"/>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Відсутність результатів, помилки або недійсного (-их) результату (-ів) для всіх тестів</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24AF799C" wp14:editId="317D021B">
                <wp:simplePos x="0" y="0"/>
                <wp:positionH relativeFrom="column">
                  <wp:posOffset>6285230</wp:posOffset>
                </wp:positionH>
                <wp:positionV relativeFrom="paragraph">
                  <wp:posOffset>807720</wp:posOffset>
                </wp:positionV>
                <wp:extent cx="1047750" cy="299720"/>
                <wp:effectExtent l="0" t="0" r="0" b="5080"/>
                <wp:wrapNone/>
                <wp:docPr id="302595816" name="Прямокутник 36"/>
                <wp:cNvGraphicFramePr/>
                <a:graphic xmlns:a="http://schemas.openxmlformats.org/drawingml/2006/main">
                  <a:graphicData uri="http://schemas.microsoft.com/office/word/2010/wordprocessingShape">
                    <wps:wsp>
                      <wps:cNvSpPr/>
                      <wps:spPr>
                        <a:xfrm>
                          <a:off x="0" y="0"/>
                          <a:ext cx="1047750" cy="299720"/>
                        </a:xfrm>
                        <a:prstGeom prst="rect">
                          <a:avLst/>
                        </a:prstGeom>
                        <a:solidFill>
                          <a:srgbClr val="B69DBA"/>
                        </a:solidFill>
                      </wps:spPr>
                      <wps:txbx>
                        <w:txbxContent>
                          <w:p w14:paraId="0DB8CC61" w14:textId="77777777" w:rsidR="009D0C1D" w:rsidRPr="00272AC7" w:rsidRDefault="009D0C1D" w:rsidP="005816C2">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MTBC виявлено (у разі Ultra є результат)</w:t>
                            </w:r>
                            <w:r w:rsidRPr="00272AC7">
                              <w:rPr>
                                <w:rFonts w:ascii="Century Gothic" w:hAnsi="Century Gothic"/>
                                <w:b/>
                                <w:color w:val="0099D6"/>
                                <w:sz w:val="12"/>
                                <w:szCs w:val="20"/>
                                <w:vertAlign w:val="superscript"/>
                              </w:rPr>
                              <w:t>j</w:t>
                            </w:r>
                            <w:r w:rsidRPr="00272AC7">
                              <w:rPr>
                                <w:rFonts w:ascii="Century Gothic" w:hAnsi="Century Gothic"/>
                                <w:b/>
                                <w:color w:val="0099D6"/>
                                <w:sz w:val="12"/>
                                <w:szCs w:val="20"/>
                              </w:rPr>
                              <w:t xml:space="preserve"> </w:t>
                            </w:r>
                            <w:r w:rsidRPr="00272AC7">
                              <w:rPr>
                                <w:rFonts w:ascii="Century Gothic" w:hAnsi="Century Gothic"/>
                                <w:b/>
                                <w:color w:val="343433"/>
                                <w:sz w:val="9"/>
                                <w:szCs w:val="20"/>
                              </w:rPr>
                              <w:t>Результат резистентності до RIF невизначений</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4AF799C" id="_x0000_s1292" style="position:absolute;margin-left:494.9pt;margin-top:63.6pt;width:82.5pt;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" fillcolor="#b69dba" stroked="f">
                <v:textbox inset="0,0,0,0">
                  <w:txbxContent>
                    <w:p w14:paraId="0DB8CC61" w14:textId="77777777" w:rsidR="009D0C1D" w:rsidRPr="00272AC7" w:rsidRDefault="009D0C1D" w:rsidP="005816C2">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MTBC виявлено (у разі Ultra є результат)</w:t>
                      </w:r>
                      <w:r w:rsidRPr="00272AC7">
                        <w:rPr>
                          <w:rFonts w:ascii="Century Gothic" w:hAnsi="Century Gothic"/>
                          <w:b/>
                          <w:color w:val="0099D6"/>
                          <w:sz w:val="12"/>
                          <w:szCs w:val="20"/>
                          <w:vertAlign w:val="superscript"/>
                        </w:rPr>
                        <w:t>j</w:t>
                      </w:r>
                      <w:r w:rsidRPr="00272AC7">
                        <w:rPr>
                          <w:rFonts w:ascii="Century Gothic" w:hAnsi="Century Gothic"/>
                          <w:b/>
                          <w:color w:val="0099D6"/>
                          <w:sz w:val="12"/>
                          <w:szCs w:val="20"/>
                        </w:rPr>
                        <w:t xml:space="preserve"> </w:t>
                      </w:r>
                      <w:r w:rsidRPr="00272AC7">
                        <w:rPr>
                          <w:rFonts w:ascii="Century Gothic" w:hAnsi="Century Gothic"/>
                          <w:b/>
                          <w:color w:val="343433"/>
                          <w:sz w:val="9"/>
                          <w:szCs w:val="20"/>
                        </w:rPr>
                        <w:t>Результат резистентності до RIF невизначений</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7A0FA66E" wp14:editId="2668CD9E">
                <wp:simplePos x="0" y="0"/>
                <wp:positionH relativeFrom="column">
                  <wp:posOffset>6045200</wp:posOffset>
                </wp:positionH>
                <wp:positionV relativeFrom="paragraph">
                  <wp:posOffset>2788920</wp:posOffset>
                </wp:positionV>
                <wp:extent cx="1318260" cy="1023620"/>
                <wp:effectExtent l="0" t="0" r="0" b="5080"/>
                <wp:wrapNone/>
                <wp:docPr id="560488755" name="Прямокутник 38"/>
                <wp:cNvGraphicFramePr/>
                <a:graphic xmlns:a="http://schemas.openxmlformats.org/drawingml/2006/main">
                  <a:graphicData uri="http://schemas.microsoft.com/office/word/2010/wordprocessingShape">
                    <wps:wsp>
                      <wps:cNvSpPr/>
                      <wps:spPr>
                        <a:xfrm>
                          <a:off x="0" y="0"/>
                          <a:ext cx="1318260" cy="1023620"/>
                        </a:xfrm>
                        <a:prstGeom prst="rect">
                          <a:avLst/>
                        </a:prstGeom>
                        <a:solidFill>
                          <a:srgbClr val="D8CED9"/>
                        </a:solidFill>
                      </wps:spPr>
                      <wps:txbx>
                        <w:txbxContent>
                          <w:p w14:paraId="5678AF31" w14:textId="77777777" w:rsidR="009D0C1D" w:rsidRPr="00272AC7" w:rsidRDefault="009D0C1D" w:rsidP="005816C2">
                            <w:pPr>
                              <w:spacing w:line="232" w:lineRule="auto"/>
                              <w:rPr>
                                <w:rFonts w:ascii="Century Gothic" w:eastAsia="+mn-ea" w:hAnsi="Century Gothic" w:cs="+mn-cs"/>
                                <w:b/>
                                <w:bCs/>
                                <w:color w:val="343433"/>
                                <w:kern w:val="24"/>
                                <w:sz w:val="9"/>
                                <w:szCs w:val="9"/>
                              </w:rPr>
                            </w:pPr>
                            <w:r w:rsidRPr="00272AC7">
                              <w:rPr>
                                <w:rFonts w:ascii="Century Gothic" w:hAnsi="Century Gothic"/>
                                <w:b/>
                                <w:color w:val="343433"/>
                                <w:sz w:val="9"/>
                                <w:szCs w:val="20"/>
                              </w:rPr>
                              <w:t>ЛЖВІЛ</w:t>
                            </w:r>
                            <w:r w:rsidRPr="00272AC7">
                              <w:rPr>
                                <w:rFonts w:ascii="Century Gothic" w:hAnsi="Century Gothic"/>
                                <w:b/>
                                <w:color w:val="0099D6"/>
                                <w:sz w:val="12"/>
                                <w:szCs w:val="20"/>
                                <w:vertAlign w:val="superscript"/>
                              </w:rPr>
                              <w:t>p</w:t>
                            </w:r>
                            <w:r w:rsidRPr="00272AC7">
                              <w:rPr>
                                <w:rFonts w:ascii="Century Gothic" w:hAnsi="Century Gothic"/>
                                <w:b/>
                                <w:color w:val="0099D6"/>
                                <w:sz w:val="12"/>
                                <w:szCs w:val="20"/>
                              </w:rPr>
                              <w:t xml:space="preserve"> </w:t>
                            </w:r>
                            <w:r w:rsidRPr="00272AC7">
                              <w:rPr>
                                <w:rFonts w:ascii="Century Gothic" w:hAnsi="Century Gothic"/>
                                <w:b/>
                                <w:color w:val="343433"/>
                                <w:sz w:val="9"/>
                                <w:szCs w:val="20"/>
                              </w:rPr>
                              <w:t>або діти, які проходять обстеження на ТБ легень, особи, які проходять обстеження на позалегеневий ТБ, та дорослі, які проходять обстеження на ТБ легень, без ризику ВІЛ та без наявності в анамнезі ТБ або лікування ТБ протягом останніх 5 років</w:t>
                            </w:r>
                          </w:p>
                        </w:txbxContent>
                      </wps:txbx>
                      <wps:bodyPr wrap="square" lIns="0" tIns="0" rIns="0" bIns="0">
                        <a:noAutofit/>
                      </wps:bodyPr>
                    </wps:wsp>
                  </a:graphicData>
                </a:graphic>
                <wp14:sizeRelH relativeFrom="margin">
                  <wp14:pctWidth>0</wp14:pctWidth>
                </wp14:sizeRelH>
              </wp:anchor>
            </w:drawing>
          </mc:Choice>
          <mc:Fallback>
            <w:pict>
              <v:rect w14:anchorId="7A0FA66E" id="_x0000_s1293" style="position:absolute;margin-left:476pt;margin-top:219.6pt;width:103.8pt;height:80.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" fillcolor="#d8ced9" stroked="f">
                <v:textbox inset="0,0,0,0">
                  <w:txbxContent>
                    <w:p w14:paraId="5678AF31" w14:textId="77777777" w:rsidR="009D0C1D" w:rsidRPr="00272AC7" w:rsidRDefault="009D0C1D" w:rsidP="005816C2">
                      <w:pPr>
                        <w:spacing w:line="232" w:lineRule="auto"/>
                        <w:rPr>
                          <w:rFonts w:ascii="Century Gothic" w:eastAsia="+mn-ea" w:hAnsi="Century Gothic" w:cs="+mn-cs"/>
                          <w:b/>
                          <w:bCs/>
                          <w:color w:val="343433"/>
                          <w:kern w:val="24"/>
                          <w:sz w:val="9"/>
                          <w:szCs w:val="9"/>
                        </w:rPr>
                      </w:pPr>
                      <w:r w:rsidRPr="00272AC7">
                        <w:rPr>
                          <w:rFonts w:ascii="Century Gothic" w:hAnsi="Century Gothic"/>
                          <w:b/>
                          <w:color w:val="343433"/>
                          <w:sz w:val="9"/>
                          <w:szCs w:val="20"/>
                        </w:rPr>
                        <w:t>ЛЖВІЛ</w:t>
                      </w:r>
                      <w:r w:rsidRPr="00272AC7">
                        <w:rPr>
                          <w:rFonts w:ascii="Century Gothic" w:hAnsi="Century Gothic"/>
                          <w:b/>
                          <w:color w:val="0099D6"/>
                          <w:sz w:val="12"/>
                          <w:szCs w:val="20"/>
                          <w:vertAlign w:val="superscript"/>
                        </w:rPr>
                        <w:t>p</w:t>
                      </w:r>
                      <w:r w:rsidRPr="00272AC7">
                        <w:rPr>
                          <w:rFonts w:ascii="Century Gothic" w:hAnsi="Century Gothic"/>
                          <w:b/>
                          <w:color w:val="0099D6"/>
                          <w:sz w:val="12"/>
                          <w:szCs w:val="20"/>
                        </w:rPr>
                        <w:t xml:space="preserve"> </w:t>
                      </w:r>
                      <w:r w:rsidRPr="00272AC7">
                        <w:rPr>
                          <w:rFonts w:ascii="Century Gothic" w:hAnsi="Century Gothic"/>
                          <w:b/>
                          <w:color w:val="343433"/>
                          <w:sz w:val="9"/>
                          <w:szCs w:val="20"/>
                        </w:rPr>
                        <w:t>або діти, які проходять обстеження на ТБ легень, особи, які проходять обстеження на позалегеневий ТБ, та дорослі, які проходять обстеження на ТБ легень, без ризику ВІЛ та без наявності в анамнезі ТБ або лікування ТБ протягом останніх 5 років</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0FC9C475" wp14:editId="40B8F0FE">
                <wp:simplePos x="0" y="0"/>
                <wp:positionH relativeFrom="column">
                  <wp:posOffset>6037580</wp:posOffset>
                </wp:positionH>
                <wp:positionV relativeFrom="paragraph">
                  <wp:posOffset>4103370</wp:posOffset>
                </wp:positionV>
                <wp:extent cx="1325880" cy="838835"/>
                <wp:effectExtent l="0" t="0" r="7620" b="0"/>
                <wp:wrapNone/>
                <wp:docPr id="1397087263" name="Прямокутник 39"/>
                <wp:cNvGraphicFramePr/>
                <a:graphic xmlns:a="http://schemas.openxmlformats.org/drawingml/2006/main">
                  <a:graphicData uri="http://schemas.microsoft.com/office/word/2010/wordprocessingShape">
                    <wps:wsp>
                      <wps:cNvSpPr/>
                      <wps:spPr>
                        <a:xfrm>
                          <a:off x="0" y="0"/>
                          <a:ext cx="1325880" cy="838835"/>
                        </a:xfrm>
                        <a:prstGeom prst="rect">
                          <a:avLst/>
                        </a:prstGeom>
                        <a:solidFill>
                          <a:srgbClr val="D8CED9"/>
                        </a:solidFill>
                      </wps:spPr>
                      <wps:txbx>
                        <w:txbxContent>
                          <w:p w14:paraId="01E62009" w14:textId="77777777" w:rsidR="009D0C1D" w:rsidRPr="00272AC7" w:rsidRDefault="009D0C1D" w:rsidP="005816C2">
                            <w:pPr>
                              <w:spacing w:after="84" w:line="194" w:lineRule="auto"/>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Вводити </w:t>
                            </w:r>
                            <w:r w:rsidRPr="00272AC7">
                              <w:rPr>
                                <w:rFonts w:ascii="Century Gothic" w:hAnsi="Century Gothic"/>
                                <w:b/>
                                <w:color w:val="343433"/>
                                <w:sz w:val="9"/>
                                <w:szCs w:val="20"/>
                              </w:rPr>
                              <w:t>схему лікування препаратами першої лінії</w:t>
                            </w:r>
                            <w:r w:rsidRPr="00272AC7">
                              <w:rPr>
                                <w:rFonts w:ascii="Century Gothic" w:hAnsi="Century Gothic"/>
                                <w:b/>
                                <w:color w:val="0099D6"/>
                                <w:sz w:val="12"/>
                                <w:szCs w:val="20"/>
                                <w:vertAlign w:val="superscript"/>
                              </w:rPr>
                              <w:t>l</w:t>
                            </w:r>
                          </w:p>
                          <w:p w14:paraId="7467AE64" w14:textId="77777777" w:rsidR="009D0C1D" w:rsidRPr="00272AC7" w:rsidRDefault="009D0C1D" w:rsidP="005816C2">
                            <w:pPr>
                              <w:spacing w:after="84"/>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Провести додаткові обстеження для </w:t>
                            </w:r>
                            <w:r w:rsidRPr="00272AC7">
                              <w:rPr>
                                <w:rFonts w:ascii="Century Gothic" w:hAnsi="Century Gothic"/>
                                <w:b/>
                                <w:color w:val="343433"/>
                                <w:sz w:val="9"/>
                                <w:szCs w:val="20"/>
                              </w:rPr>
                              <w:t>оцінки резистентності до рифампіцину</w:t>
                            </w:r>
                            <w:r w:rsidRPr="00272AC7">
                              <w:rPr>
                                <w:rFonts w:ascii="Century Gothic" w:hAnsi="Century Gothic"/>
                                <w:b/>
                                <w:color w:val="0099D6"/>
                                <w:sz w:val="12"/>
                                <w:szCs w:val="20"/>
                                <w:vertAlign w:val="superscript"/>
                              </w:rPr>
                              <w:t>r</w:t>
                            </w:r>
                          </w:p>
                          <w:p w14:paraId="489A2A37" w14:textId="77777777" w:rsidR="009D0C1D" w:rsidRPr="00272AC7" w:rsidRDefault="009D0C1D" w:rsidP="005816C2">
                            <w:pPr>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Переглянути лікування на основі результатів </w:t>
                            </w:r>
                            <w:r w:rsidRPr="00272AC7">
                              <w:rPr>
                                <w:rFonts w:ascii="Century Gothic" w:hAnsi="Century Gothic"/>
                                <w:b/>
                                <w:color w:val="343433"/>
                                <w:sz w:val="9"/>
                                <w:szCs w:val="20"/>
                              </w:rPr>
                              <w:t>ТМЧ</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FC9C475" id="_x0000_s1294" style="position:absolute;margin-left:475.4pt;margin-top:323.1pt;width:104.4pt;height:6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" fillcolor="#d8ced9" stroked="f">
                <v:textbox inset="0,0,0,0">
                  <w:txbxContent>
                    <w:p w14:paraId="01E62009" w14:textId="77777777" w:rsidR="009D0C1D" w:rsidRPr="00272AC7" w:rsidRDefault="009D0C1D" w:rsidP="005816C2">
                      <w:pPr>
                        <w:spacing w:after="84" w:line="194" w:lineRule="auto"/>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Вводити </w:t>
                      </w:r>
                      <w:r w:rsidRPr="00272AC7">
                        <w:rPr>
                          <w:rFonts w:ascii="Century Gothic" w:hAnsi="Century Gothic"/>
                          <w:b/>
                          <w:color w:val="343433"/>
                          <w:sz w:val="9"/>
                          <w:szCs w:val="20"/>
                        </w:rPr>
                        <w:t>схему лікування препаратами першої лінії</w:t>
                      </w:r>
                      <w:r w:rsidRPr="00272AC7">
                        <w:rPr>
                          <w:rFonts w:ascii="Century Gothic" w:hAnsi="Century Gothic"/>
                          <w:b/>
                          <w:color w:val="0099D6"/>
                          <w:sz w:val="12"/>
                          <w:szCs w:val="20"/>
                          <w:vertAlign w:val="superscript"/>
                        </w:rPr>
                        <w:t>l</w:t>
                      </w:r>
                    </w:p>
                    <w:p w14:paraId="7467AE64" w14:textId="77777777" w:rsidR="009D0C1D" w:rsidRPr="00272AC7" w:rsidRDefault="009D0C1D" w:rsidP="005816C2">
                      <w:pPr>
                        <w:spacing w:after="84"/>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Провести додаткові обстеження для </w:t>
                      </w:r>
                      <w:r w:rsidRPr="00272AC7">
                        <w:rPr>
                          <w:rFonts w:ascii="Century Gothic" w:hAnsi="Century Gothic"/>
                          <w:b/>
                          <w:color w:val="343433"/>
                          <w:sz w:val="9"/>
                          <w:szCs w:val="20"/>
                        </w:rPr>
                        <w:t>оцінки резистентності до рифампіцину</w:t>
                      </w:r>
                      <w:r w:rsidRPr="00272AC7">
                        <w:rPr>
                          <w:rFonts w:ascii="Century Gothic" w:hAnsi="Century Gothic"/>
                          <w:b/>
                          <w:color w:val="0099D6"/>
                          <w:sz w:val="12"/>
                          <w:szCs w:val="20"/>
                          <w:vertAlign w:val="superscript"/>
                        </w:rPr>
                        <w:t>r</w:t>
                      </w:r>
                    </w:p>
                    <w:p w14:paraId="489A2A37" w14:textId="77777777" w:rsidR="009D0C1D" w:rsidRPr="00272AC7" w:rsidRDefault="009D0C1D" w:rsidP="005816C2">
                      <w:pPr>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Переглянути лікування на основі результатів </w:t>
                      </w:r>
                      <w:r w:rsidRPr="00272AC7">
                        <w:rPr>
                          <w:rFonts w:ascii="Century Gothic" w:hAnsi="Century Gothic"/>
                          <w:b/>
                          <w:color w:val="343433"/>
                          <w:sz w:val="9"/>
                          <w:szCs w:val="20"/>
                        </w:rPr>
                        <w:t>ТМЧ</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75BEEBC3" wp14:editId="0FC07EFB">
                <wp:simplePos x="0" y="0"/>
                <wp:positionH relativeFrom="column">
                  <wp:posOffset>6041390</wp:posOffset>
                </wp:positionH>
                <wp:positionV relativeFrom="paragraph">
                  <wp:posOffset>1318260</wp:posOffset>
                </wp:positionV>
                <wp:extent cx="1322070" cy="303530"/>
                <wp:effectExtent l="0" t="0" r="0" b="1270"/>
                <wp:wrapNone/>
                <wp:docPr id="1844897738" name="Прямокутник 37"/>
                <wp:cNvGraphicFramePr/>
                <a:graphic xmlns:a="http://schemas.openxmlformats.org/drawingml/2006/main">
                  <a:graphicData uri="http://schemas.microsoft.com/office/word/2010/wordprocessingShape">
                    <wps:wsp>
                      <wps:cNvSpPr/>
                      <wps:spPr>
                        <a:xfrm>
                          <a:off x="0" y="0"/>
                          <a:ext cx="1322070" cy="303530"/>
                        </a:xfrm>
                        <a:prstGeom prst="rect">
                          <a:avLst/>
                        </a:prstGeom>
                        <a:solidFill>
                          <a:srgbClr val="DED4DF"/>
                        </a:solidFill>
                      </wps:spPr>
                      <wps:txbx>
                        <w:txbxContent>
                          <w:p w14:paraId="688C4BEF"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Оцінити особу на наявність ТБ легень або позалегеневого ТБ, ВІЛ, на вік та попереднє лікування ТБ</w:t>
                            </w:r>
                          </w:p>
                        </w:txbxContent>
                      </wps:txbx>
                      <wps:bodyPr wrap="square" lIns="0" tIns="0" rIns="0" bIns="0">
                        <a:noAutofit/>
                      </wps:bodyPr>
                    </wps:wsp>
                  </a:graphicData>
                </a:graphic>
                <wp14:sizeRelH relativeFrom="margin">
                  <wp14:pctWidth>0</wp14:pctWidth>
                </wp14:sizeRelH>
              </wp:anchor>
            </w:drawing>
          </mc:Choice>
          <mc:Fallback>
            <w:pict>
              <v:rect w14:anchorId="75BEEBC3" id="_x0000_s1295" style="position:absolute;margin-left:475.7pt;margin-top:103.8pt;width:104.1pt;height:23.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" fillcolor="#ded4df" stroked="f">
                <v:textbox inset="0,0,0,0">
                  <w:txbxContent>
                    <w:p w14:paraId="688C4BEF"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Оцінити особу на наявність ТБ легень або позалегеневого ТБ, ВІЛ, на вік та попереднє лікування ТБ</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0877DD7D" wp14:editId="21445906">
                <wp:simplePos x="0" y="0"/>
                <wp:positionH relativeFrom="column">
                  <wp:posOffset>4688840</wp:posOffset>
                </wp:positionH>
                <wp:positionV relativeFrom="paragraph">
                  <wp:posOffset>4491990</wp:posOffset>
                </wp:positionV>
                <wp:extent cx="1158240" cy="1296035"/>
                <wp:effectExtent l="0" t="0" r="3810" b="0"/>
                <wp:wrapNone/>
                <wp:docPr id="890673140" name="Прямокутник 35"/>
                <wp:cNvGraphicFramePr/>
                <a:graphic xmlns:a="http://schemas.openxmlformats.org/drawingml/2006/main">
                  <a:graphicData uri="http://schemas.microsoft.com/office/word/2010/wordprocessingShape">
                    <wps:wsp>
                      <wps:cNvSpPr/>
                      <wps:spPr>
                        <a:xfrm>
                          <a:off x="0" y="0"/>
                          <a:ext cx="1158240" cy="1296035"/>
                        </a:xfrm>
                        <a:prstGeom prst="rect">
                          <a:avLst/>
                        </a:prstGeom>
                        <a:solidFill>
                          <a:srgbClr val="FFEDCE"/>
                        </a:solidFill>
                      </wps:spPr>
                      <wps:txbx>
                        <w:txbxContent>
                          <w:p w14:paraId="417F2A74" w14:textId="77777777" w:rsidR="009D0C1D" w:rsidRPr="00272AC7" w:rsidRDefault="009D0C1D" w:rsidP="005816C2">
                            <w:pPr>
                              <w:spacing w:after="84"/>
                              <w:rPr>
                                <w:rFonts w:ascii="Century Gothic" w:eastAsia="+mn-ea" w:hAnsi="Century Gothic" w:cs="+mn-cs"/>
                                <w:b/>
                                <w:bCs/>
                                <w:color w:val="343433"/>
                                <w:kern w:val="24"/>
                                <w:sz w:val="9"/>
                                <w:szCs w:val="9"/>
                              </w:rPr>
                            </w:pPr>
                            <w:r w:rsidRPr="00272AC7">
                              <w:rPr>
                                <w:rFonts w:ascii="Century Gothic" w:hAnsi="Century Gothic"/>
                                <w:b/>
                                <w:color w:val="343433"/>
                                <w:sz w:val="9"/>
                                <w:szCs w:val="20"/>
                              </w:rPr>
                              <w:t xml:space="preserve">Дотримуватися </w:t>
                            </w:r>
                            <w:r w:rsidRPr="00272AC7">
                              <w:rPr>
                                <w:rFonts w:ascii="Century Gothic" w:hAnsi="Century Gothic"/>
                                <w:b/>
                                <w:i/>
                                <w:color w:val="343433"/>
                                <w:sz w:val="9"/>
                                <w:szCs w:val="20"/>
                              </w:rPr>
                              <w:t>цього</w:t>
                            </w:r>
                            <w:r w:rsidRPr="00272AC7">
                              <w:rPr>
                                <w:rFonts w:ascii="Century Gothic" w:hAnsi="Century Gothic"/>
                                <w:b/>
                                <w:color w:val="343433"/>
                                <w:sz w:val="9"/>
                                <w:szCs w:val="20"/>
                              </w:rPr>
                              <w:t xml:space="preserve"> Алгоритму для тлумачення результатів</w:t>
                            </w:r>
                          </w:p>
                          <w:p w14:paraId="468C80FA" w14:textId="77777777" w:rsidR="009D0C1D" w:rsidRPr="00272AC7" w:rsidRDefault="009D0C1D" w:rsidP="005816C2">
                            <w:pPr>
                              <w:spacing w:after="84"/>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Якщо обидва тести дають невизначені результати резистентності до RIF, вводити </w:t>
                            </w:r>
                            <w:r w:rsidRPr="00272AC7">
                              <w:rPr>
                                <w:rFonts w:ascii="Century Gothic" w:hAnsi="Century Gothic"/>
                                <w:b/>
                                <w:color w:val="343433"/>
                                <w:sz w:val="9"/>
                                <w:szCs w:val="20"/>
                              </w:rPr>
                              <w:t>схему лікування препаратами першої лінії</w:t>
                            </w:r>
                            <w:r w:rsidRPr="00272AC7">
                              <w:rPr>
                                <w:rFonts w:ascii="Century Gothic" w:hAnsi="Century Gothic"/>
                                <w:b/>
                                <w:color w:val="0099D6"/>
                                <w:sz w:val="12"/>
                                <w:szCs w:val="20"/>
                                <w:vertAlign w:val="superscript"/>
                              </w:rPr>
                              <w:t>l</w:t>
                            </w:r>
                          </w:p>
                          <w:p w14:paraId="173CD2AF" w14:textId="77777777" w:rsidR="009D0C1D" w:rsidRPr="00272AC7" w:rsidRDefault="009D0C1D" w:rsidP="005816C2">
                            <w:pPr>
                              <w:spacing w:after="84"/>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Оперативно провести додаткові обстеження для </w:t>
                            </w:r>
                            <w:r w:rsidRPr="00272AC7">
                              <w:rPr>
                                <w:rFonts w:ascii="Century Gothic" w:hAnsi="Century Gothic"/>
                                <w:b/>
                                <w:color w:val="343433"/>
                                <w:sz w:val="9"/>
                                <w:szCs w:val="20"/>
                              </w:rPr>
                              <w:t>оцінки резистентності до RIF</w:t>
                            </w:r>
                            <w:r w:rsidRPr="00272AC7">
                              <w:rPr>
                                <w:rFonts w:ascii="Century Gothic" w:hAnsi="Century Gothic"/>
                                <w:b/>
                                <w:color w:val="0099D6"/>
                                <w:sz w:val="12"/>
                                <w:szCs w:val="20"/>
                                <w:vertAlign w:val="superscript"/>
                              </w:rPr>
                              <w:t>r</w:t>
                            </w:r>
                          </w:p>
                          <w:p w14:paraId="136B5194" w14:textId="77777777" w:rsidR="009D0C1D" w:rsidRPr="00272AC7" w:rsidRDefault="009D0C1D" w:rsidP="005816C2">
                            <w:pPr>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Переглянути лікування на основі результатів </w:t>
                            </w:r>
                            <w:r w:rsidRPr="00272AC7">
                              <w:rPr>
                                <w:rFonts w:ascii="Century Gothic" w:hAnsi="Century Gothic"/>
                                <w:b/>
                                <w:color w:val="343433"/>
                                <w:sz w:val="9"/>
                                <w:szCs w:val="20"/>
                              </w:rPr>
                              <w:t>ТМЧ</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877DD7D" id="_x0000_s1296" style="position:absolute;margin-left:369.2pt;margin-top:353.7pt;width:91.2pt;height:10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" fillcolor="#ffedce" stroked="f">
                <v:textbox inset="0,0,0,0">
                  <w:txbxContent>
                    <w:p w14:paraId="417F2A74" w14:textId="77777777" w:rsidR="009D0C1D" w:rsidRPr="00272AC7" w:rsidRDefault="009D0C1D" w:rsidP="005816C2">
                      <w:pPr>
                        <w:spacing w:after="84"/>
                        <w:rPr>
                          <w:rFonts w:ascii="Century Gothic" w:eastAsia="+mn-ea" w:hAnsi="Century Gothic" w:cs="+mn-cs"/>
                          <w:b/>
                          <w:bCs/>
                          <w:color w:val="343433"/>
                          <w:kern w:val="24"/>
                          <w:sz w:val="9"/>
                          <w:szCs w:val="9"/>
                        </w:rPr>
                      </w:pPr>
                      <w:r w:rsidRPr="00272AC7">
                        <w:rPr>
                          <w:rFonts w:ascii="Century Gothic" w:hAnsi="Century Gothic"/>
                          <w:b/>
                          <w:color w:val="343433"/>
                          <w:sz w:val="9"/>
                          <w:szCs w:val="20"/>
                        </w:rPr>
                        <w:t xml:space="preserve">Дотримуватися </w:t>
                      </w:r>
                      <w:r w:rsidRPr="00272AC7">
                        <w:rPr>
                          <w:rFonts w:ascii="Century Gothic" w:hAnsi="Century Gothic"/>
                          <w:b/>
                          <w:i/>
                          <w:color w:val="343433"/>
                          <w:sz w:val="9"/>
                          <w:szCs w:val="20"/>
                        </w:rPr>
                        <w:t>цього</w:t>
                      </w:r>
                      <w:r w:rsidRPr="00272AC7">
                        <w:rPr>
                          <w:rFonts w:ascii="Century Gothic" w:hAnsi="Century Gothic"/>
                          <w:b/>
                          <w:color w:val="343433"/>
                          <w:sz w:val="9"/>
                          <w:szCs w:val="20"/>
                        </w:rPr>
                        <w:t xml:space="preserve"> Алгоритму для тлумачення результатів</w:t>
                      </w:r>
                    </w:p>
                    <w:p w14:paraId="468C80FA" w14:textId="77777777" w:rsidR="009D0C1D" w:rsidRPr="00272AC7" w:rsidRDefault="009D0C1D" w:rsidP="005816C2">
                      <w:pPr>
                        <w:spacing w:after="84"/>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Якщо обидва тести дають невизначені результати резистентності до RIF, вводити </w:t>
                      </w:r>
                      <w:r w:rsidRPr="00272AC7">
                        <w:rPr>
                          <w:rFonts w:ascii="Century Gothic" w:hAnsi="Century Gothic"/>
                          <w:b/>
                          <w:color w:val="343433"/>
                          <w:sz w:val="9"/>
                          <w:szCs w:val="20"/>
                        </w:rPr>
                        <w:t>схему лікування препаратами першої лінії</w:t>
                      </w:r>
                      <w:r w:rsidRPr="00272AC7">
                        <w:rPr>
                          <w:rFonts w:ascii="Century Gothic" w:hAnsi="Century Gothic"/>
                          <w:b/>
                          <w:color w:val="0099D6"/>
                          <w:sz w:val="12"/>
                          <w:szCs w:val="20"/>
                          <w:vertAlign w:val="superscript"/>
                        </w:rPr>
                        <w:t>l</w:t>
                      </w:r>
                    </w:p>
                    <w:p w14:paraId="173CD2AF" w14:textId="77777777" w:rsidR="009D0C1D" w:rsidRPr="00272AC7" w:rsidRDefault="009D0C1D" w:rsidP="005816C2">
                      <w:pPr>
                        <w:spacing w:after="84"/>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Оперативно провести додаткові обстеження для </w:t>
                      </w:r>
                      <w:r w:rsidRPr="00272AC7">
                        <w:rPr>
                          <w:rFonts w:ascii="Century Gothic" w:hAnsi="Century Gothic"/>
                          <w:b/>
                          <w:color w:val="343433"/>
                          <w:sz w:val="9"/>
                          <w:szCs w:val="20"/>
                        </w:rPr>
                        <w:t>оцінки резистентності до RIF</w:t>
                      </w:r>
                      <w:r w:rsidRPr="00272AC7">
                        <w:rPr>
                          <w:rFonts w:ascii="Century Gothic" w:hAnsi="Century Gothic"/>
                          <w:b/>
                          <w:color w:val="0099D6"/>
                          <w:sz w:val="12"/>
                          <w:szCs w:val="20"/>
                          <w:vertAlign w:val="superscript"/>
                        </w:rPr>
                        <w:t>r</w:t>
                      </w:r>
                    </w:p>
                    <w:p w14:paraId="136B5194" w14:textId="77777777" w:rsidR="009D0C1D" w:rsidRPr="00272AC7" w:rsidRDefault="009D0C1D" w:rsidP="005816C2">
                      <w:pPr>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Переглянути лікування на основі результатів </w:t>
                      </w:r>
                      <w:r w:rsidRPr="00272AC7">
                        <w:rPr>
                          <w:rFonts w:ascii="Century Gothic" w:hAnsi="Century Gothic"/>
                          <w:b/>
                          <w:color w:val="343433"/>
                          <w:sz w:val="9"/>
                          <w:szCs w:val="20"/>
                        </w:rPr>
                        <w:t>ТМЧ</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5E83C8DD" wp14:editId="541579E0">
                <wp:simplePos x="0" y="0"/>
                <wp:positionH relativeFrom="column">
                  <wp:posOffset>4784089</wp:posOffset>
                </wp:positionH>
                <wp:positionV relativeFrom="paragraph">
                  <wp:posOffset>4099560</wp:posOffset>
                </wp:positionV>
                <wp:extent cx="998855" cy="191770"/>
                <wp:effectExtent l="0" t="0" r="0" b="0"/>
                <wp:wrapNone/>
                <wp:docPr id="1474984095" name="Прямокутник 34"/>
                <wp:cNvGraphicFramePr/>
                <a:graphic xmlns:a="http://schemas.openxmlformats.org/drawingml/2006/main">
                  <a:graphicData uri="http://schemas.microsoft.com/office/word/2010/wordprocessingShape">
                    <wps:wsp>
                      <wps:cNvSpPr/>
                      <wps:spPr>
                        <a:xfrm>
                          <a:off x="0" y="0"/>
                          <a:ext cx="998855" cy="191770"/>
                        </a:xfrm>
                        <a:prstGeom prst="rect">
                          <a:avLst/>
                        </a:prstGeom>
                        <a:solidFill>
                          <a:srgbClr val="FFEDCE"/>
                        </a:solidFill>
                      </wps:spPr>
                      <wps:txbx>
                        <w:txbxContent>
                          <w:p w14:paraId="4DC5AC04" w14:textId="77777777" w:rsidR="009D0C1D" w:rsidRPr="00272AC7" w:rsidRDefault="009D0C1D" w:rsidP="005816C2">
                            <w:pPr>
                              <w:spacing w:line="230" w:lineRule="auto"/>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Повторити mWRD з виявленням резистентності до RIF</w:t>
                            </w:r>
                          </w:p>
                        </w:txbxContent>
                      </wps:txbx>
                      <wps:bodyPr wrap="square" lIns="0" tIns="0" rIns="0" bIns="0">
                        <a:noAutofit/>
                      </wps:bodyPr>
                    </wps:wsp>
                  </a:graphicData>
                </a:graphic>
                <wp14:sizeRelH relativeFrom="margin">
                  <wp14:pctWidth>0</wp14:pctWidth>
                </wp14:sizeRelH>
              </wp:anchor>
            </w:drawing>
          </mc:Choice>
          <mc:Fallback>
            <w:pict>
              <v:rect w14:anchorId="5E83C8DD" id="_x0000_s1297" style="position:absolute;margin-left:376.7pt;margin-top:322.8pt;width:78.65pt;height:15.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" fillcolor="#ffedce" stroked="f">
                <v:textbox inset="0,0,0,0">
                  <w:txbxContent>
                    <w:p w14:paraId="4DC5AC04" w14:textId="77777777" w:rsidR="009D0C1D" w:rsidRPr="00272AC7" w:rsidRDefault="009D0C1D" w:rsidP="005816C2">
                      <w:pPr>
                        <w:spacing w:line="230" w:lineRule="auto"/>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Повторити mWRD з виявленням резистентності до RIF</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1CC32CCA" wp14:editId="70FF2CA5">
                <wp:simplePos x="0" y="0"/>
                <wp:positionH relativeFrom="column">
                  <wp:posOffset>4704080</wp:posOffset>
                </wp:positionH>
                <wp:positionV relativeFrom="paragraph">
                  <wp:posOffset>3775710</wp:posOffset>
                </wp:positionV>
                <wp:extent cx="1078865" cy="148590"/>
                <wp:effectExtent l="0" t="0" r="6985" b="3810"/>
                <wp:wrapNone/>
                <wp:docPr id="241551595" name="Прямокутник 33"/>
                <wp:cNvGraphicFramePr/>
                <a:graphic xmlns:a="http://schemas.openxmlformats.org/drawingml/2006/main">
                  <a:graphicData uri="http://schemas.microsoft.com/office/word/2010/wordprocessingShape">
                    <wps:wsp>
                      <wps:cNvSpPr/>
                      <wps:spPr>
                        <a:xfrm>
                          <a:off x="0" y="0"/>
                          <a:ext cx="1078865" cy="148590"/>
                        </a:xfrm>
                        <a:prstGeom prst="rect">
                          <a:avLst/>
                        </a:prstGeom>
                        <a:solidFill>
                          <a:srgbClr val="FFEDCE"/>
                        </a:solidFill>
                      </wps:spPr>
                      <wps:txbx>
                        <w:txbxContent>
                          <w:p w14:paraId="19F11620"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Ініціювати лікування препаратами першої лінії</w:t>
                            </w:r>
                          </w:p>
                        </w:txbxContent>
                      </wps:txbx>
                      <wps:bodyPr wrap="square" lIns="0" tIns="0" rIns="0" bIns="0">
                        <a:noAutofit/>
                      </wps:bodyPr>
                    </wps:wsp>
                  </a:graphicData>
                </a:graphic>
                <wp14:sizeRelV relativeFrom="margin">
                  <wp14:pctHeight>0</wp14:pctHeight>
                </wp14:sizeRelV>
              </wp:anchor>
            </w:drawing>
          </mc:Choice>
          <mc:Fallback>
            <w:pict>
              <v:rect w14:anchorId="1CC32CCA" id="_x0000_s1298" style="position:absolute;margin-left:370.4pt;margin-top:297.3pt;width:84.95pt;height:11.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" fillcolor="#ffedce" stroked="f">
                <v:textbox inset="0,0,0,0">
                  <w:txbxContent>
                    <w:p w14:paraId="19F11620"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Ініціювати лікування препаратами першої лінії</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021F2003" wp14:editId="3080BD32">
                <wp:simplePos x="0" y="0"/>
                <wp:positionH relativeFrom="column">
                  <wp:posOffset>5081270</wp:posOffset>
                </wp:positionH>
                <wp:positionV relativeFrom="paragraph">
                  <wp:posOffset>2396490</wp:posOffset>
                </wp:positionV>
                <wp:extent cx="502920" cy="173355"/>
                <wp:effectExtent l="0" t="0" r="0" b="0"/>
                <wp:wrapNone/>
                <wp:docPr id="392620513" name="Прямокутник 28"/>
                <wp:cNvGraphicFramePr/>
                <a:graphic xmlns:a="http://schemas.openxmlformats.org/drawingml/2006/main">
                  <a:graphicData uri="http://schemas.microsoft.com/office/word/2010/wordprocessingShape">
                    <wps:wsp>
                      <wps:cNvSpPr/>
                      <wps:spPr>
                        <a:xfrm>
                          <a:off x="0" y="0"/>
                          <a:ext cx="502920" cy="173355"/>
                        </a:xfrm>
                        <a:prstGeom prst="rect">
                          <a:avLst/>
                        </a:prstGeom>
                        <a:solidFill>
                          <a:srgbClr val="FFEDCE"/>
                        </a:solidFill>
                      </wps:spPr>
                      <wps:txbx>
                        <w:txbxContent>
                          <w:p w14:paraId="30DB4843" w14:textId="77777777" w:rsidR="009D0C1D" w:rsidRPr="00272AC7" w:rsidRDefault="009D0C1D" w:rsidP="005816C2">
                            <w:pPr>
                              <w:jc w:val="center"/>
                              <w:rPr>
                                <w:rFonts w:ascii="Century Gothic" w:eastAsia="+mn-ea" w:hAnsi="Century Gothic" w:cs="+mn-cs"/>
                                <w:b/>
                                <w:bCs/>
                                <w:color w:val="343433"/>
                                <w:kern w:val="24"/>
                                <w:sz w:val="7"/>
                                <w:szCs w:val="8"/>
                              </w:rPr>
                            </w:pPr>
                            <w:r w:rsidRPr="00272AC7">
                              <w:rPr>
                                <w:rFonts w:ascii="Century Gothic" w:hAnsi="Century Gothic"/>
                                <w:b/>
                                <w:color w:val="343433"/>
                                <w:sz w:val="7"/>
                                <w:szCs w:val="20"/>
                              </w:rPr>
                              <w:t xml:space="preserve">Резистентність до RIF </w:t>
                            </w:r>
                            <w:r w:rsidRPr="00272AC7">
                              <w:rPr>
                                <w:rFonts w:ascii="Century Gothic" w:hAnsi="Century Gothic"/>
                                <w:b/>
                                <w:i/>
                                <w:color w:val="343433"/>
                                <w:sz w:val="7"/>
                                <w:szCs w:val="20"/>
                              </w:rPr>
                              <w:t>не</w:t>
                            </w:r>
                            <w:r w:rsidRPr="00272AC7">
                              <w:rPr>
                                <w:rFonts w:ascii="Century Gothic" w:hAnsi="Century Gothic"/>
                                <w:b/>
                                <w:color w:val="343433"/>
                                <w:sz w:val="7"/>
                                <w:szCs w:val="20"/>
                              </w:rPr>
                              <w:t xml:space="preserve"> виявлено</w:t>
                            </w:r>
                          </w:p>
                        </w:txbxContent>
                      </wps:txbx>
                      <wps:bodyPr wrap="square" lIns="0" tIns="0" rIns="0" bIns="0">
                        <a:noAutofit/>
                      </wps:bodyPr>
                    </wps:wsp>
                  </a:graphicData>
                </a:graphic>
                <wp14:sizeRelH relativeFrom="margin">
                  <wp14:pctWidth>0</wp14:pctWidth>
                </wp14:sizeRelH>
              </wp:anchor>
            </w:drawing>
          </mc:Choice>
          <mc:Fallback>
            <w:pict>
              <v:rect w14:anchorId="021F2003" id="_x0000_s1299" style="position:absolute;margin-left:400.1pt;margin-top:188.7pt;width:39.6pt;height:13.6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" fillcolor="#ffedce" stroked="f">
                <v:textbox inset="0,0,0,0">
                  <w:txbxContent>
                    <w:p w14:paraId="30DB4843" w14:textId="77777777" w:rsidR="009D0C1D" w:rsidRPr="00272AC7" w:rsidRDefault="009D0C1D" w:rsidP="005816C2">
                      <w:pPr>
                        <w:jc w:val="center"/>
                        <w:rPr>
                          <w:rFonts w:ascii="Century Gothic" w:eastAsia="+mn-ea" w:hAnsi="Century Gothic" w:cs="+mn-cs"/>
                          <w:b/>
                          <w:bCs/>
                          <w:color w:val="343433"/>
                          <w:kern w:val="24"/>
                          <w:sz w:val="7"/>
                          <w:szCs w:val="8"/>
                        </w:rPr>
                      </w:pPr>
                      <w:r w:rsidRPr="00272AC7">
                        <w:rPr>
                          <w:rFonts w:ascii="Century Gothic" w:hAnsi="Century Gothic"/>
                          <w:b/>
                          <w:color w:val="343433"/>
                          <w:sz w:val="7"/>
                          <w:szCs w:val="20"/>
                        </w:rPr>
                        <w:t xml:space="preserve">Резистентність до RIF </w:t>
                      </w:r>
                      <w:r w:rsidRPr="00272AC7">
                        <w:rPr>
                          <w:rFonts w:ascii="Century Gothic" w:hAnsi="Century Gothic"/>
                          <w:b/>
                          <w:i/>
                          <w:color w:val="343433"/>
                          <w:sz w:val="7"/>
                          <w:szCs w:val="20"/>
                        </w:rPr>
                        <w:t>не</w:t>
                      </w:r>
                      <w:r w:rsidRPr="00272AC7">
                        <w:rPr>
                          <w:rFonts w:ascii="Century Gothic" w:hAnsi="Century Gothic"/>
                          <w:b/>
                          <w:color w:val="343433"/>
                          <w:sz w:val="7"/>
                          <w:szCs w:val="20"/>
                        </w:rPr>
                        <w:t xml:space="preserve"> виявлено</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45BD8948" wp14:editId="59C5C201">
                <wp:simplePos x="0" y="0"/>
                <wp:positionH relativeFrom="column">
                  <wp:posOffset>5149850</wp:posOffset>
                </wp:positionH>
                <wp:positionV relativeFrom="paragraph">
                  <wp:posOffset>3276601</wp:posOffset>
                </wp:positionV>
                <wp:extent cx="369570" cy="213360"/>
                <wp:effectExtent l="0" t="0" r="0" b="0"/>
                <wp:wrapNone/>
                <wp:docPr id="1132926429" name="Прямокутник 30"/>
                <wp:cNvGraphicFramePr/>
                <a:graphic xmlns:a="http://schemas.openxmlformats.org/drawingml/2006/main">
                  <a:graphicData uri="http://schemas.microsoft.com/office/word/2010/wordprocessingShape">
                    <wps:wsp>
                      <wps:cNvSpPr/>
                      <wps:spPr>
                        <a:xfrm>
                          <a:off x="0" y="0"/>
                          <a:ext cx="369570" cy="213360"/>
                        </a:xfrm>
                        <a:prstGeom prst="rect">
                          <a:avLst/>
                        </a:prstGeom>
                        <a:solidFill>
                          <a:srgbClr val="FFEDCE"/>
                        </a:solidFill>
                      </wps:spPr>
                      <wps:txbx>
                        <w:txbxContent>
                          <w:p w14:paraId="253D1921" w14:textId="77777777" w:rsidR="009D0C1D" w:rsidRPr="00272AC7" w:rsidRDefault="009D0C1D" w:rsidP="005816C2">
                            <w:pPr>
                              <w:spacing w:line="230" w:lineRule="auto"/>
                              <w:jc w:val="center"/>
                              <w:rPr>
                                <w:rFonts w:ascii="Century Gothic" w:eastAsia="+mn-ea" w:hAnsi="Century Gothic" w:cs="+mn-cs"/>
                                <w:b/>
                                <w:bCs/>
                                <w:color w:val="343433"/>
                                <w:kern w:val="24"/>
                                <w:sz w:val="7"/>
                                <w:szCs w:val="8"/>
                              </w:rPr>
                            </w:pPr>
                            <w:r w:rsidRPr="00272AC7">
                              <w:rPr>
                                <w:rFonts w:ascii="Century Gothic" w:hAnsi="Century Gothic"/>
                                <w:b/>
                                <w:color w:val="343433"/>
                                <w:sz w:val="7"/>
                                <w:szCs w:val="20"/>
                              </w:rPr>
                              <w:t>Повторити mWRD</w:t>
                            </w:r>
                            <w:r w:rsidRPr="00272AC7">
                              <w:rPr>
                                <w:rFonts w:ascii="Century Gothic" w:hAnsi="Century Gothic"/>
                                <w:b/>
                                <w:color w:val="0099D6"/>
                                <w:sz w:val="12"/>
                                <w:szCs w:val="20"/>
                                <w:vertAlign w:val="superscript"/>
                              </w:rPr>
                              <w:t>o</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5BD8948" id="_x0000_s1300" style="position:absolute;margin-left:405.5pt;margin-top:258pt;width:29.1pt;height:1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" fillcolor="#ffedce" stroked="f">
                <v:textbox inset="0,0,0,0">
                  <w:txbxContent>
                    <w:p w14:paraId="253D1921" w14:textId="77777777" w:rsidR="009D0C1D" w:rsidRPr="00272AC7" w:rsidRDefault="009D0C1D" w:rsidP="005816C2">
                      <w:pPr>
                        <w:spacing w:line="230" w:lineRule="auto"/>
                        <w:jc w:val="center"/>
                        <w:rPr>
                          <w:rFonts w:ascii="Century Gothic" w:eastAsia="+mn-ea" w:hAnsi="Century Gothic" w:cs="+mn-cs"/>
                          <w:b/>
                          <w:bCs/>
                          <w:color w:val="343433"/>
                          <w:kern w:val="24"/>
                          <w:sz w:val="7"/>
                          <w:szCs w:val="8"/>
                        </w:rPr>
                      </w:pPr>
                      <w:r w:rsidRPr="00272AC7">
                        <w:rPr>
                          <w:rFonts w:ascii="Century Gothic" w:hAnsi="Century Gothic"/>
                          <w:b/>
                          <w:color w:val="343433"/>
                          <w:sz w:val="7"/>
                          <w:szCs w:val="20"/>
                        </w:rPr>
                        <w:t>Повторити mWRD</w:t>
                      </w:r>
                      <w:r w:rsidRPr="00272AC7">
                        <w:rPr>
                          <w:rFonts w:ascii="Century Gothic" w:hAnsi="Century Gothic"/>
                          <w:b/>
                          <w:color w:val="0099D6"/>
                          <w:sz w:val="12"/>
                          <w:szCs w:val="20"/>
                          <w:vertAlign w:val="superscript"/>
                        </w:rPr>
                        <w:t>o</w:t>
                      </w:r>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676C9C8C" wp14:editId="23D10442">
                <wp:simplePos x="0" y="0"/>
                <wp:positionH relativeFrom="column">
                  <wp:posOffset>5104130</wp:posOffset>
                </wp:positionH>
                <wp:positionV relativeFrom="paragraph">
                  <wp:posOffset>2788920</wp:posOffset>
                </wp:positionV>
                <wp:extent cx="461010" cy="259080"/>
                <wp:effectExtent l="0" t="0" r="0" b="7620"/>
                <wp:wrapNone/>
                <wp:docPr id="2108384355" name="Прямокутник 29"/>
                <wp:cNvGraphicFramePr/>
                <a:graphic xmlns:a="http://schemas.openxmlformats.org/drawingml/2006/main">
                  <a:graphicData uri="http://schemas.microsoft.com/office/word/2010/wordprocessingShape">
                    <wps:wsp>
                      <wps:cNvSpPr/>
                      <wps:spPr>
                        <a:xfrm>
                          <a:off x="0" y="0"/>
                          <a:ext cx="461010" cy="259080"/>
                        </a:xfrm>
                        <a:prstGeom prst="rect">
                          <a:avLst/>
                        </a:prstGeom>
                        <a:solidFill>
                          <a:srgbClr val="FFEDCE"/>
                        </a:solidFill>
                      </wps:spPr>
                      <wps:txbx>
                        <w:txbxContent>
                          <w:p w14:paraId="517BC7C7" w14:textId="77777777" w:rsidR="009D0C1D" w:rsidRPr="00272AC7" w:rsidRDefault="009D0C1D" w:rsidP="005816C2">
                            <w:pPr>
                              <w:jc w:val="center"/>
                              <w:rPr>
                                <w:rFonts w:ascii="Century Gothic" w:eastAsia="+mn-ea" w:hAnsi="Century Gothic" w:cs="+mn-cs"/>
                                <w:color w:val="343433"/>
                                <w:kern w:val="24"/>
                                <w:sz w:val="7"/>
                                <w:szCs w:val="8"/>
                              </w:rPr>
                            </w:pPr>
                            <w:r w:rsidRPr="00272AC7">
                              <w:rPr>
                                <w:rFonts w:ascii="Century Gothic" w:hAnsi="Century Gothic"/>
                                <w:color w:val="343433"/>
                                <w:sz w:val="7"/>
                                <w:szCs w:val="20"/>
                              </w:rPr>
                              <w:t>Ініціювати лікування препаратами першої лінії</w:t>
                            </w:r>
                          </w:p>
                        </w:txbxContent>
                      </wps:txbx>
                      <wps:bodyPr wrap="square" lIns="0" tIns="0" rIns="0" bIns="0">
                        <a:noAutofit/>
                      </wps:bodyPr>
                    </wps:wsp>
                  </a:graphicData>
                </a:graphic>
                <wp14:sizeRelH relativeFrom="margin">
                  <wp14:pctWidth>0</wp14:pctWidth>
                </wp14:sizeRelH>
              </wp:anchor>
            </w:drawing>
          </mc:Choice>
          <mc:Fallback>
            <w:pict>
              <v:rect w14:anchorId="676C9C8C" id="_x0000_s1301" style="position:absolute;margin-left:401.9pt;margin-top:219.6pt;width:36.3pt;height:20.4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" fillcolor="#ffedce" stroked="f">
                <v:textbox inset="0,0,0,0">
                  <w:txbxContent>
                    <w:p w14:paraId="517BC7C7" w14:textId="77777777" w:rsidR="009D0C1D" w:rsidRPr="00272AC7" w:rsidRDefault="009D0C1D" w:rsidP="005816C2">
                      <w:pPr>
                        <w:jc w:val="center"/>
                        <w:rPr>
                          <w:rFonts w:ascii="Century Gothic" w:eastAsia="+mn-ea" w:hAnsi="Century Gothic" w:cs="+mn-cs"/>
                          <w:color w:val="343433"/>
                          <w:kern w:val="24"/>
                          <w:sz w:val="7"/>
                          <w:szCs w:val="8"/>
                        </w:rPr>
                      </w:pPr>
                      <w:r w:rsidRPr="00272AC7">
                        <w:rPr>
                          <w:rFonts w:ascii="Century Gothic" w:hAnsi="Century Gothic"/>
                          <w:color w:val="343433"/>
                          <w:sz w:val="7"/>
                          <w:szCs w:val="20"/>
                        </w:rPr>
                        <w:t>Ініціювати лікування препаратами першої лінії</w:t>
                      </w:r>
                    </w:p>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5B4E25C3" wp14:editId="6A4CB631">
                <wp:simplePos x="0" y="0"/>
                <wp:positionH relativeFrom="column">
                  <wp:posOffset>4521200</wp:posOffset>
                </wp:positionH>
                <wp:positionV relativeFrom="paragraph">
                  <wp:posOffset>2876550</wp:posOffset>
                </wp:positionV>
                <wp:extent cx="316230" cy="171450"/>
                <wp:effectExtent l="0" t="0" r="7620" b="0"/>
                <wp:wrapNone/>
                <wp:docPr id="1783693268" name="Прямокутник 26"/>
                <wp:cNvGraphicFramePr/>
                <a:graphic xmlns:a="http://schemas.openxmlformats.org/drawingml/2006/main">
                  <a:graphicData uri="http://schemas.microsoft.com/office/word/2010/wordprocessingShape">
                    <wps:wsp>
                      <wps:cNvSpPr/>
                      <wps:spPr>
                        <a:xfrm>
                          <a:off x="0" y="0"/>
                          <a:ext cx="316230" cy="171450"/>
                        </a:xfrm>
                        <a:prstGeom prst="rect">
                          <a:avLst/>
                        </a:prstGeom>
                        <a:solidFill>
                          <a:srgbClr val="FFEDCE"/>
                        </a:solidFill>
                      </wps:spPr>
                      <wps:txbx>
                        <w:txbxContent>
                          <w:p w14:paraId="05838F68" w14:textId="70B51A23"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Дотри</w:t>
                            </w:r>
                            <w:r>
                              <w:rPr>
                                <w:rFonts w:ascii="Century Gothic" w:hAnsi="Century Gothic"/>
                                <w:b/>
                                <w:color w:val="343433"/>
                                <w:sz w:val="9"/>
                                <w:szCs w:val="20"/>
                              </w:rPr>
                              <w:t>-</w:t>
                            </w:r>
                            <w:r w:rsidRPr="00272AC7">
                              <w:rPr>
                                <w:rFonts w:ascii="Century Gothic" w:hAnsi="Century Gothic"/>
                                <w:b/>
                                <w:color w:val="343433"/>
                                <w:sz w:val="9"/>
                                <w:szCs w:val="20"/>
                              </w:rPr>
                              <w:t>муватися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B4E25C3" id="_x0000_s1302" style="position:absolute;margin-left:356pt;margin-top:226.5pt;width:24.9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" fillcolor="#ffedce" stroked="f">
                <v:textbox inset="0,0,0,0">
                  <w:txbxContent>
                    <w:p w14:paraId="05838F68" w14:textId="70B51A23"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Дотри</w:t>
                      </w:r>
                      <w:r>
                        <w:rPr>
                          <w:rFonts w:ascii="Century Gothic" w:hAnsi="Century Gothic"/>
                          <w:b/>
                          <w:color w:val="343433"/>
                          <w:sz w:val="9"/>
                          <w:szCs w:val="20"/>
                        </w:rPr>
                        <w:t>-</w:t>
                      </w:r>
                      <w:r w:rsidRPr="00272AC7">
                        <w:rPr>
                          <w:rFonts w:ascii="Century Gothic" w:hAnsi="Century Gothic"/>
                          <w:b/>
                          <w:color w:val="343433"/>
                          <w:sz w:val="9"/>
                          <w:szCs w:val="20"/>
                        </w:rPr>
                        <w:t>муватися</w:t>
                      </w:r>
                    </w:p>
                  </w:txbxContent>
                </v:textbox>
              </v:rect>
            </w:pict>
          </mc:Fallback>
        </mc:AlternateContent>
      </w:r>
      <w:r>
        <w:rPr>
          <w:noProof/>
        </w:rPr>
        <mc:AlternateContent>
          <mc:Choice Requires="wps">
            <w:drawing>
              <wp:anchor distT="0" distB="0" distL="114300" distR="114300" simplePos="0" relativeHeight="251651072" behindDoc="0" locked="0" layoutInCell="1" allowOverlap="1" wp14:anchorId="731F0985" wp14:editId="43E62A71">
                <wp:simplePos x="0" y="0"/>
                <wp:positionH relativeFrom="column">
                  <wp:posOffset>4540250</wp:posOffset>
                </wp:positionH>
                <wp:positionV relativeFrom="paragraph">
                  <wp:posOffset>1859280</wp:posOffset>
                </wp:positionV>
                <wp:extent cx="563880" cy="293370"/>
                <wp:effectExtent l="0" t="0" r="7620" b="0"/>
                <wp:wrapNone/>
                <wp:docPr id="691142993" name="Прямокутник 24"/>
                <wp:cNvGraphicFramePr/>
                <a:graphic xmlns:a="http://schemas.openxmlformats.org/drawingml/2006/main">
                  <a:graphicData uri="http://schemas.microsoft.com/office/word/2010/wordprocessingShape">
                    <wps:wsp>
                      <wps:cNvSpPr/>
                      <wps:spPr>
                        <a:xfrm>
                          <a:off x="0" y="0"/>
                          <a:ext cx="563880" cy="293370"/>
                        </a:xfrm>
                        <a:prstGeom prst="rect">
                          <a:avLst/>
                        </a:prstGeom>
                        <a:solidFill>
                          <a:srgbClr val="FFEDCE"/>
                        </a:solidFill>
                      </wps:spPr>
                      <wps:txbx>
                        <w:txbxContent>
                          <w:p w14:paraId="4A5FC40D" w14:textId="77777777" w:rsidR="009D0C1D" w:rsidRPr="00272AC7" w:rsidRDefault="009D0C1D" w:rsidP="005816C2">
                            <w:pPr>
                              <w:spacing w:line="216" w:lineRule="auto"/>
                              <w:jc w:val="center"/>
                              <w:rPr>
                                <w:rFonts w:ascii="Century Gothic" w:eastAsia="+mn-ea" w:hAnsi="Century Gothic" w:cs="+mn-cs"/>
                                <w:color w:val="343433"/>
                                <w:kern w:val="24"/>
                                <w:sz w:val="9"/>
                                <w:szCs w:val="9"/>
                              </w:rPr>
                            </w:pPr>
                            <w:r w:rsidRPr="00272AC7">
                              <w:rPr>
                                <w:rFonts w:ascii="Century Gothic" w:hAnsi="Century Gothic"/>
                                <w:color w:val="343433"/>
                                <w:sz w:val="9"/>
                                <w:szCs w:val="20"/>
                              </w:rPr>
                              <w:t>Оцінити</w:t>
                            </w:r>
                          </w:p>
                          <w:p w14:paraId="56F0F3D3" w14:textId="77777777" w:rsidR="009D0C1D" w:rsidRPr="00272AC7" w:rsidRDefault="009D0C1D" w:rsidP="005816C2">
                            <w:pPr>
                              <w:spacing w:line="216" w:lineRule="auto"/>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Крива плавлення Ultra</w:t>
                            </w:r>
                            <w:r w:rsidRPr="00272AC7">
                              <w:rPr>
                                <w:rFonts w:ascii="Century Gothic" w:hAnsi="Century Gothic"/>
                                <w:b/>
                                <w:color w:val="0099D6"/>
                                <w:sz w:val="12"/>
                                <w:szCs w:val="20"/>
                                <w:vertAlign w:val="superscript"/>
                              </w:rPr>
                              <w:t>i</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31F0985" id="_x0000_s1303" style="position:absolute;margin-left:357.5pt;margin-top:146.4pt;width:44.4pt;height:23.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" fillcolor="#ffedce" stroked="f">
                <v:textbox inset="0,0,0,0">
                  <w:txbxContent>
                    <w:p w14:paraId="4A5FC40D" w14:textId="77777777" w:rsidR="009D0C1D" w:rsidRPr="00272AC7" w:rsidRDefault="009D0C1D" w:rsidP="005816C2">
                      <w:pPr>
                        <w:spacing w:line="216" w:lineRule="auto"/>
                        <w:jc w:val="center"/>
                        <w:rPr>
                          <w:rFonts w:ascii="Century Gothic" w:eastAsia="+mn-ea" w:hAnsi="Century Gothic" w:cs="+mn-cs"/>
                          <w:color w:val="343433"/>
                          <w:kern w:val="24"/>
                          <w:sz w:val="9"/>
                          <w:szCs w:val="9"/>
                        </w:rPr>
                      </w:pPr>
                      <w:r w:rsidRPr="00272AC7">
                        <w:rPr>
                          <w:rFonts w:ascii="Century Gothic" w:hAnsi="Century Gothic"/>
                          <w:color w:val="343433"/>
                          <w:sz w:val="9"/>
                          <w:szCs w:val="20"/>
                        </w:rPr>
                        <w:t>Оцінити</w:t>
                      </w:r>
                    </w:p>
                    <w:p w14:paraId="56F0F3D3" w14:textId="77777777" w:rsidR="009D0C1D" w:rsidRPr="00272AC7" w:rsidRDefault="009D0C1D" w:rsidP="005816C2">
                      <w:pPr>
                        <w:spacing w:line="216" w:lineRule="auto"/>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Крива плавлення Ultra</w:t>
                      </w:r>
                      <w:r w:rsidRPr="00272AC7">
                        <w:rPr>
                          <w:rFonts w:ascii="Century Gothic" w:hAnsi="Century Gothic"/>
                          <w:b/>
                          <w:color w:val="0099D6"/>
                          <w:sz w:val="12"/>
                          <w:szCs w:val="20"/>
                          <w:vertAlign w:val="superscript"/>
                        </w:rPr>
                        <w:t>i</w:t>
                      </w:r>
                    </w:p>
                  </w:txbxContent>
                </v:textbox>
              </v:rect>
            </w:pict>
          </mc:Fallback>
        </mc:AlternateContent>
      </w:r>
      <w:r>
        <w:rPr>
          <w:noProof/>
        </w:rPr>
        <mc:AlternateContent>
          <mc:Choice Requires="wps">
            <w:drawing>
              <wp:anchor distT="0" distB="0" distL="114300" distR="114300" simplePos="0" relativeHeight="251654144" behindDoc="0" locked="0" layoutInCell="1" allowOverlap="1" wp14:anchorId="340124CF" wp14:editId="6C6D27E9">
                <wp:simplePos x="0" y="0"/>
                <wp:positionH relativeFrom="column">
                  <wp:posOffset>5313680</wp:posOffset>
                </wp:positionH>
                <wp:positionV relativeFrom="paragraph">
                  <wp:posOffset>1488440</wp:posOffset>
                </wp:positionV>
                <wp:extent cx="569595" cy="200025"/>
                <wp:effectExtent l="0" t="0" r="1905" b="9525"/>
                <wp:wrapNone/>
                <wp:docPr id="398829982" name="Прямокутник 27"/>
                <wp:cNvGraphicFramePr/>
                <a:graphic xmlns:a="http://schemas.openxmlformats.org/drawingml/2006/main">
                  <a:graphicData uri="http://schemas.microsoft.com/office/word/2010/wordprocessingShape">
                    <wps:wsp>
                      <wps:cNvSpPr/>
                      <wps:spPr>
                        <a:xfrm>
                          <a:off x="0" y="0"/>
                          <a:ext cx="569595" cy="200025"/>
                        </a:xfrm>
                        <a:prstGeom prst="rect">
                          <a:avLst/>
                        </a:prstGeom>
                        <a:solidFill>
                          <a:srgbClr val="FFEDCE"/>
                        </a:solidFill>
                      </wps:spPr>
                      <wps:txbx>
                        <w:txbxContent>
                          <w:p w14:paraId="4C25CC41" w14:textId="77777777" w:rsidR="009D0C1D" w:rsidRPr="00272AC7" w:rsidRDefault="009D0C1D" w:rsidP="005816C2">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Інші mWRD АБО LF-LAM</w:t>
                            </w:r>
                          </w:p>
                        </w:txbxContent>
                      </wps:txbx>
                      <wps:bodyPr wrap="square" lIns="0" tIns="0" rIns="0" bIns="0">
                        <a:noAutofit/>
                      </wps:bodyPr>
                    </wps:wsp>
                  </a:graphicData>
                </a:graphic>
              </wp:anchor>
            </w:drawing>
          </mc:Choice>
          <mc:Fallback>
            <w:pict>
              <v:rect w14:anchorId="340124CF" id="_x0000_s1304" style="position:absolute;margin-left:418.4pt;margin-top:117.2pt;width:44.85pt;height:15.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" fillcolor="#ffedce" stroked="f">
                <v:textbox inset="0,0,0,0">
                  <w:txbxContent>
                    <w:p w14:paraId="4C25CC41" w14:textId="77777777" w:rsidR="009D0C1D" w:rsidRPr="00272AC7" w:rsidRDefault="009D0C1D" w:rsidP="005816C2">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Інші mWRD АБО LF-LAM</w:t>
                      </w:r>
                    </w:p>
                  </w:txbxContent>
                </v:textbox>
              </v:rect>
            </w:pict>
          </mc:Fallback>
        </mc:AlternateContent>
      </w:r>
      <w:r>
        <w:rPr>
          <w:noProof/>
        </w:rPr>
        <mc:AlternateContent>
          <mc:Choice Requires="wps">
            <w:drawing>
              <wp:anchor distT="0" distB="0" distL="114300" distR="114300" simplePos="0" relativeHeight="251650048" behindDoc="0" locked="0" layoutInCell="1" allowOverlap="1" wp14:anchorId="185D2DCE" wp14:editId="3E373798">
                <wp:simplePos x="0" y="0"/>
                <wp:positionH relativeFrom="column">
                  <wp:posOffset>4696460</wp:posOffset>
                </wp:positionH>
                <wp:positionV relativeFrom="paragraph">
                  <wp:posOffset>1535430</wp:posOffset>
                </wp:positionV>
                <wp:extent cx="278130" cy="125730"/>
                <wp:effectExtent l="0" t="0" r="7620" b="7620"/>
                <wp:wrapNone/>
                <wp:docPr id="1036429135" name="Прямокутник 23"/>
                <wp:cNvGraphicFramePr/>
                <a:graphic xmlns:a="http://schemas.openxmlformats.org/drawingml/2006/main">
                  <a:graphicData uri="http://schemas.microsoft.com/office/word/2010/wordprocessingShape">
                    <wps:wsp>
                      <wps:cNvSpPr/>
                      <wps:spPr>
                        <a:xfrm>
                          <a:off x="0" y="0"/>
                          <a:ext cx="278130" cy="125730"/>
                        </a:xfrm>
                        <a:prstGeom prst="rect">
                          <a:avLst/>
                        </a:prstGeom>
                        <a:solidFill>
                          <a:srgbClr val="FFEDCE"/>
                        </a:solidFill>
                      </wps:spPr>
                      <wps:txbx>
                        <w:txbxContent>
                          <w:p w14:paraId="14674658" w14:textId="77777777" w:rsidR="009D0C1D" w:rsidRPr="00272AC7" w:rsidRDefault="009D0C1D" w:rsidP="00272AC7">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Ultra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85D2DCE" id="_x0000_s1305" style="position:absolute;margin-left:369.8pt;margin-top:120.9pt;width:21.9pt;height: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" fillcolor="#ffedce" stroked="f">
                <v:textbox inset="0,0,0,0">
                  <w:txbxContent>
                    <w:p w14:paraId="14674658" w14:textId="77777777" w:rsidR="009D0C1D" w:rsidRPr="00272AC7" w:rsidRDefault="009D0C1D" w:rsidP="00272AC7">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Ultra</w:t>
                      </w:r>
                    </w:p>
                  </w:txbxContent>
                </v:textbox>
              </v:rect>
            </w:pict>
          </mc:Fallback>
        </mc:AlternateContent>
      </w:r>
      <w:r>
        <w:rPr>
          <w:noProof/>
        </w:rPr>
        <mc:AlternateContent>
          <mc:Choice Requires="wps">
            <w:drawing>
              <wp:anchor distT="0" distB="0" distL="114300" distR="114300" simplePos="0" relativeHeight="251642880" behindDoc="0" locked="0" layoutInCell="1" allowOverlap="1" wp14:anchorId="0400EAEC" wp14:editId="7CEF414A">
                <wp:simplePos x="0" y="0"/>
                <wp:positionH relativeFrom="column">
                  <wp:posOffset>3202940</wp:posOffset>
                </wp:positionH>
                <wp:positionV relativeFrom="paragraph">
                  <wp:posOffset>1360170</wp:posOffset>
                </wp:positionV>
                <wp:extent cx="975360" cy="261620"/>
                <wp:effectExtent l="0" t="0" r="0" b="5080"/>
                <wp:wrapNone/>
                <wp:docPr id="1257021318" name="Прямокутник 16"/>
                <wp:cNvGraphicFramePr/>
                <a:graphic xmlns:a="http://schemas.openxmlformats.org/drawingml/2006/main">
                  <a:graphicData uri="http://schemas.microsoft.com/office/word/2010/wordprocessingShape">
                    <wps:wsp>
                      <wps:cNvSpPr/>
                      <wps:spPr>
                        <a:xfrm>
                          <a:off x="0" y="0"/>
                          <a:ext cx="975360" cy="261620"/>
                        </a:xfrm>
                        <a:prstGeom prst="rect">
                          <a:avLst/>
                        </a:prstGeom>
                        <a:solidFill>
                          <a:srgbClr val="FDD3D5"/>
                        </a:solidFill>
                      </wps:spPr>
                      <wps:txbx>
                        <w:txbxContent>
                          <w:p w14:paraId="5C987CBF" w14:textId="77777777" w:rsidR="009D0C1D" w:rsidRPr="00272AC7" w:rsidRDefault="009D0C1D" w:rsidP="005816C2">
                            <w:pPr>
                              <w:jc w:val="center"/>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Оцінити особу на </w:t>
                            </w:r>
                            <w:r w:rsidRPr="00272AC7">
                              <w:rPr>
                                <w:rFonts w:ascii="Century Gothic" w:hAnsi="Century Gothic"/>
                                <w:b/>
                                <w:color w:val="343433"/>
                                <w:sz w:val="9"/>
                                <w:szCs w:val="20"/>
                              </w:rPr>
                              <w:t>фактори ризику МЛС-ТБ</w:t>
                            </w:r>
                            <w:r w:rsidRPr="00272AC7">
                              <w:rPr>
                                <w:rFonts w:ascii="Century Gothic" w:hAnsi="Century Gothic"/>
                                <w:b/>
                                <w:color w:val="0099D6"/>
                                <w:sz w:val="12"/>
                                <w:szCs w:val="20"/>
                                <w:vertAlign w:val="superscript"/>
                              </w:rPr>
                              <w:t>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400EAEC" id="_x0000_s1306" style="position:absolute;margin-left:252.2pt;margin-top:107.1pt;width:76.8pt;height:20.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" fillcolor="#fdd3d5" stroked="f">
                <v:textbox inset="0,0,0,0">
                  <w:txbxContent>
                    <w:p w14:paraId="5C987CBF" w14:textId="77777777" w:rsidR="009D0C1D" w:rsidRPr="00272AC7" w:rsidRDefault="009D0C1D" w:rsidP="005816C2">
                      <w:pPr>
                        <w:jc w:val="center"/>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Оцінити особу на </w:t>
                      </w:r>
                      <w:r w:rsidRPr="00272AC7">
                        <w:rPr>
                          <w:rFonts w:ascii="Century Gothic" w:hAnsi="Century Gothic"/>
                          <w:b/>
                          <w:color w:val="343433"/>
                          <w:sz w:val="9"/>
                          <w:szCs w:val="20"/>
                        </w:rPr>
                        <w:t>фактори ризику МЛС-ТБ</w:t>
                      </w:r>
                      <w:r w:rsidRPr="00272AC7">
                        <w:rPr>
                          <w:rFonts w:ascii="Century Gothic" w:hAnsi="Century Gothic"/>
                          <w:b/>
                          <w:color w:val="0099D6"/>
                          <w:sz w:val="12"/>
                          <w:szCs w:val="20"/>
                          <w:vertAlign w:val="superscript"/>
                        </w:rPr>
                        <w:t>n</w:t>
                      </w:r>
                    </w:p>
                  </w:txbxContent>
                </v:textbox>
              </v:rect>
            </w:pict>
          </mc:Fallback>
        </mc:AlternateContent>
      </w:r>
      <w:r>
        <w:rPr>
          <w:noProof/>
        </w:rPr>
        <mc:AlternateContent>
          <mc:Choice Requires="wps">
            <w:drawing>
              <wp:anchor distT="0" distB="0" distL="114300" distR="114300" simplePos="0" relativeHeight="251649024" behindDoc="0" locked="0" layoutInCell="1" allowOverlap="1" wp14:anchorId="3A62D101" wp14:editId="56330623">
                <wp:simplePos x="0" y="0"/>
                <wp:positionH relativeFrom="column">
                  <wp:posOffset>4688840</wp:posOffset>
                </wp:positionH>
                <wp:positionV relativeFrom="paragraph">
                  <wp:posOffset>803910</wp:posOffset>
                </wp:positionV>
                <wp:extent cx="1217930" cy="303530"/>
                <wp:effectExtent l="0" t="0" r="1270" b="1270"/>
                <wp:wrapNone/>
                <wp:docPr id="1874315315" name="Прямокутник 22"/>
                <wp:cNvGraphicFramePr/>
                <a:graphic xmlns:a="http://schemas.openxmlformats.org/drawingml/2006/main">
                  <a:graphicData uri="http://schemas.microsoft.com/office/word/2010/wordprocessingShape">
                    <wps:wsp>
                      <wps:cNvSpPr/>
                      <wps:spPr>
                        <a:xfrm>
                          <a:off x="0" y="0"/>
                          <a:ext cx="1217930" cy="303530"/>
                        </a:xfrm>
                        <a:prstGeom prst="rect">
                          <a:avLst/>
                        </a:prstGeom>
                        <a:solidFill>
                          <a:srgbClr val="FAD890"/>
                        </a:solidFill>
                      </wps:spPr>
                      <wps:txbx>
                        <w:txbxContent>
                          <w:p w14:paraId="0285E451" w14:textId="77777777" w:rsidR="009D0C1D" w:rsidRPr="00272AC7" w:rsidRDefault="009D0C1D" w:rsidP="005816C2">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MTBC виявлено (у разі Ultra немає слідового результату)</w:t>
                            </w:r>
                            <w:r w:rsidRPr="00272AC7">
                              <w:rPr>
                                <w:rFonts w:ascii="Century Gothic" w:hAnsi="Century Gothic"/>
                                <w:b/>
                                <w:color w:val="0099D6"/>
                                <w:sz w:val="9"/>
                                <w:szCs w:val="20"/>
                                <w:vertAlign w:val="superscript"/>
                              </w:rPr>
                              <w:t xml:space="preserve">g </w:t>
                            </w:r>
                            <w:r w:rsidRPr="00272AC7">
                              <w:rPr>
                                <w:rFonts w:ascii="Century Gothic" w:hAnsi="Century Gothic"/>
                                <w:b/>
                                <w:color w:val="343433"/>
                                <w:sz w:val="9"/>
                                <w:szCs w:val="20"/>
                              </w:rPr>
                              <w:t>Результат резистентності до RIF невизначений або невідомий</w:t>
                            </w:r>
                            <w:r w:rsidRPr="00272AC7">
                              <w:rPr>
                                <w:rFonts w:ascii="Century Gothic" w:hAnsi="Century Gothic"/>
                                <w:b/>
                                <w:color w:val="0099D6"/>
                                <w:sz w:val="9"/>
                                <w:szCs w:val="20"/>
                                <w:vertAlign w:val="superscript"/>
                              </w:rPr>
                              <w:t>i</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A62D101" id="_x0000_s1307" style="position:absolute;margin-left:369.2pt;margin-top:63.3pt;width:95.9pt;height:23.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" fillcolor="#fad890" stroked="f">
                <v:textbox inset="0,0,0,0">
                  <w:txbxContent>
                    <w:p w14:paraId="0285E451" w14:textId="77777777" w:rsidR="009D0C1D" w:rsidRPr="00272AC7" w:rsidRDefault="009D0C1D" w:rsidP="005816C2">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MTBC виявлено (у разі Ultra немає слідового результату)</w:t>
                      </w:r>
                      <w:r w:rsidRPr="00272AC7">
                        <w:rPr>
                          <w:rFonts w:ascii="Century Gothic" w:hAnsi="Century Gothic"/>
                          <w:b/>
                          <w:color w:val="0099D6"/>
                          <w:sz w:val="9"/>
                          <w:szCs w:val="20"/>
                          <w:vertAlign w:val="superscript"/>
                        </w:rPr>
                        <w:t xml:space="preserve">g </w:t>
                      </w:r>
                      <w:r w:rsidRPr="00272AC7">
                        <w:rPr>
                          <w:rFonts w:ascii="Century Gothic" w:hAnsi="Century Gothic"/>
                          <w:b/>
                          <w:color w:val="343433"/>
                          <w:sz w:val="9"/>
                          <w:szCs w:val="20"/>
                        </w:rPr>
                        <w:t>Результат резистентності до RIF невизначений або невідомий</w:t>
                      </w:r>
                      <w:r w:rsidRPr="00272AC7">
                        <w:rPr>
                          <w:rFonts w:ascii="Century Gothic" w:hAnsi="Century Gothic"/>
                          <w:b/>
                          <w:color w:val="0099D6"/>
                          <w:sz w:val="9"/>
                          <w:szCs w:val="20"/>
                          <w:vertAlign w:val="superscript"/>
                        </w:rPr>
                        <w:t>i</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3195F6E3" wp14:editId="7D691323">
                <wp:simplePos x="0" y="0"/>
                <wp:positionH relativeFrom="column">
                  <wp:posOffset>3340100</wp:posOffset>
                </wp:positionH>
                <wp:positionV relativeFrom="paragraph">
                  <wp:posOffset>4572000</wp:posOffset>
                </wp:positionV>
                <wp:extent cx="838200" cy="236220"/>
                <wp:effectExtent l="0" t="0" r="0" b="0"/>
                <wp:wrapNone/>
                <wp:docPr id="1421780020" name="Прямокутник 32"/>
                <wp:cNvGraphicFramePr/>
                <a:graphic xmlns:a="http://schemas.openxmlformats.org/drawingml/2006/main">
                  <a:graphicData uri="http://schemas.microsoft.com/office/word/2010/wordprocessingShape">
                    <wps:wsp>
                      <wps:cNvSpPr/>
                      <wps:spPr>
                        <a:xfrm>
                          <a:off x="0" y="0"/>
                          <a:ext cx="838200" cy="236220"/>
                        </a:xfrm>
                        <a:prstGeom prst="rect">
                          <a:avLst/>
                        </a:prstGeom>
                        <a:solidFill>
                          <a:srgbClr val="FDD3D5"/>
                        </a:solidFill>
                      </wps:spPr>
                      <wps:txbx>
                        <w:txbxContent>
                          <w:p w14:paraId="69E8C2DF"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 xml:space="preserve">Дотримуватися </w:t>
                            </w:r>
                            <w:r w:rsidRPr="00272AC7">
                              <w:rPr>
                                <w:rFonts w:ascii="Century Gothic" w:hAnsi="Century Gothic"/>
                                <w:b/>
                                <w:i/>
                                <w:color w:val="343433"/>
                                <w:sz w:val="9"/>
                                <w:szCs w:val="20"/>
                              </w:rPr>
                              <w:t>цього</w:t>
                            </w:r>
                            <w:r w:rsidRPr="00272AC7">
                              <w:rPr>
                                <w:rFonts w:ascii="Century Gothic" w:hAnsi="Century Gothic"/>
                                <w:b/>
                                <w:color w:val="343433"/>
                                <w:sz w:val="9"/>
                                <w:szCs w:val="20"/>
                              </w:rPr>
                              <w:t xml:space="preserve"> Алгоритму для тлумачення результатів</w:t>
                            </w:r>
                          </w:p>
                        </w:txbxContent>
                      </wps:txbx>
                      <wps:bodyPr wrap="square" lIns="0" tIns="0" rIns="0" bIns="0">
                        <a:noAutofit/>
                      </wps:bodyPr>
                    </wps:wsp>
                  </a:graphicData>
                </a:graphic>
                <wp14:sizeRelV relativeFrom="margin">
                  <wp14:pctHeight>0</wp14:pctHeight>
                </wp14:sizeRelV>
              </wp:anchor>
            </w:drawing>
          </mc:Choice>
          <mc:Fallback>
            <w:pict>
              <v:rect w14:anchorId="3195F6E3" id="_x0000_s1308" style="position:absolute;margin-left:263pt;margin-top:5in;width:66pt;height:18.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" fillcolor="#fdd3d5" stroked="f">
                <v:textbox inset="0,0,0,0">
                  <w:txbxContent>
                    <w:p w14:paraId="69E8C2DF"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 xml:space="preserve">Дотримуватися </w:t>
                      </w:r>
                      <w:r w:rsidRPr="00272AC7">
                        <w:rPr>
                          <w:rFonts w:ascii="Century Gothic" w:hAnsi="Century Gothic"/>
                          <w:b/>
                          <w:i/>
                          <w:color w:val="343433"/>
                          <w:sz w:val="9"/>
                          <w:szCs w:val="20"/>
                        </w:rPr>
                        <w:t>цього</w:t>
                      </w:r>
                      <w:r w:rsidRPr="00272AC7">
                        <w:rPr>
                          <w:rFonts w:ascii="Century Gothic" w:hAnsi="Century Gothic"/>
                          <w:b/>
                          <w:color w:val="343433"/>
                          <w:sz w:val="9"/>
                          <w:szCs w:val="20"/>
                        </w:rPr>
                        <w:t xml:space="preserve"> Алгоритму для тлумачення результатів</w:t>
                      </w:r>
                    </w:p>
                  </w:txbxContent>
                </v:textbox>
              </v:rect>
            </w:pict>
          </mc:Fallback>
        </mc:AlternateContent>
      </w:r>
      <w:r>
        <w:rPr>
          <w:noProof/>
        </w:rPr>
        <mc:AlternateContent>
          <mc:Choice Requires="wps">
            <w:drawing>
              <wp:anchor distT="0" distB="0" distL="114300" distR="114300" simplePos="0" relativeHeight="251648000" behindDoc="0" locked="0" layoutInCell="1" allowOverlap="1" wp14:anchorId="0B3B52FA" wp14:editId="25DEE452">
                <wp:simplePos x="0" y="0"/>
                <wp:positionH relativeFrom="column">
                  <wp:posOffset>3058160</wp:posOffset>
                </wp:positionH>
                <wp:positionV relativeFrom="paragraph">
                  <wp:posOffset>3608070</wp:posOffset>
                </wp:positionV>
                <wp:extent cx="754380" cy="224790"/>
                <wp:effectExtent l="0" t="0" r="7620" b="3810"/>
                <wp:wrapNone/>
                <wp:docPr id="870876369" name="Прямокутник 21"/>
                <wp:cNvGraphicFramePr/>
                <a:graphic xmlns:a="http://schemas.openxmlformats.org/drawingml/2006/main">
                  <a:graphicData uri="http://schemas.microsoft.com/office/word/2010/wordprocessingShape">
                    <wps:wsp>
                      <wps:cNvSpPr/>
                      <wps:spPr>
                        <a:xfrm>
                          <a:off x="0" y="0"/>
                          <a:ext cx="754380" cy="224790"/>
                        </a:xfrm>
                        <a:prstGeom prst="rect">
                          <a:avLst/>
                        </a:prstGeom>
                        <a:solidFill>
                          <a:srgbClr val="FDD3D5"/>
                        </a:solidFill>
                      </wps:spPr>
                      <wps:txbx>
                        <w:txbxContent>
                          <w:p w14:paraId="1BE94DB6" w14:textId="77777777" w:rsidR="009D0C1D" w:rsidRPr="00272AC7" w:rsidRDefault="009D0C1D" w:rsidP="005816C2">
                            <w:pPr>
                              <w:rPr>
                                <w:rFonts w:ascii="Century Gothic" w:eastAsia="+mn-ea" w:hAnsi="Century Gothic" w:cs="+mn-cs"/>
                                <w:color w:val="343433"/>
                                <w:kern w:val="24"/>
                                <w:sz w:val="9"/>
                                <w:szCs w:val="9"/>
                              </w:rPr>
                            </w:pPr>
                            <w:r w:rsidRPr="00272AC7">
                              <w:rPr>
                                <w:rFonts w:ascii="Century Gothic" w:hAnsi="Century Gothic"/>
                                <w:color w:val="343433"/>
                                <w:sz w:val="9"/>
                                <w:szCs w:val="20"/>
                              </w:rPr>
                              <w:t>для подальшого тестування та оцінки</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B3B52FA" id="_x0000_s1309" style="position:absolute;margin-left:240.8pt;margin-top:284.1pt;width:59.4pt;height:17.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" fillcolor="#fdd3d5" stroked="f">
                <v:textbox inset="0,0,0,0">
                  <w:txbxContent>
                    <w:p w14:paraId="1BE94DB6" w14:textId="77777777" w:rsidR="009D0C1D" w:rsidRPr="00272AC7" w:rsidRDefault="009D0C1D" w:rsidP="005816C2">
                      <w:pPr>
                        <w:rPr>
                          <w:rFonts w:ascii="Century Gothic" w:eastAsia="+mn-ea" w:hAnsi="Century Gothic" w:cs="+mn-cs"/>
                          <w:color w:val="343433"/>
                          <w:kern w:val="24"/>
                          <w:sz w:val="9"/>
                          <w:szCs w:val="9"/>
                        </w:rPr>
                      </w:pPr>
                      <w:r w:rsidRPr="00272AC7">
                        <w:rPr>
                          <w:rFonts w:ascii="Century Gothic" w:hAnsi="Century Gothic"/>
                          <w:color w:val="343433"/>
                          <w:sz w:val="9"/>
                          <w:szCs w:val="20"/>
                        </w:rPr>
                        <w:t>для подальшого тестування та оцінки</w:t>
                      </w:r>
                    </w:p>
                  </w:txbxContent>
                </v:textbox>
              </v:rect>
            </w:pict>
          </mc:Fallback>
        </mc:AlternateContent>
      </w:r>
      <w:r>
        <w:rPr>
          <w:noProof/>
        </w:rPr>
        <mc:AlternateContent>
          <mc:Choice Requires="wps">
            <w:drawing>
              <wp:anchor distT="0" distB="0" distL="114300" distR="114300" simplePos="0" relativeHeight="251646976" behindDoc="0" locked="0" layoutInCell="1" allowOverlap="1" wp14:anchorId="66E6B1F6" wp14:editId="2B452566">
                <wp:simplePos x="0" y="0"/>
                <wp:positionH relativeFrom="column">
                  <wp:posOffset>3058160</wp:posOffset>
                </wp:positionH>
                <wp:positionV relativeFrom="paragraph">
                  <wp:posOffset>3398520</wp:posOffset>
                </wp:positionV>
                <wp:extent cx="430530" cy="207010"/>
                <wp:effectExtent l="0" t="0" r="7620" b="2540"/>
                <wp:wrapNone/>
                <wp:docPr id="789757437" name="Прямокутник 20"/>
                <wp:cNvGraphicFramePr/>
                <a:graphic xmlns:a="http://schemas.openxmlformats.org/drawingml/2006/main">
                  <a:graphicData uri="http://schemas.microsoft.com/office/word/2010/wordprocessingShape">
                    <wps:wsp>
                      <wps:cNvSpPr/>
                      <wps:spPr>
                        <a:xfrm>
                          <a:off x="0" y="0"/>
                          <a:ext cx="430530" cy="207010"/>
                        </a:xfrm>
                        <a:prstGeom prst="rect">
                          <a:avLst/>
                        </a:prstGeom>
                        <a:solidFill>
                          <a:srgbClr val="FDD3D5"/>
                        </a:solidFill>
                      </wps:spPr>
                      <wps:txbx>
                        <w:txbxContent>
                          <w:p w14:paraId="33F6E828" w14:textId="77777777" w:rsidR="009D0C1D" w:rsidRPr="00272AC7" w:rsidRDefault="009D0C1D" w:rsidP="005816C2">
                            <w:pPr>
                              <w:rPr>
                                <w:rFonts w:ascii="Century Gothic" w:eastAsia="+mn-ea" w:hAnsi="Century Gothic" w:cs="+mn-cs"/>
                                <w:b/>
                                <w:bCs/>
                                <w:color w:val="343433"/>
                                <w:kern w:val="24"/>
                                <w:sz w:val="7"/>
                                <w:szCs w:val="8"/>
                              </w:rPr>
                            </w:pPr>
                            <w:r w:rsidRPr="00272AC7">
                              <w:rPr>
                                <w:rFonts w:ascii="Century Gothic" w:hAnsi="Century Gothic"/>
                                <w:b/>
                                <w:color w:val="343433"/>
                                <w:sz w:val="7"/>
                                <w:szCs w:val="18"/>
                              </w:rPr>
                              <w:t>Дотримуватися</w:t>
                            </w:r>
                          </w:p>
                          <w:p w14:paraId="2235132F" w14:textId="77777777" w:rsidR="009D0C1D" w:rsidRPr="00272AC7" w:rsidRDefault="009D0C1D" w:rsidP="005816C2">
                            <w:pPr>
                              <w:rPr>
                                <w:rFonts w:ascii="Century Gothic" w:eastAsia="+mn-ea" w:hAnsi="Century Gothic" w:cs="+mn-cs"/>
                                <w:b/>
                                <w:bCs/>
                                <w:color w:val="343433"/>
                                <w:kern w:val="24"/>
                                <w:sz w:val="7"/>
                                <w:szCs w:val="8"/>
                              </w:rPr>
                            </w:pPr>
                            <w:r w:rsidRPr="00272AC7">
                              <w:rPr>
                                <w:rFonts w:ascii="Century Gothic" w:hAnsi="Century Gothic"/>
                                <w:b/>
                                <w:color w:val="343433"/>
                                <w:sz w:val="7"/>
                                <w:szCs w:val="18"/>
                              </w:rPr>
                              <w:t>Алгоритму</w:t>
                            </w:r>
                          </w:p>
                        </w:txbxContent>
                      </wps:txbx>
                      <wps:bodyPr wrap="square" lIns="0" tIns="0" rIns="0" bIns="0">
                        <a:noAutofit/>
                      </wps:bodyPr>
                    </wps:wsp>
                  </a:graphicData>
                </a:graphic>
                <wp14:sizeRelH relativeFrom="margin">
                  <wp14:pctWidth>0</wp14:pctWidth>
                </wp14:sizeRelH>
              </wp:anchor>
            </w:drawing>
          </mc:Choice>
          <mc:Fallback>
            <w:pict>
              <v:rect w14:anchorId="66E6B1F6" id="_x0000_s1310" style="position:absolute;margin-left:240.8pt;margin-top:267.6pt;width:33.9pt;height:16.3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" fillcolor="#fdd3d5" stroked="f">
                <v:textbox inset="0,0,0,0">
                  <w:txbxContent>
                    <w:p w14:paraId="33F6E828" w14:textId="77777777" w:rsidR="009D0C1D" w:rsidRPr="00272AC7" w:rsidRDefault="009D0C1D" w:rsidP="005816C2">
                      <w:pPr>
                        <w:rPr>
                          <w:rFonts w:ascii="Century Gothic" w:eastAsia="+mn-ea" w:hAnsi="Century Gothic" w:cs="+mn-cs"/>
                          <w:b/>
                          <w:bCs/>
                          <w:color w:val="343433"/>
                          <w:kern w:val="24"/>
                          <w:sz w:val="7"/>
                          <w:szCs w:val="8"/>
                        </w:rPr>
                      </w:pPr>
                      <w:r w:rsidRPr="00272AC7">
                        <w:rPr>
                          <w:rFonts w:ascii="Century Gothic" w:hAnsi="Century Gothic"/>
                          <w:b/>
                          <w:color w:val="343433"/>
                          <w:sz w:val="7"/>
                          <w:szCs w:val="18"/>
                        </w:rPr>
                        <w:t>Дотримуватися</w:t>
                      </w:r>
                    </w:p>
                    <w:p w14:paraId="2235132F" w14:textId="77777777" w:rsidR="009D0C1D" w:rsidRPr="00272AC7" w:rsidRDefault="009D0C1D" w:rsidP="005816C2">
                      <w:pPr>
                        <w:rPr>
                          <w:rFonts w:ascii="Century Gothic" w:eastAsia="+mn-ea" w:hAnsi="Century Gothic" w:cs="+mn-cs"/>
                          <w:b/>
                          <w:bCs/>
                          <w:color w:val="343433"/>
                          <w:kern w:val="24"/>
                          <w:sz w:val="7"/>
                          <w:szCs w:val="8"/>
                        </w:rPr>
                      </w:pPr>
                      <w:r w:rsidRPr="00272AC7">
                        <w:rPr>
                          <w:rFonts w:ascii="Century Gothic" w:hAnsi="Century Gothic"/>
                          <w:b/>
                          <w:color w:val="343433"/>
                          <w:sz w:val="7"/>
                          <w:szCs w:val="18"/>
                        </w:rPr>
                        <w:t>Алгоритму</w:t>
                      </w:r>
                    </w:p>
                  </w:txbxContent>
                </v:textbox>
              </v:rect>
            </w:pict>
          </mc:Fallback>
        </mc:AlternateContent>
      </w:r>
      <w:r>
        <w:rPr>
          <w:noProof/>
        </w:rPr>
        <mc:AlternateContent>
          <mc:Choice Requires="wps">
            <w:drawing>
              <wp:anchor distT="0" distB="0" distL="114300" distR="114300" simplePos="0" relativeHeight="251645952" behindDoc="0" locked="0" layoutInCell="1" allowOverlap="1" wp14:anchorId="6A621462" wp14:editId="48681DBB">
                <wp:simplePos x="0" y="0"/>
                <wp:positionH relativeFrom="column">
                  <wp:posOffset>3050540</wp:posOffset>
                </wp:positionH>
                <wp:positionV relativeFrom="paragraph">
                  <wp:posOffset>2804160</wp:posOffset>
                </wp:positionV>
                <wp:extent cx="762000" cy="520065"/>
                <wp:effectExtent l="0" t="0" r="0" b="0"/>
                <wp:wrapNone/>
                <wp:docPr id="226947478" name="Прямокутник 19"/>
                <wp:cNvGraphicFramePr/>
                <a:graphic xmlns:a="http://schemas.openxmlformats.org/drawingml/2006/main">
                  <a:graphicData uri="http://schemas.microsoft.com/office/word/2010/wordprocessingShape">
                    <wps:wsp>
                      <wps:cNvSpPr/>
                      <wps:spPr>
                        <a:xfrm>
                          <a:off x="0" y="0"/>
                          <a:ext cx="762000" cy="520065"/>
                        </a:xfrm>
                        <a:prstGeom prst="rect">
                          <a:avLst/>
                        </a:prstGeom>
                        <a:solidFill>
                          <a:srgbClr val="FDD3D5"/>
                        </a:solidFill>
                      </wps:spPr>
                      <wps:txbx>
                        <w:txbxContent>
                          <w:p w14:paraId="3C3CFBBF" w14:textId="77777777" w:rsidR="009D0C1D" w:rsidRPr="00272AC7" w:rsidRDefault="009D0C1D" w:rsidP="005816C2">
                            <w:pPr>
                              <w:spacing w:line="228" w:lineRule="auto"/>
                              <w:rPr>
                                <w:rFonts w:ascii="Century Gothic" w:eastAsia="+mn-ea" w:hAnsi="Century Gothic" w:cs="+mn-cs"/>
                                <w:color w:val="343433"/>
                                <w:kern w:val="24"/>
                                <w:sz w:val="11"/>
                                <w:szCs w:val="11"/>
                              </w:rPr>
                            </w:pPr>
                            <w:r w:rsidRPr="00272AC7">
                              <w:rPr>
                                <w:rFonts w:ascii="Century Gothic" w:hAnsi="Century Gothic"/>
                                <w:color w:val="343433"/>
                                <w:sz w:val="11"/>
                                <w:szCs w:val="22"/>
                              </w:rPr>
                              <w:t xml:space="preserve">Вводити </w:t>
                            </w:r>
                            <w:r w:rsidRPr="00272AC7">
                              <w:rPr>
                                <w:rFonts w:ascii="Century Gothic" w:hAnsi="Century Gothic"/>
                                <w:b/>
                                <w:color w:val="343433"/>
                                <w:sz w:val="11"/>
                                <w:szCs w:val="22"/>
                              </w:rPr>
                              <w:t xml:space="preserve">схему лікування МЛС-ТБ </w:t>
                            </w:r>
                            <w:r w:rsidRPr="00272AC7">
                              <w:rPr>
                                <w:rFonts w:ascii="Century Gothic" w:hAnsi="Century Gothic"/>
                                <w:color w:val="343433"/>
                                <w:sz w:val="11"/>
                                <w:szCs w:val="22"/>
                              </w:rPr>
                              <w:t>відповідно до національних керівних принципів</w:t>
                            </w:r>
                            <w:r w:rsidRPr="00272AC7">
                              <w:rPr>
                                <w:rFonts w:ascii="Century Gothic" w:hAnsi="Century Gothic"/>
                                <w:b/>
                                <w:color w:val="0099D6"/>
                                <w:sz w:val="14"/>
                                <w:szCs w:val="22"/>
                                <w:vertAlign w:val="superscript"/>
                              </w:rPr>
                              <w:t>q</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A621462" id="_x0000_s1311" style="position:absolute;margin-left:240.2pt;margin-top:220.8pt;width:60pt;height:40.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" fillcolor="#fdd3d5" stroked="f">
                <v:textbox inset="0,0,0,0">
                  <w:txbxContent>
                    <w:p w14:paraId="3C3CFBBF" w14:textId="77777777" w:rsidR="009D0C1D" w:rsidRPr="00272AC7" w:rsidRDefault="009D0C1D" w:rsidP="005816C2">
                      <w:pPr>
                        <w:spacing w:line="228" w:lineRule="auto"/>
                        <w:rPr>
                          <w:rFonts w:ascii="Century Gothic" w:eastAsia="+mn-ea" w:hAnsi="Century Gothic" w:cs="+mn-cs"/>
                          <w:color w:val="343433"/>
                          <w:kern w:val="24"/>
                          <w:sz w:val="11"/>
                          <w:szCs w:val="11"/>
                        </w:rPr>
                      </w:pPr>
                      <w:r w:rsidRPr="00272AC7">
                        <w:rPr>
                          <w:rFonts w:ascii="Century Gothic" w:hAnsi="Century Gothic"/>
                          <w:color w:val="343433"/>
                          <w:sz w:val="11"/>
                          <w:szCs w:val="22"/>
                        </w:rPr>
                        <w:t xml:space="preserve">Вводити </w:t>
                      </w:r>
                      <w:r w:rsidRPr="00272AC7">
                        <w:rPr>
                          <w:rFonts w:ascii="Century Gothic" w:hAnsi="Century Gothic"/>
                          <w:b/>
                          <w:color w:val="343433"/>
                          <w:sz w:val="11"/>
                          <w:szCs w:val="22"/>
                        </w:rPr>
                        <w:t xml:space="preserve">схему лікування МЛС-ТБ </w:t>
                      </w:r>
                      <w:r w:rsidRPr="00272AC7">
                        <w:rPr>
                          <w:rFonts w:ascii="Century Gothic" w:hAnsi="Century Gothic"/>
                          <w:color w:val="343433"/>
                          <w:sz w:val="11"/>
                          <w:szCs w:val="22"/>
                        </w:rPr>
                        <w:t>відповідно до національних керівних принципів</w:t>
                      </w:r>
                      <w:r w:rsidRPr="00272AC7">
                        <w:rPr>
                          <w:rFonts w:ascii="Century Gothic" w:hAnsi="Century Gothic"/>
                          <w:b/>
                          <w:color w:val="0099D6"/>
                          <w:sz w:val="14"/>
                          <w:szCs w:val="22"/>
                          <w:vertAlign w:val="superscript"/>
                        </w:rPr>
                        <w:t>q</w:t>
                      </w:r>
                    </w:p>
                  </w:txbxContent>
                </v:textbox>
              </v:rect>
            </w:pict>
          </mc:Fallback>
        </mc:AlternateContent>
      </w:r>
      <w:r>
        <w:rPr>
          <w:noProof/>
        </w:rPr>
        <mc:AlternateContent>
          <mc:Choice Requires="wps">
            <w:drawing>
              <wp:anchor distT="0" distB="0" distL="114300" distR="114300" simplePos="0" relativeHeight="251644928" behindDoc="0" locked="0" layoutInCell="1" allowOverlap="1" wp14:anchorId="4BD997D2" wp14:editId="2C25CA32">
                <wp:simplePos x="0" y="0"/>
                <wp:positionH relativeFrom="column">
                  <wp:posOffset>3968749</wp:posOffset>
                </wp:positionH>
                <wp:positionV relativeFrom="paragraph">
                  <wp:posOffset>2145029</wp:posOffset>
                </wp:positionV>
                <wp:extent cx="360045" cy="107315"/>
                <wp:effectExtent l="0" t="0" r="1905" b="6985"/>
                <wp:wrapNone/>
                <wp:docPr id="1606690923" name="Прямокутник 18"/>
                <wp:cNvGraphicFramePr/>
                <a:graphic xmlns:a="http://schemas.openxmlformats.org/drawingml/2006/main">
                  <a:graphicData uri="http://schemas.microsoft.com/office/word/2010/wordprocessingShape">
                    <wps:wsp>
                      <wps:cNvSpPr/>
                      <wps:spPr>
                        <a:xfrm>
                          <a:off x="0" y="0"/>
                          <a:ext cx="360045" cy="107315"/>
                        </a:xfrm>
                        <a:prstGeom prst="rect">
                          <a:avLst/>
                        </a:prstGeom>
                        <a:solidFill>
                          <a:srgbClr val="FDD3D5"/>
                        </a:solidFill>
                      </wps:spPr>
                      <wps:txbx>
                        <w:txbxContent>
                          <w:p w14:paraId="41FF83D1"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НИЗЬКИЙ</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BD997D2" id="_x0000_s1312" style="position:absolute;margin-left:312.5pt;margin-top:168.9pt;width:28.35pt;height:8.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" fillcolor="#fdd3d5" stroked="f">
                <v:textbox inset="0,0,0,0">
                  <w:txbxContent>
                    <w:p w14:paraId="41FF83D1"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НИЗЬКИЙ</w:t>
                      </w:r>
                    </w:p>
                  </w:txbxContent>
                </v:textbox>
              </v:rect>
            </w:pict>
          </mc:Fallback>
        </mc:AlternateContent>
      </w:r>
      <w:r>
        <w:rPr>
          <w:noProof/>
        </w:rPr>
        <mc:AlternateContent>
          <mc:Choice Requires="wps">
            <w:drawing>
              <wp:anchor distT="0" distB="0" distL="114300" distR="114300" simplePos="0" relativeHeight="251643904" behindDoc="0" locked="0" layoutInCell="1" allowOverlap="1" wp14:anchorId="06374889" wp14:editId="7B49C978">
                <wp:simplePos x="0" y="0"/>
                <wp:positionH relativeFrom="column">
                  <wp:posOffset>3183890</wp:posOffset>
                </wp:positionH>
                <wp:positionV relativeFrom="paragraph">
                  <wp:posOffset>2152650</wp:posOffset>
                </wp:positionV>
                <wp:extent cx="361950" cy="99695"/>
                <wp:effectExtent l="0" t="0" r="0" b="0"/>
                <wp:wrapNone/>
                <wp:docPr id="1813426866" name="Прямокутник 17"/>
                <wp:cNvGraphicFramePr/>
                <a:graphic xmlns:a="http://schemas.openxmlformats.org/drawingml/2006/main">
                  <a:graphicData uri="http://schemas.microsoft.com/office/word/2010/wordprocessingShape">
                    <wps:wsp>
                      <wps:cNvSpPr/>
                      <wps:spPr>
                        <a:xfrm>
                          <a:off x="0" y="0"/>
                          <a:ext cx="361950" cy="99695"/>
                        </a:xfrm>
                        <a:prstGeom prst="rect">
                          <a:avLst/>
                        </a:prstGeom>
                        <a:solidFill>
                          <a:srgbClr val="FDD3D5"/>
                        </a:solidFill>
                      </wps:spPr>
                      <wps:txbx>
                        <w:txbxContent>
                          <w:p w14:paraId="6E0B4099"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ВИСОКИЙ</w:t>
                            </w:r>
                          </w:p>
                        </w:txbxContent>
                      </wps:txbx>
                      <wps:bodyPr wrap="square" lIns="0" tIns="0" rIns="0" bIns="0">
                        <a:noAutofit/>
                      </wps:bodyPr>
                    </wps:wsp>
                  </a:graphicData>
                </a:graphic>
                <wp14:sizeRelH relativeFrom="margin">
                  <wp14:pctWidth>0</wp14:pctWidth>
                </wp14:sizeRelH>
              </wp:anchor>
            </w:drawing>
          </mc:Choice>
          <mc:Fallback>
            <w:pict>
              <v:rect w14:anchorId="06374889" id="_x0000_s1313" style="position:absolute;margin-left:250.7pt;margin-top:169.5pt;width:28.5pt;height:7.8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" fillcolor="#fdd3d5" stroked="f">
                <v:textbox inset="0,0,0,0">
                  <w:txbxContent>
                    <w:p w14:paraId="6E0B4099"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ВИСОКИЙ</w:t>
                      </w:r>
                    </w:p>
                  </w:txbxContent>
                </v:textbox>
              </v:rect>
            </w:pict>
          </mc:Fallback>
        </mc:AlternateContent>
      </w:r>
      <w:r>
        <w:rPr>
          <w:noProof/>
        </w:rPr>
        <mc:AlternateContent>
          <mc:Choice Requires="wps">
            <w:drawing>
              <wp:anchor distT="0" distB="0" distL="114300" distR="114300" simplePos="0" relativeHeight="251634688" behindDoc="0" locked="0" layoutInCell="1" allowOverlap="1" wp14:anchorId="519F211B" wp14:editId="26211C0C">
                <wp:simplePos x="0" y="0"/>
                <wp:positionH relativeFrom="column">
                  <wp:posOffset>1541780</wp:posOffset>
                </wp:positionH>
                <wp:positionV relativeFrom="paragraph">
                  <wp:posOffset>1813559</wp:posOffset>
                </wp:positionV>
                <wp:extent cx="584835" cy="1517015"/>
                <wp:effectExtent l="0" t="0" r="5715" b="6985"/>
                <wp:wrapNone/>
                <wp:docPr id="1871370783" name="Прямокутник 7"/>
                <wp:cNvGraphicFramePr/>
                <a:graphic xmlns:a="http://schemas.openxmlformats.org/drawingml/2006/main">
                  <a:graphicData uri="http://schemas.microsoft.com/office/word/2010/wordprocessingShape">
                    <wps:wsp>
                      <wps:cNvSpPr/>
                      <wps:spPr>
                        <a:xfrm>
                          <a:off x="0" y="0"/>
                          <a:ext cx="584835" cy="1517015"/>
                        </a:xfrm>
                        <a:prstGeom prst="rect">
                          <a:avLst/>
                        </a:prstGeom>
                        <a:solidFill>
                          <a:srgbClr val="FFFED9"/>
                        </a:solidFill>
                      </wps:spPr>
                      <wps:txbx>
                        <w:txbxContent>
                          <w:p w14:paraId="5D78911B" w14:textId="77777777" w:rsidR="009D0C1D" w:rsidRPr="00272AC7" w:rsidRDefault="009D0C1D" w:rsidP="005816C2">
                            <w:pPr>
                              <w:spacing w:after="42" w:line="220" w:lineRule="auto"/>
                              <w:rPr>
                                <w:rFonts w:ascii="Century Gothic" w:eastAsia="+mn-ea" w:hAnsi="Century Gothic" w:cs="+mn-cs"/>
                                <w:color w:val="343433"/>
                                <w:kern w:val="24"/>
                                <w:sz w:val="10"/>
                                <w:szCs w:val="10"/>
                              </w:rPr>
                            </w:pPr>
                            <w:r w:rsidRPr="00272AC7">
                              <w:rPr>
                                <w:rFonts w:ascii="Century Gothic" w:hAnsi="Century Gothic"/>
                                <w:color w:val="343433"/>
                                <w:sz w:val="10"/>
                                <w:szCs w:val="20"/>
                              </w:rPr>
                              <w:t>Вводити схему лікування препаратами першої лінії відповідно до національних керівних принципів</w:t>
                            </w:r>
                            <w:r w:rsidRPr="00272AC7">
                              <w:rPr>
                                <w:rFonts w:ascii="Century Gothic" w:hAnsi="Century Gothic"/>
                                <w:b/>
                                <w:color w:val="0099D6"/>
                                <w:sz w:val="12"/>
                                <w:szCs w:val="20"/>
                                <w:vertAlign w:val="superscript"/>
                              </w:rPr>
                              <w:t>l</w:t>
                            </w:r>
                          </w:p>
                          <w:p w14:paraId="75639BF0" w14:textId="77777777" w:rsidR="009D0C1D" w:rsidRPr="00272AC7" w:rsidRDefault="009D0C1D" w:rsidP="005816C2">
                            <w:pPr>
                              <w:spacing w:line="216" w:lineRule="auto"/>
                              <w:rPr>
                                <w:rFonts w:ascii="Century Gothic" w:eastAsia="+mn-ea" w:hAnsi="Century Gothic" w:cs="+mn-cs"/>
                                <w:color w:val="343433"/>
                                <w:kern w:val="24"/>
                                <w:sz w:val="10"/>
                                <w:szCs w:val="10"/>
                              </w:rPr>
                            </w:pPr>
                            <w:r w:rsidRPr="00272AC7">
                              <w:rPr>
                                <w:rFonts w:ascii="Century Gothic" w:hAnsi="Century Gothic"/>
                                <w:color w:val="343433"/>
                                <w:sz w:val="10"/>
                                <w:szCs w:val="20"/>
                              </w:rPr>
                              <w:t>Розглянути ТМЧ для INH та інших лікарських засобів у разі високого ризику додаткової резистентності</w:t>
                            </w:r>
                            <w:r w:rsidRPr="00272AC7">
                              <w:rPr>
                                <w:rFonts w:ascii="Century Gothic" w:hAnsi="Century Gothic"/>
                                <w:b/>
                                <w:color w:val="0099D6"/>
                                <w:sz w:val="12"/>
                                <w:szCs w:val="20"/>
                                <w:vertAlign w:val="superscript"/>
                              </w:rPr>
                              <w:t>m</w:t>
                            </w:r>
                          </w:p>
                        </w:txbxContent>
                      </wps:txbx>
                      <wps:bodyPr wrap="square" lIns="0" tIns="0" rIns="0" bIns="0">
                        <a:noAutofit/>
                      </wps:bodyPr>
                    </wps:wsp>
                  </a:graphicData>
                </a:graphic>
                <wp14:sizeRelV relativeFrom="margin">
                  <wp14:pctHeight>0</wp14:pctHeight>
                </wp14:sizeRelV>
              </wp:anchor>
            </w:drawing>
          </mc:Choice>
          <mc:Fallback>
            <w:pict>
              <v:rect w14:anchorId="519F211B" id="_x0000_s1314" style="position:absolute;margin-left:121.4pt;margin-top:142.8pt;width:46.05pt;height:119.4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" fillcolor="#fffed9" stroked="f">
                <v:textbox inset="0,0,0,0">
                  <w:txbxContent>
                    <w:p w14:paraId="5D78911B" w14:textId="77777777" w:rsidR="009D0C1D" w:rsidRPr="00272AC7" w:rsidRDefault="009D0C1D" w:rsidP="005816C2">
                      <w:pPr>
                        <w:spacing w:after="42" w:line="220" w:lineRule="auto"/>
                        <w:rPr>
                          <w:rFonts w:ascii="Century Gothic" w:eastAsia="+mn-ea" w:hAnsi="Century Gothic" w:cs="+mn-cs"/>
                          <w:color w:val="343433"/>
                          <w:kern w:val="24"/>
                          <w:sz w:val="10"/>
                          <w:szCs w:val="10"/>
                        </w:rPr>
                      </w:pPr>
                      <w:r w:rsidRPr="00272AC7">
                        <w:rPr>
                          <w:rFonts w:ascii="Century Gothic" w:hAnsi="Century Gothic"/>
                          <w:color w:val="343433"/>
                          <w:sz w:val="10"/>
                          <w:szCs w:val="20"/>
                        </w:rPr>
                        <w:t>Вводити схему лікування препаратами першої лінії відповідно до національних керівних принципів</w:t>
                      </w:r>
                      <w:r w:rsidRPr="00272AC7">
                        <w:rPr>
                          <w:rFonts w:ascii="Century Gothic" w:hAnsi="Century Gothic"/>
                          <w:b/>
                          <w:color w:val="0099D6"/>
                          <w:sz w:val="12"/>
                          <w:szCs w:val="20"/>
                          <w:vertAlign w:val="superscript"/>
                        </w:rPr>
                        <w:t>l</w:t>
                      </w:r>
                    </w:p>
                    <w:p w14:paraId="75639BF0" w14:textId="77777777" w:rsidR="009D0C1D" w:rsidRPr="00272AC7" w:rsidRDefault="009D0C1D" w:rsidP="005816C2">
                      <w:pPr>
                        <w:spacing w:line="216" w:lineRule="auto"/>
                        <w:rPr>
                          <w:rFonts w:ascii="Century Gothic" w:eastAsia="+mn-ea" w:hAnsi="Century Gothic" w:cs="+mn-cs"/>
                          <w:color w:val="343433"/>
                          <w:kern w:val="24"/>
                          <w:sz w:val="10"/>
                          <w:szCs w:val="10"/>
                        </w:rPr>
                      </w:pPr>
                      <w:r w:rsidRPr="00272AC7">
                        <w:rPr>
                          <w:rFonts w:ascii="Century Gothic" w:hAnsi="Century Gothic"/>
                          <w:color w:val="343433"/>
                          <w:sz w:val="10"/>
                          <w:szCs w:val="20"/>
                        </w:rPr>
                        <w:t>Розглянути ТМЧ для INH та інших лікарських засобів у разі високого ризику додаткової резистентності</w:t>
                      </w:r>
                      <w:r w:rsidRPr="00272AC7">
                        <w:rPr>
                          <w:rFonts w:ascii="Century Gothic" w:hAnsi="Century Gothic"/>
                          <w:b/>
                          <w:color w:val="0099D6"/>
                          <w:sz w:val="12"/>
                          <w:szCs w:val="20"/>
                          <w:vertAlign w:val="superscript"/>
                        </w:rPr>
                        <w:t>m</w:t>
                      </w:r>
                    </w:p>
                  </w:txbxContent>
                </v:textbox>
              </v:rect>
            </w:pict>
          </mc:Fallback>
        </mc:AlternateContent>
      </w:r>
      <w:r>
        <w:rPr>
          <w:noProof/>
        </w:rPr>
        <mc:AlternateContent>
          <mc:Choice Requires="wps">
            <w:drawing>
              <wp:anchor distT="0" distB="0" distL="114300" distR="114300" simplePos="0" relativeHeight="251640832" behindDoc="0" locked="0" layoutInCell="1" allowOverlap="1" wp14:anchorId="151BB512" wp14:editId="5A02AA47">
                <wp:simplePos x="0" y="0"/>
                <wp:positionH relativeFrom="column">
                  <wp:posOffset>1728470</wp:posOffset>
                </wp:positionH>
                <wp:positionV relativeFrom="paragraph">
                  <wp:posOffset>998220</wp:posOffset>
                </wp:positionV>
                <wp:extent cx="1156335" cy="84455"/>
                <wp:effectExtent l="0" t="0" r="5715" b="0"/>
                <wp:wrapNone/>
                <wp:docPr id="555777220" name="Прямокутник 14"/>
                <wp:cNvGraphicFramePr/>
                <a:graphic xmlns:a="http://schemas.openxmlformats.org/drawingml/2006/main">
                  <a:graphicData uri="http://schemas.microsoft.com/office/word/2010/wordprocessingShape">
                    <wps:wsp>
                      <wps:cNvSpPr/>
                      <wps:spPr>
                        <a:xfrm>
                          <a:off x="0" y="0"/>
                          <a:ext cx="1156335" cy="84455"/>
                        </a:xfrm>
                        <a:prstGeom prst="rect">
                          <a:avLst/>
                        </a:prstGeom>
                        <a:solidFill>
                          <a:srgbClr val="FFFAA9"/>
                        </a:solidFill>
                      </wps:spPr>
                      <wps:txbx>
                        <w:txbxContent>
                          <w:p w14:paraId="6860640D" w14:textId="77777777" w:rsidR="009D0C1D" w:rsidRPr="00272AC7" w:rsidRDefault="009D0C1D" w:rsidP="005816C2">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 xml:space="preserve">Резистентність до RIF </w:t>
                            </w:r>
                            <w:r w:rsidRPr="00272AC7">
                              <w:rPr>
                                <w:rFonts w:ascii="Century Gothic" w:hAnsi="Century Gothic"/>
                                <w:b/>
                                <w:i/>
                                <w:color w:val="343433"/>
                                <w:sz w:val="9"/>
                                <w:szCs w:val="20"/>
                              </w:rPr>
                              <w:t>не</w:t>
                            </w:r>
                            <w:r w:rsidRPr="00272AC7">
                              <w:rPr>
                                <w:rFonts w:ascii="Century Gothic" w:hAnsi="Century Gothic"/>
                                <w:b/>
                                <w:color w:val="343433"/>
                                <w:sz w:val="9"/>
                                <w:szCs w:val="20"/>
                              </w:rPr>
                              <w:t xml:space="preserve"> виявлено</w:t>
                            </w:r>
                            <w:r w:rsidRPr="00272AC7">
                              <w:rPr>
                                <w:rFonts w:ascii="Century Gothic" w:hAnsi="Century Gothic"/>
                                <w:b/>
                                <w:color w:val="0099D6"/>
                                <w:sz w:val="9"/>
                                <w:szCs w:val="20"/>
                                <w:vertAlign w:val="superscript"/>
                              </w:rPr>
                              <w:t>h</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51BB512" id="_x0000_s1315" style="position:absolute;margin-left:136.1pt;margin-top:78.6pt;width:91.05pt;height:6.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" fillcolor="#fffaa9" stroked="f">
                <v:textbox inset="0,0,0,0">
                  <w:txbxContent>
                    <w:p w14:paraId="6860640D" w14:textId="77777777" w:rsidR="009D0C1D" w:rsidRPr="00272AC7" w:rsidRDefault="009D0C1D" w:rsidP="005816C2">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 xml:space="preserve">Резистентність до RIF </w:t>
                      </w:r>
                      <w:r w:rsidRPr="00272AC7">
                        <w:rPr>
                          <w:rFonts w:ascii="Century Gothic" w:hAnsi="Century Gothic"/>
                          <w:b/>
                          <w:i/>
                          <w:color w:val="343433"/>
                          <w:sz w:val="9"/>
                          <w:szCs w:val="20"/>
                        </w:rPr>
                        <w:t>не</w:t>
                      </w:r>
                      <w:r w:rsidRPr="00272AC7">
                        <w:rPr>
                          <w:rFonts w:ascii="Century Gothic" w:hAnsi="Century Gothic"/>
                          <w:b/>
                          <w:color w:val="343433"/>
                          <w:sz w:val="9"/>
                          <w:szCs w:val="20"/>
                        </w:rPr>
                        <w:t xml:space="preserve"> виявлено</w:t>
                      </w:r>
                      <w:r w:rsidRPr="00272AC7">
                        <w:rPr>
                          <w:rFonts w:ascii="Century Gothic" w:hAnsi="Century Gothic"/>
                          <w:b/>
                          <w:color w:val="0099D6"/>
                          <w:sz w:val="9"/>
                          <w:szCs w:val="20"/>
                          <w:vertAlign w:val="superscript"/>
                        </w:rPr>
                        <w:t>h</w:t>
                      </w:r>
                    </w:p>
                  </w:txbxContent>
                </v:textbox>
              </v:rect>
            </w:pict>
          </mc:Fallback>
        </mc:AlternateContent>
      </w:r>
      <w:r>
        <w:rPr>
          <w:noProof/>
        </w:rPr>
        <mc:AlternateContent>
          <mc:Choice Requires="wps">
            <w:drawing>
              <wp:anchor distT="0" distB="0" distL="114300" distR="114300" simplePos="0" relativeHeight="251632640" behindDoc="0" locked="0" layoutInCell="1" allowOverlap="1" wp14:anchorId="05378428" wp14:editId="367656B7">
                <wp:simplePos x="0" y="0"/>
                <wp:positionH relativeFrom="column">
                  <wp:posOffset>78740</wp:posOffset>
                </wp:positionH>
                <wp:positionV relativeFrom="paragraph">
                  <wp:posOffset>2899410</wp:posOffset>
                </wp:positionV>
                <wp:extent cx="758190" cy="198120"/>
                <wp:effectExtent l="0" t="0" r="3810" b="0"/>
                <wp:wrapNone/>
                <wp:docPr id="1853979964" name="Прямокутник 5"/>
                <wp:cNvGraphicFramePr/>
                <a:graphic xmlns:a="http://schemas.openxmlformats.org/drawingml/2006/main">
                  <a:graphicData uri="http://schemas.microsoft.com/office/word/2010/wordprocessingShape">
                    <wps:wsp>
                      <wps:cNvSpPr/>
                      <wps:spPr>
                        <a:xfrm>
                          <a:off x="0" y="0"/>
                          <a:ext cx="758190" cy="198120"/>
                        </a:xfrm>
                        <a:prstGeom prst="rect">
                          <a:avLst/>
                        </a:prstGeom>
                        <a:solidFill>
                          <a:srgbClr val="C8EDDC"/>
                        </a:solidFill>
                      </wps:spPr>
                      <wps:txbx>
                        <w:txbxContent>
                          <w:p w14:paraId="3AE490F2" w14:textId="77777777" w:rsidR="009D0C1D" w:rsidRPr="00272AC7" w:rsidRDefault="009D0C1D" w:rsidP="005816C2">
                            <w:pPr>
                              <w:rPr>
                                <w:rFonts w:ascii="Century Gothic" w:eastAsia="+mn-ea" w:hAnsi="Century Gothic" w:cs="+mn-cs"/>
                                <w:color w:val="343433"/>
                                <w:kern w:val="24"/>
                                <w:sz w:val="12"/>
                                <w:szCs w:val="12"/>
                              </w:rPr>
                            </w:pPr>
                            <w:r w:rsidRPr="00272AC7">
                              <w:rPr>
                                <w:rFonts w:ascii="Century Gothic" w:hAnsi="Century Gothic"/>
                                <w:color w:val="343433"/>
                                <w:sz w:val="12"/>
                                <w:szCs w:val="22"/>
                              </w:rPr>
                              <w:t>Дотримуватися Алгоритму</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5378428" id="_x0000_s1316" style="position:absolute;margin-left:6.2pt;margin-top:228.3pt;width:59.7pt;height:15.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" fillcolor="#c8eddc" stroked="f">
                <v:textbox inset="0,0,0,0">
                  <w:txbxContent>
                    <w:p w14:paraId="3AE490F2" w14:textId="77777777" w:rsidR="009D0C1D" w:rsidRPr="00272AC7" w:rsidRDefault="009D0C1D" w:rsidP="005816C2">
                      <w:pPr>
                        <w:rPr>
                          <w:rFonts w:ascii="Century Gothic" w:eastAsia="+mn-ea" w:hAnsi="Century Gothic" w:cs="+mn-cs"/>
                          <w:color w:val="343433"/>
                          <w:kern w:val="24"/>
                          <w:sz w:val="12"/>
                          <w:szCs w:val="12"/>
                        </w:rPr>
                      </w:pPr>
                      <w:r w:rsidRPr="00272AC7">
                        <w:rPr>
                          <w:rFonts w:ascii="Century Gothic" w:hAnsi="Century Gothic"/>
                          <w:color w:val="343433"/>
                          <w:sz w:val="12"/>
                          <w:szCs w:val="22"/>
                        </w:rPr>
                        <w:t>Дотримуватися Алгоритму</w:t>
                      </w:r>
                    </w:p>
                  </w:txbxContent>
                </v:textbox>
              </v:rect>
            </w:pict>
          </mc:Fallback>
        </mc:AlternateContent>
      </w:r>
      <w:r>
        <w:rPr>
          <w:noProof/>
        </w:rPr>
        <mc:AlternateContent>
          <mc:Choice Requires="wps">
            <w:drawing>
              <wp:anchor distT="0" distB="0" distL="114300" distR="114300" simplePos="0" relativeHeight="251630592" behindDoc="0" locked="0" layoutInCell="1" allowOverlap="1" wp14:anchorId="67E35959" wp14:editId="19F8CB80">
                <wp:simplePos x="0" y="0"/>
                <wp:positionH relativeFrom="column">
                  <wp:posOffset>410210</wp:posOffset>
                </wp:positionH>
                <wp:positionV relativeFrom="paragraph">
                  <wp:posOffset>895350</wp:posOffset>
                </wp:positionV>
                <wp:extent cx="853440" cy="103505"/>
                <wp:effectExtent l="0" t="0" r="3810" b="0"/>
                <wp:wrapNone/>
                <wp:docPr id="811198710" name="Прямокутник 3"/>
                <wp:cNvGraphicFramePr/>
                <a:graphic xmlns:a="http://schemas.openxmlformats.org/drawingml/2006/main">
                  <a:graphicData uri="http://schemas.microsoft.com/office/word/2010/wordprocessingShape">
                    <wps:wsp>
                      <wps:cNvSpPr/>
                      <wps:spPr>
                        <a:xfrm>
                          <a:off x="0" y="0"/>
                          <a:ext cx="853440" cy="103505"/>
                        </a:xfrm>
                        <a:prstGeom prst="rect">
                          <a:avLst/>
                        </a:prstGeom>
                        <a:solidFill>
                          <a:srgbClr val="8BD1AD"/>
                        </a:solidFill>
                      </wps:spPr>
                      <wps:txbx>
                        <w:txbxContent>
                          <w:p w14:paraId="2309BA6E" w14:textId="77777777" w:rsidR="009D0C1D" w:rsidRPr="00272AC7" w:rsidRDefault="009D0C1D" w:rsidP="005816C2">
                            <w:pPr>
                              <w:rPr>
                                <w:rFonts w:ascii="Century Gothic" w:eastAsia="+mn-ea" w:hAnsi="Century Gothic" w:cs="+mn-cs"/>
                                <w:b/>
                                <w:bCs/>
                                <w:color w:val="343433"/>
                                <w:kern w:val="24"/>
                                <w:sz w:val="10"/>
                                <w:szCs w:val="10"/>
                              </w:rPr>
                            </w:pPr>
                            <w:r w:rsidRPr="00272AC7">
                              <w:rPr>
                                <w:rFonts w:ascii="Century Gothic" w:hAnsi="Century Gothic"/>
                                <w:b/>
                                <w:color w:val="343433"/>
                                <w:sz w:val="10"/>
                                <w:szCs w:val="10"/>
                              </w:rPr>
                              <w:t xml:space="preserve">MTBC </w:t>
                            </w:r>
                            <w:r w:rsidRPr="00272AC7">
                              <w:rPr>
                                <w:rFonts w:ascii="Century Gothic" w:hAnsi="Century Gothic"/>
                                <w:b/>
                                <w:i/>
                                <w:color w:val="343433"/>
                                <w:sz w:val="10"/>
                                <w:szCs w:val="10"/>
                              </w:rPr>
                              <w:t>не</w:t>
                            </w:r>
                            <w:r w:rsidRPr="00272AC7">
                              <w:rPr>
                                <w:rFonts w:ascii="Century Gothic" w:hAnsi="Century Gothic"/>
                                <w:b/>
                                <w:color w:val="343433"/>
                                <w:sz w:val="10"/>
                                <w:szCs w:val="10"/>
                              </w:rPr>
                              <w:t xml:space="preserve"> виявлено</w:t>
                            </w:r>
                          </w:p>
                        </w:txbxContent>
                      </wps:txbx>
                      <wps:bodyPr wrap="square" lIns="0" tIns="0" rIns="0" bIns="0">
                        <a:noAutofit/>
                      </wps:bodyPr>
                    </wps:wsp>
                  </a:graphicData>
                </a:graphic>
                <wp14:sizeRelH relativeFrom="margin">
                  <wp14:pctWidth>0</wp14:pctWidth>
                </wp14:sizeRelH>
              </wp:anchor>
            </w:drawing>
          </mc:Choice>
          <mc:Fallback>
            <w:pict>
              <v:rect w14:anchorId="67E35959" id="_x0000_s1317" style="position:absolute;margin-left:32.3pt;margin-top:70.5pt;width:67.2pt;height:8.1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" fillcolor="#8bd1ad" stroked="f">
                <v:textbox inset="0,0,0,0">
                  <w:txbxContent>
                    <w:p w14:paraId="2309BA6E" w14:textId="77777777" w:rsidR="009D0C1D" w:rsidRPr="00272AC7" w:rsidRDefault="009D0C1D" w:rsidP="005816C2">
                      <w:pPr>
                        <w:rPr>
                          <w:rFonts w:ascii="Century Gothic" w:eastAsia="+mn-ea" w:hAnsi="Century Gothic" w:cs="+mn-cs"/>
                          <w:b/>
                          <w:bCs/>
                          <w:color w:val="343433"/>
                          <w:kern w:val="24"/>
                          <w:sz w:val="10"/>
                          <w:szCs w:val="10"/>
                        </w:rPr>
                      </w:pPr>
                      <w:r w:rsidRPr="00272AC7">
                        <w:rPr>
                          <w:rFonts w:ascii="Century Gothic" w:hAnsi="Century Gothic"/>
                          <w:b/>
                          <w:color w:val="343433"/>
                          <w:sz w:val="10"/>
                          <w:szCs w:val="10"/>
                        </w:rPr>
                        <w:t xml:space="preserve">MTBC </w:t>
                      </w:r>
                      <w:r w:rsidRPr="00272AC7">
                        <w:rPr>
                          <w:rFonts w:ascii="Century Gothic" w:hAnsi="Century Gothic"/>
                          <w:b/>
                          <w:i/>
                          <w:color w:val="343433"/>
                          <w:sz w:val="10"/>
                          <w:szCs w:val="10"/>
                        </w:rPr>
                        <w:t>не</w:t>
                      </w:r>
                      <w:r w:rsidRPr="00272AC7">
                        <w:rPr>
                          <w:rFonts w:ascii="Century Gothic" w:hAnsi="Century Gothic"/>
                          <w:b/>
                          <w:color w:val="343433"/>
                          <w:sz w:val="10"/>
                          <w:szCs w:val="10"/>
                        </w:rPr>
                        <w:t xml:space="preserve"> виявлено</w:t>
                      </w:r>
                    </w:p>
                  </w:txbxContent>
                </v:textbox>
              </v:rect>
            </w:pict>
          </mc:Fallback>
        </mc:AlternateContent>
      </w:r>
      <w:r w:rsidR="00B97539">
        <w:rPr>
          <w:noProof/>
        </w:rPr>
        <mc:AlternateContent>
          <mc:Choice Requires="wps">
            <w:drawing>
              <wp:anchor distT="0" distB="0" distL="114300" distR="114300" simplePos="0" relativeHeight="251658240" behindDoc="0" locked="0" layoutInCell="1" allowOverlap="1" wp14:anchorId="5D2D0215" wp14:editId="6FD0019D">
                <wp:simplePos x="0" y="0"/>
                <wp:positionH relativeFrom="column">
                  <wp:posOffset>3335655</wp:posOffset>
                </wp:positionH>
                <wp:positionV relativeFrom="paragraph">
                  <wp:posOffset>4272915</wp:posOffset>
                </wp:positionV>
                <wp:extent cx="947420" cy="299720"/>
                <wp:effectExtent l="0" t="0" r="5080" b="5080"/>
                <wp:wrapNone/>
                <wp:docPr id="1283771993" name="Прямокутник 31"/>
                <wp:cNvGraphicFramePr/>
                <a:graphic xmlns:a="http://schemas.openxmlformats.org/drawingml/2006/main">
                  <a:graphicData uri="http://schemas.microsoft.com/office/word/2010/wordprocessingShape">
                    <wps:wsp>
                      <wps:cNvSpPr/>
                      <wps:spPr>
                        <a:xfrm>
                          <a:off x="0" y="0"/>
                          <a:ext cx="947420" cy="299720"/>
                        </a:xfrm>
                        <a:prstGeom prst="rect">
                          <a:avLst/>
                        </a:prstGeom>
                        <a:solidFill>
                          <a:srgbClr val="FDD3D5"/>
                        </a:solidFill>
                      </wps:spPr>
                      <wps:txbx>
                        <w:txbxContent>
                          <w:p w14:paraId="0F0E71EC"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Повторити тест mWRD зі свіжим зразком</w:t>
                            </w:r>
                            <w:r w:rsidRPr="00272AC7">
                              <w:rPr>
                                <w:rFonts w:ascii="Century Gothic" w:hAnsi="Century Gothic"/>
                                <w:b/>
                                <w:color w:val="0099D6"/>
                                <w:sz w:val="12"/>
                                <w:szCs w:val="20"/>
                                <w:vertAlign w:val="superscript"/>
                              </w:rPr>
                              <w:t>o</w:t>
                            </w:r>
                          </w:p>
                        </w:txbxContent>
                      </wps:txbx>
                      <wps:bodyPr wrap="square" lIns="0" tIns="0" rIns="0" bIns="0">
                        <a:noAutofit/>
                      </wps:bodyPr>
                    </wps:wsp>
                  </a:graphicData>
                </a:graphic>
                <wp14:sizeRelV relativeFrom="margin">
                  <wp14:pctHeight>0</wp14:pctHeight>
                </wp14:sizeRelV>
              </wp:anchor>
            </w:drawing>
          </mc:Choice>
          <mc:Fallback>
            <w:pict>
              <v:rect w14:anchorId="5D2D0215" id="_x0000_s1318" style="position:absolute;margin-left:262.65pt;margin-top:336.45pt;width:74.6pt;height:23.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" fillcolor="#fdd3d5" stroked="f">
                <v:textbox inset="0,0,0,0">
                  <w:txbxContent>
                    <w:p w14:paraId="0F0E71EC"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Повторити тест mWRD зі свіжим зразком</w:t>
                      </w:r>
                      <w:r w:rsidRPr="00272AC7">
                        <w:rPr>
                          <w:rFonts w:ascii="Century Gothic" w:hAnsi="Century Gothic"/>
                          <w:b/>
                          <w:color w:val="0099D6"/>
                          <w:sz w:val="12"/>
                          <w:szCs w:val="20"/>
                          <w:vertAlign w:val="superscript"/>
                        </w:rPr>
                        <w:t>o</w:t>
                      </w:r>
                    </w:p>
                  </w:txbxContent>
                </v:textbox>
              </v:rect>
            </w:pict>
          </mc:Fallback>
        </mc:AlternateContent>
      </w:r>
      <w:r w:rsidR="00B97539">
        <w:rPr>
          <w:noProof/>
        </w:rPr>
        <mc:AlternateContent>
          <mc:Choice Requires="wps">
            <w:drawing>
              <wp:anchor distT="0" distB="0" distL="114300" distR="114300" simplePos="0" relativeHeight="251639808" behindDoc="0" locked="0" layoutInCell="1" allowOverlap="1" wp14:anchorId="44279768" wp14:editId="3B2EF919">
                <wp:simplePos x="0" y="0"/>
                <wp:positionH relativeFrom="column">
                  <wp:posOffset>1796526</wp:posOffset>
                </wp:positionH>
                <wp:positionV relativeFrom="paragraph">
                  <wp:posOffset>800010</wp:posOffset>
                </wp:positionV>
                <wp:extent cx="1078865" cy="199348"/>
                <wp:effectExtent l="0" t="0" r="6985" b="0"/>
                <wp:wrapNone/>
                <wp:docPr id="1330302404" name="Прямокутник 13"/>
                <wp:cNvGraphicFramePr/>
                <a:graphic xmlns:a="http://schemas.openxmlformats.org/drawingml/2006/main">
                  <a:graphicData uri="http://schemas.microsoft.com/office/word/2010/wordprocessingShape">
                    <wps:wsp>
                      <wps:cNvSpPr/>
                      <wps:spPr>
                        <a:xfrm>
                          <a:off x="0" y="0"/>
                          <a:ext cx="1078865" cy="199348"/>
                        </a:xfrm>
                        <a:prstGeom prst="rect">
                          <a:avLst/>
                        </a:prstGeom>
                        <a:solidFill>
                          <a:srgbClr val="FFFAA9"/>
                        </a:solidFill>
                      </wps:spPr>
                      <wps:txbx>
                        <w:txbxContent>
                          <w:p w14:paraId="64261E3E" w14:textId="77777777" w:rsidR="009D0C1D" w:rsidRPr="00272AC7" w:rsidRDefault="009D0C1D" w:rsidP="005816C2">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MTBC виявлено (у разі Ultra немає слідового результату)</w:t>
                            </w:r>
                            <w:r w:rsidRPr="00272AC7">
                              <w:rPr>
                                <w:rFonts w:ascii="Century Gothic" w:hAnsi="Century Gothic"/>
                                <w:b/>
                                <w:color w:val="0099D6"/>
                                <w:sz w:val="9"/>
                                <w:szCs w:val="20"/>
                                <w:vertAlign w:val="superscript"/>
                              </w:rPr>
                              <w:t>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4279768" id="_x0000_s1319" style="position:absolute;margin-left:141.45pt;margin-top:63pt;width:84.95pt;height:15.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" fillcolor="#fffaa9" stroked="f">
                <v:textbox inset="0,0,0,0">
                  <w:txbxContent>
                    <w:p w14:paraId="64261E3E" w14:textId="77777777" w:rsidR="009D0C1D" w:rsidRPr="00272AC7" w:rsidRDefault="009D0C1D" w:rsidP="005816C2">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MTBC виявлено (у разі Ultra немає слідового результату)</w:t>
                      </w:r>
                      <w:r w:rsidRPr="00272AC7">
                        <w:rPr>
                          <w:rFonts w:ascii="Century Gothic" w:hAnsi="Century Gothic"/>
                          <w:b/>
                          <w:color w:val="0099D6"/>
                          <w:sz w:val="9"/>
                          <w:szCs w:val="20"/>
                          <w:vertAlign w:val="superscript"/>
                        </w:rPr>
                        <w:t>g</w:t>
                      </w:r>
                    </w:p>
                  </w:txbxContent>
                </v:textbox>
              </v:rect>
            </w:pict>
          </mc:Fallback>
        </mc:AlternateContent>
      </w:r>
      <w:r w:rsidR="00B97539">
        <w:rPr>
          <w:noProof/>
        </w:rPr>
        <mc:AlternateContent>
          <mc:Choice Requires="wps">
            <w:drawing>
              <wp:anchor distT="0" distB="0" distL="114300" distR="114300" simplePos="0" relativeHeight="251636736" behindDoc="0" locked="0" layoutInCell="1" allowOverlap="1" wp14:anchorId="3348ADE0" wp14:editId="3C6AB261">
                <wp:simplePos x="0" y="0"/>
                <wp:positionH relativeFrom="column">
                  <wp:posOffset>2289175</wp:posOffset>
                </wp:positionH>
                <wp:positionV relativeFrom="paragraph">
                  <wp:posOffset>1517650</wp:posOffset>
                </wp:positionV>
                <wp:extent cx="596265" cy="266700"/>
                <wp:effectExtent l="0" t="0" r="0" b="0"/>
                <wp:wrapNone/>
                <wp:docPr id="1730002995" name="Прямокутник 9"/>
                <wp:cNvGraphicFramePr/>
                <a:graphic xmlns:a="http://schemas.openxmlformats.org/drawingml/2006/main">
                  <a:graphicData uri="http://schemas.microsoft.com/office/word/2010/wordprocessingShape">
                    <wps:wsp>
                      <wps:cNvSpPr/>
                      <wps:spPr>
                        <a:xfrm>
                          <a:off x="0" y="0"/>
                          <a:ext cx="596265" cy="266700"/>
                        </a:xfrm>
                        <a:prstGeom prst="rect">
                          <a:avLst/>
                        </a:prstGeom>
                        <a:solidFill>
                          <a:srgbClr val="FFFED9"/>
                        </a:solidFill>
                      </wps:spPr>
                      <wps:txbx>
                        <w:txbxContent>
                          <w:p w14:paraId="1531A97E" w14:textId="77777777" w:rsidR="009D0C1D" w:rsidRPr="00272AC7" w:rsidRDefault="009D0C1D" w:rsidP="005816C2">
                            <w:pPr>
                              <w:rPr>
                                <w:rFonts w:ascii="Century Gothic" w:eastAsia="+mn-ea" w:hAnsi="Century Gothic" w:cs="+mn-cs"/>
                                <w:b/>
                                <w:bCs/>
                                <w:color w:val="343433"/>
                                <w:kern w:val="24"/>
                                <w:sz w:val="10"/>
                                <w:szCs w:val="10"/>
                              </w:rPr>
                            </w:pPr>
                            <w:r w:rsidRPr="00272AC7">
                              <w:rPr>
                                <w:rFonts w:ascii="Century Gothic" w:hAnsi="Century Gothic"/>
                                <w:b/>
                                <w:color w:val="343433"/>
                                <w:sz w:val="10"/>
                                <w:szCs w:val="20"/>
                              </w:rPr>
                              <w:t>Резистентність до INH</w:t>
                            </w:r>
                            <w:r w:rsidRPr="00272AC7">
                              <w:rPr>
                                <w:rFonts w:ascii="Century Gothic" w:hAnsi="Century Gothic"/>
                                <w:b/>
                                <w:color w:val="0099D6"/>
                                <w:sz w:val="12"/>
                                <w:szCs w:val="20"/>
                                <w:vertAlign w:val="superscript"/>
                              </w:rPr>
                              <w:t>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348ADE0" id="_x0000_s1320" style="position:absolute;margin-left:180.25pt;margin-top:119.5pt;width:46.95pt;height:2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" fillcolor="#fffed9" stroked="f">
                <v:textbox inset="0,0,0,0">
                  <w:txbxContent>
                    <w:p w14:paraId="1531A97E" w14:textId="77777777" w:rsidR="009D0C1D" w:rsidRPr="00272AC7" w:rsidRDefault="009D0C1D" w:rsidP="005816C2">
                      <w:pPr>
                        <w:rPr>
                          <w:rFonts w:ascii="Century Gothic" w:eastAsia="+mn-ea" w:hAnsi="Century Gothic" w:cs="+mn-cs"/>
                          <w:b/>
                          <w:bCs/>
                          <w:color w:val="343433"/>
                          <w:kern w:val="24"/>
                          <w:sz w:val="10"/>
                          <w:szCs w:val="10"/>
                        </w:rPr>
                      </w:pPr>
                      <w:r w:rsidRPr="00272AC7">
                        <w:rPr>
                          <w:rFonts w:ascii="Century Gothic" w:hAnsi="Century Gothic"/>
                          <w:b/>
                          <w:color w:val="343433"/>
                          <w:sz w:val="10"/>
                          <w:szCs w:val="20"/>
                        </w:rPr>
                        <w:t>Резистентність до INH</w:t>
                      </w:r>
                      <w:r w:rsidRPr="00272AC7">
                        <w:rPr>
                          <w:rFonts w:ascii="Century Gothic" w:hAnsi="Century Gothic"/>
                          <w:b/>
                          <w:color w:val="0099D6"/>
                          <w:sz w:val="12"/>
                          <w:szCs w:val="20"/>
                          <w:vertAlign w:val="superscript"/>
                        </w:rPr>
                        <w:t>t</w:t>
                      </w:r>
                    </w:p>
                  </w:txbxContent>
                </v:textbox>
              </v:rect>
            </w:pict>
          </mc:Fallback>
        </mc:AlternateContent>
      </w:r>
      <w:r w:rsidR="00B97539">
        <w:rPr>
          <w:noProof/>
        </w:rPr>
        <mc:AlternateContent>
          <mc:Choice Requires="wps">
            <w:drawing>
              <wp:anchor distT="0" distB="0" distL="114300" distR="114300" simplePos="0" relativeHeight="251633664" behindDoc="0" locked="0" layoutInCell="1" allowOverlap="1" wp14:anchorId="46F29C0C" wp14:editId="71F224A1">
                <wp:simplePos x="0" y="0"/>
                <wp:positionH relativeFrom="column">
                  <wp:posOffset>1549239</wp:posOffset>
                </wp:positionH>
                <wp:positionV relativeFrom="paragraph">
                  <wp:posOffset>1518920</wp:posOffset>
                </wp:positionV>
                <wp:extent cx="581660" cy="298450"/>
                <wp:effectExtent l="0" t="0" r="8890" b="6350"/>
                <wp:wrapNone/>
                <wp:docPr id="1815932018" name="Прямокутник 6"/>
                <wp:cNvGraphicFramePr/>
                <a:graphic xmlns:a="http://schemas.openxmlformats.org/drawingml/2006/main">
                  <a:graphicData uri="http://schemas.microsoft.com/office/word/2010/wordprocessingShape">
                    <wps:wsp>
                      <wps:cNvSpPr/>
                      <wps:spPr>
                        <a:xfrm>
                          <a:off x="0" y="0"/>
                          <a:ext cx="581660" cy="298450"/>
                        </a:xfrm>
                        <a:prstGeom prst="rect">
                          <a:avLst/>
                        </a:prstGeom>
                        <a:solidFill>
                          <a:srgbClr val="FFFED9"/>
                        </a:solidFill>
                      </wps:spPr>
                      <wps:txbx>
                        <w:txbxContent>
                          <w:p w14:paraId="2FE98FBF" w14:textId="77777777" w:rsidR="009D0C1D" w:rsidRPr="00272AC7" w:rsidRDefault="009D0C1D" w:rsidP="005816C2">
                            <w:pPr>
                              <w:spacing w:line="220" w:lineRule="auto"/>
                              <w:rPr>
                                <w:rFonts w:ascii="Century Gothic" w:eastAsia="+mn-ea" w:hAnsi="Century Gothic" w:cs="+mn-cs"/>
                                <w:b/>
                                <w:bCs/>
                                <w:color w:val="343433"/>
                                <w:kern w:val="24"/>
                                <w:sz w:val="12"/>
                                <w:szCs w:val="12"/>
                              </w:rPr>
                            </w:pPr>
                            <w:r w:rsidRPr="00272AC7">
                              <w:rPr>
                                <w:rFonts w:ascii="Century Gothic" w:hAnsi="Century Gothic"/>
                                <w:b/>
                                <w:color w:val="343433"/>
                                <w:sz w:val="12"/>
                                <w:szCs w:val="22"/>
                              </w:rPr>
                              <w:t>Чутливість до INH або невідомо</w:t>
                            </w:r>
                          </w:p>
                        </w:txbxContent>
                      </wps:txbx>
                      <wps:bodyPr wrap="square" lIns="0" tIns="0" rIns="0" bIns="0">
                        <a:noAutofit/>
                      </wps:bodyPr>
                    </wps:wsp>
                  </a:graphicData>
                </a:graphic>
              </wp:anchor>
            </w:drawing>
          </mc:Choice>
          <mc:Fallback>
            <w:pict>
              <v:rect w14:anchorId="46F29C0C" id="_x0000_s1321" style="position:absolute;margin-left:122pt;margin-top:119.6pt;width:45.8pt;height:23.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" fillcolor="#fffed9" stroked="f">
                <v:textbox inset="0,0,0,0">
                  <w:txbxContent>
                    <w:p w14:paraId="2FE98FBF" w14:textId="77777777" w:rsidR="009D0C1D" w:rsidRPr="00272AC7" w:rsidRDefault="009D0C1D" w:rsidP="005816C2">
                      <w:pPr>
                        <w:spacing w:line="220" w:lineRule="auto"/>
                        <w:rPr>
                          <w:rFonts w:ascii="Century Gothic" w:eastAsia="+mn-ea" w:hAnsi="Century Gothic" w:cs="+mn-cs"/>
                          <w:b/>
                          <w:bCs/>
                          <w:color w:val="343433"/>
                          <w:kern w:val="24"/>
                          <w:sz w:val="12"/>
                          <w:szCs w:val="12"/>
                        </w:rPr>
                      </w:pPr>
                      <w:r w:rsidRPr="00272AC7">
                        <w:rPr>
                          <w:rFonts w:ascii="Century Gothic" w:hAnsi="Century Gothic"/>
                          <w:b/>
                          <w:color w:val="343433"/>
                          <w:sz w:val="12"/>
                          <w:szCs w:val="22"/>
                        </w:rPr>
                        <w:t>Чутливість до INH або невідомо</w:t>
                      </w:r>
                    </w:p>
                  </w:txbxContent>
                </v:textbox>
              </v:rect>
            </w:pict>
          </mc:Fallback>
        </mc:AlternateContent>
      </w:r>
      <w:r w:rsidR="00B97539">
        <w:rPr>
          <w:noProof/>
        </w:rPr>
        <mc:AlternateContent>
          <mc:Choice Requires="wps">
            <w:drawing>
              <wp:anchor distT="0" distB="0" distL="114300" distR="114300" simplePos="0" relativeHeight="251635712" behindDoc="0" locked="0" layoutInCell="1" allowOverlap="1" wp14:anchorId="21167D2E" wp14:editId="43E13051">
                <wp:simplePos x="0" y="0"/>
                <wp:positionH relativeFrom="column">
                  <wp:posOffset>1554954</wp:posOffset>
                </wp:positionH>
                <wp:positionV relativeFrom="paragraph">
                  <wp:posOffset>3317240</wp:posOffset>
                </wp:positionV>
                <wp:extent cx="426720" cy="206375"/>
                <wp:effectExtent l="0" t="0" r="0" b="3175"/>
                <wp:wrapNone/>
                <wp:docPr id="535129550" name="Прямокутник 8"/>
                <wp:cNvGraphicFramePr/>
                <a:graphic xmlns:a="http://schemas.openxmlformats.org/drawingml/2006/main">
                  <a:graphicData uri="http://schemas.microsoft.com/office/word/2010/wordprocessingShape">
                    <wps:wsp>
                      <wps:cNvSpPr/>
                      <wps:spPr>
                        <a:xfrm>
                          <a:off x="0" y="0"/>
                          <a:ext cx="426720" cy="206375"/>
                        </a:xfrm>
                        <a:prstGeom prst="rect">
                          <a:avLst/>
                        </a:prstGeom>
                        <a:solidFill>
                          <a:srgbClr val="FFFED9"/>
                        </a:solidFill>
                      </wps:spPr>
                      <wps:txbx>
                        <w:txbxContent>
                          <w:p w14:paraId="163C89CE" w14:textId="77777777" w:rsidR="009D0C1D" w:rsidRPr="00272AC7" w:rsidRDefault="009D0C1D" w:rsidP="005816C2">
                            <w:pPr>
                              <w:rPr>
                                <w:rFonts w:ascii="Century Gothic" w:eastAsia="+mn-ea" w:hAnsi="Century Gothic" w:cs="+mn-cs"/>
                                <w:color w:val="343433"/>
                                <w:kern w:val="24"/>
                                <w:sz w:val="8"/>
                                <w:szCs w:val="8"/>
                              </w:rPr>
                            </w:pPr>
                            <w:r w:rsidRPr="00272AC7">
                              <w:rPr>
                                <w:rFonts w:ascii="Century Gothic" w:hAnsi="Century Gothic"/>
                                <w:color w:val="343433"/>
                                <w:sz w:val="8"/>
                                <w:szCs w:val="18"/>
                              </w:rPr>
                              <w:t>Дотримуватися</w:t>
                            </w:r>
                          </w:p>
                          <w:p w14:paraId="2B7F61BA" w14:textId="77777777" w:rsidR="009D0C1D" w:rsidRPr="00272AC7" w:rsidRDefault="009D0C1D" w:rsidP="005816C2">
                            <w:pPr>
                              <w:spacing w:line="220" w:lineRule="auto"/>
                              <w:rPr>
                                <w:rFonts w:ascii="Century Gothic" w:eastAsia="+mn-ea" w:hAnsi="Century Gothic" w:cs="+mn-cs"/>
                                <w:color w:val="343433"/>
                                <w:kern w:val="24"/>
                                <w:sz w:val="8"/>
                                <w:szCs w:val="8"/>
                              </w:rPr>
                            </w:pPr>
                            <w:r w:rsidRPr="00272AC7">
                              <w:rPr>
                                <w:rFonts w:ascii="Century Gothic" w:hAnsi="Century Gothic"/>
                                <w:color w:val="343433"/>
                                <w:sz w:val="8"/>
                                <w:szCs w:val="18"/>
                              </w:rPr>
                              <w:t>Алгоритму</w:t>
                            </w:r>
                          </w:p>
                        </w:txbxContent>
                      </wps:txbx>
                      <wps:bodyPr wrap="square" lIns="0" tIns="0" rIns="0" bIns="0">
                        <a:noAutofit/>
                      </wps:bodyPr>
                    </wps:wsp>
                  </a:graphicData>
                </a:graphic>
              </wp:anchor>
            </w:drawing>
          </mc:Choice>
          <mc:Fallback>
            <w:pict>
              <v:rect w14:anchorId="21167D2E" id="_x0000_s1322" style="position:absolute;margin-left:122.45pt;margin-top:261.2pt;width:33.6pt;height:16.2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" fillcolor="#fffed9" stroked="f">
                <v:textbox inset="0,0,0,0">
                  <w:txbxContent>
                    <w:p w14:paraId="163C89CE" w14:textId="77777777" w:rsidR="009D0C1D" w:rsidRPr="00272AC7" w:rsidRDefault="009D0C1D" w:rsidP="005816C2">
                      <w:pPr>
                        <w:rPr>
                          <w:rFonts w:ascii="Century Gothic" w:eastAsia="+mn-ea" w:hAnsi="Century Gothic" w:cs="+mn-cs"/>
                          <w:color w:val="343433"/>
                          <w:kern w:val="24"/>
                          <w:sz w:val="8"/>
                          <w:szCs w:val="8"/>
                        </w:rPr>
                      </w:pPr>
                      <w:r w:rsidRPr="00272AC7">
                        <w:rPr>
                          <w:rFonts w:ascii="Century Gothic" w:hAnsi="Century Gothic"/>
                          <w:color w:val="343433"/>
                          <w:sz w:val="8"/>
                          <w:szCs w:val="18"/>
                        </w:rPr>
                        <w:t>Дотримуватися</w:t>
                      </w:r>
                    </w:p>
                    <w:p w14:paraId="2B7F61BA" w14:textId="77777777" w:rsidR="009D0C1D" w:rsidRPr="00272AC7" w:rsidRDefault="009D0C1D" w:rsidP="005816C2">
                      <w:pPr>
                        <w:spacing w:line="220" w:lineRule="auto"/>
                        <w:rPr>
                          <w:rFonts w:ascii="Century Gothic" w:eastAsia="+mn-ea" w:hAnsi="Century Gothic" w:cs="+mn-cs"/>
                          <w:color w:val="343433"/>
                          <w:kern w:val="24"/>
                          <w:sz w:val="8"/>
                          <w:szCs w:val="8"/>
                        </w:rPr>
                      </w:pPr>
                      <w:r w:rsidRPr="00272AC7">
                        <w:rPr>
                          <w:rFonts w:ascii="Century Gothic" w:hAnsi="Century Gothic"/>
                          <w:color w:val="343433"/>
                          <w:sz w:val="8"/>
                          <w:szCs w:val="18"/>
                        </w:rPr>
                        <w:t>Алгоритму</w:t>
                      </w:r>
                    </w:p>
                  </w:txbxContent>
                </v:textbox>
              </v:rect>
            </w:pict>
          </mc:Fallback>
        </mc:AlternateContent>
      </w:r>
      <w:r w:rsidR="00B97539">
        <w:rPr>
          <w:noProof/>
        </w:rPr>
        <mc:AlternateContent>
          <mc:Choice Requires="wps">
            <w:drawing>
              <wp:anchor distT="0" distB="0" distL="114300" distR="114300" simplePos="0" relativeHeight="251638784" behindDoc="0" locked="0" layoutInCell="1" allowOverlap="1" wp14:anchorId="48447874" wp14:editId="310761E0">
                <wp:simplePos x="0" y="0"/>
                <wp:positionH relativeFrom="column">
                  <wp:posOffset>2292824</wp:posOffset>
                </wp:positionH>
                <wp:positionV relativeFrom="paragraph">
                  <wp:posOffset>3122295</wp:posOffset>
                </wp:positionV>
                <wp:extent cx="432435" cy="206375"/>
                <wp:effectExtent l="0" t="0" r="5715" b="3175"/>
                <wp:wrapNone/>
                <wp:docPr id="1540357179" name="Прямокутник 11"/>
                <wp:cNvGraphicFramePr/>
                <a:graphic xmlns:a="http://schemas.openxmlformats.org/drawingml/2006/main">
                  <a:graphicData uri="http://schemas.microsoft.com/office/word/2010/wordprocessingShape">
                    <wps:wsp>
                      <wps:cNvSpPr/>
                      <wps:spPr>
                        <a:xfrm>
                          <a:off x="0" y="0"/>
                          <a:ext cx="432435" cy="206375"/>
                        </a:xfrm>
                        <a:prstGeom prst="rect">
                          <a:avLst/>
                        </a:prstGeom>
                        <a:solidFill>
                          <a:srgbClr val="FFFED9"/>
                        </a:solidFill>
                      </wps:spPr>
                      <wps:txbx>
                        <w:txbxContent>
                          <w:p w14:paraId="70D6EB47" w14:textId="77777777" w:rsidR="009D0C1D" w:rsidRPr="00272AC7" w:rsidRDefault="009D0C1D" w:rsidP="005816C2">
                            <w:pPr>
                              <w:rPr>
                                <w:rFonts w:ascii="Century Gothic" w:eastAsia="+mn-ea" w:hAnsi="Century Gothic" w:cs="+mn-cs"/>
                                <w:color w:val="343433"/>
                                <w:kern w:val="24"/>
                                <w:sz w:val="8"/>
                                <w:szCs w:val="8"/>
                              </w:rPr>
                            </w:pPr>
                            <w:r w:rsidRPr="00272AC7">
                              <w:rPr>
                                <w:rFonts w:ascii="Century Gothic" w:hAnsi="Century Gothic"/>
                                <w:color w:val="343433"/>
                                <w:sz w:val="8"/>
                                <w:szCs w:val="18"/>
                              </w:rPr>
                              <w:t>Дотримуватися</w:t>
                            </w:r>
                          </w:p>
                          <w:p w14:paraId="000CF3A4" w14:textId="77777777" w:rsidR="009D0C1D" w:rsidRPr="00272AC7" w:rsidRDefault="009D0C1D" w:rsidP="005816C2">
                            <w:pPr>
                              <w:spacing w:line="220" w:lineRule="auto"/>
                              <w:rPr>
                                <w:rFonts w:ascii="Century Gothic" w:eastAsia="+mn-ea" w:hAnsi="Century Gothic" w:cs="+mn-cs"/>
                                <w:color w:val="343433"/>
                                <w:kern w:val="24"/>
                                <w:sz w:val="8"/>
                                <w:szCs w:val="8"/>
                              </w:rPr>
                            </w:pPr>
                            <w:r w:rsidRPr="00272AC7">
                              <w:rPr>
                                <w:rFonts w:ascii="Century Gothic" w:hAnsi="Century Gothic"/>
                                <w:color w:val="343433"/>
                                <w:sz w:val="8"/>
                                <w:szCs w:val="18"/>
                              </w:rPr>
                              <w:t>Алгоритму</w:t>
                            </w:r>
                          </w:p>
                        </w:txbxContent>
                      </wps:txbx>
                      <wps:bodyPr wrap="square" lIns="0" tIns="0" rIns="0" bIns="0">
                        <a:noAutofit/>
                      </wps:bodyPr>
                    </wps:wsp>
                  </a:graphicData>
                </a:graphic>
                <wp14:sizeRelV relativeFrom="margin">
                  <wp14:pctHeight>0</wp14:pctHeight>
                </wp14:sizeRelV>
              </wp:anchor>
            </w:drawing>
          </mc:Choice>
          <mc:Fallback>
            <w:pict>
              <v:rect w14:anchorId="48447874" id="_x0000_s1323" style="position:absolute;margin-left:180.55pt;margin-top:245.85pt;width:34.05pt;height:16.2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" fillcolor="#fffed9" stroked="f">
                <v:textbox inset="0,0,0,0">
                  <w:txbxContent>
                    <w:p w14:paraId="70D6EB47" w14:textId="77777777" w:rsidR="009D0C1D" w:rsidRPr="00272AC7" w:rsidRDefault="009D0C1D" w:rsidP="005816C2">
                      <w:pPr>
                        <w:rPr>
                          <w:rFonts w:ascii="Century Gothic" w:eastAsia="+mn-ea" w:hAnsi="Century Gothic" w:cs="+mn-cs"/>
                          <w:color w:val="343433"/>
                          <w:kern w:val="24"/>
                          <w:sz w:val="8"/>
                          <w:szCs w:val="8"/>
                        </w:rPr>
                      </w:pPr>
                      <w:r w:rsidRPr="00272AC7">
                        <w:rPr>
                          <w:rFonts w:ascii="Century Gothic" w:hAnsi="Century Gothic"/>
                          <w:color w:val="343433"/>
                          <w:sz w:val="8"/>
                          <w:szCs w:val="18"/>
                        </w:rPr>
                        <w:t>Дотримуватися</w:t>
                      </w:r>
                    </w:p>
                    <w:p w14:paraId="000CF3A4" w14:textId="77777777" w:rsidR="009D0C1D" w:rsidRPr="00272AC7" w:rsidRDefault="009D0C1D" w:rsidP="005816C2">
                      <w:pPr>
                        <w:spacing w:line="220" w:lineRule="auto"/>
                        <w:rPr>
                          <w:rFonts w:ascii="Century Gothic" w:eastAsia="+mn-ea" w:hAnsi="Century Gothic" w:cs="+mn-cs"/>
                          <w:color w:val="343433"/>
                          <w:kern w:val="24"/>
                          <w:sz w:val="8"/>
                          <w:szCs w:val="8"/>
                        </w:rPr>
                      </w:pPr>
                      <w:r w:rsidRPr="00272AC7">
                        <w:rPr>
                          <w:rFonts w:ascii="Century Gothic" w:hAnsi="Century Gothic"/>
                          <w:color w:val="343433"/>
                          <w:sz w:val="8"/>
                          <w:szCs w:val="18"/>
                        </w:rPr>
                        <w:t>Алгоритму</w:t>
                      </w:r>
                    </w:p>
                  </w:txbxContent>
                </v:textbox>
              </v:rect>
            </w:pict>
          </mc:Fallback>
        </mc:AlternateContent>
      </w:r>
      <w:r w:rsidR="00B97539">
        <w:rPr>
          <w:noProof/>
        </w:rPr>
        <mc:AlternateContent>
          <mc:Choice Requires="wps">
            <w:drawing>
              <wp:anchor distT="0" distB="0" distL="114300" distR="114300" simplePos="0" relativeHeight="251637760" behindDoc="0" locked="0" layoutInCell="1" allowOverlap="1" wp14:anchorId="5CB6CDFF" wp14:editId="44A1CEF3">
                <wp:simplePos x="0" y="0"/>
                <wp:positionH relativeFrom="column">
                  <wp:posOffset>2283934</wp:posOffset>
                </wp:positionH>
                <wp:positionV relativeFrom="paragraph">
                  <wp:posOffset>1784350</wp:posOffset>
                </wp:positionV>
                <wp:extent cx="535940" cy="1339850"/>
                <wp:effectExtent l="0" t="0" r="0" b="0"/>
                <wp:wrapNone/>
                <wp:docPr id="1972340996" name="Прямокутник 10"/>
                <wp:cNvGraphicFramePr/>
                <a:graphic xmlns:a="http://schemas.openxmlformats.org/drawingml/2006/main">
                  <a:graphicData uri="http://schemas.microsoft.com/office/word/2010/wordprocessingShape">
                    <wps:wsp>
                      <wps:cNvSpPr/>
                      <wps:spPr>
                        <a:xfrm>
                          <a:off x="0" y="0"/>
                          <a:ext cx="535940" cy="1339850"/>
                        </a:xfrm>
                        <a:prstGeom prst="rect">
                          <a:avLst/>
                        </a:prstGeom>
                        <a:solidFill>
                          <a:srgbClr val="FFFED9"/>
                        </a:solidFill>
                      </wps:spPr>
                      <wps:txbx>
                        <w:txbxContent>
                          <w:p w14:paraId="0AC0B74E" w14:textId="77777777" w:rsidR="009D0C1D" w:rsidRPr="00272AC7" w:rsidRDefault="009D0C1D" w:rsidP="005816C2">
                            <w:pPr>
                              <w:spacing w:after="42" w:line="220" w:lineRule="auto"/>
                              <w:rPr>
                                <w:rFonts w:ascii="Century Gothic" w:eastAsia="+mn-ea" w:hAnsi="Century Gothic" w:cs="+mn-cs"/>
                                <w:color w:val="343433"/>
                                <w:kern w:val="24"/>
                                <w:sz w:val="10"/>
                                <w:szCs w:val="10"/>
                              </w:rPr>
                            </w:pPr>
                            <w:r w:rsidRPr="00272AC7">
                              <w:rPr>
                                <w:rFonts w:ascii="Century Gothic" w:hAnsi="Century Gothic"/>
                                <w:color w:val="343433"/>
                                <w:sz w:val="10"/>
                                <w:szCs w:val="20"/>
                              </w:rPr>
                              <w:t>Ввести схему лікування Нрез-ТБ</w:t>
                            </w:r>
                          </w:p>
                          <w:p w14:paraId="1E44DE11" w14:textId="77777777" w:rsidR="009D0C1D" w:rsidRPr="00272AC7" w:rsidRDefault="009D0C1D" w:rsidP="005816C2">
                            <w:pPr>
                              <w:spacing w:line="220" w:lineRule="auto"/>
                              <w:rPr>
                                <w:rFonts w:ascii="Century Gothic" w:eastAsia="+mn-ea" w:hAnsi="Century Gothic" w:cs="+mn-cs"/>
                                <w:color w:val="343433"/>
                                <w:kern w:val="24"/>
                                <w:sz w:val="10"/>
                                <w:szCs w:val="10"/>
                              </w:rPr>
                            </w:pPr>
                            <w:r w:rsidRPr="00272AC7">
                              <w:rPr>
                                <w:rFonts w:ascii="Century Gothic" w:hAnsi="Century Gothic"/>
                                <w:color w:val="343433"/>
                                <w:sz w:val="10"/>
                                <w:szCs w:val="20"/>
                              </w:rPr>
                              <w:t>Розглянути включення високих доз ізоніазиду до схеми лікування Нрез-ТБ у разі виявлення резистентності низького рівня</w:t>
                            </w:r>
                          </w:p>
                        </w:txbxContent>
                      </wps:txbx>
                      <wps:bodyPr wrap="square" lIns="0" tIns="0" rIns="0" bIns="0">
                        <a:noAutofit/>
                      </wps:bodyPr>
                    </wps:wsp>
                  </a:graphicData>
                </a:graphic>
                <wp14:sizeRelV relativeFrom="margin">
                  <wp14:pctHeight>0</wp14:pctHeight>
                </wp14:sizeRelV>
              </wp:anchor>
            </w:drawing>
          </mc:Choice>
          <mc:Fallback>
            <w:pict>
              <v:rect w14:anchorId="5CB6CDFF" id="_x0000_s1324" style="position:absolute;margin-left:179.85pt;margin-top:140.5pt;width:42.2pt;height:105.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" fillcolor="#fffed9" stroked="f">
                <v:textbox inset="0,0,0,0">
                  <w:txbxContent>
                    <w:p w14:paraId="0AC0B74E" w14:textId="77777777" w:rsidR="009D0C1D" w:rsidRPr="00272AC7" w:rsidRDefault="009D0C1D" w:rsidP="005816C2">
                      <w:pPr>
                        <w:spacing w:after="42" w:line="220" w:lineRule="auto"/>
                        <w:rPr>
                          <w:rFonts w:ascii="Century Gothic" w:eastAsia="+mn-ea" w:hAnsi="Century Gothic" w:cs="+mn-cs"/>
                          <w:color w:val="343433"/>
                          <w:kern w:val="24"/>
                          <w:sz w:val="10"/>
                          <w:szCs w:val="10"/>
                        </w:rPr>
                      </w:pPr>
                      <w:r w:rsidRPr="00272AC7">
                        <w:rPr>
                          <w:rFonts w:ascii="Century Gothic" w:hAnsi="Century Gothic"/>
                          <w:color w:val="343433"/>
                          <w:sz w:val="10"/>
                          <w:szCs w:val="20"/>
                        </w:rPr>
                        <w:t>Ввести схему лікування Нрез-ТБ</w:t>
                      </w:r>
                    </w:p>
                    <w:p w14:paraId="1E44DE11" w14:textId="77777777" w:rsidR="009D0C1D" w:rsidRPr="00272AC7" w:rsidRDefault="009D0C1D" w:rsidP="005816C2">
                      <w:pPr>
                        <w:spacing w:line="220" w:lineRule="auto"/>
                        <w:rPr>
                          <w:rFonts w:ascii="Century Gothic" w:eastAsia="+mn-ea" w:hAnsi="Century Gothic" w:cs="+mn-cs"/>
                          <w:color w:val="343433"/>
                          <w:kern w:val="24"/>
                          <w:sz w:val="10"/>
                          <w:szCs w:val="10"/>
                        </w:rPr>
                      </w:pPr>
                      <w:r w:rsidRPr="00272AC7">
                        <w:rPr>
                          <w:rFonts w:ascii="Century Gothic" w:hAnsi="Century Gothic"/>
                          <w:color w:val="343433"/>
                          <w:sz w:val="10"/>
                          <w:szCs w:val="20"/>
                        </w:rPr>
                        <w:t>Розглянути включення високих доз ізоніазиду до схеми лікування Нрез-ТБ у разі виявлення резистентності низького рівня</w:t>
                      </w:r>
                    </w:p>
                  </w:txbxContent>
                </v:textbox>
              </v:rect>
            </w:pict>
          </mc:Fallback>
        </mc:AlternateContent>
      </w:r>
      <w:r w:rsidR="00B97539">
        <w:rPr>
          <w:noProof/>
        </w:rPr>
        <mc:AlternateContent>
          <mc:Choice Requires="wps">
            <w:drawing>
              <wp:anchor distT="0" distB="0" distL="114300" distR="114300" simplePos="0" relativeHeight="251652096" behindDoc="0" locked="0" layoutInCell="1" allowOverlap="1" wp14:anchorId="5CEA0D03" wp14:editId="40C83636">
                <wp:simplePos x="0" y="0"/>
                <wp:positionH relativeFrom="column">
                  <wp:posOffset>4521039</wp:posOffset>
                </wp:positionH>
                <wp:positionV relativeFrom="paragraph">
                  <wp:posOffset>2387600</wp:posOffset>
                </wp:positionV>
                <wp:extent cx="484505" cy="168910"/>
                <wp:effectExtent l="0" t="0" r="0" b="2540"/>
                <wp:wrapNone/>
                <wp:docPr id="130561736" name="Прямокутник 25"/>
                <wp:cNvGraphicFramePr/>
                <a:graphic xmlns:a="http://schemas.openxmlformats.org/drawingml/2006/main">
                  <a:graphicData uri="http://schemas.microsoft.com/office/word/2010/wordprocessingShape">
                    <wps:wsp>
                      <wps:cNvSpPr/>
                      <wps:spPr>
                        <a:xfrm>
                          <a:off x="0" y="0"/>
                          <a:ext cx="484505" cy="168910"/>
                        </a:xfrm>
                        <a:prstGeom prst="rect">
                          <a:avLst/>
                        </a:prstGeom>
                        <a:solidFill>
                          <a:srgbClr val="FFEDCE"/>
                        </a:solidFill>
                      </wps:spPr>
                      <wps:txbx>
                        <w:txbxContent>
                          <w:p w14:paraId="0725FC87" w14:textId="77777777" w:rsidR="009D0C1D" w:rsidRPr="00272AC7" w:rsidRDefault="009D0C1D" w:rsidP="005816C2">
                            <w:pPr>
                              <w:jc w:val="center"/>
                              <w:rPr>
                                <w:rFonts w:ascii="Century Gothic" w:eastAsia="+mn-ea" w:hAnsi="Century Gothic" w:cs="+mn-cs"/>
                                <w:b/>
                                <w:bCs/>
                                <w:color w:val="343433"/>
                                <w:kern w:val="24"/>
                                <w:sz w:val="7"/>
                                <w:szCs w:val="8"/>
                              </w:rPr>
                            </w:pPr>
                            <w:r w:rsidRPr="00272AC7">
                              <w:rPr>
                                <w:rFonts w:ascii="Century Gothic" w:hAnsi="Century Gothic"/>
                                <w:b/>
                                <w:color w:val="343433"/>
                                <w:sz w:val="7"/>
                                <w:szCs w:val="20"/>
                              </w:rPr>
                              <w:t>Резистентність до RIF виявлено</w:t>
                            </w:r>
                          </w:p>
                        </w:txbxContent>
                      </wps:txbx>
                      <wps:bodyPr wrap="square" lIns="0" tIns="0" rIns="0" bIns="0">
                        <a:noAutofit/>
                      </wps:bodyPr>
                    </wps:wsp>
                  </a:graphicData>
                </a:graphic>
              </wp:anchor>
            </w:drawing>
          </mc:Choice>
          <mc:Fallback>
            <w:pict>
              <v:rect w14:anchorId="5CEA0D03" id="_x0000_s1325" style="position:absolute;margin-left:356pt;margin-top:188pt;width:38.15pt;height:13.3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" fillcolor="#ffedce" stroked="f">
                <v:textbox inset="0,0,0,0">
                  <w:txbxContent>
                    <w:p w14:paraId="0725FC87" w14:textId="77777777" w:rsidR="009D0C1D" w:rsidRPr="00272AC7" w:rsidRDefault="009D0C1D" w:rsidP="005816C2">
                      <w:pPr>
                        <w:jc w:val="center"/>
                        <w:rPr>
                          <w:rFonts w:ascii="Century Gothic" w:eastAsia="+mn-ea" w:hAnsi="Century Gothic" w:cs="+mn-cs"/>
                          <w:b/>
                          <w:bCs/>
                          <w:color w:val="343433"/>
                          <w:kern w:val="24"/>
                          <w:sz w:val="7"/>
                          <w:szCs w:val="8"/>
                        </w:rPr>
                      </w:pPr>
                      <w:r w:rsidRPr="00272AC7">
                        <w:rPr>
                          <w:rFonts w:ascii="Century Gothic" w:hAnsi="Century Gothic"/>
                          <w:b/>
                          <w:color w:val="343433"/>
                          <w:sz w:val="7"/>
                          <w:szCs w:val="20"/>
                        </w:rPr>
                        <w:t>Резистентність до RIF виявлено</w:t>
                      </w:r>
                    </w:p>
                  </w:txbxContent>
                </v:textbox>
              </v:rect>
            </w:pict>
          </mc:Fallback>
        </mc:AlternateContent>
      </w:r>
      <w:r w:rsidR="00B97539">
        <w:rPr>
          <w:noProof/>
        </w:rPr>
        <mc:AlternateContent>
          <mc:Choice Requires="wps">
            <w:drawing>
              <wp:anchor distT="0" distB="0" distL="114300" distR="114300" simplePos="0" relativeHeight="251670528" behindDoc="0" locked="0" layoutInCell="1" allowOverlap="1" wp14:anchorId="6D1FF162" wp14:editId="3C45B134">
                <wp:simplePos x="0" y="0"/>
                <wp:positionH relativeFrom="column">
                  <wp:posOffset>7546567</wp:posOffset>
                </wp:positionH>
                <wp:positionV relativeFrom="paragraph">
                  <wp:posOffset>3809146</wp:posOffset>
                </wp:positionV>
                <wp:extent cx="1231265" cy="1296537"/>
                <wp:effectExtent l="0" t="0" r="6985" b="0"/>
                <wp:wrapNone/>
                <wp:docPr id="1683627165" name="Прямокутник 43"/>
                <wp:cNvGraphicFramePr/>
                <a:graphic xmlns:a="http://schemas.openxmlformats.org/drawingml/2006/main">
                  <a:graphicData uri="http://schemas.microsoft.com/office/word/2010/wordprocessingShape">
                    <wps:wsp>
                      <wps:cNvSpPr/>
                      <wps:spPr>
                        <a:xfrm>
                          <a:off x="0" y="0"/>
                          <a:ext cx="1231265" cy="1296537"/>
                        </a:xfrm>
                        <a:prstGeom prst="rect">
                          <a:avLst/>
                        </a:prstGeom>
                        <a:solidFill>
                          <a:srgbClr val="D8CED9"/>
                        </a:solidFill>
                      </wps:spPr>
                      <wps:txbx>
                        <w:txbxContent>
                          <w:p w14:paraId="5FC78770" w14:textId="77777777" w:rsidR="009D0C1D" w:rsidRPr="00272AC7" w:rsidRDefault="009D0C1D" w:rsidP="005816C2">
                            <w:pPr>
                              <w:spacing w:after="84" w:line="223" w:lineRule="auto"/>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Нещодавнє лікування ТБ може призвести до </w:t>
                            </w:r>
                            <w:r w:rsidRPr="00272AC7">
                              <w:rPr>
                                <w:rFonts w:ascii="Century Gothic" w:hAnsi="Century Gothic"/>
                                <w:b/>
                                <w:color w:val="343433"/>
                                <w:sz w:val="9"/>
                                <w:szCs w:val="20"/>
                              </w:rPr>
                              <w:t xml:space="preserve">хибнопозитивного </w:t>
                            </w:r>
                            <w:r w:rsidRPr="00272AC7">
                              <w:rPr>
                                <w:rFonts w:ascii="Century Gothic" w:hAnsi="Century Gothic"/>
                                <w:color w:val="343433"/>
                                <w:sz w:val="9"/>
                                <w:szCs w:val="20"/>
                              </w:rPr>
                              <w:t>результату</w:t>
                            </w:r>
                            <w:r w:rsidRPr="00272AC7">
                              <w:rPr>
                                <w:rFonts w:ascii="Century Gothic" w:hAnsi="Century Gothic"/>
                                <w:b/>
                                <w:color w:val="0099D6"/>
                                <w:sz w:val="12"/>
                                <w:szCs w:val="20"/>
                                <w:vertAlign w:val="superscript"/>
                              </w:rPr>
                              <w:t>s</w:t>
                            </w:r>
                          </w:p>
                          <w:p w14:paraId="04A3AC8E" w14:textId="77777777" w:rsidR="009D0C1D" w:rsidRPr="00272AC7" w:rsidRDefault="009D0C1D" w:rsidP="005816C2">
                            <w:pPr>
                              <w:spacing w:after="84"/>
                              <w:rPr>
                                <w:rFonts w:ascii="Century Gothic" w:eastAsia="+mn-ea" w:hAnsi="Century Gothic" w:cs="+mn-cs"/>
                                <w:b/>
                                <w:bCs/>
                                <w:color w:val="343433"/>
                                <w:kern w:val="24"/>
                                <w:sz w:val="9"/>
                                <w:szCs w:val="9"/>
                              </w:rPr>
                            </w:pPr>
                            <w:r w:rsidRPr="00272AC7">
                              <w:rPr>
                                <w:rFonts w:ascii="Century Gothic" w:hAnsi="Century Gothic"/>
                                <w:b/>
                                <w:color w:val="343433"/>
                                <w:sz w:val="9"/>
                                <w:szCs w:val="20"/>
                              </w:rPr>
                              <w:t>Провести повторну клінічну оцінку</w:t>
                            </w:r>
                            <w:r w:rsidRPr="00272AC7">
                              <w:rPr>
                                <w:rFonts w:ascii="Century Gothic" w:hAnsi="Century Gothic"/>
                                <w:b/>
                                <w:color w:val="0099D6"/>
                                <w:sz w:val="12"/>
                                <w:szCs w:val="20"/>
                                <w:vertAlign w:val="superscript"/>
                              </w:rPr>
                              <w:t>k</w:t>
                            </w:r>
                          </w:p>
                          <w:p w14:paraId="161F8766" w14:textId="77777777" w:rsidR="009D0C1D" w:rsidRPr="00272AC7" w:rsidRDefault="009D0C1D" w:rsidP="005816C2">
                            <w:pPr>
                              <w:spacing w:after="84"/>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Провести </w:t>
                            </w:r>
                            <w:r w:rsidRPr="00272AC7">
                              <w:rPr>
                                <w:rFonts w:ascii="Century Gothic" w:hAnsi="Century Gothic"/>
                                <w:b/>
                                <w:color w:val="343433"/>
                                <w:sz w:val="9"/>
                                <w:szCs w:val="20"/>
                              </w:rPr>
                              <w:t xml:space="preserve">додаткове тестування на наявність ТБ та резистентності до RIF </w:t>
                            </w:r>
                            <w:r w:rsidRPr="00272AC7">
                              <w:rPr>
                                <w:rFonts w:ascii="Century Gothic" w:hAnsi="Century Gothic"/>
                                <w:color w:val="343433"/>
                                <w:sz w:val="9"/>
                                <w:szCs w:val="20"/>
                              </w:rPr>
                              <w:t>відповідно до національних керівних принципів</w:t>
                            </w:r>
                            <w:r w:rsidRPr="00272AC7">
                              <w:rPr>
                                <w:rFonts w:ascii="Century Gothic" w:hAnsi="Century Gothic"/>
                                <w:b/>
                                <w:color w:val="0099D6"/>
                                <w:sz w:val="12"/>
                                <w:szCs w:val="20"/>
                                <w:vertAlign w:val="superscript"/>
                              </w:rPr>
                              <w:t>r</w:t>
                            </w:r>
                          </w:p>
                          <w:p w14:paraId="529A164A" w14:textId="77777777" w:rsidR="009D0C1D" w:rsidRPr="00272AC7" w:rsidRDefault="009D0C1D" w:rsidP="005816C2">
                            <w:pPr>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Використати </w:t>
                            </w:r>
                            <w:r w:rsidRPr="00272AC7">
                              <w:rPr>
                                <w:rFonts w:ascii="Century Gothic" w:hAnsi="Century Gothic"/>
                                <w:b/>
                                <w:color w:val="343433"/>
                                <w:sz w:val="9"/>
                                <w:szCs w:val="20"/>
                              </w:rPr>
                              <w:t xml:space="preserve">клінічне судження </w:t>
                            </w:r>
                            <w:r w:rsidRPr="00272AC7">
                              <w:rPr>
                                <w:rFonts w:ascii="Century Gothic" w:hAnsi="Century Gothic"/>
                                <w:color w:val="343433"/>
                                <w:sz w:val="9"/>
                                <w:szCs w:val="20"/>
                              </w:rPr>
                              <w:t>для прийняття рішень щодо лікування</w:t>
                            </w:r>
                          </w:p>
                        </w:txbxContent>
                      </wps:txbx>
                      <wps:bodyPr wrap="square" lIns="0" tIns="0" rIns="0" bIns="0">
                        <a:noAutofit/>
                      </wps:bodyPr>
                    </wps:wsp>
                  </a:graphicData>
                </a:graphic>
                <wp14:sizeRelV relativeFrom="margin">
                  <wp14:pctHeight>0</wp14:pctHeight>
                </wp14:sizeRelV>
              </wp:anchor>
            </w:drawing>
          </mc:Choice>
          <mc:Fallback>
            <w:pict>
              <v:rect w14:anchorId="6D1FF162" id="_x0000_s1326" style="position:absolute;margin-left:594.2pt;margin-top:299.95pt;width:96.95pt;height:102.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" fillcolor="#d8ced9" stroked="f">
                <v:textbox inset="0,0,0,0">
                  <w:txbxContent>
                    <w:p w14:paraId="5FC78770" w14:textId="77777777" w:rsidR="009D0C1D" w:rsidRPr="00272AC7" w:rsidRDefault="009D0C1D" w:rsidP="005816C2">
                      <w:pPr>
                        <w:spacing w:after="84" w:line="223" w:lineRule="auto"/>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Нещодавнє лікування ТБ може призвести до </w:t>
                      </w:r>
                      <w:r w:rsidRPr="00272AC7">
                        <w:rPr>
                          <w:rFonts w:ascii="Century Gothic" w:hAnsi="Century Gothic"/>
                          <w:b/>
                          <w:color w:val="343433"/>
                          <w:sz w:val="9"/>
                          <w:szCs w:val="20"/>
                        </w:rPr>
                        <w:t xml:space="preserve">хибнопозитивного </w:t>
                      </w:r>
                      <w:r w:rsidRPr="00272AC7">
                        <w:rPr>
                          <w:rFonts w:ascii="Century Gothic" w:hAnsi="Century Gothic"/>
                          <w:color w:val="343433"/>
                          <w:sz w:val="9"/>
                          <w:szCs w:val="20"/>
                        </w:rPr>
                        <w:t>результату</w:t>
                      </w:r>
                      <w:r w:rsidRPr="00272AC7">
                        <w:rPr>
                          <w:rFonts w:ascii="Century Gothic" w:hAnsi="Century Gothic"/>
                          <w:b/>
                          <w:color w:val="0099D6"/>
                          <w:sz w:val="12"/>
                          <w:szCs w:val="20"/>
                          <w:vertAlign w:val="superscript"/>
                        </w:rPr>
                        <w:t>s</w:t>
                      </w:r>
                    </w:p>
                    <w:p w14:paraId="04A3AC8E" w14:textId="77777777" w:rsidR="009D0C1D" w:rsidRPr="00272AC7" w:rsidRDefault="009D0C1D" w:rsidP="005816C2">
                      <w:pPr>
                        <w:spacing w:after="84"/>
                        <w:rPr>
                          <w:rFonts w:ascii="Century Gothic" w:eastAsia="+mn-ea" w:hAnsi="Century Gothic" w:cs="+mn-cs"/>
                          <w:b/>
                          <w:bCs/>
                          <w:color w:val="343433"/>
                          <w:kern w:val="24"/>
                          <w:sz w:val="9"/>
                          <w:szCs w:val="9"/>
                        </w:rPr>
                      </w:pPr>
                      <w:r w:rsidRPr="00272AC7">
                        <w:rPr>
                          <w:rFonts w:ascii="Century Gothic" w:hAnsi="Century Gothic"/>
                          <w:b/>
                          <w:color w:val="343433"/>
                          <w:sz w:val="9"/>
                          <w:szCs w:val="20"/>
                        </w:rPr>
                        <w:t>Провести повторну клінічну оцінку</w:t>
                      </w:r>
                      <w:r w:rsidRPr="00272AC7">
                        <w:rPr>
                          <w:rFonts w:ascii="Century Gothic" w:hAnsi="Century Gothic"/>
                          <w:b/>
                          <w:color w:val="0099D6"/>
                          <w:sz w:val="12"/>
                          <w:szCs w:val="20"/>
                          <w:vertAlign w:val="superscript"/>
                        </w:rPr>
                        <w:t>k</w:t>
                      </w:r>
                    </w:p>
                    <w:p w14:paraId="161F8766" w14:textId="77777777" w:rsidR="009D0C1D" w:rsidRPr="00272AC7" w:rsidRDefault="009D0C1D" w:rsidP="005816C2">
                      <w:pPr>
                        <w:spacing w:after="84"/>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Провести </w:t>
                      </w:r>
                      <w:r w:rsidRPr="00272AC7">
                        <w:rPr>
                          <w:rFonts w:ascii="Century Gothic" w:hAnsi="Century Gothic"/>
                          <w:b/>
                          <w:color w:val="343433"/>
                          <w:sz w:val="9"/>
                          <w:szCs w:val="20"/>
                        </w:rPr>
                        <w:t xml:space="preserve">додаткове тестування на наявність ТБ та резистентності до RIF </w:t>
                      </w:r>
                      <w:r w:rsidRPr="00272AC7">
                        <w:rPr>
                          <w:rFonts w:ascii="Century Gothic" w:hAnsi="Century Gothic"/>
                          <w:color w:val="343433"/>
                          <w:sz w:val="9"/>
                          <w:szCs w:val="20"/>
                        </w:rPr>
                        <w:t>відповідно до національних керівних принципів</w:t>
                      </w:r>
                      <w:r w:rsidRPr="00272AC7">
                        <w:rPr>
                          <w:rFonts w:ascii="Century Gothic" w:hAnsi="Century Gothic"/>
                          <w:b/>
                          <w:color w:val="0099D6"/>
                          <w:sz w:val="12"/>
                          <w:szCs w:val="20"/>
                          <w:vertAlign w:val="superscript"/>
                        </w:rPr>
                        <w:t>r</w:t>
                      </w:r>
                    </w:p>
                    <w:p w14:paraId="529A164A" w14:textId="77777777" w:rsidR="009D0C1D" w:rsidRPr="00272AC7" w:rsidRDefault="009D0C1D" w:rsidP="005816C2">
                      <w:pPr>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Використати </w:t>
                      </w:r>
                      <w:r w:rsidRPr="00272AC7">
                        <w:rPr>
                          <w:rFonts w:ascii="Century Gothic" w:hAnsi="Century Gothic"/>
                          <w:b/>
                          <w:color w:val="343433"/>
                          <w:sz w:val="9"/>
                          <w:szCs w:val="20"/>
                        </w:rPr>
                        <w:t xml:space="preserve">клінічне судження </w:t>
                      </w:r>
                      <w:r w:rsidRPr="00272AC7">
                        <w:rPr>
                          <w:rFonts w:ascii="Century Gothic" w:hAnsi="Century Gothic"/>
                          <w:color w:val="343433"/>
                          <w:sz w:val="9"/>
                          <w:szCs w:val="20"/>
                        </w:rPr>
                        <w:t>для прийняття рішень щодо лікування</w:t>
                      </w:r>
                    </w:p>
                  </w:txbxContent>
                </v:textbox>
              </v:rect>
            </w:pict>
          </mc:Fallback>
        </mc:AlternateContent>
      </w:r>
      <w:r w:rsidR="00B97539">
        <w:rPr>
          <w:noProof/>
        </w:rPr>
        <mc:AlternateContent>
          <mc:Choice Requires="wps">
            <w:drawing>
              <wp:anchor distT="0" distB="0" distL="114300" distR="114300" simplePos="0" relativeHeight="251668480" behindDoc="0" locked="0" layoutInCell="1" allowOverlap="1" wp14:anchorId="5F9A1CAA" wp14:editId="3A6A92D9">
                <wp:simplePos x="0" y="0"/>
                <wp:positionH relativeFrom="column">
                  <wp:posOffset>7526096</wp:posOffset>
                </wp:positionH>
                <wp:positionV relativeFrom="paragraph">
                  <wp:posOffset>1297958</wp:posOffset>
                </wp:positionV>
                <wp:extent cx="1185545" cy="946491"/>
                <wp:effectExtent l="0" t="0" r="0" b="6350"/>
                <wp:wrapNone/>
                <wp:docPr id="1074351524" name="Прямокутник 41"/>
                <wp:cNvGraphicFramePr/>
                <a:graphic xmlns:a="http://schemas.openxmlformats.org/drawingml/2006/main">
                  <a:graphicData uri="http://schemas.microsoft.com/office/word/2010/wordprocessingShape">
                    <wps:wsp>
                      <wps:cNvSpPr/>
                      <wps:spPr>
                        <a:xfrm>
                          <a:off x="0" y="0"/>
                          <a:ext cx="1185545" cy="946491"/>
                        </a:xfrm>
                        <a:prstGeom prst="rect">
                          <a:avLst/>
                        </a:prstGeom>
                        <a:solidFill>
                          <a:srgbClr val="DEDEDE"/>
                        </a:solidFill>
                      </wps:spPr>
                      <wps:txbx>
                        <w:txbxContent>
                          <w:p w14:paraId="5D9F6439" w14:textId="77777777" w:rsidR="009D0C1D" w:rsidRPr="00272AC7" w:rsidRDefault="009D0C1D" w:rsidP="005816C2">
                            <w:pPr>
                              <w:spacing w:after="84"/>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Використати </w:t>
                            </w:r>
                            <w:r w:rsidRPr="00272AC7">
                              <w:rPr>
                                <w:rFonts w:ascii="Century Gothic" w:hAnsi="Century Gothic"/>
                                <w:b/>
                                <w:color w:val="343433"/>
                                <w:sz w:val="9"/>
                                <w:szCs w:val="20"/>
                              </w:rPr>
                              <w:t xml:space="preserve">клінічне судження </w:t>
                            </w:r>
                            <w:r w:rsidRPr="00272AC7">
                              <w:rPr>
                                <w:rFonts w:ascii="Century Gothic" w:hAnsi="Century Gothic"/>
                                <w:color w:val="343433"/>
                                <w:sz w:val="9"/>
                                <w:szCs w:val="20"/>
                              </w:rPr>
                              <w:t>для прийняття рішень щодо лікування</w:t>
                            </w:r>
                          </w:p>
                          <w:p w14:paraId="46D4B7F2" w14:textId="77777777" w:rsidR="009D0C1D" w:rsidRPr="00272AC7" w:rsidRDefault="009D0C1D" w:rsidP="005816C2">
                            <w:pPr>
                              <w:spacing w:after="84"/>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Провести </w:t>
                            </w:r>
                            <w:r w:rsidRPr="00272AC7">
                              <w:rPr>
                                <w:rFonts w:ascii="Century Gothic" w:hAnsi="Century Gothic"/>
                                <w:b/>
                                <w:color w:val="343433"/>
                                <w:sz w:val="9"/>
                                <w:szCs w:val="20"/>
                              </w:rPr>
                              <w:t xml:space="preserve">додаткове тестування для підтвердження або виключення ТБ </w:t>
                            </w:r>
                            <w:r w:rsidRPr="00272AC7">
                              <w:rPr>
                                <w:rFonts w:ascii="Century Gothic" w:hAnsi="Century Gothic"/>
                                <w:color w:val="343433"/>
                                <w:sz w:val="9"/>
                                <w:szCs w:val="20"/>
                              </w:rPr>
                              <w:t>відповідно до національних керівних принципів</w:t>
                            </w:r>
                            <w:r w:rsidRPr="00272AC7">
                              <w:rPr>
                                <w:rFonts w:ascii="Century Gothic" w:hAnsi="Century Gothic"/>
                                <w:b/>
                                <w:color w:val="0099D6"/>
                                <w:sz w:val="12"/>
                                <w:szCs w:val="20"/>
                                <w:vertAlign w:val="superscript"/>
                              </w:rPr>
                              <w:t>k</w:t>
                            </w:r>
                          </w:p>
                          <w:p w14:paraId="69A1A590"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Розглянути повторний тест mWRD</w:t>
                            </w:r>
                            <w:r w:rsidRPr="00272AC7">
                              <w:rPr>
                                <w:rFonts w:ascii="Century Gothic" w:hAnsi="Century Gothic"/>
                                <w:b/>
                                <w:color w:val="0099D6"/>
                                <w:sz w:val="12"/>
                                <w:szCs w:val="20"/>
                                <w:vertAlign w:val="superscript"/>
                              </w:rPr>
                              <w:t>o</w:t>
                            </w:r>
                          </w:p>
                        </w:txbxContent>
                      </wps:txbx>
                      <wps:bodyPr wrap="square" lIns="0" tIns="0" rIns="0" bIns="0">
                        <a:noAutofit/>
                      </wps:bodyPr>
                    </wps:wsp>
                  </a:graphicData>
                </a:graphic>
                <wp14:sizeRelV relativeFrom="margin">
                  <wp14:pctHeight>0</wp14:pctHeight>
                </wp14:sizeRelV>
              </wp:anchor>
            </w:drawing>
          </mc:Choice>
          <mc:Fallback>
            <w:pict>
              <v:rect w14:anchorId="5F9A1CAA" id="_x0000_s1327" style="position:absolute;margin-left:592.6pt;margin-top:102.2pt;width:93.35pt;height:74.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" fillcolor="#dedede" stroked="f">
                <v:textbox inset="0,0,0,0">
                  <w:txbxContent>
                    <w:p w14:paraId="5D9F6439" w14:textId="77777777" w:rsidR="009D0C1D" w:rsidRPr="00272AC7" w:rsidRDefault="009D0C1D" w:rsidP="005816C2">
                      <w:pPr>
                        <w:spacing w:after="84"/>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Використати </w:t>
                      </w:r>
                      <w:r w:rsidRPr="00272AC7">
                        <w:rPr>
                          <w:rFonts w:ascii="Century Gothic" w:hAnsi="Century Gothic"/>
                          <w:b/>
                          <w:color w:val="343433"/>
                          <w:sz w:val="9"/>
                          <w:szCs w:val="20"/>
                        </w:rPr>
                        <w:t xml:space="preserve">клінічне судження </w:t>
                      </w:r>
                      <w:r w:rsidRPr="00272AC7">
                        <w:rPr>
                          <w:rFonts w:ascii="Century Gothic" w:hAnsi="Century Gothic"/>
                          <w:color w:val="343433"/>
                          <w:sz w:val="9"/>
                          <w:szCs w:val="20"/>
                        </w:rPr>
                        <w:t>для прийняття рішень щодо лікування</w:t>
                      </w:r>
                    </w:p>
                    <w:p w14:paraId="46D4B7F2" w14:textId="77777777" w:rsidR="009D0C1D" w:rsidRPr="00272AC7" w:rsidRDefault="009D0C1D" w:rsidP="005816C2">
                      <w:pPr>
                        <w:spacing w:after="84"/>
                        <w:rPr>
                          <w:rFonts w:ascii="Century Gothic" w:eastAsia="+mn-ea" w:hAnsi="Century Gothic" w:cs="+mn-cs"/>
                          <w:color w:val="343433"/>
                          <w:kern w:val="24"/>
                          <w:sz w:val="9"/>
                          <w:szCs w:val="9"/>
                        </w:rPr>
                      </w:pPr>
                      <w:r w:rsidRPr="00272AC7">
                        <w:rPr>
                          <w:rFonts w:ascii="Century Gothic" w:hAnsi="Century Gothic"/>
                          <w:color w:val="343433"/>
                          <w:sz w:val="9"/>
                          <w:szCs w:val="20"/>
                        </w:rPr>
                        <w:t xml:space="preserve">Провести </w:t>
                      </w:r>
                      <w:r w:rsidRPr="00272AC7">
                        <w:rPr>
                          <w:rFonts w:ascii="Century Gothic" w:hAnsi="Century Gothic"/>
                          <w:b/>
                          <w:color w:val="343433"/>
                          <w:sz w:val="9"/>
                          <w:szCs w:val="20"/>
                        </w:rPr>
                        <w:t xml:space="preserve">додаткове тестування для підтвердження або виключення ТБ </w:t>
                      </w:r>
                      <w:r w:rsidRPr="00272AC7">
                        <w:rPr>
                          <w:rFonts w:ascii="Century Gothic" w:hAnsi="Century Gothic"/>
                          <w:color w:val="343433"/>
                          <w:sz w:val="9"/>
                          <w:szCs w:val="20"/>
                        </w:rPr>
                        <w:t>відповідно до національних керівних принципів</w:t>
                      </w:r>
                      <w:r w:rsidRPr="00272AC7">
                        <w:rPr>
                          <w:rFonts w:ascii="Century Gothic" w:hAnsi="Century Gothic"/>
                          <w:b/>
                          <w:color w:val="0099D6"/>
                          <w:sz w:val="12"/>
                          <w:szCs w:val="20"/>
                          <w:vertAlign w:val="superscript"/>
                        </w:rPr>
                        <w:t>k</w:t>
                      </w:r>
                    </w:p>
                    <w:p w14:paraId="69A1A590"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Розглянути повторний тест mWRD</w:t>
                      </w:r>
                      <w:r w:rsidRPr="00272AC7">
                        <w:rPr>
                          <w:rFonts w:ascii="Century Gothic" w:hAnsi="Century Gothic"/>
                          <w:b/>
                          <w:color w:val="0099D6"/>
                          <w:sz w:val="12"/>
                          <w:szCs w:val="20"/>
                          <w:vertAlign w:val="superscript"/>
                        </w:rPr>
                        <w:t>o</w:t>
                      </w:r>
                    </w:p>
                  </w:txbxContent>
                </v:textbox>
              </v:rect>
            </w:pict>
          </mc:Fallback>
        </mc:AlternateContent>
      </w:r>
      <w:r w:rsidR="00B97539">
        <w:rPr>
          <w:noProof/>
        </w:rPr>
        <mc:AlternateContent>
          <mc:Choice Requires="wps">
            <w:drawing>
              <wp:anchor distT="0" distB="0" distL="114300" distR="114300" simplePos="0" relativeHeight="251631616" behindDoc="0" locked="0" layoutInCell="1" allowOverlap="1" wp14:anchorId="2D2B1E43" wp14:editId="5A7E041A">
                <wp:simplePos x="0" y="0"/>
                <wp:positionH relativeFrom="column">
                  <wp:posOffset>73660</wp:posOffset>
                </wp:positionH>
                <wp:positionV relativeFrom="paragraph">
                  <wp:posOffset>1371600</wp:posOffset>
                </wp:positionV>
                <wp:extent cx="1249680" cy="1504950"/>
                <wp:effectExtent l="0" t="0" r="7620" b="0"/>
                <wp:wrapNone/>
                <wp:docPr id="860595444" name="Прямокутник 4"/>
                <wp:cNvGraphicFramePr/>
                <a:graphic xmlns:a="http://schemas.openxmlformats.org/drawingml/2006/main">
                  <a:graphicData uri="http://schemas.microsoft.com/office/word/2010/wordprocessingShape">
                    <wps:wsp>
                      <wps:cNvSpPr/>
                      <wps:spPr>
                        <a:xfrm>
                          <a:off x="0" y="0"/>
                          <a:ext cx="1249680" cy="1504950"/>
                        </a:xfrm>
                        <a:prstGeom prst="rect">
                          <a:avLst/>
                        </a:prstGeom>
                        <a:solidFill>
                          <a:srgbClr val="C8EDDC"/>
                        </a:solidFill>
                      </wps:spPr>
                      <wps:txbx>
                        <w:txbxContent>
                          <w:p w14:paraId="4352D894" w14:textId="77777777" w:rsidR="009D0C1D" w:rsidRPr="00272AC7" w:rsidRDefault="009D0C1D" w:rsidP="005816C2">
                            <w:pPr>
                              <w:spacing w:after="42" w:line="220" w:lineRule="auto"/>
                              <w:rPr>
                                <w:rFonts w:ascii="Century Gothic" w:eastAsia="+mn-ea" w:hAnsi="Century Gothic" w:cs="+mn-cs"/>
                                <w:color w:val="343433"/>
                                <w:kern w:val="24"/>
                                <w:sz w:val="12"/>
                                <w:szCs w:val="12"/>
                              </w:rPr>
                            </w:pPr>
                            <w:r w:rsidRPr="00272AC7">
                              <w:rPr>
                                <w:rFonts w:ascii="Century Gothic" w:hAnsi="Century Gothic"/>
                                <w:color w:val="343433"/>
                                <w:sz w:val="12"/>
                                <w:szCs w:val="22"/>
                              </w:rPr>
                              <w:t>Провести повторну клінічну оцінку пацієнта клінічно та додаткові тести для підтвердження або виключення ТБ відповідно до національних керівних принципів</w:t>
                            </w:r>
                            <w:r w:rsidRPr="00272AC7">
                              <w:rPr>
                                <w:rFonts w:ascii="Century Gothic" w:hAnsi="Century Gothic"/>
                                <w:b/>
                                <w:color w:val="0099D6"/>
                                <w:sz w:val="14"/>
                                <w:szCs w:val="22"/>
                                <w:vertAlign w:val="superscript"/>
                              </w:rPr>
                              <w:t>k</w:t>
                            </w:r>
                          </w:p>
                          <w:p w14:paraId="5C4B8FCA" w14:textId="77777777" w:rsidR="009D0C1D" w:rsidRPr="00272AC7" w:rsidRDefault="009D0C1D" w:rsidP="005816C2">
                            <w:pPr>
                              <w:spacing w:after="42" w:line="220" w:lineRule="auto"/>
                              <w:rPr>
                                <w:rFonts w:ascii="Century Gothic" w:eastAsia="+mn-ea" w:hAnsi="Century Gothic" w:cs="+mn-cs"/>
                                <w:color w:val="343433"/>
                                <w:kern w:val="24"/>
                                <w:sz w:val="12"/>
                                <w:szCs w:val="12"/>
                              </w:rPr>
                            </w:pPr>
                            <w:r w:rsidRPr="00272AC7">
                              <w:rPr>
                                <w:rFonts w:ascii="Century Gothic" w:hAnsi="Century Gothic"/>
                                <w:color w:val="343433"/>
                                <w:sz w:val="12"/>
                                <w:szCs w:val="22"/>
                              </w:rPr>
                              <w:t>Провести клінічну оцінку та розглянути повторне тестування mWRD у дітей</w:t>
                            </w:r>
                          </w:p>
                          <w:p w14:paraId="59D8130B" w14:textId="77777777" w:rsidR="009D0C1D" w:rsidRPr="00272AC7" w:rsidRDefault="009D0C1D" w:rsidP="005816C2">
                            <w:pPr>
                              <w:spacing w:after="42" w:line="220" w:lineRule="auto"/>
                              <w:rPr>
                                <w:rFonts w:ascii="Century Gothic" w:eastAsia="+mn-ea" w:hAnsi="Century Gothic" w:cs="+mn-cs"/>
                                <w:color w:val="343433"/>
                                <w:kern w:val="24"/>
                                <w:sz w:val="12"/>
                                <w:szCs w:val="12"/>
                              </w:rPr>
                            </w:pPr>
                            <w:r w:rsidRPr="00272AC7">
                              <w:rPr>
                                <w:rFonts w:ascii="Century Gothic" w:hAnsi="Century Gothic"/>
                                <w:color w:val="343433"/>
                                <w:sz w:val="12"/>
                                <w:szCs w:val="22"/>
                              </w:rPr>
                              <w:t>Використати клінічне судження для прийняття рішень щодо лікування</w:t>
                            </w:r>
                          </w:p>
                          <w:p w14:paraId="515F84F5" w14:textId="77777777" w:rsidR="009D0C1D" w:rsidRPr="00272AC7" w:rsidRDefault="009D0C1D" w:rsidP="005816C2">
                            <w:pPr>
                              <w:spacing w:line="220" w:lineRule="auto"/>
                              <w:rPr>
                                <w:rFonts w:ascii="Century Gothic" w:eastAsia="+mn-ea" w:hAnsi="Century Gothic" w:cs="+mn-cs"/>
                                <w:color w:val="343433"/>
                                <w:kern w:val="24"/>
                                <w:sz w:val="12"/>
                                <w:szCs w:val="12"/>
                              </w:rPr>
                            </w:pPr>
                            <w:r w:rsidRPr="00272AC7">
                              <w:rPr>
                                <w:rFonts w:ascii="Century Gothic" w:hAnsi="Century Gothic"/>
                                <w:color w:val="343433"/>
                                <w:sz w:val="12"/>
                                <w:szCs w:val="22"/>
                              </w:rPr>
                              <w:t>Для оцінки придатності до ПЛТ або тестування на виявлення туберкульозної інфекції</w:t>
                            </w:r>
                          </w:p>
                        </w:txbxContent>
                      </wps:txbx>
                      <wps:bodyPr wrap="square" lIns="0" tIns="0" rIns="0" bIns="0">
                        <a:noAutofit/>
                      </wps:bodyPr>
                    </wps:wsp>
                  </a:graphicData>
                </a:graphic>
                <wp14:sizeRelV relativeFrom="margin">
                  <wp14:pctHeight>0</wp14:pctHeight>
                </wp14:sizeRelV>
              </wp:anchor>
            </w:drawing>
          </mc:Choice>
          <mc:Fallback>
            <w:pict>
              <v:rect w14:anchorId="2D2B1E43" id="_x0000_s1328" style="position:absolute;margin-left:5.8pt;margin-top:108pt;width:98.4pt;height:118.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" fillcolor="#c8eddc" stroked="f">
                <v:textbox inset="0,0,0,0">
                  <w:txbxContent>
                    <w:p w14:paraId="4352D894" w14:textId="77777777" w:rsidR="009D0C1D" w:rsidRPr="00272AC7" w:rsidRDefault="009D0C1D" w:rsidP="005816C2">
                      <w:pPr>
                        <w:spacing w:after="42" w:line="220" w:lineRule="auto"/>
                        <w:rPr>
                          <w:rFonts w:ascii="Century Gothic" w:eastAsia="+mn-ea" w:hAnsi="Century Gothic" w:cs="+mn-cs"/>
                          <w:color w:val="343433"/>
                          <w:kern w:val="24"/>
                          <w:sz w:val="12"/>
                          <w:szCs w:val="12"/>
                        </w:rPr>
                      </w:pPr>
                      <w:r w:rsidRPr="00272AC7">
                        <w:rPr>
                          <w:rFonts w:ascii="Century Gothic" w:hAnsi="Century Gothic"/>
                          <w:color w:val="343433"/>
                          <w:sz w:val="12"/>
                          <w:szCs w:val="22"/>
                        </w:rPr>
                        <w:t>Провести повторну клінічну оцінку пацієнта клінічно та додаткові тести для підтвердження або виключення ТБ відповідно до національних керівних принципів</w:t>
                      </w:r>
                      <w:r w:rsidRPr="00272AC7">
                        <w:rPr>
                          <w:rFonts w:ascii="Century Gothic" w:hAnsi="Century Gothic"/>
                          <w:b/>
                          <w:color w:val="0099D6"/>
                          <w:sz w:val="14"/>
                          <w:szCs w:val="22"/>
                          <w:vertAlign w:val="superscript"/>
                        </w:rPr>
                        <w:t>k</w:t>
                      </w:r>
                    </w:p>
                    <w:p w14:paraId="5C4B8FCA" w14:textId="77777777" w:rsidR="009D0C1D" w:rsidRPr="00272AC7" w:rsidRDefault="009D0C1D" w:rsidP="005816C2">
                      <w:pPr>
                        <w:spacing w:after="42" w:line="220" w:lineRule="auto"/>
                        <w:rPr>
                          <w:rFonts w:ascii="Century Gothic" w:eastAsia="+mn-ea" w:hAnsi="Century Gothic" w:cs="+mn-cs"/>
                          <w:color w:val="343433"/>
                          <w:kern w:val="24"/>
                          <w:sz w:val="12"/>
                          <w:szCs w:val="12"/>
                        </w:rPr>
                      </w:pPr>
                      <w:r w:rsidRPr="00272AC7">
                        <w:rPr>
                          <w:rFonts w:ascii="Century Gothic" w:hAnsi="Century Gothic"/>
                          <w:color w:val="343433"/>
                          <w:sz w:val="12"/>
                          <w:szCs w:val="22"/>
                        </w:rPr>
                        <w:t>Провести клінічну оцінку та розглянути повторне тестування mWRD у дітей</w:t>
                      </w:r>
                    </w:p>
                    <w:p w14:paraId="59D8130B" w14:textId="77777777" w:rsidR="009D0C1D" w:rsidRPr="00272AC7" w:rsidRDefault="009D0C1D" w:rsidP="005816C2">
                      <w:pPr>
                        <w:spacing w:after="42" w:line="220" w:lineRule="auto"/>
                        <w:rPr>
                          <w:rFonts w:ascii="Century Gothic" w:eastAsia="+mn-ea" w:hAnsi="Century Gothic" w:cs="+mn-cs"/>
                          <w:color w:val="343433"/>
                          <w:kern w:val="24"/>
                          <w:sz w:val="12"/>
                          <w:szCs w:val="12"/>
                        </w:rPr>
                      </w:pPr>
                      <w:r w:rsidRPr="00272AC7">
                        <w:rPr>
                          <w:rFonts w:ascii="Century Gothic" w:hAnsi="Century Gothic"/>
                          <w:color w:val="343433"/>
                          <w:sz w:val="12"/>
                          <w:szCs w:val="22"/>
                        </w:rPr>
                        <w:t>Використати клінічне судження для прийняття рішень щодо лікування</w:t>
                      </w:r>
                    </w:p>
                    <w:p w14:paraId="515F84F5" w14:textId="77777777" w:rsidR="009D0C1D" w:rsidRPr="00272AC7" w:rsidRDefault="009D0C1D" w:rsidP="005816C2">
                      <w:pPr>
                        <w:spacing w:line="220" w:lineRule="auto"/>
                        <w:rPr>
                          <w:rFonts w:ascii="Century Gothic" w:eastAsia="+mn-ea" w:hAnsi="Century Gothic" w:cs="+mn-cs"/>
                          <w:color w:val="343433"/>
                          <w:kern w:val="24"/>
                          <w:sz w:val="12"/>
                          <w:szCs w:val="12"/>
                        </w:rPr>
                      </w:pPr>
                      <w:r w:rsidRPr="00272AC7">
                        <w:rPr>
                          <w:rFonts w:ascii="Century Gothic" w:hAnsi="Century Gothic"/>
                          <w:color w:val="343433"/>
                          <w:sz w:val="12"/>
                          <w:szCs w:val="22"/>
                        </w:rPr>
                        <w:t>Для оцінки придатності до ПЛТ або тестування на виявлення туберкульозної інфекції</w:t>
                      </w:r>
                    </w:p>
                  </w:txbxContent>
                </v:textbox>
              </v:rect>
            </w:pict>
          </mc:Fallback>
        </mc:AlternateContent>
      </w:r>
      <w:r w:rsidR="00B97539">
        <w:rPr>
          <w:noProof/>
        </w:rPr>
        <mc:AlternateContent>
          <mc:Choice Requires="wps">
            <w:drawing>
              <wp:anchor distT="0" distB="0" distL="114300" distR="114300" simplePos="0" relativeHeight="251669504" behindDoc="0" locked="0" layoutInCell="1" allowOverlap="1" wp14:anchorId="630B0262" wp14:editId="0B87FED6">
                <wp:simplePos x="0" y="0"/>
                <wp:positionH relativeFrom="column">
                  <wp:posOffset>7527925</wp:posOffset>
                </wp:positionH>
                <wp:positionV relativeFrom="paragraph">
                  <wp:posOffset>2778125</wp:posOffset>
                </wp:positionV>
                <wp:extent cx="1203960" cy="618490"/>
                <wp:effectExtent l="0" t="0" r="0" b="0"/>
                <wp:wrapNone/>
                <wp:docPr id="283377822" name="Прямокутник 42"/>
                <wp:cNvGraphicFramePr/>
                <a:graphic xmlns:a="http://schemas.openxmlformats.org/drawingml/2006/main">
                  <a:graphicData uri="http://schemas.microsoft.com/office/word/2010/wordprocessingShape">
                    <wps:wsp>
                      <wps:cNvSpPr/>
                      <wps:spPr>
                        <a:xfrm>
                          <a:off x="0" y="0"/>
                          <a:ext cx="1203960" cy="618490"/>
                        </a:xfrm>
                        <a:prstGeom prst="rect">
                          <a:avLst/>
                        </a:prstGeom>
                        <a:solidFill>
                          <a:srgbClr val="D8CED9"/>
                        </a:solidFill>
                      </wps:spPr>
                      <wps:txbx>
                        <w:txbxContent>
                          <w:p w14:paraId="7983B4B6"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Дорослі, які проходять обстеження на ТБ легень, без ризику ВІЛ та з наявністю в анамнезі ТБ або завершення лікування ТБ менше 5 років тому</w:t>
                            </w:r>
                          </w:p>
                        </w:txbxContent>
                      </wps:txbx>
                      <wps:bodyPr wrap="square" lIns="0" tIns="0" rIns="0" bIns="0">
                        <a:noAutofit/>
                      </wps:bodyPr>
                    </wps:wsp>
                  </a:graphicData>
                </a:graphic>
              </wp:anchor>
            </w:drawing>
          </mc:Choice>
          <mc:Fallback>
            <w:pict>
              <v:rect w14:anchorId="630B0262" id="_x0000_s1329" style="position:absolute;margin-left:592.75pt;margin-top:218.75pt;width:94.8pt;height:48.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" fillcolor="#d8ced9" stroked="f">
                <v:textbox inset="0,0,0,0">
                  <w:txbxContent>
                    <w:p w14:paraId="7983B4B6" w14:textId="77777777" w:rsidR="009D0C1D" w:rsidRPr="00272AC7" w:rsidRDefault="009D0C1D" w:rsidP="005816C2">
                      <w:pPr>
                        <w:rPr>
                          <w:rFonts w:ascii="Century Gothic" w:eastAsia="+mn-ea" w:hAnsi="Century Gothic" w:cs="+mn-cs"/>
                          <w:b/>
                          <w:bCs/>
                          <w:color w:val="343433"/>
                          <w:kern w:val="24"/>
                          <w:sz w:val="9"/>
                          <w:szCs w:val="9"/>
                        </w:rPr>
                      </w:pPr>
                      <w:r w:rsidRPr="00272AC7">
                        <w:rPr>
                          <w:rFonts w:ascii="Century Gothic" w:hAnsi="Century Gothic"/>
                          <w:b/>
                          <w:color w:val="343433"/>
                          <w:sz w:val="9"/>
                          <w:szCs w:val="20"/>
                        </w:rPr>
                        <w:t>Дорослі, які проходять обстеження на ТБ легень, без ризику ВІЛ та з наявністю в анамнезі ТБ або завершення лікування ТБ менше 5 років тому</w:t>
                      </w:r>
                    </w:p>
                  </w:txbxContent>
                </v:textbox>
              </v:rect>
            </w:pict>
          </mc:Fallback>
        </mc:AlternateContent>
      </w:r>
      <w:r w:rsidR="00B97539">
        <w:rPr>
          <w:noProof/>
        </w:rPr>
        <mc:AlternateContent>
          <mc:Choice Requires="wps">
            <w:drawing>
              <wp:anchor distT="0" distB="0" distL="114300" distR="114300" simplePos="0" relativeHeight="251641856" behindDoc="0" locked="0" layoutInCell="1" allowOverlap="1" wp14:anchorId="4F64657F" wp14:editId="58EAC37C">
                <wp:simplePos x="0" y="0"/>
                <wp:positionH relativeFrom="column">
                  <wp:posOffset>3303905</wp:posOffset>
                </wp:positionH>
                <wp:positionV relativeFrom="paragraph">
                  <wp:posOffset>808990</wp:posOffset>
                </wp:positionV>
                <wp:extent cx="1026795" cy="299720"/>
                <wp:effectExtent l="0" t="0" r="1905" b="5080"/>
                <wp:wrapNone/>
                <wp:docPr id="972639940" name="Прямокутник 15"/>
                <wp:cNvGraphicFramePr/>
                <a:graphic xmlns:a="http://schemas.openxmlformats.org/drawingml/2006/main">
                  <a:graphicData uri="http://schemas.microsoft.com/office/word/2010/wordprocessingShape">
                    <wps:wsp>
                      <wps:cNvSpPr/>
                      <wps:spPr>
                        <a:xfrm>
                          <a:off x="0" y="0"/>
                          <a:ext cx="1026795" cy="299720"/>
                        </a:xfrm>
                        <a:prstGeom prst="rect">
                          <a:avLst/>
                        </a:prstGeom>
                        <a:solidFill>
                          <a:srgbClr val="FC9C94"/>
                        </a:solidFill>
                      </wps:spPr>
                      <wps:txbx>
                        <w:txbxContent>
                          <w:p w14:paraId="60B3A7C7" w14:textId="77777777" w:rsidR="009D0C1D" w:rsidRPr="00272AC7" w:rsidRDefault="009D0C1D" w:rsidP="005816C2">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MTBC виявлено</w:t>
                            </w:r>
                          </w:p>
                          <w:p w14:paraId="67386358" w14:textId="77777777" w:rsidR="009D0C1D" w:rsidRPr="00272AC7" w:rsidRDefault="009D0C1D" w:rsidP="005816C2">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(у разі Ultra немає слідового результату)</w:t>
                            </w:r>
                            <w:r w:rsidRPr="00272AC7">
                              <w:rPr>
                                <w:rFonts w:ascii="Century Gothic" w:hAnsi="Century Gothic"/>
                                <w:b/>
                                <w:color w:val="0099D6"/>
                                <w:sz w:val="9"/>
                                <w:szCs w:val="20"/>
                                <w:vertAlign w:val="superscript"/>
                              </w:rPr>
                              <w:t xml:space="preserve">g </w:t>
                            </w:r>
                            <w:r w:rsidRPr="00272AC7">
                              <w:rPr>
                                <w:rFonts w:ascii="Century Gothic" w:hAnsi="Century Gothic"/>
                                <w:b/>
                                <w:color w:val="343433"/>
                                <w:sz w:val="9"/>
                                <w:szCs w:val="20"/>
                              </w:rPr>
                              <w:t>Резистентність до RIF виявлено</w:t>
                            </w:r>
                            <w:r w:rsidRPr="00272AC7">
                              <w:rPr>
                                <w:rFonts w:ascii="Century Gothic" w:hAnsi="Century Gothic"/>
                                <w:b/>
                                <w:color w:val="0099D6"/>
                                <w:sz w:val="9"/>
                                <w:szCs w:val="20"/>
                                <w:vertAlign w:val="superscript"/>
                              </w:rPr>
                              <w:t>h</w:t>
                            </w:r>
                          </w:p>
                        </w:txbxContent>
                      </wps:txbx>
                      <wps:bodyPr wrap="square" lIns="0" tIns="0" rIns="0" bIns="0">
                        <a:noAutofit/>
                      </wps:bodyPr>
                    </wps:wsp>
                  </a:graphicData>
                </a:graphic>
              </wp:anchor>
            </w:drawing>
          </mc:Choice>
          <mc:Fallback>
            <w:pict>
              <v:rect w14:anchorId="4F64657F" id="_x0000_s1330" style="position:absolute;margin-left:260.15pt;margin-top:63.7pt;width:80.85pt;height:23.6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" fillcolor="#fc9c94" stroked="f">
                <v:textbox inset="0,0,0,0">
                  <w:txbxContent>
                    <w:p w14:paraId="60B3A7C7" w14:textId="77777777" w:rsidR="009D0C1D" w:rsidRPr="00272AC7" w:rsidRDefault="009D0C1D" w:rsidP="005816C2">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MTBC виявлено</w:t>
                      </w:r>
                    </w:p>
                    <w:p w14:paraId="67386358" w14:textId="77777777" w:rsidR="009D0C1D" w:rsidRPr="00272AC7" w:rsidRDefault="009D0C1D" w:rsidP="005816C2">
                      <w:pPr>
                        <w:jc w:val="center"/>
                        <w:rPr>
                          <w:rFonts w:ascii="Century Gothic" w:eastAsia="+mn-ea" w:hAnsi="Century Gothic" w:cs="+mn-cs"/>
                          <w:b/>
                          <w:bCs/>
                          <w:color w:val="343433"/>
                          <w:kern w:val="24"/>
                          <w:sz w:val="9"/>
                          <w:szCs w:val="9"/>
                        </w:rPr>
                      </w:pPr>
                      <w:r w:rsidRPr="00272AC7">
                        <w:rPr>
                          <w:rFonts w:ascii="Century Gothic" w:hAnsi="Century Gothic"/>
                          <w:b/>
                          <w:color w:val="343433"/>
                          <w:sz w:val="9"/>
                          <w:szCs w:val="20"/>
                        </w:rPr>
                        <w:t>(у разі Ultra немає слідового результату)</w:t>
                      </w:r>
                      <w:r w:rsidRPr="00272AC7">
                        <w:rPr>
                          <w:rFonts w:ascii="Century Gothic" w:hAnsi="Century Gothic"/>
                          <w:b/>
                          <w:color w:val="0099D6"/>
                          <w:sz w:val="9"/>
                          <w:szCs w:val="20"/>
                          <w:vertAlign w:val="superscript"/>
                        </w:rPr>
                        <w:t xml:space="preserve">g </w:t>
                      </w:r>
                      <w:r w:rsidRPr="00272AC7">
                        <w:rPr>
                          <w:rFonts w:ascii="Century Gothic" w:hAnsi="Century Gothic"/>
                          <w:b/>
                          <w:color w:val="343433"/>
                          <w:sz w:val="9"/>
                          <w:szCs w:val="20"/>
                        </w:rPr>
                        <w:t>Резистентність до RIF виявлено</w:t>
                      </w:r>
                      <w:r w:rsidRPr="00272AC7">
                        <w:rPr>
                          <w:rFonts w:ascii="Century Gothic" w:hAnsi="Century Gothic"/>
                          <w:b/>
                          <w:color w:val="0099D6"/>
                          <w:sz w:val="9"/>
                          <w:szCs w:val="20"/>
                          <w:vertAlign w:val="superscript"/>
                        </w:rPr>
                        <w:t>h</w:t>
                      </w:r>
                    </w:p>
                  </w:txbxContent>
                </v:textbox>
              </v:rect>
            </w:pict>
          </mc:Fallback>
        </mc:AlternateContent>
      </w:r>
      <w:r w:rsidR="00B97539">
        <w:rPr>
          <w:noProof/>
        </w:rPr>
        <w:drawing>
          <wp:inline distT="0" distB="0" distL="0" distR="0" wp14:anchorId="4D1A6F91" wp14:editId="69D85464">
            <wp:extent cx="8927465" cy="5879465"/>
            <wp:effectExtent l="0" t="0" r="6985" b="6985"/>
            <wp:docPr id="113" name="Shape 113"/>
            <wp:cNvGraphicFramePr/>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121" cstate="print">
                      <a:extLst>
                        <a:ext uri="{28A0092B-C50C-407E-A947-70E740481C1C}">
                          <a14:useLocalDpi xmlns:a14="http://schemas.microsoft.com/office/drawing/2010/main" val="0"/>
                        </a:ext>
                      </a:extLst>
                    </a:blip>
                    <a:stretch/>
                  </pic:blipFill>
                  <pic:spPr>
                    <a:xfrm>
                      <a:off x="0" y="0"/>
                      <a:ext cx="8927465" cy="5879465"/>
                    </a:xfrm>
                    <a:prstGeom prst="rect">
                      <a:avLst/>
                    </a:prstGeom>
                  </pic:spPr>
                </pic:pic>
              </a:graphicData>
            </a:graphic>
          </wp:inline>
        </w:drawing>
      </w:r>
    </w:p>
    <w:p w14:paraId="5DDBF810" w14:textId="77777777" w:rsidR="00366CB9" w:rsidRDefault="00366CB9" w:rsidP="00425523">
      <w:pPr>
        <w:spacing w:line="1" w:lineRule="exact"/>
      </w:pPr>
    </w:p>
    <w:p w14:paraId="5AC85687" w14:textId="77777777" w:rsidR="00366CB9" w:rsidRDefault="009D0C1D" w:rsidP="00515F9C">
      <w:pPr>
        <w:pStyle w:val="50"/>
        <w:shd w:val="clear" w:color="auto" w:fill="auto"/>
        <w:spacing w:line="266" w:lineRule="auto"/>
        <w:jc w:val="both"/>
      </w:pPr>
      <w:r>
        <w:t xml:space="preserve">СМР: спинномозкова рідина; РОГК: рентгенографія органів грудної клітини; ДНК: дезоксирибонуклеїнова кислота; ТМЧ: тестування медикаментозної чутливості; ВІЛ: вірус імунодефіциту людини; Нрез-ТБ: чутливий до рифампіцину, резистентний до ізоніазиду туберкульоз; LAMP: петлеподібна ізотермічна ампліфікація; LC-aNAAT: автоматизований NAAT низької складності; LC-mNAAT: ручний NAAT низької складності; LF-LAM: ліпоарабіноманнановий тест бокового зсуву; LPA: аналіз олігонуклеотидними зондами; MC-aNAAT: автоматизований NAAT середньої складності; MC-mNAAT: ручний NAAT середньої складності; МЛС-ТБ: туберкульоз із множинною лікарською стійкістю; MTB: </w:t>
      </w:r>
      <w:r>
        <w:rPr>
          <w:i/>
        </w:rPr>
        <w:t>Mycobacterium tuberculosis</w:t>
      </w:r>
      <w:r>
        <w:t xml:space="preserve">; MTBC: комплекс </w:t>
      </w:r>
      <w:r>
        <w:rPr>
          <w:i/>
        </w:rPr>
        <w:t>Mycobacterium tuberculosis</w:t>
      </w:r>
      <w:r>
        <w:t>; mWRD: молекулярний експрес-тест для діагностики туберкульозу, рекомендований ВООЗ; NAAT: аналіз ампліфікації нуклеїнових кислот; СНП: секвенування наступного покоління; ЛЖВІЛ: люди, які живуть з ВІЛ; Риф-ТБ: рифампіцин-резистентний ТБ; ТБ: туберкульоз; ПЛТ: профілактичне лікування туберкульозу; ВООЗ: Всесвітня організація охорони здоров’я.</w:t>
      </w:r>
    </w:p>
    <w:p w14:paraId="52AC5547" w14:textId="77777777" w:rsidR="00366CB9" w:rsidRDefault="009D0C1D" w:rsidP="00515F9C">
      <w:pPr>
        <w:pStyle w:val="50"/>
        <w:shd w:val="clear" w:color="auto" w:fill="auto"/>
        <w:spacing w:line="266" w:lineRule="auto"/>
        <w:jc w:val="both"/>
      </w:pPr>
      <w:r>
        <w:t>Лікарські засоби та схеми: INH: ізоніазид; HREZ: ізоніазид (H), рифампіцин (R), етамбутол (E) та піразинамід (Z); REZ: рифампіцин (R), етамбутол (E) та піразинамід (Z); RIF: рифампіцин.</w:t>
      </w:r>
    </w:p>
    <w:p w14:paraId="385075A3" w14:textId="5E1F6A22" w:rsidR="00366CB9" w:rsidRDefault="009D0C1D" w:rsidP="00272AC7">
      <w:pPr>
        <w:pStyle w:val="50"/>
        <w:shd w:val="clear" w:color="auto" w:fill="auto"/>
        <w:spacing w:line="266" w:lineRule="auto"/>
        <w:ind w:left="180" w:hanging="180"/>
        <w:jc w:val="both"/>
      </w:pPr>
      <w:r>
        <w:rPr>
          <w:vertAlign w:val="superscript"/>
        </w:rPr>
        <w:t>a</w:t>
      </w:r>
      <w:r w:rsidR="00272AC7">
        <w:tab/>
      </w:r>
      <w:r>
        <w:t>У осіб з підозрою на ТБ є ознаки та симптоми ТБ, а також позитивний результат скринінгу на ТБ. До них належать дорослі та діти з ознаками або симптомами ТБ, з аномальними результатами РОГК, що вказують на ТБ, з позитивним результатом mWRD, що використовується як інструмент скринінгу, або з позитивним результатом тесту на С-реактивний білок (&gt; 5 мг/л) у людей, які живуть з ВІЛ. Особа з позитивним результатом mWRD, що використовується як інструмент скринінгу, та низькою клінічною передбачуваністю повинна пройти клінічну оцінку, та у разі підозри на ТБ, вона має пройти повторний mWRD та дотримуватися Алгоритму 1. У разі високої клінічної передбачуваності та підтверджуваного ТБ цей тест можна вважати діагностичним, а особі необхідно призначати лікування на основі результату тесту та, за необхідності, дотримуватися Алгоритму 2 або 3. Цього алгоритму можна також дотримуватися для діагностування позалегеневого ТБ за допомогою СМР, аспірату лімфатичних вузлів та інших зразків тканин у осіб, які оцінюються на позалегеневий туберкульоз. Однак, mWRD, рекомендовані для діагностики позалегеневого ТБ, наразі обмежені Xpert Ultra.</w:t>
      </w:r>
    </w:p>
    <w:p w14:paraId="01BDB6D3" w14:textId="6C6B5102" w:rsidR="00366CB9" w:rsidRDefault="009D0C1D" w:rsidP="00272AC7">
      <w:pPr>
        <w:pStyle w:val="50"/>
        <w:shd w:val="clear" w:color="auto" w:fill="auto"/>
        <w:spacing w:line="266" w:lineRule="auto"/>
        <w:ind w:left="180" w:hanging="180"/>
        <w:jc w:val="both"/>
      </w:pPr>
      <w:r>
        <w:rPr>
          <w:vertAlign w:val="superscript"/>
        </w:rPr>
        <w:t>b</w:t>
      </w:r>
      <w:r w:rsidR="00272AC7">
        <w:tab/>
      </w:r>
      <w:r>
        <w:t>Програми можуть передбачати попередній забір двох зразків. Перший зразок необхідно негайно протестувати за допомогою mWRD. Другий зразок можна використовувати для додаткового тестування, описаного в цьому алгоритмі. Для осіб, яких обстежують на ТБ легень, мокротиння є переважним зразком. Зразки біопсії тканин важко або неможливо отримати повторно; тому їх необхідно протестувати за допомогою якомога більшої кількості методів (наприклад, mWRD, посів, ТМЧ або гістологічне дослідження).</w:t>
      </w:r>
    </w:p>
    <w:p w14:paraId="661B7080" w14:textId="7F0C5BB7" w:rsidR="00366CB9" w:rsidRDefault="009D0C1D" w:rsidP="00272AC7">
      <w:pPr>
        <w:pStyle w:val="50"/>
        <w:shd w:val="clear" w:color="auto" w:fill="auto"/>
        <w:spacing w:line="266" w:lineRule="auto"/>
        <w:ind w:left="180" w:hanging="180"/>
        <w:jc w:val="both"/>
      </w:pPr>
      <w:r>
        <w:rPr>
          <w:vertAlign w:val="superscript"/>
        </w:rPr>
        <w:t>c</w:t>
      </w:r>
      <w:r w:rsidR="00272AC7">
        <w:tab/>
      </w:r>
      <w:r>
        <w:t>mWRD включає LC-aNAAT, LC-mNAAT та MC-aNAAT для загальної популяції.</w:t>
      </w:r>
    </w:p>
    <w:p w14:paraId="45B7D304" w14:textId="71C01745" w:rsidR="00366CB9" w:rsidRDefault="009D0C1D" w:rsidP="00272AC7">
      <w:pPr>
        <w:pStyle w:val="50"/>
        <w:shd w:val="clear" w:color="auto" w:fill="auto"/>
        <w:spacing w:line="266" w:lineRule="auto"/>
        <w:ind w:left="180" w:hanging="180"/>
        <w:jc w:val="both"/>
      </w:pPr>
      <w:r>
        <w:rPr>
          <w:vertAlign w:val="superscript"/>
        </w:rPr>
        <w:t>d</w:t>
      </w:r>
      <w:r w:rsidR="00272AC7">
        <w:tab/>
      </w:r>
      <w:r>
        <w:t>Стратегію супутнього тестування оцінювали лише для LC-aNAAT у комбінації з LF-LAM через відсутність доказів для LC-mNAAT та MC-aNAAT. Лабораторія, що проводить лише LC-mNAAT або MC-aNAAT, також може використовувати ці інструменти для діагностики як ЛЖВІЛ, так і дітей, оскільки обидва класи рекомендуються для первинної діагностики ТБ у цих групах. У разі LC-mNAAT застосовується додаткове тестування для виявлення резистентності до RIF. Ця стратегія не охоплюється рекомендаціями щодо супутнього тестування, але є способом підвищення чутливості в діагностичному каскаді без зайвих затримок. Початковий позитивний результат будь-якого з цих тестів, LC-mNAAT, MC-aNAAT або LF-LAM, має призвести до початку лікування.</w:t>
      </w:r>
    </w:p>
    <w:p w14:paraId="38271C3E" w14:textId="03BAF808" w:rsidR="00366CB9" w:rsidRDefault="009D0C1D" w:rsidP="00272AC7">
      <w:pPr>
        <w:pStyle w:val="50"/>
        <w:shd w:val="clear" w:color="auto" w:fill="auto"/>
        <w:spacing w:line="266" w:lineRule="auto"/>
        <w:ind w:left="180" w:hanging="180"/>
        <w:jc w:val="both"/>
      </w:pPr>
      <w:r>
        <w:rPr>
          <w:vertAlign w:val="superscript"/>
        </w:rPr>
        <w:t>e</w:t>
      </w:r>
      <w:r w:rsidR="00272AC7">
        <w:tab/>
      </w:r>
      <w:r>
        <w:t>Для цієї групи доступний результат лише з одного mWRD.</w:t>
      </w:r>
    </w:p>
    <w:p w14:paraId="4F733D8E" w14:textId="2C5744FD" w:rsidR="00366CB9" w:rsidRDefault="009D0C1D" w:rsidP="00272AC7">
      <w:pPr>
        <w:pStyle w:val="50"/>
        <w:shd w:val="clear" w:color="auto" w:fill="auto"/>
        <w:spacing w:line="266" w:lineRule="auto"/>
        <w:ind w:left="180" w:hanging="180"/>
        <w:jc w:val="both"/>
      </w:pPr>
      <w:r>
        <w:rPr>
          <w:vertAlign w:val="superscript"/>
        </w:rPr>
        <w:t>f</w:t>
      </w:r>
      <w:r w:rsidR="00272AC7">
        <w:tab/>
      </w:r>
      <w:r>
        <w:t>LF-LAM необхідно застосовувати для ВІЛ-негативних осіб.</w:t>
      </w:r>
    </w:p>
    <w:p w14:paraId="130D51EC" w14:textId="22FAF907" w:rsidR="00366CB9" w:rsidRDefault="009D0C1D" w:rsidP="00272AC7">
      <w:pPr>
        <w:pStyle w:val="50"/>
        <w:shd w:val="clear" w:color="auto" w:fill="auto"/>
        <w:spacing w:line="266" w:lineRule="auto"/>
        <w:ind w:left="180" w:hanging="180"/>
        <w:jc w:val="both"/>
      </w:pPr>
      <w:r>
        <w:rPr>
          <w:vertAlign w:val="superscript"/>
        </w:rPr>
        <w:t>g</w:t>
      </w:r>
      <w:r w:rsidR="00272AC7">
        <w:tab/>
        <w:t xml:space="preserve"> </w:t>
      </w:r>
      <w:r>
        <w:t>«MTBC виявлено (у разі Ultra немає слідових результатів)» включає MTBC як високий, середній, низький або дуже низький. Ці категорії застосовуються до тестів Xpert Ultra. Результати тестів Truenat MTB та MTB Plus, MC-aNAAT та TB LAMP також відносяться до категорії «MTBC виявлено (у разі Ultra немає слідових результатів)». MC-aNAAT забезпечує додаткове виявлення резистентності до INH та призводить до додаткових міркувань у схемі В.</w:t>
      </w:r>
    </w:p>
    <w:p w14:paraId="010C7C57" w14:textId="18EE1D0B" w:rsidR="00366CB9" w:rsidRDefault="009D0C1D" w:rsidP="00272AC7">
      <w:pPr>
        <w:pStyle w:val="50"/>
        <w:shd w:val="clear" w:color="auto" w:fill="auto"/>
        <w:spacing w:line="266" w:lineRule="auto"/>
        <w:ind w:left="180" w:hanging="180"/>
        <w:jc w:val="both"/>
      </w:pPr>
      <w:r>
        <w:rPr>
          <w:vertAlign w:val="superscript"/>
        </w:rPr>
        <w:t>h</w:t>
      </w:r>
      <w:r w:rsidR="00272AC7">
        <w:tab/>
      </w:r>
      <w:r>
        <w:t>Резистентність до RIF визначається одночасно у тесті Xpert Ultra та MC-aNAAT. Для визначення резистентності до RIF для тестування Truenat потрібен контрольний аналіз за допомогою тієї ж ДНК, що й для тесту Truenat MTB. Тест TB-LAMP вимагає забору свіжого зразка та молекулярного або фенотипового ТМЧ. У разі MC-aNAAT резистентність до INH також виявляється одночасно з виявленням резистентності до RIF.</w:t>
      </w:r>
    </w:p>
    <w:p w14:paraId="570AD285" w14:textId="6B0AB3AA" w:rsidR="00366CB9" w:rsidRDefault="009D0C1D" w:rsidP="00272AC7">
      <w:pPr>
        <w:pStyle w:val="50"/>
        <w:shd w:val="clear" w:color="auto" w:fill="auto"/>
        <w:spacing w:line="266" w:lineRule="auto"/>
        <w:ind w:left="180" w:hanging="180"/>
        <w:jc w:val="both"/>
      </w:pPr>
      <w:r>
        <w:rPr>
          <w:vertAlign w:val="superscript"/>
        </w:rPr>
        <w:t>i</w:t>
      </w:r>
      <w:r w:rsidR="00272AC7">
        <w:tab/>
      </w:r>
      <w:r>
        <w:t>Тлумачення результатів та подальше тестування для виявленого MTBC та невизначених або невідомих результатів резистентності до RIF для тесту Xpert Ultra відрізняється від тлумачення результатів для інших mWRD. MTBC, виявлений з невизначеними результатами резистентності до RIF, отриманими за допомогою тесту Xpert Ultra (особливо з високими та середніми напівкількісними результатами), може бути зумовлений великими делеціями або множинними мутаціями, що надають резистентності до RIF. Аналіз кривих плавлення Xpert Ultra може виявити такі мутації, що надають стійкості. У деяких випадках для підтвердження або виключення резистентності до RIF знадобиться посів та ТМЧ, секвенування або альтернативний mWRD. Невизначені результати для інших mWRD, як правило, пов’язані з дуже низьким числом бацил у зразку. При застосування mWRD без виявлення резистентності до RIF (наприклад, TB-LAMP) потрібне подальше тестування на виявлення резистентності до RIF, бажано за допомогою mWRD, здатного виявляти резистентність.</w:t>
      </w:r>
    </w:p>
    <w:p w14:paraId="553B2C02" w14:textId="1DD91EFF" w:rsidR="00366CB9" w:rsidRDefault="009D0C1D" w:rsidP="00272AC7">
      <w:pPr>
        <w:pStyle w:val="50"/>
        <w:shd w:val="clear" w:color="auto" w:fill="auto"/>
        <w:spacing w:line="266" w:lineRule="auto"/>
        <w:ind w:left="180" w:hanging="180"/>
        <w:jc w:val="both"/>
      </w:pPr>
      <w:r>
        <w:rPr>
          <w:vertAlign w:val="superscript"/>
        </w:rPr>
        <w:t>J</w:t>
      </w:r>
      <w:r w:rsidR="00272AC7">
        <w:tab/>
        <w:t xml:space="preserve"> </w:t>
      </w:r>
      <w:r>
        <w:t>«Виявлено сліди MTBC» використовується лише до тесту Xpert Ultra.</w:t>
      </w:r>
    </w:p>
    <w:p w14:paraId="5A14190C" w14:textId="0514314D" w:rsidR="00366CB9" w:rsidRDefault="009D0C1D" w:rsidP="00272AC7">
      <w:pPr>
        <w:pStyle w:val="50"/>
        <w:shd w:val="clear" w:color="auto" w:fill="auto"/>
        <w:spacing w:line="266" w:lineRule="auto"/>
        <w:ind w:left="180" w:hanging="180"/>
        <w:jc w:val="both"/>
      </w:pPr>
      <w:r>
        <w:rPr>
          <w:vertAlign w:val="superscript"/>
        </w:rPr>
        <w:t>k</w:t>
      </w:r>
      <w:r w:rsidR="00272AC7">
        <w:tab/>
      </w:r>
      <w:r>
        <w:t>Подальші обстеження на ТБ можуть включати РОГК, додаткові клінічні оцінки, повторне тестування mWRD, посів або клінічну відповідь після лікування антимікробними препаратами широкого спектру дії.</w:t>
      </w:r>
    </w:p>
    <w:p w14:paraId="5011D6C5" w14:textId="180030C5" w:rsidR="00366CB9" w:rsidRDefault="009D0C1D" w:rsidP="00272AC7">
      <w:pPr>
        <w:pStyle w:val="50"/>
        <w:shd w:val="clear" w:color="auto" w:fill="auto"/>
        <w:spacing w:after="0" w:line="266" w:lineRule="auto"/>
        <w:ind w:left="180" w:hanging="180"/>
        <w:jc w:val="both"/>
      </w:pPr>
      <w:r>
        <w:rPr>
          <w:vertAlign w:val="superscript"/>
        </w:rPr>
        <w:t>l</w:t>
      </w:r>
      <w:r w:rsidR="00272AC7">
        <w:tab/>
      </w:r>
      <w:r>
        <w:t>Особам необхідно призначати схему лікування препаратами першої лінії відповідно до національних керівних принципів, крім дуже високого ризику МЛС-ТБ. Таких осіб необхідно додатково обстежити та ініціювати лікування МЛС-ТБ, за необхідності. Якщо результати резистентності до INH доступні (наприклад, MC-aNAAT), а резистентність до INH не виявлено, ризик МЛС-ТБ буде нижчим.</w:t>
      </w:r>
    </w:p>
    <w:p w14:paraId="5769359B" w14:textId="77777777" w:rsidR="00366CB9" w:rsidRDefault="00366CB9" w:rsidP="00425523">
      <w:pPr>
        <w:spacing w:line="1" w:lineRule="exact"/>
        <w:sectPr w:rsidR="00366CB9" w:rsidSect="00272AC7">
          <w:footerReference w:type="even" r:id="rId122"/>
          <w:type w:val="nextColumn"/>
          <w:pgSz w:w="11913" w:h="16840"/>
          <w:pgMar w:top="1276" w:right="1378" w:bottom="568" w:left="1372" w:header="0" w:footer="6" w:gutter="0"/>
          <w:paperSrc w:first="15" w:other="15"/>
          <w:cols w:space="720"/>
          <w:noEndnote/>
          <w:docGrid w:linePitch="360"/>
        </w:sectPr>
      </w:pPr>
    </w:p>
    <w:p w14:paraId="7A3A66AD" w14:textId="77777777" w:rsidR="00366CB9" w:rsidRDefault="00366CB9" w:rsidP="00425523">
      <w:pPr>
        <w:spacing w:line="1" w:lineRule="exact"/>
      </w:pPr>
    </w:p>
    <w:p w14:paraId="2D820637" w14:textId="44EDD38D" w:rsidR="00366CB9" w:rsidRDefault="009D0C1D" w:rsidP="00515F9C">
      <w:pPr>
        <w:pStyle w:val="50"/>
        <w:shd w:val="clear" w:color="auto" w:fill="auto"/>
        <w:spacing w:line="266" w:lineRule="auto"/>
        <w:ind w:left="180" w:hanging="180"/>
        <w:jc w:val="both"/>
      </w:pPr>
      <w:r>
        <w:rPr>
          <w:vertAlign w:val="superscript"/>
        </w:rPr>
        <w:t>m</w:t>
      </w:r>
      <w:r w:rsidR="00272AC7">
        <w:tab/>
      </w:r>
      <w:r>
        <w:t>Зразок можна передати на молекулярне або фенотипове ТМЧ у разі високої поширеність резистентності до INH або інших лікарських засобів та чутливості до RIF (тобто моно- або полірезистентності до INH). Якщо результат резистентності до INH «не виявлено» (наприклад, MC-aNAAT), а клінічна передбачуваність Нрез-ТБ висока, вимагається фенотипове ТМЧ для INH.</w:t>
      </w:r>
    </w:p>
    <w:p w14:paraId="7035401F" w14:textId="06CB4889" w:rsidR="00366CB9" w:rsidRDefault="009D0C1D" w:rsidP="00515F9C">
      <w:pPr>
        <w:pStyle w:val="50"/>
        <w:shd w:val="clear" w:color="auto" w:fill="auto"/>
        <w:spacing w:line="266" w:lineRule="auto"/>
        <w:ind w:left="180" w:hanging="180"/>
        <w:jc w:val="both"/>
      </w:pPr>
      <w:r>
        <w:rPr>
          <w:vertAlign w:val="superscript"/>
        </w:rPr>
        <w:t>n</w:t>
      </w:r>
      <w:r w:rsidR="00272AC7">
        <w:tab/>
      </w:r>
      <w:r>
        <w:t>До осіб з високим ризиком МЛС-ТБ належать особи, які отримували попереднє лікування, включаючи осіб, з якими було втрачено контакт для подальшого спостереження, мали рецидив або неефективне лікування; ті, у кого не розвинувся ТБ (позитивний мазок наприкінці інтенсивної фази); контакти з особами з МЛС-ТБ; та будь-які інші групи ризику МЛС-ТБ, виявлені в країні.</w:t>
      </w:r>
    </w:p>
    <w:p w14:paraId="45E9E4CA" w14:textId="715E95D3" w:rsidR="00366CB9" w:rsidRDefault="009D0C1D" w:rsidP="00515F9C">
      <w:pPr>
        <w:pStyle w:val="50"/>
        <w:shd w:val="clear" w:color="auto" w:fill="auto"/>
        <w:spacing w:line="266" w:lineRule="auto"/>
        <w:ind w:left="180" w:hanging="180"/>
        <w:jc w:val="both"/>
      </w:pPr>
      <w:r>
        <w:rPr>
          <w:vertAlign w:val="superscript"/>
        </w:rPr>
        <w:t>o</w:t>
      </w:r>
      <w:r w:rsidR="00272AC7">
        <w:tab/>
      </w:r>
      <w:r>
        <w:t>mWRD з тестуванням на виявлення резистентності до RIF необхідно проводити в тому ж центрі тестування зі свіжим зразком, а результат другого тесту необхідно тлумачити, як показано в цьому алгоритмі. Результат для RIF другого тесту необхідно використовувати для прийняття клінічних рішень.</w:t>
      </w:r>
    </w:p>
    <w:p w14:paraId="38FAF938" w14:textId="583D0F8F" w:rsidR="00366CB9" w:rsidRDefault="009D0C1D" w:rsidP="00515F9C">
      <w:pPr>
        <w:pStyle w:val="50"/>
        <w:shd w:val="clear" w:color="auto" w:fill="auto"/>
        <w:spacing w:line="266" w:lineRule="auto"/>
        <w:ind w:left="180" w:hanging="180"/>
        <w:jc w:val="both"/>
      </w:pPr>
      <w:r>
        <w:rPr>
          <w:vertAlign w:val="superscript"/>
        </w:rPr>
        <w:t>p</w:t>
      </w:r>
      <w:r w:rsidR="00272AC7">
        <w:tab/>
      </w:r>
      <w:r>
        <w:t>До ЛЖВІЛ належать особи з позитивним або невідомим ВІЛ-статусом, але з суттєвими клінічними ознаками ВІЛ-інфекції, які проживають у регіонах високої поширеності ВІЛ або знаходяться у групі ризику ВІЛ. Для всіх осіб з невідомим ВІЛ-статусом тестування на ВІЛ слід проводити відповідно до національних керівних принципів.</w:t>
      </w:r>
    </w:p>
    <w:p w14:paraId="0F379909" w14:textId="1F549593" w:rsidR="00366CB9" w:rsidRDefault="009D0C1D" w:rsidP="00515F9C">
      <w:pPr>
        <w:pStyle w:val="50"/>
        <w:shd w:val="clear" w:color="auto" w:fill="auto"/>
        <w:spacing w:line="266" w:lineRule="auto"/>
        <w:ind w:left="180" w:hanging="180"/>
        <w:jc w:val="both"/>
      </w:pPr>
      <w:r>
        <w:rPr>
          <w:vertAlign w:val="superscript"/>
        </w:rPr>
        <w:t>q</w:t>
      </w:r>
      <w:r w:rsidR="00272AC7">
        <w:tab/>
      </w:r>
      <w:r>
        <w:t>Особам необхідно негайно призначати схему лікування МЛС-ТБ відповідно до національних керівних принципів. Для додаткового тестування осіб з Риф-ТБ необхідно дотримуватись Алгоритму 2.</w:t>
      </w:r>
    </w:p>
    <w:p w14:paraId="62F6B0E1" w14:textId="07B8820B" w:rsidR="00366CB9" w:rsidRDefault="009D0C1D" w:rsidP="00515F9C">
      <w:pPr>
        <w:pStyle w:val="50"/>
        <w:shd w:val="clear" w:color="auto" w:fill="auto"/>
        <w:spacing w:line="266" w:lineRule="auto"/>
        <w:ind w:left="180" w:hanging="180"/>
        <w:jc w:val="both"/>
      </w:pPr>
      <w:r>
        <w:rPr>
          <w:vertAlign w:val="superscript"/>
        </w:rPr>
        <w:t>r</w:t>
      </w:r>
      <w:r w:rsidR="00272AC7">
        <w:tab/>
      </w:r>
      <w:r>
        <w:t>Для оцінки медикаментозної резистентності доступні фенотипові (посів та ТМЧ) та молекулярні (наприклад, альтернативні mWRD, LPA та цільове СНП) методи. Перевагу віддають зазвичай швидким молекулярним методам.</w:t>
      </w:r>
    </w:p>
    <w:p w14:paraId="2CEC93F0" w14:textId="5752B7B8" w:rsidR="00366CB9" w:rsidRDefault="009D0C1D" w:rsidP="00515F9C">
      <w:pPr>
        <w:pStyle w:val="50"/>
        <w:shd w:val="clear" w:color="auto" w:fill="auto"/>
        <w:spacing w:line="266" w:lineRule="auto"/>
        <w:ind w:left="180" w:hanging="180"/>
        <w:jc w:val="both"/>
      </w:pPr>
      <w:r>
        <w:rPr>
          <w:vertAlign w:val="superscript"/>
        </w:rPr>
        <w:t>s</w:t>
      </w:r>
      <w:r w:rsidR="00272AC7">
        <w:tab/>
      </w:r>
      <w:r>
        <w:t>У осіб з наявністю в анамнезі ТБ протягом останніх 5 років або у тих, хто завершив лікування ТБ менше 5 років тому, слідові результати Xpert Ultra (а іноді й «виявлено низький або дуже низький рівень MTBC») можуть бути хибнопозитивними не через активну форму ТБ, а через наявність нежиттєздатних бактерій. Клінічні рішення повинні прийматись на основі всієї доступної інформації та клінічної оцінки.</w:t>
      </w:r>
    </w:p>
    <w:p w14:paraId="0AF41CC2" w14:textId="23835AD1" w:rsidR="00366CB9" w:rsidRDefault="009D0C1D" w:rsidP="00515F9C">
      <w:pPr>
        <w:pStyle w:val="50"/>
        <w:shd w:val="clear" w:color="auto" w:fill="auto"/>
        <w:spacing w:after="0" w:line="266" w:lineRule="auto"/>
        <w:ind w:left="180" w:hanging="180"/>
        <w:jc w:val="both"/>
      </w:pPr>
      <w:r>
        <w:rPr>
          <w:vertAlign w:val="superscript"/>
        </w:rPr>
        <w:t>t</w:t>
      </w:r>
      <w:r w:rsidR="00272AC7">
        <w:tab/>
      </w:r>
      <w:r>
        <w:t xml:space="preserve">Особи, яким діагноз встановлено за допомогою MC-aNAAT, та у яких не виявлено резистентність до RIF, а також виявлена резистентність до INH, мають отримувати лікування Нрез-ТБ за допомогою REZ та левофлоксацину. З практичних міркувань замість REZ можна застосовувати фіксовану комбінацію HREZ у таблетках. Розгляньте включення високої дози INH до схеми Нрез-ТБ у разі низького рівня резистентності (лише мутація </w:t>
      </w:r>
      <w:r>
        <w:rPr>
          <w:i/>
          <w:iCs/>
        </w:rPr>
        <w:t>inhA</w:t>
      </w:r>
      <w:r>
        <w:t>). Дотримуватися Алгоритму 3.</w:t>
      </w:r>
    </w:p>
    <w:p w14:paraId="51FFE54A" w14:textId="77777777" w:rsidR="00366CB9" w:rsidRDefault="00366CB9" w:rsidP="00425523">
      <w:pPr>
        <w:spacing w:line="1" w:lineRule="exact"/>
        <w:sectPr w:rsidR="00366CB9" w:rsidSect="00F03360">
          <w:footerReference w:type="default" r:id="rId123"/>
          <w:type w:val="nextColumn"/>
          <w:pgSz w:w="11913" w:h="16840"/>
          <w:pgMar w:top="1469" w:right="1378" w:bottom="851" w:left="1372" w:header="0" w:footer="6" w:gutter="0"/>
          <w:paperSrc w:first="15" w:other="15"/>
          <w:cols w:space="720"/>
          <w:noEndnote/>
          <w:docGrid w:linePitch="360"/>
        </w:sectPr>
      </w:pPr>
    </w:p>
    <w:p w14:paraId="610C252B" w14:textId="77777777" w:rsidR="00366CB9" w:rsidRDefault="00366CB9" w:rsidP="00425523">
      <w:pPr>
        <w:spacing w:line="1" w:lineRule="exact"/>
      </w:pPr>
    </w:p>
    <w:p w14:paraId="29FAC1EE" w14:textId="77777777" w:rsidR="00366CB9" w:rsidRDefault="009D0C1D" w:rsidP="00515F9C">
      <w:pPr>
        <w:pStyle w:val="80"/>
        <w:numPr>
          <w:ilvl w:val="0"/>
          <w:numId w:val="14"/>
        </w:numPr>
        <w:shd w:val="clear" w:color="auto" w:fill="auto"/>
        <w:tabs>
          <w:tab w:val="left" w:pos="759"/>
        </w:tabs>
        <w:jc w:val="both"/>
      </w:pPr>
      <w:r>
        <w:t>Схема прийняття рішень для Алгоритму 1 – WRD як початковий діагностичний тест на ТБ</w:t>
      </w:r>
    </w:p>
    <w:p w14:paraId="13EEA31A" w14:textId="77777777" w:rsidR="00366CB9" w:rsidRPr="00E846A7" w:rsidRDefault="009D0C1D" w:rsidP="00515F9C">
      <w:pPr>
        <w:pStyle w:val="60"/>
        <w:shd w:val="clear" w:color="auto" w:fill="auto"/>
        <w:spacing w:after="200" w:line="269" w:lineRule="auto"/>
        <w:jc w:val="both"/>
        <w:rPr>
          <w:i/>
          <w:iCs/>
        </w:rPr>
      </w:pPr>
      <w:r>
        <w:rPr>
          <w:i/>
          <w:color w:val="019648"/>
        </w:rPr>
        <w:t>Загальні міркування</w:t>
      </w:r>
    </w:p>
    <w:p w14:paraId="44F3D58A" w14:textId="77777777" w:rsidR="00366CB9" w:rsidRPr="00272AC7" w:rsidRDefault="009D0C1D" w:rsidP="00515F9C">
      <w:pPr>
        <w:pStyle w:val="1"/>
        <w:shd w:val="clear" w:color="auto" w:fill="auto"/>
        <w:spacing w:after="140" w:line="324" w:lineRule="auto"/>
        <w:jc w:val="both"/>
        <w:rPr>
          <w:sz w:val="18"/>
          <w:szCs w:val="18"/>
        </w:rPr>
      </w:pPr>
      <w:r w:rsidRPr="00272AC7">
        <w:rPr>
          <w:sz w:val="18"/>
          <w:szCs w:val="18"/>
        </w:rPr>
        <w:t xml:space="preserve">ВООЗ рекомендує mWRD з одного з класів LC-mNAAT, LC-aNAAT та MC-aNAAT як початковий діагностичний тест на ТБ (а не мікроскопію або посів) для всіх ВІЛ-негативних дорослих та підлітків з ознаками та симптомами ТБ. ВООЗ також рекомендує супутнє застосування LF-LAM сечі та LC-aNAAT для діагностики ТБ у дорослих, підлітків та дітей, які живуть з ВІЛ (див. </w:t>
      </w:r>
      <w:r w:rsidRPr="00272AC7">
        <w:rPr>
          <w:b/>
          <w:bCs/>
          <w:sz w:val="18"/>
          <w:szCs w:val="18"/>
        </w:rPr>
        <w:t>розділ 3.4</w:t>
      </w:r>
      <w:r w:rsidRPr="00272AC7">
        <w:rPr>
          <w:sz w:val="18"/>
          <w:szCs w:val="18"/>
        </w:rPr>
        <w:t xml:space="preserve">). Див. детальну інформацію про різні тести, що входять до різних класів, у </w:t>
      </w:r>
      <w:r w:rsidRPr="00272AC7">
        <w:rPr>
          <w:b/>
          <w:bCs/>
          <w:sz w:val="18"/>
          <w:szCs w:val="18"/>
        </w:rPr>
        <w:t>розділі 2</w:t>
      </w:r>
      <w:r w:rsidRPr="00272AC7">
        <w:rPr>
          <w:sz w:val="18"/>
          <w:szCs w:val="18"/>
        </w:rPr>
        <w:t>. Цільова популяція:</w:t>
      </w:r>
    </w:p>
    <w:p w14:paraId="5953F8B5" w14:textId="60C74FD2" w:rsidR="00366CB9" w:rsidRPr="00272AC7" w:rsidRDefault="009D0C1D" w:rsidP="00515F9C">
      <w:pPr>
        <w:pStyle w:val="1"/>
        <w:shd w:val="clear" w:color="auto" w:fill="auto"/>
        <w:spacing w:line="324" w:lineRule="auto"/>
        <w:ind w:left="260" w:hanging="260"/>
        <w:jc w:val="both"/>
        <w:rPr>
          <w:sz w:val="18"/>
          <w:szCs w:val="18"/>
        </w:rPr>
      </w:pPr>
      <w:r w:rsidRPr="00272AC7">
        <w:rPr>
          <w:color w:val="019648"/>
          <w:sz w:val="18"/>
          <w:szCs w:val="18"/>
        </w:rPr>
        <w:t xml:space="preserve">• </w:t>
      </w:r>
      <w:r w:rsidR="00272AC7">
        <w:tab/>
      </w:r>
      <w:r w:rsidRPr="00272AC7">
        <w:rPr>
          <w:sz w:val="18"/>
          <w:szCs w:val="18"/>
        </w:rPr>
        <w:t>особи, у яких нещодавно розвинулись симптоми ТБ (кашель будь-якої тривалості, лихоманка, кровохаркання, нічна пітливість та втрата ваги);</w:t>
      </w:r>
    </w:p>
    <w:p w14:paraId="05790EF9" w14:textId="40DF1C1D" w:rsidR="00366CB9" w:rsidRPr="00272AC7" w:rsidRDefault="009D0C1D" w:rsidP="00515F9C">
      <w:pPr>
        <w:pStyle w:val="1"/>
        <w:shd w:val="clear" w:color="auto" w:fill="auto"/>
        <w:spacing w:line="324" w:lineRule="auto"/>
        <w:ind w:left="260" w:hanging="260"/>
        <w:jc w:val="both"/>
        <w:rPr>
          <w:sz w:val="18"/>
          <w:szCs w:val="18"/>
        </w:rPr>
      </w:pPr>
      <w:r w:rsidRPr="00272AC7">
        <w:rPr>
          <w:color w:val="019648"/>
          <w:sz w:val="18"/>
          <w:szCs w:val="18"/>
        </w:rPr>
        <w:t xml:space="preserve">• </w:t>
      </w:r>
      <w:r w:rsidR="00272AC7">
        <w:tab/>
      </w:r>
      <w:r w:rsidRPr="00272AC7">
        <w:rPr>
          <w:sz w:val="18"/>
          <w:szCs w:val="18"/>
        </w:rPr>
        <w:t>особи з позитивним результатом скринінгу на ТБ за допомогою альтернативного методу (наприклад, РОГК або С-реактивний білок) та діагноз яких вимагає підтвердження; та</w:t>
      </w:r>
    </w:p>
    <w:p w14:paraId="10402A6C" w14:textId="0A0795E3" w:rsidR="00366CB9" w:rsidRPr="00272AC7" w:rsidRDefault="009D0C1D" w:rsidP="00515F9C">
      <w:pPr>
        <w:pStyle w:val="1"/>
        <w:shd w:val="clear" w:color="auto" w:fill="auto"/>
        <w:spacing w:after="140" w:line="324" w:lineRule="auto"/>
        <w:ind w:left="260" w:hanging="260"/>
        <w:jc w:val="both"/>
        <w:rPr>
          <w:sz w:val="18"/>
          <w:szCs w:val="18"/>
        </w:rPr>
      </w:pPr>
      <w:r w:rsidRPr="00272AC7">
        <w:rPr>
          <w:color w:val="019648"/>
          <w:sz w:val="18"/>
          <w:szCs w:val="18"/>
        </w:rPr>
        <w:t xml:space="preserve">• </w:t>
      </w:r>
      <w:r w:rsidR="00272AC7">
        <w:tab/>
      </w:r>
      <w:r w:rsidRPr="00272AC7">
        <w:rPr>
          <w:sz w:val="18"/>
          <w:szCs w:val="18"/>
        </w:rPr>
        <w:t>особи, які отримують поточне або попереднє лікування, або особи, які проходять обстеження на можливий Риф-ТБ або Нрез-ТБ (наприклад, ті, у кого не розвинувся ТБ наприкінці інтенсивної фази лікування, незважаючи на дотримання лікування) або на новий або триваючий епізод ТБ (наприклад, випадки рецидиву або особи, які отримували попереднє лікування, включаючи тих, з якими було втрачено контакт для подальшого спостереження).</w:t>
      </w:r>
    </w:p>
    <w:p w14:paraId="08A81B0C" w14:textId="77777777" w:rsidR="00366CB9" w:rsidRPr="00272AC7" w:rsidRDefault="009D0C1D" w:rsidP="00515F9C">
      <w:pPr>
        <w:pStyle w:val="1"/>
        <w:shd w:val="clear" w:color="auto" w:fill="auto"/>
        <w:spacing w:after="140" w:line="324" w:lineRule="auto"/>
        <w:jc w:val="both"/>
        <w:rPr>
          <w:sz w:val="18"/>
          <w:szCs w:val="18"/>
        </w:rPr>
      </w:pPr>
      <w:r w:rsidRPr="00272AC7">
        <w:rPr>
          <w:sz w:val="18"/>
          <w:szCs w:val="18"/>
        </w:rPr>
        <w:t>Програми боротьби з ТБ повинні перейти від мікроскопії як початкового діагностичного тесту до mWRD. Тести mWRD демонструють вищу чутливість для діагностики ТБ; також вони можуть одночасно виявляти резистентність до RIF, а у разі MC-aNAAT, резистентність до INH.</w:t>
      </w:r>
    </w:p>
    <w:p w14:paraId="34225C79" w14:textId="77777777" w:rsidR="00366CB9" w:rsidRPr="00272AC7" w:rsidRDefault="009D0C1D" w:rsidP="00515F9C">
      <w:pPr>
        <w:pStyle w:val="1"/>
        <w:shd w:val="clear" w:color="auto" w:fill="auto"/>
        <w:spacing w:after="140" w:line="324" w:lineRule="auto"/>
        <w:jc w:val="both"/>
        <w:rPr>
          <w:i/>
          <w:iCs/>
          <w:sz w:val="18"/>
          <w:szCs w:val="18"/>
        </w:rPr>
      </w:pPr>
      <w:r w:rsidRPr="00272AC7">
        <w:rPr>
          <w:sz w:val="18"/>
          <w:szCs w:val="18"/>
        </w:rPr>
        <w:t xml:space="preserve">Для контролю лікування mWRD не рекомендуються, оскільки тести не розрізняють живі та мертві бацили та можуть давати хибнопозитивні результати. Натомість для контролю лікування вимагається мікроскопія та посів відповідно до національних керівних принципів та рекомендацій ВООЗ. Див. детальну інформацію про необхідність розробки більш швидких та чутливих інструментів для контролю лікування ТБ у </w:t>
      </w:r>
      <w:r w:rsidRPr="00272AC7">
        <w:rPr>
          <w:i/>
          <w:sz w:val="18"/>
          <w:szCs w:val="18"/>
        </w:rPr>
        <w:t>цільових профілях продуктів ВООЗ для тестів для контролю та оптимізації лікування ТБ 2023 року (</w:t>
      </w:r>
      <w:hyperlink w:anchor="bookmark200" w:tooltip="Поточний документ">
        <w:r w:rsidR="00366CB9" w:rsidRPr="00272AC7">
          <w:rPr>
            <w:i/>
            <w:sz w:val="18"/>
            <w:szCs w:val="18"/>
          </w:rPr>
          <w:t>82</w:t>
        </w:r>
      </w:hyperlink>
      <w:r w:rsidRPr="00272AC7">
        <w:rPr>
          <w:i/>
          <w:sz w:val="18"/>
          <w:szCs w:val="18"/>
        </w:rPr>
        <w:t>).</w:t>
      </w:r>
    </w:p>
    <w:p w14:paraId="254261E1" w14:textId="77777777" w:rsidR="00366CB9" w:rsidRPr="00272AC7" w:rsidRDefault="009D0C1D" w:rsidP="00515F9C">
      <w:pPr>
        <w:pStyle w:val="1"/>
        <w:shd w:val="clear" w:color="auto" w:fill="auto"/>
        <w:spacing w:after="140" w:line="324" w:lineRule="auto"/>
        <w:jc w:val="both"/>
        <w:rPr>
          <w:sz w:val="18"/>
          <w:szCs w:val="18"/>
        </w:rPr>
      </w:pPr>
      <w:r w:rsidRPr="00272AC7">
        <w:rPr>
          <w:sz w:val="18"/>
          <w:szCs w:val="18"/>
        </w:rPr>
        <w:t xml:space="preserve">В Алгоритмі 1 описано забір одного або кількох якісних початкових зразків для тестування mWRD та забір додаткових зразків за необхідності (див. інформацію про використання зразків для WRD </w:t>
      </w:r>
      <w:hyperlink w:anchor="bookmark24" w:tooltip="Поточний документ">
        <w:r w:rsidR="00366CB9" w:rsidRPr="00272AC7">
          <w:rPr>
            <w:sz w:val="18"/>
            <w:szCs w:val="18"/>
          </w:rPr>
          <w:t>розділі 2</w:t>
        </w:r>
      </w:hyperlink>
      <w:r w:rsidRPr="00272AC7">
        <w:rPr>
          <w:sz w:val="18"/>
          <w:szCs w:val="18"/>
        </w:rPr>
        <w:t xml:space="preserve"> вище в окремих рекомендаціях політики ВООЗ):</w:t>
      </w:r>
    </w:p>
    <w:p w14:paraId="7EB1B8FF" w14:textId="53943B0E" w:rsidR="00366CB9" w:rsidRPr="00272AC7" w:rsidRDefault="009D0C1D" w:rsidP="00515F9C">
      <w:pPr>
        <w:pStyle w:val="1"/>
        <w:shd w:val="clear" w:color="auto" w:fill="auto"/>
        <w:spacing w:line="324" w:lineRule="auto"/>
        <w:ind w:left="260" w:hanging="260"/>
        <w:jc w:val="both"/>
        <w:rPr>
          <w:sz w:val="18"/>
          <w:szCs w:val="18"/>
        </w:rPr>
      </w:pPr>
      <w:r w:rsidRPr="00272AC7">
        <w:rPr>
          <w:color w:val="019648"/>
          <w:sz w:val="18"/>
          <w:szCs w:val="18"/>
        </w:rPr>
        <w:t xml:space="preserve">• </w:t>
      </w:r>
      <w:r w:rsidR="00272AC7">
        <w:tab/>
      </w:r>
      <w:r w:rsidRPr="00272AC7">
        <w:rPr>
          <w:sz w:val="18"/>
          <w:szCs w:val="18"/>
        </w:rPr>
        <w:t>для дорослих та підлітків можна використовувати такі зразки: індуковане або відхаркуване мокротиння (бажано), трахеальний матеріал або бронхоальвеолярний лаваж; крім того, для тестування LF-LAM у ВІЛ-позитивних осіб необхідно використовувати сечу;</w:t>
      </w:r>
    </w:p>
    <w:p w14:paraId="0312FAB0" w14:textId="2821AC1A" w:rsidR="00366CB9" w:rsidRPr="00272AC7" w:rsidRDefault="009D0C1D" w:rsidP="00515F9C">
      <w:pPr>
        <w:pStyle w:val="1"/>
        <w:shd w:val="clear" w:color="auto" w:fill="auto"/>
        <w:spacing w:line="324" w:lineRule="auto"/>
        <w:ind w:left="260" w:hanging="260"/>
        <w:jc w:val="both"/>
        <w:rPr>
          <w:sz w:val="18"/>
          <w:szCs w:val="18"/>
        </w:rPr>
      </w:pPr>
      <w:r w:rsidRPr="00272AC7">
        <w:rPr>
          <w:color w:val="019648"/>
          <w:sz w:val="18"/>
          <w:szCs w:val="18"/>
        </w:rPr>
        <w:t xml:space="preserve">• </w:t>
      </w:r>
      <w:r w:rsidR="00272AC7">
        <w:tab/>
      </w:r>
      <w:r w:rsidRPr="00272AC7">
        <w:rPr>
          <w:sz w:val="18"/>
          <w:szCs w:val="18"/>
        </w:rPr>
        <w:t>для дітей додаткові зразки включають вміст шлунку, назофарингеальний матеріал та кал; крім того, для тестування на LF-LAM у ВІЛ-позитивних осіб можна використовувати сечу; та</w:t>
      </w:r>
    </w:p>
    <w:p w14:paraId="0A27E2B8" w14:textId="5510D58F" w:rsidR="00366CB9" w:rsidRPr="00272AC7" w:rsidRDefault="009D0C1D" w:rsidP="00515F9C">
      <w:pPr>
        <w:pStyle w:val="1"/>
        <w:shd w:val="clear" w:color="auto" w:fill="auto"/>
        <w:spacing w:line="324" w:lineRule="auto"/>
        <w:ind w:left="260" w:hanging="260"/>
        <w:jc w:val="both"/>
        <w:rPr>
          <w:sz w:val="18"/>
          <w:szCs w:val="18"/>
        </w:rPr>
      </w:pPr>
      <w:r w:rsidRPr="00272AC7">
        <w:rPr>
          <w:color w:val="019648"/>
          <w:sz w:val="18"/>
          <w:szCs w:val="18"/>
        </w:rPr>
        <w:t>•</w:t>
      </w:r>
      <w:r w:rsidR="00272AC7">
        <w:tab/>
      </w:r>
      <w:r w:rsidRPr="00272AC7">
        <w:rPr>
          <w:color w:val="019648"/>
          <w:sz w:val="18"/>
          <w:szCs w:val="18"/>
        </w:rPr>
        <w:t xml:space="preserve"> </w:t>
      </w:r>
      <w:r w:rsidRPr="00272AC7">
        <w:rPr>
          <w:sz w:val="18"/>
          <w:szCs w:val="18"/>
        </w:rPr>
        <w:t>для осіб, які проходять обстеження на позалегеневий ТБ, можна використовувати такі зразки: спинномозкова рідина, матеріал тканини лімфатичних вузлів, плевральна тканина, плевральна, синовіальна, перитонеальна або перикардіальна рідина.</w:t>
      </w:r>
    </w:p>
    <w:p w14:paraId="373169D7"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7DB62207" w14:textId="77777777" w:rsidR="00366CB9" w:rsidRDefault="00366CB9" w:rsidP="00425523">
      <w:pPr>
        <w:spacing w:line="1" w:lineRule="exact"/>
      </w:pPr>
    </w:p>
    <w:p w14:paraId="4F445BA8" w14:textId="77777777" w:rsidR="00366CB9" w:rsidRPr="00272AC7" w:rsidRDefault="009D0C1D" w:rsidP="00515F9C">
      <w:pPr>
        <w:pStyle w:val="1"/>
        <w:shd w:val="clear" w:color="auto" w:fill="auto"/>
        <w:spacing w:after="140" w:line="324" w:lineRule="auto"/>
        <w:jc w:val="both"/>
        <w:rPr>
          <w:sz w:val="18"/>
          <w:szCs w:val="18"/>
        </w:rPr>
      </w:pPr>
      <w:r w:rsidRPr="00272AC7">
        <w:rPr>
          <w:sz w:val="18"/>
          <w:szCs w:val="18"/>
        </w:rPr>
        <w:t xml:space="preserve">Для LF-LAM середню порцію сечі необхідно забирати у стерильний стандартний стаканчик для зразків сечі в закладі з приватними зонами для забору сечі та миття рук. За можливості, необхідно тестувати свіжі зразки, в ідеалі одразу після забору. Якщо негайне тестування неможливе, сечу необхідно зберігати відповідно до інструкцій виробника LF-LAM </w:t>
      </w:r>
      <w:hyperlink w:anchor="bookmark196" w:tooltip="Поточний документ">
        <w:r w:rsidR="00366CB9" w:rsidRPr="00272AC7">
          <w:rPr>
            <w:sz w:val="18"/>
            <w:szCs w:val="18"/>
          </w:rPr>
          <w:t>(24</w:t>
        </w:r>
      </w:hyperlink>
      <w:r w:rsidRPr="00272AC7">
        <w:rPr>
          <w:sz w:val="18"/>
          <w:szCs w:val="18"/>
        </w:rPr>
        <w:t>). Тестування LF-LAM підходить для всіх людей, які живуть з ВІЛ, проходять обстеження на ТБ легень або позалегеневий ТБ, незалежно від загальної поширеності ВІЛ у цьому випадку. Результат тесту LF-LAM (&lt; 30 хвилин) можна отримати до результату mWRD, а якщо він позитивний, він вважається бактеріологічним підтвердженням ТБ. Не дивлячись на те, що LF-LAM не розрізняє різні види роду Mycobacterium, у регіонах високої поширеності ТБ антиген LAM, виявлений у клінічному зразку, може бути пов’язаним з MTBC.</w:t>
      </w:r>
    </w:p>
    <w:p w14:paraId="0C7D1247" w14:textId="77777777" w:rsidR="00366CB9" w:rsidRPr="00272AC7" w:rsidRDefault="009D0C1D" w:rsidP="00515F9C">
      <w:pPr>
        <w:pStyle w:val="1"/>
        <w:shd w:val="clear" w:color="auto" w:fill="auto"/>
        <w:spacing w:after="140" w:line="324" w:lineRule="auto"/>
        <w:jc w:val="both"/>
        <w:rPr>
          <w:sz w:val="18"/>
          <w:szCs w:val="18"/>
        </w:rPr>
      </w:pPr>
      <w:r w:rsidRPr="00272AC7">
        <w:rPr>
          <w:sz w:val="18"/>
          <w:szCs w:val="18"/>
        </w:rPr>
        <w:t>Для вирішення операційних питань в рамках програм можна розглядати рутинний забір двох зразків (наприклад, разових та ранкових зразків мокротиння, або двох разових зразків) від кожної ВІЛ-негативної особи або дитини, замість того, щоб забирати лише другий зразок за необхідності додаткового тестування. У разі забору двох зразків перший необхідно негайно протестувати за допомогою першого доступного mWRD. Другий зразок можна використовувати для додаткового тестування, описаного в алгоритмі (наприклад, повторне тестування mWRD для неефективних тестів або подальшого тестування на виявлення резистентності, або для мікроскопії мазка або посіву для контролю лікування на вихідному рівні).</w:t>
      </w:r>
    </w:p>
    <w:p w14:paraId="3532E3E4" w14:textId="77777777" w:rsidR="00366CB9" w:rsidRPr="00272AC7" w:rsidRDefault="009D0C1D" w:rsidP="00515F9C">
      <w:pPr>
        <w:pStyle w:val="1"/>
        <w:shd w:val="clear" w:color="auto" w:fill="auto"/>
        <w:spacing w:after="140" w:line="324" w:lineRule="auto"/>
        <w:jc w:val="both"/>
        <w:rPr>
          <w:sz w:val="18"/>
          <w:szCs w:val="18"/>
        </w:rPr>
      </w:pPr>
      <w:r w:rsidRPr="00272AC7">
        <w:rPr>
          <w:sz w:val="18"/>
          <w:szCs w:val="18"/>
        </w:rPr>
        <w:t>Якщо можна забрати лише один зразок (наприклад, якщо важко або неможливо отримати зразки біопсії тканин), алгоритм діагностики ТБ необхідно змінити, щоб віддати пріоритет тестуванню mWRD. Якщо додаткове тестування на виявлення ТБ є виправданим, можна використовувати будь-яку частину зразка, що залишився після mWRD, для інших тестів (наприклад, посів, гістологічне дослідження, LPA та ТМЧ). Крім того, зразок можна обробити для посіву у лабораторії з відповідним оснащенням, а той самий осад можна використовувати для mWRD, посіву та інших тестів. Клінічні рішення повинні прийматися на основі клінічного судження та результатів наявних лабораторних досліджень.</w:t>
      </w:r>
    </w:p>
    <w:p w14:paraId="7C5D8135" w14:textId="77777777" w:rsidR="00366CB9" w:rsidRPr="00272AC7" w:rsidRDefault="009D0C1D" w:rsidP="00515F9C">
      <w:pPr>
        <w:pStyle w:val="1"/>
        <w:shd w:val="clear" w:color="auto" w:fill="auto"/>
        <w:spacing w:after="140" w:line="324" w:lineRule="auto"/>
        <w:jc w:val="both"/>
        <w:rPr>
          <w:sz w:val="18"/>
          <w:szCs w:val="18"/>
        </w:rPr>
      </w:pPr>
      <w:r w:rsidRPr="00272AC7">
        <w:rPr>
          <w:sz w:val="18"/>
          <w:szCs w:val="18"/>
        </w:rPr>
        <w:t>Щодо виявлення MTBC, результати mWRD, як правило, позначаються як «MTBC не виявлено», «MTBC виявлено», «без результату», «помилка» або «недійсний». У групі результатів «MTBC виявлено» деякі mWRD дають напівкількісні результати (високий, середній, низький або дуже низький). Тест Xpert Ultra входить до додаткової напівкількісної категорії під назвою «слід».</w:t>
      </w:r>
    </w:p>
    <w:p w14:paraId="2A32D739" w14:textId="7C80BF5A" w:rsidR="00366CB9" w:rsidRPr="00272AC7" w:rsidRDefault="009D0C1D" w:rsidP="00515F9C">
      <w:pPr>
        <w:pStyle w:val="1"/>
        <w:shd w:val="clear" w:color="auto" w:fill="auto"/>
        <w:spacing w:line="324" w:lineRule="auto"/>
        <w:ind w:left="260" w:hanging="260"/>
        <w:jc w:val="both"/>
        <w:rPr>
          <w:sz w:val="18"/>
          <w:szCs w:val="18"/>
        </w:rPr>
      </w:pPr>
      <w:r w:rsidRPr="00272AC7">
        <w:rPr>
          <w:color w:val="019648"/>
          <w:sz w:val="18"/>
          <w:szCs w:val="18"/>
        </w:rPr>
        <w:t xml:space="preserve">• </w:t>
      </w:r>
      <w:r w:rsidR="00272AC7">
        <w:tab/>
      </w:r>
      <w:r w:rsidRPr="00272AC7">
        <w:rPr>
          <w:sz w:val="18"/>
          <w:szCs w:val="18"/>
        </w:rPr>
        <w:t>Якщо «сліди» Xpert Ultra використовуються для людей, які живуть з ВІЛ, та дітей, які проходять обстеження на ТБ легень, а також для осіб, які проходять обстеження на позалегеневий ТБ, результат «виявлено сліди MTBC» вважається бактеріологічним підтвердженням ТБ.</w:t>
      </w:r>
    </w:p>
    <w:p w14:paraId="7B77810B" w14:textId="5B77CB01" w:rsidR="00366CB9" w:rsidRPr="00272AC7" w:rsidRDefault="009D0C1D" w:rsidP="00515F9C">
      <w:pPr>
        <w:pStyle w:val="1"/>
        <w:shd w:val="clear" w:color="auto" w:fill="auto"/>
        <w:spacing w:after="140" w:line="324" w:lineRule="auto"/>
        <w:ind w:left="260" w:hanging="260"/>
        <w:jc w:val="both"/>
        <w:rPr>
          <w:sz w:val="18"/>
          <w:szCs w:val="18"/>
        </w:rPr>
      </w:pPr>
      <w:r w:rsidRPr="00272AC7">
        <w:rPr>
          <w:color w:val="019648"/>
          <w:sz w:val="18"/>
          <w:szCs w:val="18"/>
        </w:rPr>
        <w:t xml:space="preserve">• </w:t>
      </w:r>
      <w:r w:rsidR="00272AC7">
        <w:tab/>
      </w:r>
      <w:r w:rsidRPr="00272AC7">
        <w:rPr>
          <w:sz w:val="18"/>
          <w:szCs w:val="18"/>
        </w:rPr>
        <w:t>У ВІЛ-негативних дорослих з симптомами, з наявністю в анамнезі лікування ТБ (завершеного &lt; 5 років тому), «слідові» результати Xpert Ultra (а іноді й інші mWRD дають результат «виявлено дуже низький рівень MTBC») можуть бути позитивними не через активну форму ТБ, а через наявність нежиттєздатних бацил. Клінічні рішення необхідно приймати на основі всієї доступної інформації та клінічної оцінки.</w:t>
      </w:r>
    </w:p>
    <w:p w14:paraId="329E6CF2" w14:textId="77777777" w:rsidR="00366CB9" w:rsidRPr="00272AC7" w:rsidRDefault="009D0C1D" w:rsidP="00515F9C">
      <w:pPr>
        <w:pStyle w:val="1"/>
        <w:shd w:val="clear" w:color="auto" w:fill="auto"/>
        <w:spacing w:after="140" w:line="324" w:lineRule="auto"/>
        <w:jc w:val="both"/>
        <w:rPr>
          <w:sz w:val="18"/>
          <w:szCs w:val="18"/>
        </w:rPr>
      </w:pPr>
      <w:r w:rsidRPr="00272AC7">
        <w:rPr>
          <w:sz w:val="18"/>
          <w:szCs w:val="18"/>
        </w:rPr>
        <w:t>Щодо виявлення резистентності до RIF та INH, mWRD дають результати щодо RIF або INH «резистентність виявлено», «не виявлено» або «невизначений результат». Для аналізів, для яких виявлення резистентності залежить від відсутності зв’язування репортерних зондів дикого типу з ампліконами (наприклад, Truenat MTB-RIF Dx), може бути доцільно зазначити, що резистентність очікується, а не виявляється.</w:t>
      </w:r>
    </w:p>
    <w:p w14:paraId="02C653C3" w14:textId="77777777" w:rsidR="00366CB9" w:rsidRPr="00272AC7" w:rsidRDefault="009D0C1D" w:rsidP="00515F9C">
      <w:pPr>
        <w:pStyle w:val="1"/>
        <w:shd w:val="clear" w:color="auto" w:fill="auto"/>
        <w:spacing w:line="322" w:lineRule="auto"/>
        <w:jc w:val="both"/>
        <w:rPr>
          <w:sz w:val="18"/>
          <w:szCs w:val="18"/>
        </w:rPr>
      </w:pPr>
      <w:r w:rsidRPr="00272AC7">
        <w:rPr>
          <w:sz w:val="18"/>
          <w:szCs w:val="18"/>
        </w:rPr>
        <w:t>Коли проводяться два mWRD (у контексті стратегії супутнього тестування), а результати двох тестів відрізняються від статусу RIF, необхідно дослідити можливі помилки (наприклад,</w:t>
      </w:r>
    </w:p>
    <w:p w14:paraId="0D881D22"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39D26B29" w14:textId="77777777" w:rsidR="00366CB9" w:rsidRDefault="00366CB9" w:rsidP="00425523">
      <w:pPr>
        <w:spacing w:line="1" w:lineRule="exact"/>
      </w:pPr>
    </w:p>
    <w:p w14:paraId="5865CB26" w14:textId="77777777" w:rsidR="00366CB9" w:rsidRPr="00272AC7" w:rsidRDefault="009D0C1D" w:rsidP="00515F9C">
      <w:pPr>
        <w:pStyle w:val="1"/>
        <w:shd w:val="clear" w:color="auto" w:fill="auto"/>
        <w:spacing w:after="140" w:line="324" w:lineRule="auto"/>
        <w:jc w:val="both"/>
        <w:rPr>
          <w:sz w:val="18"/>
          <w:szCs w:val="18"/>
        </w:rPr>
      </w:pPr>
      <w:r w:rsidRPr="00272AC7">
        <w:rPr>
          <w:sz w:val="18"/>
          <w:szCs w:val="18"/>
        </w:rPr>
        <w:t>неправильно марковані зразки або машинна помилка) та переглянути профіль резистентності контактів. Якщо дослідження не є остаточним, необхідно використовувати результати резистентності; як варіант, тест можна повторити з резистентним типом зразка, перш ніж призначити схему лікування ЛС-ТБ.</w:t>
      </w:r>
    </w:p>
    <w:p w14:paraId="542F670A" w14:textId="77777777" w:rsidR="00366CB9" w:rsidRPr="00272AC7" w:rsidRDefault="009D0C1D" w:rsidP="00515F9C">
      <w:pPr>
        <w:pStyle w:val="1"/>
        <w:shd w:val="clear" w:color="auto" w:fill="auto"/>
        <w:spacing w:after="140" w:line="326" w:lineRule="auto"/>
        <w:jc w:val="both"/>
        <w:rPr>
          <w:sz w:val="18"/>
          <w:szCs w:val="18"/>
        </w:rPr>
      </w:pPr>
      <w:r w:rsidRPr="00272AC7">
        <w:rPr>
          <w:sz w:val="18"/>
          <w:szCs w:val="18"/>
        </w:rPr>
        <w:t>mWRD для виявлення резистентності до RIF або INH (або обох) може не усунути необхідність подальшого ТМЧ.</w:t>
      </w:r>
    </w:p>
    <w:p w14:paraId="3990DC99" w14:textId="77777777" w:rsidR="00366CB9" w:rsidRDefault="009D0C1D" w:rsidP="00515F9C">
      <w:pPr>
        <w:pStyle w:val="60"/>
        <w:shd w:val="clear" w:color="auto" w:fill="auto"/>
        <w:spacing w:after="180" w:line="269" w:lineRule="auto"/>
      </w:pPr>
      <w:r>
        <w:rPr>
          <w:color w:val="019648"/>
        </w:rPr>
        <w:t>Схема прийняття рішень</w:t>
      </w:r>
    </w:p>
    <w:p w14:paraId="056BBDFD" w14:textId="77777777" w:rsidR="00366CB9" w:rsidRPr="00272AC7" w:rsidRDefault="009D0C1D" w:rsidP="00515F9C">
      <w:pPr>
        <w:pStyle w:val="1"/>
        <w:shd w:val="clear" w:color="auto" w:fill="auto"/>
        <w:spacing w:after="140" w:line="324" w:lineRule="auto"/>
        <w:jc w:val="both"/>
        <w:rPr>
          <w:sz w:val="18"/>
          <w:szCs w:val="18"/>
        </w:rPr>
      </w:pPr>
      <w:r w:rsidRPr="00272AC7">
        <w:rPr>
          <w:sz w:val="18"/>
          <w:szCs w:val="18"/>
        </w:rPr>
        <w:t>Результати тесту або тестів необхідно використовувати для визначення подальших етапів та прийняття рішень щодо лікування. Нижче наведено опис вибору схеми, а також міркування та дії для кожної схеми WRD.</w:t>
      </w:r>
    </w:p>
    <w:p w14:paraId="116455AD" w14:textId="0C8FA1B1" w:rsidR="00366CB9" w:rsidRPr="00272AC7" w:rsidRDefault="009D0C1D" w:rsidP="00272AC7">
      <w:pPr>
        <w:pStyle w:val="1"/>
        <w:shd w:val="clear" w:color="auto" w:fill="auto"/>
        <w:tabs>
          <w:tab w:val="left" w:pos="284"/>
        </w:tabs>
        <w:spacing w:line="326" w:lineRule="auto"/>
        <w:jc w:val="both"/>
        <w:rPr>
          <w:sz w:val="18"/>
          <w:szCs w:val="18"/>
        </w:rPr>
      </w:pPr>
      <w:r>
        <w:rPr>
          <w:color w:val="019648"/>
        </w:rPr>
        <w:t xml:space="preserve">• </w:t>
      </w:r>
      <w:r w:rsidR="00272AC7">
        <w:tab/>
      </w:r>
      <w:r w:rsidRPr="00272AC7">
        <w:rPr>
          <w:sz w:val="18"/>
          <w:szCs w:val="18"/>
        </w:rPr>
        <w:t xml:space="preserve">Якщо результати тестів є негативними, застосовується схема </w:t>
      </w:r>
      <w:r w:rsidRPr="00272AC7">
        <w:rPr>
          <w:noProof/>
          <w:sz w:val="18"/>
          <w:szCs w:val="18"/>
        </w:rPr>
        <w:drawing>
          <wp:inline distT="0" distB="0" distL="0" distR="0" wp14:anchorId="22EF0E13" wp14:editId="47FBBB54">
            <wp:extent cx="387096" cy="192024"/>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24"/>
                    <a:stretch>
                      <a:fillRect/>
                    </a:stretch>
                  </pic:blipFill>
                  <pic:spPr>
                    <a:xfrm>
                      <a:off x="0" y="0"/>
                      <a:ext cx="387096" cy="192024"/>
                    </a:xfrm>
                    <a:prstGeom prst="rect">
                      <a:avLst/>
                    </a:prstGeom>
                  </pic:spPr>
                </pic:pic>
              </a:graphicData>
            </a:graphic>
          </wp:inline>
        </w:drawing>
      </w:r>
      <w:r w:rsidRPr="00272AC7">
        <w:rPr>
          <w:sz w:val="18"/>
          <w:szCs w:val="18"/>
        </w:rPr>
        <w:t>.</w:t>
      </w:r>
    </w:p>
    <w:p w14:paraId="51377B41" w14:textId="33F87416" w:rsidR="00366CB9" w:rsidRPr="00272AC7" w:rsidRDefault="009D0C1D" w:rsidP="00272AC7">
      <w:pPr>
        <w:pStyle w:val="1"/>
        <w:shd w:val="clear" w:color="auto" w:fill="auto"/>
        <w:tabs>
          <w:tab w:val="left" w:pos="284"/>
        </w:tabs>
        <w:spacing w:line="326" w:lineRule="auto"/>
        <w:jc w:val="both"/>
        <w:rPr>
          <w:sz w:val="18"/>
          <w:szCs w:val="18"/>
        </w:rPr>
      </w:pPr>
      <w:r w:rsidRPr="00272AC7">
        <w:rPr>
          <w:color w:val="019648"/>
          <w:sz w:val="18"/>
          <w:szCs w:val="18"/>
        </w:rPr>
        <w:t xml:space="preserve">• </w:t>
      </w:r>
      <w:r w:rsidR="00272AC7" w:rsidRPr="00272AC7">
        <w:rPr>
          <w:sz w:val="18"/>
          <w:szCs w:val="18"/>
        </w:rPr>
        <w:tab/>
      </w:r>
      <w:r w:rsidRPr="00272AC7">
        <w:rPr>
          <w:sz w:val="18"/>
          <w:szCs w:val="18"/>
        </w:rPr>
        <w:t>Якщо результат тесту є позитивним, результати тестів впливають на вибір схем B-E:</w:t>
      </w:r>
    </w:p>
    <w:p w14:paraId="5880494C" w14:textId="0EA0D369" w:rsidR="00366CB9" w:rsidRPr="00272AC7" w:rsidRDefault="009D0C1D" w:rsidP="00295DBB">
      <w:pPr>
        <w:pStyle w:val="1"/>
        <w:shd w:val="clear" w:color="auto" w:fill="auto"/>
        <w:tabs>
          <w:tab w:val="left" w:pos="567"/>
        </w:tabs>
        <w:spacing w:line="326" w:lineRule="auto"/>
        <w:ind w:left="567" w:hanging="283"/>
        <w:jc w:val="both"/>
        <w:rPr>
          <w:sz w:val="18"/>
          <w:szCs w:val="18"/>
        </w:rPr>
      </w:pPr>
      <w:r w:rsidRPr="00272AC7">
        <w:rPr>
          <w:color w:val="019648"/>
          <w:sz w:val="18"/>
          <w:szCs w:val="18"/>
        </w:rPr>
        <w:t xml:space="preserve">– </w:t>
      </w:r>
      <w:r w:rsidR="00295DBB">
        <w:tab/>
      </w:r>
      <w:r w:rsidRPr="00272AC7">
        <w:rPr>
          <w:sz w:val="18"/>
          <w:szCs w:val="18"/>
        </w:rPr>
        <w:t xml:space="preserve">Схема </w:t>
      </w:r>
      <w:r w:rsidRPr="00272AC7">
        <w:rPr>
          <w:rFonts w:ascii="Times New Roman" w:hAnsi="Times New Roman"/>
          <w:b/>
          <w:noProof/>
          <w:color w:val="343433"/>
          <w:sz w:val="24"/>
          <w:szCs w:val="18"/>
        </w:rPr>
        <w:drawing>
          <wp:inline distT="0" distB="0" distL="0" distR="0" wp14:anchorId="626B5D14" wp14:editId="4BDEAF97">
            <wp:extent cx="384048" cy="188976"/>
            <wp:effectExtent l="0" t="0" r="0" b="1905"/>
            <wp:docPr id="19403097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25"/>
                    <a:stretch>
                      <a:fillRect/>
                    </a:stretch>
                  </pic:blipFill>
                  <pic:spPr>
                    <a:xfrm>
                      <a:off x="0" y="0"/>
                      <a:ext cx="384048" cy="188976"/>
                    </a:xfrm>
                    <a:prstGeom prst="rect">
                      <a:avLst/>
                    </a:prstGeom>
                  </pic:spPr>
                </pic:pic>
              </a:graphicData>
            </a:graphic>
          </wp:inline>
        </w:drawing>
      </w:r>
      <w:r w:rsidRPr="00272AC7">
        <w:rPr>
          <w:b/>
          <w:color w:val="343433"/>
          <w:sz w:val="18"/>
          <w:szCs w:val="18"/>
        </w:rPr>
        <w:t xml:space="preserve"> </w:t>
      </w:r>
      <w:r w:rsidRPr="00272AC7">
        <w:rPr>
          <w:sz w:val="18"/>
          <w:szCs w:val="18"/>
        </w:rPr>
        <w:t>: MTBC виявлено, а чутливість до RIF підтверджено;</w:t>
      </w:r>
      <w:r w:rsidRPr="00272AC7">
        <w:rPr>
          <w:sz w:val="18"/>
          <w:szCs w:val="18"/>
          <w:vertAlign w:val="superscript"/>
        </w:rPr>
        <w:t>6</w:t>
      </w:r>
    </w:p>
    <w:p w14:paraId="4C88DCE6" w14:textId="4D09E0FA" w:rsidR="00366CB9" w:rsidRPr="00272AC7" w:rsidRDefault="009D0C1D" w:rsidP="00295DBB">
      <w:pPr>
        <w:pStyle w:val="1"/>
        <w:shd w:val="clear" w:color="auto" w:fill="auto"/>
        <w:tabs>
          <w:tab w:val="left" w:pos="567"/>
        </w:tabs>
        <w:spacing w:line="326" w:lineRule="auto"/>
        <w:ind w:left="567" w:hanging="283"/>
        <w:jc w:val="both"/>
        <w:rPr>
          <w:sz w:val="18"/>
          <w:szCs w:val="18"/>
        </w:rPr>
      </w:pPr>
      <w:r w:rsidRPr="00272AC7">
        <w:rPr>
          <w:color w:val="019648"/>
          <w:sz w:val="18"/>
          <w:szCs w:val="18"/>
        </w:rPr>
        <w:t xml:space="preserve">– </w:t>
      </w:r>
      <w:r w:rsidR="00295DBB">
        <w:tab/>
      </w:r>
      <w:r w:rsidRPr="00272AC7">
        <w:rPr>
          <w:sz w:val="18"/>
          <w:szCs w:val="18"/>
        </w:rPr>
        <w:t xml:space="preserve">Схема </w:t>
      </w:r>
      <w:r w:rsidRPr="00272AC7">
        <w:rPr>
          <w:rFonts w:ascii="Times New Roman" w:hAnsi="Times New Roman"/>
          <w:b/>
          <w:noProof/>
          <w:color w:val="343433"/>
          <w:sz w:val="24"/>
          <w:szCs w:val="18"/>
        </w:rPr>
        <w:drawing>
          <wp:inline distT="0" distB="0" distL="0" distR="0" wp14:anchorId="3893F9BA" wp14:editId="1FE02F89">
            <wp:extent cx="387096" cy="192024"/>
            <wp:effectExtent l="0" t="0" r="0" b="0"/>
            <wp:docPr id="13873714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26"/>
                    <a:stretch>
                      <a:fillRect/>
                    </a:stretch>
                  </pic:blipFill>
                  <pic:spPr>
                    <a:xfrm>
                      <a:off x="0" y="0"/>
                      <a:ext cx="387096" cy="192024"/>
                    </a:xfrm>
                    <a:prstGeom prst="rect">
                      <a:avLst/>
                    </a:prstGeom>
                  </pic:spPr>
                </pic:pic>
              </a:graphicData>
            </a:graphic>
          </wp:inline>
        </w:drawing>
      </w:r>
      <w:r w:rsidRPr="00272AC7">
        <w:rPr>
          <w:b/>
          <w:color w:val="EBEBEB"/>
          <w:sz w:val="18"/>
          <w:szCs w:val="18"/>
        </w:rPr>
        <w:t xml:space="preserve"> </w:t>
      </w:r>
      <w:r w:rsidRPr="00272AC7">
        <w:rPr>
          <w:sz w:val="18"/>
          <w:szCs w:val="18"/>
        </w:rPr>
        <w:t>: MTBC виявлено, а резистентність до RIF виявлено;</w:t>
      </w:r>
    </w:p>
    <w:p w14:paraId="398F39CC" w14:textId="15376DE3" w:rsidR="00366CB9" w:rsidRPr="00272AC7" w:rsidRDefault="009D0C1D" w:rsidP="00295DBB">
      <w:pPr>
        <w:pStyle w:val="1"/>
        <w:shd w:val="clear" w:color="auto" w:fill="auto"/>
        <w:tabs>
          <w:tab w:val="left" w:pos="567"/>
        </w:tabs>
        <w:spacing w:line="326" w:lineRule="auto"/>
        <w:ind w:left="567" w:hanging="283"/>
        <w:jc w:val="both"/>
        <w:rPr>
          <w:sz w:val="18"/>
          <w:szCs w:val="18"/>
        </w:rPr>
      </w:pPr>
      <w:r w:rsidRPr="00272AC7">
        <w:rPr>
          <w:color w:val="019648"/>
          <w:sz w:val="18"/>
          <w:szCs w:val="18"/>
        </w:rPr>
        <w:t xml:space="preserve">– </w:t>
      </w:r>
      <w:r w:rsidR="00295DBB">
        <w:tab/>
      </w:r>
      <w:r w:rsidRPr="00272AC7">
        <w:rPr>
          <w:sz w:val="18"/>
          <w:szCs w:val="18"/>
        </w:rPr>
        <w:t xml:space="preserve">Схема </w:t>
      </w:r>
      <w:r w:rsidRPr="00272AC7">
        <w:rPr>
          <w:rFonts w:ascii="Times New Roman" w:hAnsi="Times New Roman"/>
          <w:b/>
          <w:noProof/>
          <w:color w:val="343433"/>
          <w:sz w:val="24"/>
          <w:szCs w:val="18"/>
        </w:rPr>
        <w:drawing>
          <wp:inline distT="0" distB="0" distL="0" distR="0" wp14:anchorId="3087396A" wp14:editId="4EB2722C">
            <wp:extent cx="393192" cy="195072"/>
            <wp:effectExtent l="0" t="0" r="6985" b="0"/>
            <wp:docPr id="5699232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7"/>
                    <a:stretch>
                      <a:fillRect/>
                    </a:stretch>
                  </pic:blipFill>
                  <pic:spPr>
                    <a:xfrm>
                      <a:off x="0" y="0"/>
                      <a:ext cx="393192" cy="195072"/>
                    </a:xfrm>
                    <a:prstGeom prst="rect">
                      <a:avLst/>
                    </a:prstGeom>
                  </pic:spPr>
                </pic:pic>
              </a:graphicData>
            </a:graphic>
          </wp:inline>
        </w:drawing>
      </w:r>
      <w:r w:rsidRPr="00272AC7">
        <w:rPr>
          <w:sz w:val="18"/>
          <w:szCs w:val="18"/>
        </w:rPr>
        <w:t>: MTBC виявлено (у разі Ultra немає слідового результату), а результат резистентності до RIF невідомий або невизначений; та</w:t>
      </w:r>
    </w:p>
    <w:p w14:paraId="46A92392" w14:textId="5D3CE84B" w:rsidR="00366CB9" w:rsidRPr="00272AC7" w:rsidRDefault="009D0C1D" w:rsidP="00295DBB">
      <w:pPr>
        <w:pStyle w:val="1"/>
        <w:shd w:val="clear" w:color="auto" w:fill="auto"/>
        <w:tabs>
          <w:tab w:val="left" w:pos="567"/>
        </w:tabs>
        <w:spacing w:line="326" w:lineRule="auto"/>
        <w:ind w:left="567" w:hanging="283"/>
        <w:jc w:val="both"/>
        <w:rPr>
          <w:sz w:val="18"/>
          <w:szCs w:val="18"/>
        </w:rPr>
      </w:pPr>
      <w:r w:rsidRPr="00272AC7">
        <w:rPr>
          <w:color w:val="019648"/>
          <w:sz w:val="18"/>
          <w:szCs w:val="18"/>
        </w:rPr>
        <w:t xml:space="preserve">– </w:t>
      </w:r>
      <w:r w:rsidR="00295DBB">
        <w:tab/>
      </w:r>
      <w:r w:rsidRPr="00272AC7">
        <w:rPr>
          <w:sz w:val="18"/>
          <w:szCs w:val="18"/>
        </w:rPr>
        <w:t xml:space="preserve">Схема </w:t>
      </w:r>
      <w:r w:rsidRPr="00272AC7">
        <w:rPr>
          <w:rFonts w:ascii="Times New Roman" w:hAnsi="Times New Roman"/>
          <w:b/>
          <w:noProof/>
          <w:color w:val="343433"/>
          <w:sz w:val="24"/>
          <w:szCs w:val="18"/>
        </w:rPr>
        <w:drawing>
          <wp:inline distT="0" distB="0" distL="0" distR="0" wp14:anchorId="016B11AD" wp14:editId="0391D2DF">
            <wp:extent cx="377952" cy="195072"/>
            <wp:effectExtent l="0" t="0" r="3175" b="0"/>
            <wp:docPr id="13650249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28"/>
                    <a:stretch>
                      <a:fillRect/>
                    </a:stretch>
                  </pic:blipFill>
                  <pic:spPr>
                    <a:xfrm>
                      <a:off x="0" y="0"/>
                      <a:ext cx="377952" cy="195072"/>
                    </a:xfrm>
                    <a:prstGeom prst="rect">
                      <a:avLst/>
                    </a:prstGeom>
                  </pic:spPr>
                </pic:pic>
              </a:graphicData>
            </a:graphic>
          </wp:inline>
        </w:drawing>
      </w:r>
      <w:r w:rsidRPr="00272AC7">
        <w:rPr>
          <w:b/>
          <w:color w:val="EBEBEB"/>
          <w:sz w:val="18"/>
          <w:szCs w:val="18"/>
        </w:rPr>
        <w:t xml:space="preserve"> </w:t>
      </w:r>
      <w:r w:rsidRPr="00272AC7">
        <w:rPr>
          <w:sz w:val="18"/>
          <w:szCs w:val="18"/>
        </w:rPr>
        <w:t>: MTBC виявлено зі слідовим результатом, результат резистентності до RIF невизначений.</w:t>
      </w:r>
    </w:p>
    <w:p w14:paraId="61C6776C" w14:textId="0749072D" w:rsidR="00366CB9" w:rsidRPr="00272AC7" w:rsidRDefault="009D0C1D" w:rsidP="00272AC7">
      <w:pPr>
        <w:pStyle w:val="1"/>
        <w:shd w:val="clear" w:color="auto" w:fill="auto"/>
        <w:tabs>
          <w:tab w:val="left" w:pos="284"/>
        </w:tabs>
        <w:spacing w:after="140" w:line="326" w:lineRule="auto"/>
        <w:jc w:val="both"/>
        <w:rPr>
          <w:sz w:val="18"/>
          <w:szCs w:val="18"/>
        </w:rPr>
      </w:pPr>
      <w:r w:rsidRPr="00272AC7">
        <w:rPr>
          <w:color w:val="019648"/>
          <w:sz w:val="18"/>
          <w:szCs w:val="18"/>
        </w:rPr>
        <w:t xml:space="preserve">• </w:t>
      </w:r>
      <w:r w:rsidR="00272AC7">
        <w:tab/>
      </w:r>
      <w:r w:rsidRPr="00272AC7">
        <w:rPr>
          <w:sz w:val="18"/>
          <w:szCs w:val="18"/>
        </w:rPr>
        <w:t xml:space="preserve">Якщо всі тести не дають результатів, дають недійсні результати або помилки, застосовується схема </w:t>
      </w:r>
      <w:r w:rsidRPr="00272AC7">
        <w:rPr>
          <w:rFonts w:ascii="Times New Roman" w:hAnsi="Times New Roman"/>
          <w:b/>
          <w:noProof/>
          <w:color w:val="343433"/>
          <w:sz w:val="24"/>
          <w:szCs w:val="18"/>
        </w:rPr>
        <w:drawing>
          <wp:inline distT="0" distB="0" distL="0" distR="0" wp14:anchorId="0AF7B299" wp14:editId="5B8B5F70">
            <wp:extent cx="384048" cy="192024"/>
            <wp:effectExtent l="0" t="0" r="0" b="0"/>
            <wp:docPr id="5810236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29"/>
                    <a:stretch>
                      <a:fillRect/>
                    </a:stretch>
                  </pic:blipFill>
                  <pic:spPr>
                    <a:xfrm>
                      <a:off x="0" y="0"/>
                      <a:ext cx="384048" cy="192024"/>
                    </a:xfrm>
                    <a:prstGeom prst="rect">
                      <a:avLst/>
                    </a:prstGeom>
                  </pic:spPr>
                </pic:pic>
              </a:graphicData>
            </a:graphic>
          </wp:inline>
        </w:drawing>
      </w:r>
      <w:r w:rsidRPr="00272AC7">
        <w:rPr>
          <w:sz w:val="18"/>
          <w:szCs w:val="18"/>
        </w:rPr>
        <w:t>.</w:t>
      </w:r>
    </w:p>
    <w:p w14:paraId="15E04CD8" w14:textId="77777777" w:rsidR="00366CB9" w:rsidRPr="00272AC7" w:rsidRDefault="009D0C1D" w:rsidP="00515F9C">
      <w:pPr>
        <w:pStyle w:val="1"/>
        <w:shd w:val="clear" w:color="auto" w:fill="auto"/>
        <w:spacing w:line="324" w:lineRule="auto"/>
        <w:jc w:val="both"/>
        <w:rPr>
          <w:sz w:val="18"/>
          <w:szCs w:val="18"/>
        </w:rPr>
      </w:pPr>
      <w:r w:rsidRPr="00272AC7">
        <w:rPr>
          <w:sz w:val="18"/>
          <w:szCs w:val="18"/>
        </w:rPr>
        <w:t>Під час проведення супутнього тестування кількох зразків та тестів для людей, які живуть з ВІЛ, та дітей, застосовується схема 1A, якщо всі тести дають негативні результати, тоді як схеми 1B-1E застосовуються, якщо будь-який тест дає позитивний результат. Схема 1B застосовується, якщо всі тести на виявлення резистентності вказують на чутливість до RIF, тоді як схема 1C застосовується, якщо будь-який тест вказує на резистентність до RIF. Для пацієнтів з позитивним результатом тесту на ТБ за допомогою LF-LAM або LC-mNAAT, але без наявності результату резистентності до RIF та без доступу до LC-aNAAT на вихідному рівні, необхідно забрати додатковий зразок та перевезти його для тестування за допомогою LC-aNAAT в іншому закладі. Схему 1D можна застосовувати, доки не буде отримано результат резистентності до RIF.</w:t>
      </w:r>
    </w:p>
    <w:p w14:paraId="07B286B9" w14:textId="059BC664" w:rsidR="00295DBB" w:rsidRDefault="00295DBB" w:rsidP="00295DBB">
      <w:pPr>
        <w:pStyle w:val="ad"/>
        <w:framePr w:w="9168" w:wrap="none" w:vAnchor="page" w:hAnchor="page" w:x="1395" w:y="15368"/>
        <w:shd w:val="clear" w:color="auto" w:fill="auto"/>
        <w:tabs>
          <w:tab w:val="left" w:pos="284"/>
        </w:tabs>
        <w:spacing w:line="240" w:lineRule="auto"/>
        <w:ind w:left="0" w:firstLine="0"/>
        <w:jc w:val="both"/>
        <w:rPr>
          <w:sz w:val="13"/>
          <w:szCs w:val="13"/>
          <w:vertAlign w:val="superscript"/>
        </w:rPr>
      </w:pPr>
      <w:r>
        <w:rPr>
          <w:sz w:val="13"/>
          <w:szCs w:val="13"/>
          <w:vertAlign w:val="superscript"/>
        </w:rPr>
        <w:t>_______________________________________________</w:t>
      </w:r>
    </w:p>
    <w:p w14:paraId="58F0AF71" w14:textId="331D5780" w:rsidR="00366CB9" w:rsidRPr="00272AC7" w:rsidRDefault="009D0C1D" w:rsidP="00295DBB">
      <w:pPr>
        <w:pStyle w:val="ad"/>
        <w:framePr w:w="9168" w:wrap="none" w:vAnchor="page" w:hAnchor="page" w:x="1395" w:y="15368"/>
        <w:shd w:val="clear" w:color="auto" w:fill="auto"/>
        <w:tabs>
          <w:tab w:val="left" w:pos="284"/>
        </w:tabs>
        <w:spacing w:line="240" w:lineRule="auto"/>
        <w:ind w:left="0" w:firstLine="0"/>
        <w:jc w:val="both"/>
        <w:rPr>
          <w:sz w:val="13"/>
          <w:szCs w:val="13"/>
        </w:rPr>
      </w:pPr>
      <w:r w:rsidRPr="00272AC7">
        <w:rPr>
          <w:sz w:val="13"/>
          <w:szCs w:val="13"/>
          <w:vertAlign w:val="superscript"/>
        </w:rPr>
        <w:t>6</w:t>
      </w:r>
      <w:r w:rsidR="00295DBB">
        <w:tab/>
      </w:r>
      <w:r w:rsidRPr="00272AC7">
        <w:rPr>
          <w:sz w:val="13"/>
          <w:szCs w:val="13"/>
        </w:rPr>
        <w:t>Чутливість до RIF необхідно підтвердити (не є невідомою) за допомогою WRD.</w:t>
      </w:r>
    </w:p>
    <w:p w14:paraId="24876C00" w14:textId="77777777" w:rsidR="00366CB9" w:rsidRPr="00272AC7" w:rsidRDefault="00366CB9" w:rsidP="00425523">
      <w:pPr>
        <w:spacing w:line="1" w:lineRule="exact"/>
        <w:rPr>
          <w:sz w:val="22"/>
          <w:szCs w:val="22"/>
        </w:rPr>
        <w:sectPr w:rsidR="00366CB9" w:rsidRPr="00272AC7" w:rsidSect="00F03360">
          <w:type w:val="nextColumn"/>
          <w:pgSz w:w="11913" w:h="16840"/>
          <w:pgMar w:top="1469" w:right="1378" w:bottom="851" w:left="1372" w:header="0" w:footer="6" w:gutter="0"/>
          <w:paperSrc w:first="15" w:other="15"/>
          <w:cols w:space="720"/>
          <w:noEndnote/>
          <w:docGrid w:linePitch="360"/>
        </w:sectPr>
      </w:pPr>
    </w:p>
    <w:p w14:paraId="7A470FB1" w14:textId="77777777" w:rsidR="00366CB9" w:rsidRDefault="00366CB9" w:rsidP="00425523">
      <w:pPr>
        <w:spacing w:line="1" w:lineRule="exact"/>
      </w:pPr>
    </w:p>
    <w:tbl>
      <w:tblPr>
        <w:tblOverlap w:val="never"/>
        <w:tblW w:w="9250" w:type="dxa"/>
        <w:tblLayout w:type="fixed"/>
        <w:tblCellMar>
          <w:left w:w="10" w:type="dxa"/>
          <w:right w:w="10" w:type="dxa"/>
        </w:tblCellMar>
        <w:tblLook w:val="0000" w:firstRow="0" w:lastRow="0" w:firstColumn="0" w:lastColumn="0" w:noHBand="0" w:noVBand="0"/>
      </w:tblPr>
      <w:tblGrid>
        <w:gridCol w:w="9250"/>
      </w:tblGrid>
      <w:tr w:rsidR="00366CB9" w14:paraId="7E9F82A5" w14:textId="77777777" w:rsidTr="005816C2">
        <w:trPr>
          <w:trHeight w:hRule="exact" w:val="8496"/>
        </w:trPr>
        <w:tc>
          <w:tcPr>
            <w:tcW w:w="9250" w:type="dxa"/>
            <w:shd w:val="clear" w:color="auto" w:fill="FFFFFF"/>
          </w:tcPr>
          <w:p w14:paraId="1331F563" w14:textId="75E79AE3" w:rsidR="00366CB9" w:rsidRDefault="00295DBB" w:rsidP="00515F9C">
            <w:pPr>
              <w:rPr>
                <w:sz w:val="2"/>
                <w:szCs w:val="2"/>
              </w:rPr>
            </w:pPr>
            <w:r>
              <w:rPr>
                <w:noProof/>
              </w:rPr>
              <mc:AlternateContent>
                <mc:Choice Requires="wps">
                  <w:drawing>
                    <wp:anchor distT="0" distB="0" distL="114300" distR="114300" simplePos="0" relativeHeight="251676672" behindDoc="0" locked="0" layoutInCell="1" allowOverlap="1" wp14:anchorId="6E5A39A2" wp14:editId="3E930288">
                      <wp:simplePos x="0" y="0"/>
                      <wp:positionH relativeFrom="column">
                        <wp:posOffset>1882563</wp:posOffset>
                      </wp:positionH>
                      <wp:positionV relativeFrom="paragraph">
                        <wp:posOffset>4646082</wp:posOffset>
                      </wp:positionV>
                      <wp:extent cx="1917065" cy="541867"/>
                      <wp:effectExtent l="0" t="0" r="6985" b="0"/>
                      <wp:wrapNone/>
                      <wp:docPr id="773006132" name="Прямокутник 7"/>
                      <wp:cNvGraphicFramePr/>
                      <a:graphic xmlns:a="http://schemas.openxmlformats.org/drawingml/2006/main">
                        <a:graphicData uri="http://schemas.microsoft.com/office/word/2010/wordprocessingShape">
                          <wps:wsp>
                            <wps:cNvSpPr/>
                            <wps:spPr>
                              <a:xfrm>
                                <a:off x="0" y="0"/>
                                <a:ext cx="1917065" cy="541867"/>
                              </a:xfrm>
                              <a:prstGeom prst="rect">
                                <a:avLst/>
                              </a:prstGeom>
                              <a:solidFill>
                                <a:srgbClr val="CBEBDC"/>
                              </a:solidFill>
                            </wps:spPr>
                            <wps:txbx>
                              <w:txbxContent>
                                <w:p w14:paraId="552B65A5" w14:textId="77777777" w:rsidR="009D0C1D" w:rsidRPr="00295DBB" w:rsidRDefault="009D0C1D" w:rsidP="005816C2">
                                  <w:pPr>
                                    <w:rPr>
                                      <w:rFonts w:ascii="Century Gothic" w:eastAsia="+mn-ea" w:hAnsi="Century Gothic" w:cs="+mn-cs"/>
                                      <w:color w:val="343433"/>
                                      <w:kern w:val="24"/>
                                      <w:sz w:val="16"/>
                                      <w:szCs w:val="16"/>
                                    </w:rPr>
                                  </w:pPr>
                                  <w:r w:rsidRPr="00295DBB">
                                    <w:rPr>
                                      <w:rFonts w:ascii="Century Gothic" w:hAnsi="Century Gothic"/>
                                      <w:color w:val="343433"/>
                                      <w:sz w:val="16"/>
                                      <w:szCs w:val="22"/>
                                    </w:rPr>
                                    <w:t>Для оцінки придатності до ПЛТ або тестування на виявлення туберкульозної інфекції дотримуватись Алгоритму</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E5A39A2" id="_x0000_s1331" style="position:absolute;margin-left:148.25pt;margin-top:365.85pt;width:150.95pt;height:4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" fillcolor="#cbebdc" stroked="f">
                      <v:textbox inset="0,0,0,0">
                        <w:txbxContent>
                          <w:p w14:paraId="552B65A5" w14:textId="77777777" w:rsidR="009D0C1D" w:rsidRPr="00295DBB" w:rsidRDefault="009D0C1D" w:rsidP="005816C2">
                            <w:pPr>
                              <w:rPr>
                                <w:rFonts w:ascii="Century Gothic" w:eastAsia="+mn-ea" w:hAnsi="Century Gothic" w:cs="+mn-cs"/>
                                <w:color w:val="343433"/>
                                <w:kern w:val="24"/>
                                <w:sz w:val="16"/>
                                <w:szCs w:val="16"/>
                              </w:rPr>
                            </w:pPr>
                            <w:r w:rsidRPr="00295DBB">
                              <w:rPr>
                                <w:rFonts w:ascii="Century Gothic" w:hAnsi="Century Gothic"/>
                                <w:color w:val="343433"/>
                                <w:sz w:val="16"/>
                                <w:szCs w:val="22"/>
                              </w:rPr>
                              <w:t>Для оцінки придатності до ПЛТ або тестування на виявлення туберкульозної інфекції дотримуватись Алгоритму</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4F6AD01F" wp14:editId="638A55AE">
                      <wp:simplePos x="0" y="0"/>
                      <wp:positionH relativeFrom="column">
                        <wp:posOffset>1891030</wp:posOffset>
                      </wp:positionH>
                      <wp:positionV relativeFrom="paragraph">
                        <wp:posOffset>4205816</wp:posOffset>
                      </wp:positionV>
                      <wp:extent cx="2639060" cy="347133"/>
                      <wp:effectExtent l="0" t="0" r="8890" b="0"/>
                      <wp:wrapNone/>
                      <wp:docPr id="1189331288" name="Прямокутник 6"/>
                      <wp:cNvGraphicFramePr/>
                      <a:graphic xmlns:a="http://schemas.openxmlformats.org/drawingml/2006/main">
                        <a:graphicData uri="http://schemas.microsoft.com/office/word/2010/wordprocessingShape">
                          <wps:wsp>
                            <wps:cNvSpPr/>
                            <wps:spPr>
                              <a:xfrm>
                                <a:off x="0" y="0"/>
                                <a:ext cx="2639060" cy="347133"/>
                              </a:xfrm>
                              <a:prstGeom prst="rect">
                                <a:avLst/>
                              </a:prstGeom>
                              <a:solidFill>
                                <a:srgbClr val="CBEBDC"/>
                              </a:solidFill>
                            </wps:spPr>
                            <wps:txbx>
                              <w:txbxContent>
                                <w:p w14:paraId="131C5FA4" w14:textId="77777777" w:rsidR="009D0C1D" w:rsidRPr="00295DBB" w:rsidRDefault="009D0C1D" w:rsidP="005816C2">
                                  <w:pPr>
                                    <w:rPr>
                                      <w:rFonts w:ascii="Century Gothic" w:eastAsia="+mn-ea" w:hAnsi="Century Gothic" w:cs="+mn-cs"/>
                                      <w:color w:val="343433"/>
                                      <w:kern w:val="24"/>
                                      <w:sz w:val="16"/>
                                      <w:szCs w:val="16"/>
                                    </w:rPr>
                                  </w:pPr>
                                  <w:r w:rsidRPr="00295DBB">
                                    <w:rPr>
                                      <w:rFonts w:ascii="Century Gothic" w:hAnsi="Century Gothic"/>
                                      <w:color w:val="343433"/>
                                      <w:sz w:val="16"/>
                                      <w:szCs w:val="22"/>
                                    </w:rPr>
                                    <w:t xml:space="preserve">Використати </w:t>
                                  </w:r>
                                  <w:r w:rsidRPr="00295DBB">
                                    <w:rPr>
                                      <w:rFonts w:ascii="Century Gothic" w:hAnsi="Century Gothic"/>
                                      <w:b/>
                                      <w:color w:val="343433"/>
                                      <w:sz w:val="16"/>
                                      <w:szCs w:val="22"/>
                                    </w:rPr>
                                    <w:t xml:space="preserve">клінічне судження </w:t>
                                  </w:r>
                                  <w:r w:rsidRPr="00295DBB">
                                    <w:rPr>
                                      <w:rFonts w:ascii="Century Gothic" w:hAnsi="Century Gothic"/>
                                      <w:color w:val="343433"/>
                                      <w:sz w:val="16"/>
                                      <w:szCs w:val="22"/>
                                    </w:rPr>
                                    <w:t>для прийняття рішень щодо лікування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F6AD01F" id="_x0000_s1332" style="position:absolute;margin-left:148.9pt;margin-top:331.15pt;width:207.8pt;height:2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" fillcolor="#cbebdc" stroked="f">
                      <v:textbox inset="0,0,0,0">
                        <w:txbxContent>
                          <w:p w14:paraId="131C5FA4" w14:textId="77777777" w:rsidR="009D0C1D" w:rsidRPr="00295DBB" w:rsidRDefault="009D0C1D" w:rsidP="005816C2">
                            <w:pPr>
                              <w:rPr>
                                <w:rFonts w:ascii="Century Gothic" w:eastAsia="+mn-ea" w:hAnsi="Century Gothic" w:cs="+mn-cs"/>
                                <w:color w:val="343433"/>
                                <w:kern w:val="24"/>
                                <w:sz w:val="16"/>
                                <w:szCs w:val="16"/>
                              </w:rPr>
                            </w:pPr>
                            <w:r w:rsidRPr="00295DBB">
                              <w:rPr>
                                <w:rFonts w:ascii="Century Gothic" w:hAnsi="Century Gothic"/>
                                <w:color w:val="343433"/>
                                <w:sz w:val="16"/>
                                <w:szCs w:val="22"/>
                              </w:rPr>
                              <w:t xml:space="preserve">Використати </w:t>
                            </w:r>
                            <w:r w:rsidRPr="00295DBB">
                              <w:rPr>
                                <w:rFonts w:ascii="Century Gothic" w:hAnsi="Century Gothic"/>
                                <w:b/>
                                <w:color w:val="343433"/>
                                <w:sz w:val="16"/>
                                <w:szCs w:val="22"/>
                              </w:rPr>
                              <w:t xml:space="preserve">клінічне судження </w:t>
                            </w:r>
                            <w:r w:rsidRPr="00295DBB">
                              <w:rPr>
                                <w:rFonts w:ascii="Century Gothic" w:hAnsi="Century Gothic"/>
                                <w:color w:val="343433"/>
                                <w:sz w:val="16"/>
                                <w:szCs w:val="22"/>
                              </w:rPr>
                              <w:t>для прийняття рішень щодо лікування</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210633F2" wp14:editId="71D824F5">
                      <wp:simplePos x="0" y="0"/>
                      <wp:positionH relativeFrom="column">
                        <wp:posOffset>1899497</wp:posOffset>
                      </wp:positionH>
                      <wp:positionV relativeFrom="paragraph">
                        <wp:posOffset>3469217</wp:posOffset>
                      </wp:positionV>
                      <wp:extent cx="2501900" cy="389466"/>
                      <wp:effectExtent l="0" t="0" r="0" b="0"/>
                      <wp:wrapNone/>
                      <wp:docPr id="1832339844" name="Прямокутник 5"/>
                      <wp:cNvGraphicFramePr/>
                      <a:graphic xmlns:a="http://schemas.openxmlformats.org/drawingml/2006/main">
                        <a:graphicData uri="http://schemas.microsoft.com/office/word/2010/wordprocessingShape">
                          <wps:wsp>
                            <wps:cNvSpPr/>
                            <wps:spPr>
                              <a:xfrm>
                                <a:off x="0" y="0"/>
                                <a:ext cx="2501900" cy="389466"/>
                              </a:xfrm>
                              <a:prstGeom prst="rect">
                                <a:avLst/>
                              </a:prstGeom>
                              <a:solidFill>
                                <a:srgbClr val="CBEBDC"/>
                              </a:solidFill>
                            </wps:spPr>
                            <wps:txbx>
                              <w:txbxContent>
                                <w:p w14:paraId="2BB66D29" w14:textId="77777777" w:rsidR="009D0C1D" w:rsidRPr="00295DBB" w:rsidRDefault="009D0C1D" w:rsidP="005816C2">
                                  <w:pPr>
                                    <w:rPr>
                                      <w:rFonts w:ascii="Century Gothic" w:eastAsia="+mn-ea" w:hAnsi="Century Gothic" w:cs="+mn-cs"/>
                                      <w:color w:val="343433"/>
                                      <w:kern w:val="24"/>
                                      <w:sz w:val="16"/>
                                      <w:szCs w:val="16"/>
                                    </w:rPr>
                                  </w:pPr>
                                  <w:r w:rsidRPr="00295DBB">
                                    <w:rPr>
                                      <w:rFonts w:ascii="Century Gothic" w:hAnsi="Century Gothic"/>
                                      <w:color w:val="343433"/>
                                      <w:sz w:val="16"/>
                                      <w:szCs w:val="22"/>
                                    </w:rPr>
                                    <w:t>Провести клінічну оцінку та розглянути повторне тестування mWRD у дітей</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10633F2" id="_x0000_s1333" style="position:absolute;margin-left:149.55pt;margin-top:273.15pt;width:197pt;height:3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" fillcolor="#cbebdc" stroked="f">
                      <v:textbox inset="0,0,0,0">
                        <w:txbxContent>
                          <w:p w14:paraId="2BB66D29" w14:textId="77777777" w:rsidR="009D0C1D" w:rsidRPr="00295DBB" w:rsidRDefault="009D0C1D" w:rsidP="005816C2">
                            <w:pPr>
                              <w:rPr>
                                <w:rFonts w:ascii="Century Gothic" w:eastAsia="+mn-ea" w:hAnsi="Century Gothic" w:cs="+mn-cs"/>
                                <w:color w:val="343433"/>
                                <w:kern w:val="24"/>
                                <w:sz w:val="16"/>
                                <w:szCs w:val="16"/>
                              </w:rPr>
                            </w:pPr>
                            <w:r w:rsidRPr="00295DBB">
                              <w:rPr>
                                <w:rFonts w:ascii="Century Gothic" w:hAnsi="Century Gothic"/>
                                <w:color w:val="343433"/>
                                <w:sz w:val="16"/>
                                <w:szCs w:val="22"/>
                              </w:rPr>
                              <w:t>Провести клінічну оцінку та розглянути повторне тестування mWRD у дітей</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1F26DD7B" wp14:editId="08672A85">
                      <wp:simplePos x="0" y="0"/>
                      <wp:positionH relativeFrom="column">
                        <wp:posOffset>1882563</wp:posOffset>
                      </wp:positionH>
                      <wp:positionV relativeFrom="paragraph">
                        <wp:posOffset>2614083</wp:posOffset>
                      </wp:positionV>
                      <wp:extent cx="2529840" cy="601134"/>
                      <wp:effectExtent l="0" t="0" r="3810" b="8890"/>
                      <wp:wrapNone/>
                      <wp:docPr id="1422341445" name="Прямокутник 4"/>
                      <wp:cNvGraphicFramePr/>
                      <a:graphic xmlns:a="http://schemas.openxmlformats.org/drawingml/2006/main">
                        <a:graphicData uri="http://schemas.microsoft.com/office/word/2010/wordprocessingShape">
                          <wps:wsp>
                            <wps:cNvSpPr/>
                            <wps:spPr>
                              <a:xfrm>
                                <a:off x="0" y="0"/>
                                <a:ext cx="2529840" cy="601134"/>
                              </a:xfrm>
                              <a:prstGeom prst="rect">
                                <a:avLst/>
                              </a:prstGeom>
                              <a:solidFill>
                                <a:srgbClr val="CBEBDC"/>
                              </a:solidFill>
                            </wps:spPr>
                            <wps:txbx>
                              <w:txbxContent>
                                <w:p w14:paraId="7DC6CB0F" w14:textId="06E783DC" w:rsidR="009D0C1D" w:rsidRPr="00295DBB" w:rsidRDefault="009D0C1D" w:rsidP="005816C2">
                                  <w:pPr>
                                    <w:rPr>
                                      <w:rFonts w:ascii="Century Gothic" w:eastAsia="+mn-ea" w:hAnsi="Century Gothic" w:cs="+mn-cs"/>
                                      <w:b/>
                                      <w:bCs/>
                                      <w:color w:val="343433"/>
                                      <w:kern w:val="24"/>
                                      <w:sz w:val="16"/>
                                      <w:szCs w:val="16"/>
                                    </w:rPr>
                                  </w:pPr>
                                  <w:r w:rsidRPr="00295DBB">
                                    <w:rPr>
                                      <w:rFonts w:ascii="Century Gothic" w:hAnsi="Century Gothic"/>
                                      <w:b/>
                                      <w:color w:val="343433"/>
                                      <w:sz w:val="16"/>
                                      <w:szCs w:val="22"/>
                                    </w:rPr>
                                    <w:t>Повторно провести клінічну оцінку пацієнта та провести додаткові тести для підтвердження або виключення ТБ відповідно до національних керівних принципів</w:t>
                                  </w:r>
                                  <w:r w:rsidRPr="00295DBB">
                                    <w:rPr>
                                      <w:rFonts w:ascii="Century Gothic" w:hAnsi="Century Gothic"/>
                                      <w:b/>
                                      <w:color w:val="0099D6"/>
                                      <w:sz w:val="16"/>
                                      <w:szCs w:val="22"/>
                                      <w:vertAlign w:val="superscript"/>
                                    </w:rPr>
                                    <w:t>k</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F26DD7B" id="_x0000_s1334" style="position:absolute;margin-left:148.25pt;margin-top:205.85pt;width:199.2pt;height:4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" fillcolor="#cbebdc" stroked="f">
                      <v:textbox inset="0,0,0,0">
                        <w:txbxContent>
                          <w:p w14:paraId="7DC6CB0F" w14:textId="06E783DC" w:rsidR="009D0C1D" w:rsidRPr="00295DBB" w:rsidRDefault="009D0C1D" w:rsidP="005816C2">
                            <w:pPr>
                              <w:rPr>
                                <w:rFonts w:ascii="Century Gothic" w:eastAsia="+mn-ea" w:hAnsi="Century Gothic" w:cs="+mn-cs"/>
                                <w:b/>
                                <w:bCs/>
                                <w:color w:val="343433"/>
                                <w:kern w:val="24"/>
                                <w:sz w:val="16"/>
                                <w:szCs w:val="16"/>
                              </w:rPr>
                            </w:pPr>
                            <w:r w:rsidRPr="00295DBB">
                              <w:rPr>
                                <w:rFonts w:ascii="Century Gothic" w:hAnsi="Century Gothic"/>
                                <w:b/>
                                <w:color w:val="343433"/>
                                <w:sz w:val="16"/>
                                <w:szCs w:val="22"/>
                              </w:rPr>
                              <w:t>Повторно провести клінічну оцінку пацієнта та провести додаткові тести для підтвердження або виключення ТБ відповідно до національних керівних принципів</w:t>
                            </w:r>
                            <w:r w:rsidRPr="00295DBB">
                              <w:rPr>
                                <w:rFonts w:ascii="Century Gothic" w:hAnsi="Century Gothic"/>
                                <w:b/>
                                <w:color w:val="0099D6"/>
                                <w:sz w:val="16"/>
                                <w:szCs w:val="22"/>
                                <w:vertAlign w:val="superscript"/>
                              </w:rPr>
                              <w:t>k</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60D8D5FF" wp14:editId="14756D8E">
                      <wp:simplePos x="0" y="0"/>
                      <wp:positionH relativeFrom="column">
                        <wp:posOffset>1975697</wp:posOffset>
                      </wp:positionH>
                      <wp:positionV relativeFrom="paragraph">
                        <wp:posOffset>980017</wp:posOffset>
                      </wp:positionV>
                      <wp:extent cx="1354666" cy="262466"/>
                      <wp:effectExtent l="0" t="0" r="0" b="4445"/>
                      <wp:wrapNone/>
                      <wp:docPr id="58212454" name="Прямокутник 3"/>
                      <wp:cNvGraphicFramePr/>
                      <a:graphic xmlns:a="http://schemas.openxmlformats.org/drawingml/2006/main">
                        <a:graphicData uri="http://schemas.microsoft.com/office/word/2010/wordprocessingShape">
                          <wps:wsp>
                            <wps:cNvSpPr/>
                            <wps:spPr>
                              <a:xfrm>
                                <a:off x="0" y="0"/>
                                <a:ext cx="1354666" cy="262466"/>
                              </a:xfrm>
                              <a:prstGeom prst="rect">
                                <a:avLst/>
                              </a:prstGeom>
                              <a:solidFill>
                                <a:srgbClr val="8BD1AD"/>
                              </a:solidFill>
                            </wps:spPr>
                            <wps:txbx>
                              <w:txbxContent>
                                <w:p w14:paraId="3BA54CA0" w14:textId="77777777" w:rsidR="009D0C1D" w:rsidRPr="00295DBB" w:rsidRDefault="009D0C1D" w:rsidP="005816C2">
                                  <w:pPr>
                                    <w:rPr>
                                      <w:rFonts w:ascii="Century Gothic" w:eastAsia="+mn-ea" w:hAnsi="Century Gothic" w:cs="+mn-cs"/>
                                      <w:b/>
                                      <w:bCs/>
                                      <w:color w:val="343433"/>
                                      <w:kern w:val="24"/>
                                      <w:sz w:val="16"/>
                                      <w:szCs w:val="16"/>
                                    </w:rPr>
                                  </w:pPr>
                                  <w:r w:rsidRPr="00295DBB">
                                    <w:rPr>
                                      <w:rFonts w:ascii="Century Gothic" w:hAnsi="Century Gothic"/>
                                      <w:b/>
                                      <w:color w:val="343433"/>
                                      <w:sz w:val="16"/>
                                      <w:szCs w:val="22"/>
                                    </w:rPr>
                                    <w:t xml:space="preserve">MTBC </w:t>
                                  </w:r>
                                  <w:r w:rsidRPr="00295DBB">
                                    <w:rPr>
                                      <w:rFonts w:ascii="Century Gothic" w:hAnsi="Century Gothic"/>
                                      <w:b/>
                                      <w:i/>
                                      <w:color w:val="343433"/>
                                      <w:sz w:val="16"/>
                                      <w:szCs w:val="22"/>
                                    </w:rPr>
                                    <w:t>не</w:t>
                                  </w:r>
                                  <w:r w:rsidRPr="00295DBB">
                                    <w:rPr>
                                      <w:rFonts w:ascii="Century Gothic" w:hAnsi="Century Gothic"/>
                                      <w:b/>
                                      <w:color w:val="343433"/>
                                      <w:sz w:val="16"/>
                                      <w:szCs w:val="22"/>
                                    </w:rPr>
                                    <w:t xml:space="preserve"> виявлено</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0D8D5FF" id="_x0000_s1335" style="position:absolute;margin-left:155.55pt;margin-top:77.15pt;width:106.65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" fillcolor="#8bd1ad" stroked="f">
                      <v:textbox inset="0,0,0,0">
                        <w:txbxContent>
                          <w:p w14:paraId="3BA54CA0" w14:textId="77777777" w:rsidR="009D0C1D" w:rsidRPr="00295DBB" w:rsidRDefault="009D0C1D" w:rsidP="005816C2">
                            <w:pPr>
                              <w:rPr>
                                <w:rFonts w:ascii="Century Gothic" w:eastAsia="+mn-ea" w:hAnsi="Century Gothic" w:cs="+mn-cs"/>
                                <w:b/>
                                <w:bCs/>
                                <w:color w:val="343433"/>
                                <w:kern w:val="24"/>
                                <w:sz w:val="16"/>
                                <w:szCs w:val="16"/>
                              </w:rPr>
                            </w:pPr>
                            <w:r w:rsidRPr="00295DBB">
                              <w:rPr>
                                <w:rFonts w:ascii="Century Gothic" w:hAnsi="Century Gothic"/>
                                <w:b/>
                                <w:color w:val="343433"/>
                                <w:sz w:val="16"/>
                                <w:szCs w:val="22"/>
                              </w:rPr>
                              <w:t xml:space="preserve">MTBC </w:t>
                            </w:r>
                            <w:r w:rsidRPr="00295DBB">
                              <w:rPr>
                                <w:rFonts w:ascii="Century Gothic" w:hAnsi="Century Gothic"/>
                                <w:b/>
                                <w:i/>
                                <w:color w:val="343433"/>
                                <w:sz w:val="16"/>
                                <w:szCs w:val="22"/>
                              </w:rPr>
                              <w:t>не</w:t>
                            </w:r>
                            <w:r w:rsidRPr="00295DBB">
                              <w:rPr>
                                <w:rFonts w:ascii="Century Gothic" w:hAnsi="Century Gothic"/>
                                <w:b/>
                                <w:color w:val="343433"/>
                                <w:sz w:val="16"/>
                                <w:szCs w:val="22"/>
                              </w:rPr>
                              <w:t xml:space="preserve"> виявлено</w:t>
                            </w:r>
                          </w:p>
                        </w:txbxContent>
                      </v:textbox>
                    </v:rect>
                  </w:pict>
                </mc:Fallback>
              </mc:AlternateContent>
            </w:r>
            <w:r w:rsidR="005816C2">
              <w:rPr>
                <w:noProof/>
              </w:rPr>
              <mc:AlternateContent>
                <mc:Choice Requires="wps">
                  <w:drawing>
                    <wp:anchor distT="0" distB="0" distL="114300" distR="114300" simplePos="0" relativeHeight="251671552" behindDoc="0" locked="0" layoutInCell="1" allowOverlap="1" wp14:anchorId="07B02B80" wp14:editId="24674ABF">
                      <wp:simplePos x="0" y="0"/>
                      <wp:positionH relativeFrom="column">
                        <wp:posOffset>107950</wp:posOffset>
                      </wp:positionH>
                      <wp:positionV relativeFrom="paragraph">
                        <wp:posOffset>770255</wp:posOffset>
                      </wp:positionV>
                      <wp:extent cx="454152" cy="240792"/>
                      <wp:effectExtent l="0" t="0" r="3175" b="6985"/>
                      <wp:wrapNone/>
                      <wp:docPr id="1352408240" name="Прямокутник 2"/>
                      <wp:cNvGraphicFramePr/>
                      <a:graphic xmlns:a="http://schemas.openxmlformats.org/drawingml/2006/main">
                        <a:graphicData uri="http://schemas.microsoft.com/office/word/2010/wordprocessingShape">
                          <wps:wsp>
                            <wps:cNvSpPr/>
                            <wps:spPr>
                              <a:xfrm>
                                <a:off x="0" y="0"/>
                                <a:ext cx="454152" cy="240792"/>
                              </a:xfrm>
                              <a:prstGeom prst="rect">
                                <a:avLst/>
                              </a:prstGeom>
                              <a:solidFill>
                                <a:srgbClr val="D4D9ED"/>
                              </a:solidFill>
                            </wps:spPr>
                            <wps:txbx>
                              <w:txbxContent>
                                <w:p w14:paraId="05FE3090" w14:textId="77777777" w:rsidR="009D0C1D" w:rsidRPr="00295DBB" w:rsidRDefault="009D0C1D" w:rsidP="005816C2">
                                  <w:pPr>
                                    <w:spacing w:line="288" w:lineRule="auto"/>
                                    <w:rPr>
                                      <w:rFonts w:eastAsia="+mn-ea" w:cs="+mn-cs"/>
                                      <w:kern w:val="24"/>
                                      <w:sz w:val="11"/>
                                      <w:szCs w:val="11"/>
                                    </w:rPr>
                                  </w:pPr>
                                  <w:r w:rsidRPr="00295DBB">
                                    <w:rPr>
                                      <w:sz w:val="11"/>
                                      <w:szCs w:val="20"/>
                                    </w:rPr>
                                    <w:t>Повернутись до алгоритму</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7B02B80" id="_x0000_s1336" style="position:absolute;margin-left:8.5pt;margin-top:60.65pt;width:35.75pt;height:1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" fillcolor="#d4d9ed" stroked="f">
                      <v:textbox inset="0,0,0,0">
                        <w:txbxContent>
                          <w:p w14:paraId="05FE3090" w14:textId="77777777" w:rsidR="009D0C1D" w:rsidRPr="00295DBB" w:rsidRDefault="009D0C1D" w:rsidP="005816C2">
                            <w:pPr>
                              <w:spacing w:line="288" w:lineRule="auto"/>
                              <w:rPr>
                                <w:rFonts w:eastAsia="+mn-ea" w:cs="+mn-cs"/>
                                <w:kern w:val="24"/>
                                <w:sz w:val="11"/>
                                <w:szCs w:val="11"/>
                              </w:rPr>
                            </w:pPr>
                            <w:r w:rsidRPr="00295DBB">
                              <w:rPr>
                                <w:sz w:val="11"/>
                                <w:szCs w:val="20"/>
                              </w:rPr>
                              <w:t>Повернутись до алгоритму</w:t>
                            </w:r>
                          </w:p>
                        </w:txbxContent>
                      </v:textbox>
                    </v:rect>
                  </w:pict>
                </mc:Fallback>
              </mc:AlternateContent>
            </w:r>
            <w:r w:rsidR="005816C2">
              <w:rPr>
                <w:noProof/>
              </w:rPr>
              <w:drawing>
                <wp:inline distT="0" distB="0" distL="0" distR="0" wp14:anchorId="76B8ABFE" wp14:editId="5F235305">
                  <wp:extent cx="5873750" cy="539496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30"/>
                          <a:stretch/>
                        </pic:blipFill>
                        <pic:spPr>
                          <a:xfrm>
                            <a:off x="0" y="0"/>
                            <a:ext cx="5873750" cy="5394960"/>
                          </a:xfrm>
                          <a:prstGeom prst="rect">
                            <a:avLst/>
                          </a:prstGeom>
                        </pic:spPr>
                      </pic:pic>
                    </a:graphicData>
                  </a:graphic>
                </wp:inline>
              </w:drawing>
            </w:r>
          </w:p>
        </w:tc>
      </w:tr>
      <w:tr w:rsidR="00366CB9" w14:paraId="0DE552D4" w14:textId="77777777" w:rsidTr="00C060A2">
        <w:trPr>
          <w:trHeight w:val="5281"/>
        </w:trPr>
        <w:tc>
          <w:tcPr>
            <w:tcW w:w="9250" w:type="dxa"/>
            <w:shd w:val="clear" w:color="auto" w:fill="FFFFFF"/>
            <w:vAlign w:val="bottom"/>
          </w:tcPr>
          <w:p w14:paraId="4863F02C" w14:textId="77777777" w:rsidR="00366CB9" w:rsidRDefault="009D0C1D" w:rsidP="00515F9C">
            <w:pPr>
              <w:pStyle w:val="a6"/>
              <w:shd w:val="clear" w:color="auto" w:fill="auto"/>
              <w:spacing w:after="40" w:line="266" w:lineRule="auto"/>
              <w:rPr>
                <w:sz w:val="17"/>
                <w:szCs w:val="17"/>
              </w:rPr>
            </w:pPr>
            <w:r>
              <w:rPr>
                <w:b w:val="0"/>
                <w:color w:val="000000"/>
                <w:sz w:val="17"/>
              </w:rPr>
              <w:t xml:space="preserve">MTB: </w:t>
            </w:r>
            <w:r>
              <w:rPr>
                <w:b w:val="0"/>
                <w:i/>
                <w:color w:val="000000"/>
                <w:sz w:val="17"/>
              </w:rPr>
              <w:t>Mycobacterium tuberculosis</w:t>
            </w:r>
            <w:r>
              <w:rPr>
                <w:b w:val="0"/>
                <w:color w:val="000000"/>
                <w:sz w:val="17"/>
              </w:rPr>
              <w:t>; mWRD: молекулярний експрес-тест для діагностики туберкульозу, рекомендований ВООЗ; ТБ: туберкульоз; ВООЗ: Всесвітня організація охорони здоров’я; WRD: експрес-тест для діагностики туберкульозу, рекомендований ВООЗ.</w:t>
            </w:r>
          </w:p>
          <w:p w14:paraId="3D01A81E" w14:textId="77777777" w:rsidR="00366CB9" w:rsidRDefault="009D0C1D" w:rsidP="00515F9C">
            <w:pPr>
              <w:pStyle w:val="a6"/>
              <w:shd w:val="clear" w:color="auto" w:fill="auto"/>
              <w:spacing w:after="360" w:line="266" w:lineRule="auto"/>
              <w:rPr>
                <w:sz w:val="17"/>
                <w:szCs w:val="17"/>
              </w:rPr>
            </w:pPr>
            <w:r>
              <w:rPr>
                <w:b w:val="0"/>
                <w:color w:val="000000"/>
                <w:sz w:val="17"/>
              </w:rPr>
              <w:t>Примітки до рисунків див. на стор. 112.</w:t>
            </w:r>
          </w:p>
          <w:p w14:paraId="039B6277" w14:textId="28D4E909" w:rsidR="00366CB9" w:rsidRPr="00295DBB" w:rsidRDefault="009D0C1D" w:rsidP="00515F9C">
            <w:pPr>
              <w:pStyle w:val="a6"/>
              <w:shd w:val="clear" w:color="auto" w:fill="auto"/>
              <w:spacing w:after="40" w:line="322" w:lineRule="auto"/>
              <w:ind w:left="280" w:hanging="280"/>
              <w:rPr>
                <w:sz w:val="18"/>
                <w:szCs w:val="18"/>
              </w:rPr>
            </w:pPr>
            <w:r w:rsidRPr="00295DBB">
              <w:rPr>
                <w:b w:val="0"/>
                <w:color w:val="000000"/>
                <w:sz w:val="18"/>
                <w:szCs w:val="24"/>
              </w:rPr>
              <w:t xml:space="preserve">1. </w:t>
            </w:r>
            <w:r w:rsidR="00295DBB" w:rsidRPr="00295DBB">
              <w:rPr>
                <w:sz w:val="24"/>
                <w:szCs w:val="24"/>
              </w:rPr>
              <w:tab/>
            </w:r>
            <w:r w:rsidRPr="00295DBB">
              <w:rPr>
                <w:b w:val="0"/>
                <w:color w:val="000000"/>
                <w:sz w:val="18"/>
                <w:szCs w:val="24"/>
              </w:rPr>
              <w:t xml:space="preserve">Якщо результат mWRD «MTB не виявлено» </w:t>
            </w:r>
            <w:r w:rsidRPr="00295DBB">
              <w:rPr>
                <w:rFonts w:ascii="Times New Roman" w:hAnsi="Times New Roman"/>
                <w:noProof/>
                <w:color w:val="343433"/>
                <w:szCs w:val="24"/>
              </w:rPr>
              <w:drawing>
                <wp:inline distT="0" distB="0" distL="0" distR="0" wp14:anchorId="7130C3A8" wp14:editId="76CF098D">
                  <wp:extent cx="387096" cy="192024"/>
                  <wp:effectExtent l="0" t="0" r="0" b="0"/>
                  <wp:docPr id="6297833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24"/>
                          <a:stretch>
                            <a:fillRect/>
                          </a:stretch>
                        </pic:blipFill>
                        <pic:spPr>
                          <a:xfrm>
                            <a:off x="0" y="0"/>
                            <a:ext cx="387096" cy="192024"/>
                          </a:xfrm>
                          <a:prstGeom prst="rect">
                            <a:avLst/>
                          </a:prstGeom>
                        </pic:spPr>
                      </pic:pic>
                    </a:graphicData>
                  </a:graphic>
                </wp:inline>
              </w:drawing>
            </w:r>
            <w:r w:rsidRPr="00295DBB">
              <w:rPr>
                <w:b w:val="0"/>
                <w:color w:val="000000"/>
                <w:sz w:val="18"/>
                <w:szCs w:val="24"/>
              </w:rPr>
              <w:t>, особу необхідно обстежити повторно та провести додаткове тестування відповідно до національних керівних принципів.</w:t>
            </w:r>
          </w:p>
          <w:p w14:paraId="7B1D215B" w14:textId="670166B5" w:rsidR="00366CB9" w:rsidRPr="00295DBB" w:rsidRDefault="009D0C1D" w:rsidP="00515F9C">
            <w:pPr>
              <w:pStyle w:val="a6"/>
              <w:shd w:val="clear" w:color="auto" w:fill="auto"/>
              <w:spacing w:line="324" w:lineRule="auto"/>
              <w:ind w:left="540" w:hanging="260"/>
              <w:jc w:val="both"/>
              <w:rPr>
                <w:sz w:val="18"/>
                <w:szCs w:val="18"/>
              </w:rPr>
            </w:pPr>
            <w:r w:rsidRPr="00295DBB">
              <w:rPr>
                <w:b w:val="0"/>
                <w:color w:val="000000"/>
                <w:sz w:val="18"/>
                <w:szCs w:val="24"/>
              </w:rPr>
              <w:t xml:space="preserve">a. </w:t>
            </w:r>
            <w:r w:rsidR="00295DBB" w:rsidRPr="00295DBB">
              <w:rPr>
                <w:sz w:val="24"/>
                <w:szCs w:val="24"/>
              </w:rPr>
              <w:tab/>
            </w:r>
            <w:r w:rsidRPr="00295DBB">
              <w:rPr>
                <w:b w:val="0"/>
                <w:color w:val="000000"/>
                <w:sz w:val="18"/>
                <w:szCs w:val="24"/>
              </w:rPr>
              <w:t>Для супутнього тестування результати всіх тестів, включених до стратегії, повинні бути негативними, щоб відповідати цій схемі, включаючи тести LF-LAM у людей, які живуть з ВІЛ.</w:t>
            </w:r>
          </w:p>
          <w:p w14:paraId="27958DC1" w14:textId="0DEB51E0" w:rsidR="00366CB9" w:rsidRPr="00295DBB" w:rsidRDefault="009D0C1D" w:rsidP="00515F9C">
            <w:pPr>
              <w:pStyle w:val="a6"/>
              <w:shd w:val="clear" w:color="auto" w:fill="auto"/>
              <w:spacing w:line="324" w:lineRule="auto"/>
              <w:ind w:left="540" w:hanging="260"/>
              <w:jc w:val="both"/>
              <w:rPr>
                <w:sz w:val="18"/>
                <w:szCs w:val="18"/>
              </w:rPr>
            </w:pPr>
            <w:r w:rsidRPr="00295DBB">
              <w:rPr>
                <w:b w:val="0"/>
                <w:color w:val="000000"/>
                <w:sz w:val="18"/>
                <w:szCs w:val="24"/>
              </w:rPr>
              <w:t xml:space="preserve">b. </w:t>
            </w:r>
            <w:r w:rsidR="00295DBB" w:rsidRPr="00295DBB">
              <w:rPr>
                <w:sz w:val="24"/>
                <w:szCs w:val="24"/>
              </w:rPr>
              <w:tab/>
            </w:r>
            <w:r w:rsidRPr="00295DBB">
              <w:rPr>
                <w:b w:val="0"/>
                <w:color w:val="000000"/>
                <w:sz w:val="18"/>
                <w:szCs w:val="24"/>
              </w:rPr>
              <w:t>Подальші обстеження на ТБ можуть включати РОГК, додаткові клінічні оцінки, додаткове тестування mWRD або посів та клінічну відповідь на антимікробні препарати широкого спектру дії (не слід застосовувати FQ).</w:t>
            </w:r>
          </w:p>
          <w:p w14:paraId="2F6BFBF5" w14:textId="2BB344F7" w:rsidR="00366CB9" w:rsidRPr="00295DBB" w:rsidRDefault="009D0C1D" w:rsidP="00515F9C">
            <w:pPr>
              <w:pStyle w:val="a6"/>
              <w:shd w:val="clear" w:color="auto" w:fill="auto"/>
              <w:spacing w:line="324" w:lineRule="auto"/>
              <w:ind w:left="540" w:hanging="260"/>
              <w:jc w:val="both"/>
              <w:rPr>
                <w:i/>
                <w:iCs/>
                <w:sz w:val="18"/>
                <w:szCs w:val="18"/>
              </w:rPr>
            </w:pPr>
            <w:r w:rsidRPr="00295DBB">
              <w:rPr>
                <w:b w:val="0"/>
                <w:i/>
                <w:color w:val="000000"/>
                <w:sz w:val="18"/>
                <w:szCs w:val="24"/>
              </w:rPr>
              <w:t xml:space="preserve">c. </w:t>
            </w:r>
            <w:r w:rsidR="00295DBB" w:rsidRPr="00295DBB">
              <w:rPr>
                <w:sz w:val="24"/>
                <w:szCs w:val="24"/>
              </w:rPr>
              <w:tab/>
            </w:r>
            <w:r w:rsidRPr="00295DBB">
              <w:rPr>
                <w:b w:val="0"/>
                <w:i/>
                <w:color w:val="000000"/>
                <w:sz w:val="18"/>
                <w:szCs w:val="24"/>
              </w:rPr>
              <w:t>Для дітей необхідна ретельна клінічна оцінка на виключення ТБ, як детально описано в операційному довіднику ВООЗ щодо туберкульозу: модуль 5: лікування туберкульозу у дітей та підлітків (</w:t>
            </w:r>
            <w:hyperlink w:anchor="bookmark198" w:tooltip="Поточний документ">
              <w:r w:rsidR="00366CB9" w:rsidRPr="00295DBB">
                <w:rPr>
                  <w:b w:val="0"/>
                  <w:i/>
                  <w:color w:val="000000"/>
                  <w:sz w:val="18"/>
                  <w:szCs w:val="24"/>
                </w:rPr>
                <w:t>58</w:t>
              </w:r>
            </w:hyperlink>
            <w:r w:rsidRPr="00295DBB">
              <w:rPr>
                <w:b w:val="0"/>
                <w:i/>
                <w:color w:val="000000"/>
                <w:sz w:val="18"/>
                <w:szCs w:val="24"/>
              </w:rPr>
              <w:t>).</w:t>
            </w:r>
          </w:p>
          <w:p w14:paraId="5CADAD7C" w14:textId="39B565B1" w:rsidR="00366CB9" w:rsidRDefault="009D0C1D" w:rsidP="00515F9C">
            <w:pPr>
              <w:pStyle w:val="a6"/>
              <w:shd w:val="clear" w:color="auto" w:fill="auto"/>
              <w:spacing w:after="200" w:line="324" w:lineRule="auto"/>
              <w:ind w:left="540" w:hanging="260"/>
              <w:jc w:val="both"/>
              <w:rPr>
                <w:sz w:val="20"/>
                <w:szCs w:val="20"/>
              </w:rPr>
            </w:pPr>
            <w:r w:rsidRPr="00295DBB">
              <w:rPr>
                <w:b w:val="0"/>
                <w:color w:val="000000"/>
                <w:sz w:val="18"/>
                <w:szCs w:val="24"/>
              </w:rPr>
              <w:t xml:space="preserve">d. </w:t>
            </w:r>
            <w:r w:rsidR="00295DBB" w:rsidRPr="00295DBB">
              <w:rPr>
                <w:sz w:val="24"/>
                <w:szCs w:val="24"/>
              </w:rPr>
              <w:tab/>
            </w:r>
            <w:r w:rsidRPr="00295DBB">
              <w:rPr>
                <w:b w:val="0"/>
                <w:color w:val="000000"/>
                <w:sz w:val="18"/>
                <w:szCs w:val="24"/>
              </w:rPr>
              <w:t xml:space="preserve">Людям, які живуть з ВІЛ, необхідно призначити лікування плазмоклітинної пневмонії. Якщо після 3-5 днів лікування спостерігається клінічне погіршення або відсутність покращення, можна повторно розпочати подальші обстеження на ТБ та інші захворювання, а якщо людина тяжкохвора та має серйозні ознаки захворювання, необхідно розпочати лікування </w:t>
            </w:r>
            <w:r w:rsidRPr="00295DBB">
              <w:rPr>
                <w:b w:val="0"/>
                <w:color w:val="000000"/>
                <w:sz w:val="18"/>
                <w:szCs w:val="18"/>
              </w:rPr>
              <w:t>підозри на ТБ.</w:t>
            </w:r>
          </w:p>
        </w:tc>
      </w:tr>
    </w:tbl>
    <w:p w14:paraId="31A74E42" w14:textId="0B96AB09"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7A71F923"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202"/>
      </w:tblGrid>
      <w:tr w:rsidR="00366CB9" w14:paraId="650C1E3D" w14:textId="77777777" w:rsidTr="00295DBB">
        <w:trPr>
          <w:trHeight w:hRule="exact" w:val="1714"/>
        </w:trPr>
        <w:tc>
          <w:tcPr>
            <w:tcW w:w="9202" w:type="dxa"/>
            <w:shd w:val="clear" w:color="auto" w:fill="FFFFFF"/>
          </w:tcPr>
          <w:p w14:paraId="016FB8A4" w14:textId="05F24D85" w:rsidR="00366CB9" w:rsidRPr="00295DBB" w:rsidRDefault="009D0C1D" w:rsidP="00515F9C">
            <w:pPr>
              <w:pStyle w:val="a6"/>
              <w:shd w:val="clear" w:color="auto" w:fill="auto"/>
              <w:spacing w:line="322" w:lineRule="auto"/>
              <w:ind w:left="540" w:hanging="260"/>
              <w:rPr>
                <w:sz w:val="18"/>
                <w:szCs w:val="18"/>
              </w:rPr>
            </w:pPr>
            <w:r w:rsidRPr="00295DBB">
              <w:rPr>
                <w:b w:val="0"/>
                <w:color w:val="000000"/>
                <w:sz w:val="18"/>
                <w:szCs w:val="24"/>
              </w:rPr>
              <w:t xml:space="preserve">e. </w:t>
            </w:r>
            <w:r w:rsidR="00295DBB" w:rsidRPr="00295DBB">
              <w:rPr>
                <w:sz w:val="24"/>
                <w:szCs w:val="24"/>
              </w:rPr>
              <w:tab/>
            </w:r>
            <w:r w:rsidRPr="00295DBB">
              <w:rPr>
                <w:b w:val="0"/>
                <w:color w:val="000000"/>
                <w:sz w:val="18"/>
                <w:szCs w:val="24"/>
              </w:rPr>
              <w:t>Людям, які живуть з ВІЛ, з запущеною формою ВІЛ, необхідно призначати пакет допомоги проти запущеної форми ВІЛ незалежно від результатів тесту. Всі діти, які живуть з ВІЛ, у віці до 5 років мають запущену форму ВІЛ.</w:t>
            </w:r>
          </w:p>
          <w:p w14:paraId="360B280C" w14:textId="36B11CB9" w:rsidR="00366CB9" w:rsidRDefault="009D0C1D" w:rsidP="00515F9C">
            <w:pPr>
              <w:pStyle w:val="a6"/>
              <w:shd w:val="clear" w:color="auto" w:fill="auto"/>
              <w:spacing w:line="322" w:lineRule="auto"/>
              <w:ind w:left="540" w:hanging="260"/>
              <w:rPr>
                <w:sz w:val="20"/>
                <w:szCs w:val="20"/>
              </w:rPr>
            </w:pPr>
            <w:r w:rsidRPr="00295DBB">
              <w:rPr>
                <w:b w:val="0"/>
                <w:color w:val="000000"/>
                <w:sz w:val="18"/>
                <w:szCs w:val="24"/>
              </w:rPr>
              <w:t xml:space="preserve">f. </w:t>
            </w:r>
            <w:r w:rsidR="00295DBB" w:rsidRPr="00295DBB">
              <w:rPr>
                <w:sz w:val="24"/>
                <w:szCs w:val="24"/>
              </w:rPr>
              <w:tab/>
            </w:r>
            <w:r w:rsidRPr="00295DBB">
              <w:rPr>
                <w:b w:val="0"/>
                <w:color w:val="000000"/>
                <w:sz w:val="18"/>
                <w:szCs w:val="24"/>
              </w:rPr>
              <w:t>Для прийняття рішень щодо лікування необхідно використовувати клінічне судження, включаючи можливість клінічно підтвердженого ТБ (тобто ТБ без бактеріологічного підтвердження).</w:t>
            </w:r>
          </w:p>
        </w:tc>
      </w:tr>
      <w:tr w:rsidR="00366CB9" w14:paraId="62AF2B6B" w14:textId="77777777" w:rsidTr="00295DBB">
        <w:trPr>
          <w:trHeight w:hRule="exact" w:val="6576"/>
        </w:trPr>
        <w:tc>
          <w:tcPr>
            <w:tcW w:w="9202" w:type="dxa"/>
            <w:shd w:val="clear" w:color="auto" w:fill="FFFFFF"/>
          </w:tcPr>
          <w:p w14:paraId="1CF0F336" w14:textId="7EBACB71" w:rsidR="00366CB9" w:rsidRDefault="00295DBB" w:rsidP="00515F9C">
            <w:pPr>
              <w:rPr>
                <w:sz w:val="2"/>
                <w:szCs w:val="2"/>
              </w:rPr>
            </w:pPr>
            <w:r>
              <w:rPr>
                <w:noProof/>
              </w:rPr>
              <mc:AlternateContent>
                <mc:Choice Requires="wps">
                  <w:drawing>
                    <wp:anchor distT="0" distB="0" distL="114300" distR="114300" simplePos="0" relativeHeight="251688960" behindDoc="0" locked="0" layoutInCell="1" allowOverlap="1" wp14:anchorId="4B19365A" wp14:editId="62C00797">
                      <wp:simplePos x="0" y="0"/>
                      <wp:positionH relativeFrom="column">
                        <wp:posOffset>3089593</wp:posOffset>
                      </wp:positionH>
                      <wp:positionV relativeFrom="paragraph">
                        <wp:posOffset>3669348</wp:posOffset>
                      </wp:positionV>
                      <wp:extent cx="866775" cy="176212"/>
                      <wp:effectExtent l="0" t="0" r="9525" b="0"/>
                      <wp:wrapNone/>
                      <wp:docPr id="1624860605" name="Прямокутник 14"/>
                      <wp:cNvGraphicFramePr/>
                      <a:graphic xmlns:a="http://schemas.openxmlformats.org/drawingml/2006/main">
                        <a:graphicData uri="http://schemas.microsoft.com/office/word/2010/wordprocessingShape">
                          <wps:wsp>
                            <wps:cNvSpPr/>
                            <wps:spPr>
                              <a:xfrm>
                                <a:off x="0" y="0"/>
                                <a:ext cx="866775" cy="176212"/>
                              </a:xfrm>
                              <a:prstGeom prst="rect">
                                <a:avLst/>
                              </a:prstGeom>
                              <a:solidFill>
                                <a:srgbClr val="FFFED8"/>
                              </a:solidFill>
                            </wps:spPr>
                            <wps:txbx>
                              <w:txbxContent>
                                <w:p w14:paraId="12D8A6F2" w14:textId="77777777" w:rsidR="009D0C1D" w:rsidRPr="00295DBB" w:rsidRDefault="009D0C1D" w:rsidP="00C060A2">
                                  <w:pPr>
                                    <w:rPr>
                                      <w:rFonts w:ascii="Century Gothic" w:eastAsia="+mn-ea" w:hAnsi="Century Gothic" w:cs="+mn-cs"/>
                                      <w:kern w:val="24"/>
                                      <w:sz w:val="12"/>
                                      <w:szCs w:val="12"/>
                                    </w:rPr>
                                  </w:pPr>
                                  <w:r w:rsidRPr="00295DBB">
                                    <w:rPr>
                                      <w:rFonts w:ascii="Century Gothic" w:hAnsi="Century Gothic"/>
                                      <w:sz w:val="12"/>
                                      <w:szCs w:val="20"/>
                                    </w:rPr>
                                    <w:t>Дотримуватися Алгоритму</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B19365A" id="_x0000_s1337" style="position:absolute;margin-left:243.3pt;margin-top:288.95pt;width:68.25pt;height:1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" fillcolor="#fffed8" stroked="f">
                      <v:textbox inset="0,0,0,0">
                        <w:txbxContent>
                          <w:p w14:paraId="12D8A6F2" w14:textId="77777777" w:rsidR="009D0C1D" w:rsidRPr="00295DBB" w:rsidRDefault="009D0C1D" w:rsidP="00C060A2">
                            <w:pPr>
                              <w:rPr>
                                <w:rFonts w:ascii="Century Gothic" w:eastAsia="+mn-ea" w:hAnsi="Century Gothic" w:cs="+mn-cs"/>
                                <w:kern w:val="24"/>
                                <w:sz w:val="12"/>
                                <w:szCs w:val="12"/>
                              </w:rPr>
                            </w:pPr>
                            <w:r w:rsidRPr="00295DBB">
                              <w:rPr>
                                <w:rFonts w:ascii="Century Gothic" w:hAnsi="Century Gothic"/>
                                <w:sz w:val="12"/>
                                <w:szCs w:val="20"/>
                              </w:rPr>
                              <w:t>Дотримуватися Алгоритму</w:t>
                            </w:r>
                          </w:p>
                        </w:txbxContent>
                      </v:textbox>
                    </v:rect>
                  </w:pict>
                </mc:Fallback>
              </mc:AlternateContent>
            </w:r>
            <w:r>
              <w:rPr>
                <w:noProof/>
              </w:rPr>
              <mc:AlternateContent>
                <mc:Choice Requires="wps">
                  <w:drawing>
                    <wp:anchor distT="0" distB="0" distL="114300" distR="114300" simplePos="0" relativeHeight="251687936" behindDoc="0" locked="0" layoutInCell="1" allowOverlap="1" wp14:anchorId="59E953BA" wp14:editId="5CD712A8">
                      <wp:simplePos x="0" y="0"/>
                      <wp:positionH relativeFrom="column">
                        <wp:posOffset>3075305</wp:posOffset>
                      </wp:positionH>
                      <wp:positionV relativeFrom="paragraph">
                        <wp:posOffset>3240723</wp:posOffset>
                      </wp:positionV>
                      <wp:extent cx="1481138" cy="353060"/>
                      <wp:effectExtent l="0" t="0" r="5080" b="8890"/>
                      <wp:wrapNone/>
                      <wp:docPr id="1105264547" name="Прямокутник 13"/>
                      <wp:cNvGraphicFramePr/>
                      <a:graphic xmlns:a="http://schemas.openxmlformats.org/drawingml/2006/main">
                        <a:graphicData uri="http://schemas.microsoft.com/office/word/2010/wordprocessingShape">
                          <wps:wsp>
                            <wps:cNvSpPr/>
                            <wps:spPr>
                              <a:xfrm>
                                <a:off x="0" y="0"/>
                                <a:ext cx="1481138" cy="353060"/>
                              </a:xfrm>
                              <a:prstGeom prst="rect">
                                <a:avLst/>
                              </a:prstGeom>
                              <a:solidFill>
                                <a:srgbClr val="FFFED8"/>
                              </a:solidFill>
                            </wps:spPr>
                            <wps:txbx>
                              <w:txbxContent>
                                <w:p w14:paraId="66A2868D" w14:textId="77777777" w:rsidR="009D0C1D" w:rsidRPr="00295DBB" w:rsidRDefault="009D0C1D" w:rsidP="00C060A2">
                                  <w:pPr>
                                    <w:rPr>
                                      <w:rFonts w:ascii="Century Gothic" w:eastAsia="+mn-ea" w:hAnsi="Century Gothic" w:cs="+mn-cs"/>
                                      <w:kern w:val="24"/>
                                      <w:sz w:val="12"/>
                                      <w:szCs w:val="12"/>
                                    </w:rPr>
                                  </w:pPr>
                                  <w:r w:rsidRPr="00295DBB">
                                    <w:rPr>
                                      <w:rFonts w:ascii="Century Gothic" w:hAnsi="Century Gothic"/>
                                      <w:sz w:val="12"/>
                                      <w:szCs w:val="20"/>
                                    </w:rPr>
                                    <w:t>ізоніазиду у високій дозі у схему лікування Нрез-ТБ у разі виявлення резистентності низького рівня</w:t>
                                  </w:r>
                                </w:p>
                              </w:txbxContent>
                            </wps:txbx>
                            <wps:bodyPr wrap="square" lIns="0" tIns="0" rIns="0" bIns="0">
                              <a:noAutofit/>
                            </wps:bodyPr>
                          </wps:wsp>
                        </a:graphicData>
                      </a:graphic>
                      <wp14:sizeRelH relativeFrom="margin">
                        <wp14:pctWidth>0</wp14:pctWidth>
                      </wp14:sizeRelH>
                    </wp:anchor>
                  </w:drawing>
                </mc:Choice>
                <mc:Fallback>
                  <w:pict>
                    <v:rect w14:anchorId="59E953BA" id="_x0000_s1338" style="position:absolute;margin-left:242.15pt;margin-top:255.2pt;width:116.65pt;height:27.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" fillcolor="#fffed8" stroked="f">
                      <v:textbox inset="0,0,0,0">
                        <w:txbxContent>
                          <w:p w14:paraId="66A2868D" w14:textId="77777777" w:rsidR="009D0C1D" w:rsidRPr="00295DBB" w:rsidRDefault="009D0C1D" w:rsidP="00C060A2">
                            <w:pPr>
                              <w:rPr>
                                <w:rFonts w:ascii="Century Gothic" w:eastAsia="+mn-ea" w:hAnsi="Century Gothic" w:cs="+mn-cs"/>
                                <w:kern w:val="24"/>
                                <w:sz w:val="12"/>
                                <w:szCs w:val="12"/>
                              </w:rPr>
                            </w:pPr>
                            <w:r w:rsidRPr="00295DBB">
                              <w:rPr>
                                <w:rFonts w:ascii="Century Gothic" w:hAnsi="Century Gothic"/>
                                <w:sz w:val="12"/>
                                <w:szCs w:val="20"/>
                              </w:rPr>
                              <w:t>ізоніазиду у високій дозі у схему лікування Нрез-ТБ у разі виявлення резистентності низького рівня</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1F7F95AF" wp14:editId="48D79740">
                      <wp:simplePos x="0" y="0"/>
                      <wp:positionH relativeFrom="column">
                        <wp:posOffset>3737293</wp:posOffset>
                      </wp:positionH>
                      <wp:positionV relativeFrom="paragraph">
                        <wp:posOffset>2988310</wp:posOffset>
                      </wp:positionV>
                      <wp:extent cx="819150" cy="249555"/>
                      <wp:effectExtent l="0" t="0" r="0" b="0"/>
                      <wp:wrapNone/>
                      <wp:docPr id="1184681942" name="Прямокутник 12"/>
                      <wp:cNvGraphicFramePr/>
                      <a:graphic xmlns:a="http://schemas.openxmlformats.org/drawingml/2006/main">
                        <a:graphicData uri="http://schemas.microsoft.com/office/word/2010/wordprocessingShape">
                          <wps:wsp>
                            <wps:cNvSpPr/>
                            <wps:spPr>
                              <a:xfrm>
                                <a:off x="0" y="0"/>
                                <a:ext cx="819150" cy="249555"/>
                              </a:xfrm>
                              <a:prstGeom prst="rect">
                                <a:avLst/>
                              </a:prstGeom>
                              <a:solidFill>
                                <a:srgbClr val="FFFED8"/>
                              </a:solidFill>
                            </wps:spPr>
                            <wps:txbx>
                              <w:txbxContent>
                                <w:p w14:paraId="5F5DEA91" w14:textId="77777777" w:rsidR="009D0C1D" w:rsidRPr="00295DBB" w:rsidRDefault="009D0C1D" w:rsidP="00C060A2">
                                  <w:pPr>
                                    <w:jc w:val="center"/>
                                    <w:rPr>
                                      <w:rFonts w:ascii="Century Gothic" w:eastAsia="+mn-ea" w:hAnsi="Century Gothic" w:cs="+mn-cs"/>
                                      <w:kern w:val="24"/>
                                      <w:sz w:val="12"/>
                                      <w:szCs w:val="12"/>
                                    </w:rPr>
                                  </w:pPr>
                                  <w:r w:rsidRPr="00295DBB">
                                    <w:rPr>
                                      <w:rFonts w:ascii="Century Gothic" w:hAnsi="Century Gothic"/>
                                      <w:sz w:val="12"/>
                                      <w:szCs w:val="20"/>
                                    </w:rPr>
                                    <w:t>Розглянути включення</w:t>
                                  </w:r>
                                </w:p>
                              </w:txbxContent>
                            </wps:txbx>
                            <wps:bodyPr wrap="square" lIns="0" tIns="0" rIns="0" bIns="0">
                              <a:noAutofit/>
                            </wps:bodyPr>
                          </wps:wsp>
                        </a:graphicData>
                      </a:graphic>
                      <wp14:sizeRelH relativeFrom="margin">
                        <wp14:pctWidth>0</wp14:pctWidth>
                      </wp14:sizeRelH>
                    </wp:anchor>
                  </w:drawing>
                </mc:Choice>
                <mc:Fallback>
                  <w:pict>
                    <v:rect w14:anchorId="1F7F95AF" id="_x0000_s1339" style="position:absolute;margin-left:294.3pt;margin-top:235.3pt;width:64.5pt;height:19.6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" fillcolor="#fffed8" stroked="f">
                      <v:textbox inset="0,0,0,0">
                        <w:txbxContent>
                          <w:p w14:paraId="5F5DEA91" w14:textId="77777777" w:rsidR="009D0C1D" w:rsidRPr="00295DBB" w:rsidRDefault="009D0C1D" w:rsidP="00C060A2">
                            <w:pPr>
                              <w:jc w:val="center"/>
                              <w:rPr>
                                <w:rFonts w:ascii="Century Gothic" w:eastAsia="+mn-ea" w:hAnsi="Century Gothic" w:cs="+mn-cs"/>
                                <w:kern w:val="24"/>
                                <w:sz w:val="12"/>
                                <w:szCs w:val="12"/>
                              </w:rPr>
                            </w:pPr>
                            <w:r w:rsidRPr="00295DBB">
                              <w:rPr>
                                <w:rFonts w:ascii="Century Gothic" w:hAnsi="Century Gothic"/>
                                <w:sz w:val="12"/>
                                <w:szCs w:val="20"/>
                              </w:rPr>
                              <w:t>Розглянути включення</w:t>
                            </w: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7F1A0F2E" wp14:editId="4EC388E9">
                      <wp:simplePos x="0" y="0"/>
                      <wp:positionH relativeFrom="column">
                        <wp:posOffset>3737292</wp:posOffset>
                      </wp:positionH>
                      <wp:positionV relativeFrom="paragraph">
                        <wp:posOffset>2664460</wp:posOffset>
                      </wp:positionV>
                      <wp:extent cx="847725" cy="243840"/>
                      <wp:effectExtent l="0" t="0" r="9525" b="3810"/>
                      <wp:wrapNone/>
                      <wp:docPr id="750179137" name="Прямокутник 11"/>
                      <wp:cNvGraphicFramePr/>
                      <a:graphic xmlns:a="http://schemas.openxmlformats.org/drawingml/2006/main">
                        <a:graphicData uri="http://schemas.microsoft.com/office/word/2010/wordprocessingShape">
                          <wps:wsp>
                            <wps:cNvSpPr/>
                            <wps:spPr>
                              <a:xfrm>
                                <a:off x="0" y="0"/>
                                <a:ext cx="847725" cy="243840"/>
                              </a:xfrm>
                              <a:prstGeom prst="rect">
                                <a:avLst/>
                              </a:prstGeom>
                              <a:solidFill>
                                <a:srgbClr val="FFFED8"/>
                              </a:solidFill>
                            </wps:spPr>
                            <wps:txbx>
                              <w:txbxContent>
                                <w:p w14:paraId="16E20C37" w14:textId="77777777" w:rsidR="009D0C1D" w:rsidRPr="00295DBB" w:rsidRDefault="009D0C1D" w:rsidP="00C060A2">
                                  <w:pPr>
                                    <w:rPr>
                                      <w:rFonts w:ascii="Century Gothic" w:eastAsia="+mn-ea" w:hAnsi="Century Gothic" w:cs="+mn-cs"/>
                                      <w:kern w:val="24"/>
                                      <w:sz w:val="12"/>
                                      <w:szCs w:val="12"/>
                                    </w:rPr>
                                  </w:pPr>
                                  <w:r w:rsidRPr="00295DBB">
                                    <w:rPr>
                                      <w:rFonts w:ascii="Century Gothic" w:hAnsi="Century Gothic"/>
                                      <w:sz w:val="12"/>
                                      <w:szCs w:val="20"/>
                                    </w:rPr>
                                    <w:t>Ввести схему лікування Нрез-ТБ</w:t>
                                  </w:r>
                                </w:p>
                              </w:txbxContent>
                            </wps:txbx>
                            <wps:bodyPr wrap="square" lIns="0" tIns="0" rIns="0" bIns="0">
                              <a:noAutofit/>
                            </wps:bodyPr>
                          </wps:wsp>
                        </a:graphicData>
                      </a:graphic>
                      <wp14:sizeRelH relativeFrom="margin">
                        <wp14:pctWidth>0</wp14:pctWidth>
                      </wp14:sizeRelH>
                    </wp:anchor>
                  </w:drawing>
                </mc:Choice>
                <mc:Fallback>
                  <w:pict>
                    <v:rect w14:anchorId="7F1A0F2E" id="_x0000_s1340" style="position:absolute;margin-left:294.25pt;margin-top:209.8pt;width:66.75pt;height:19.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" fillcolor="#fffed8" stroked="f">
                      <v:textbox inset="0,0,0,0">
                        <w:txbxContent>
                          <w:p w14:paraId="16E20C37" w14:textId="77777777" w:rsidR="009D0C1D" w:rsidRPr="00295DBB" w:rsidRDefault="009D0C1D" w:rsidP="00C060A2">
                            <w:pPr>
                              <w:rPr>
                                <w:rFonts w:ascii="Century Gothic" w:eastAsia="+mn-ea" w:hAnsi="Century Gothic" w:cs="+mn-cs"/>
                                <w:kern w:val="24"/>
                                <w:sz w:val="12"/>
                                <w:szCs w:val="12"/>
                              </w:rPr>
                            </w:pPr>
                            <w:r w:rsidRPr="00295DBB">
                              <w:rPr>
                                <w:rFonts w:ascii="Century Gothic" w:hAnsi="Century Gothic"/>
                                <w:sz w:val="12"/>
                                <w:szCs w:val="20"/>
                              </w:rPr>
                              <w:t>Ввести схему лікування Нрез-ТБ</w:t>
                            </w:r>
                          </w:p>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7FC7E205" wp14:editId="301E1348">
                      <wp:simplePos x="0" y="0"/>
                      <wp:positionH relativeFrom="column">
                        <wp:posOffset>3737292</wp:posOffset>
                      </wp:positionH>
                      <wp:positionV relativeFrom="paragraph">
                        <wp:posOffset>2469198</wp:posOffset>
                      </wp:positionV>
                      <wp:extent cx="847725" cy="195262"/>
                      <wp:effectExtent l="0" t="0" r="9525" b="0"/>
                      <wp:wrapNone/>
                      <wp:docPr id="300492725" name="Прямокутник 10"/>
                      <wp:cNvGraphicFramePr/>
                      <a:graphic xmlns:a="http://schemas.openxmlformats.org/drawingml/2006/main">
                        <a:graphicData uri="http://schemas.microsoft.com/office/word/2010/wordprocessingShape">
                          <wps:wsp>
                            <wps:cNvSpPr/>
                            <wps:spPr>
                              <a:xfrm>
                                <a:off x="0" y="0"/>
                                <a:ext cx="847725" cy="195262"/>
                              </a:xfrm>
                              <a:prstGeom prst="rect">
                                <a:avLst/>
                              </a:prstGeom>
                              <a:solidFill>
                                <a:srgbClr val="FFFED8"/>
                              </a:solidFill>
                            </wps:spPr>
                            <wps:txbx>
                              <w:txbxContent>
                                <w:p w14:paraId="27E2A143" w14:textId="77777777" w:rsidR="009D0C1D" w:rsidRPr="00295DBB" w:rsidRDefault="009D0C1D" w:rsidP="00C060A2">
                                  <w:pPr>
                                    <w:rPr>
                                      <w:rFonts w:ascii="Century Gothic" w:eastAsia="+mn-ea" w:hAnsi="Century Gothic" w:cs="+mn-cs"/>
                                      <w:b/>
                                      <w:bCs/>
                                      <w:kern w:val="24"/>
                                      <w:sz w:val="12"/>
                                      <w:szCs w:val="12"/>
                                    </w:rPr>
                                  </w:pPr>
                                  <w:r w:rsidRPr="00295DBB">
                                    <w:rPr>
                                      <w:rFonts w:ascii="Century Gothic" w:hAnsi="Century Gothic"/>
                                      <w:b/>
                                      <w:sz w:val="12"/>
                                      <w:szCs w:val="20"/>
                                    </w:rPr>
                                    <w:t>Резистентність до INH</w:t>
                                  </w:r>
                                  <w:r w:rsidRPr="00295DBB">
                                    <w:rPr>
                                      <w:rFonts w:ascii="Century Gothic" w:hAnsi="Century Gothic"/>
                                      <w:b/>
                                      <w:color w:val="0099D6"/>
                                      <w:sz w:val="12"/>
                                      <w:szCs w:val="20"/>
                                      <w:vertAlign w:val="superscript"/>
                                    </w:rPr>
                                    <w:t>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FC7E205" id="_x0000_s1341" style="position:absolute;margin-left:294.25pt;margin-top:194.45pt;width:66.75pt;height:1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" fillcolor="#fffed8" stroked="f">
                      <v:textbox inset="0,0,0,0">
                        <w:txbxContent>
                          <w:p w14:paraId="27E2A143" w14:textId="77777777" w:rsidR="009D0C1D" w:rsidRPr="00295DBB" w:rsidRDefault="009D0C1D" w:rsidP="00C060A2">
                            <w:pPr>
                              <w:rPr>
                                <w:rFonts w:ascii="Century Gothic" w:eastAsia="+mn-ea" w:hAnsi="Century Gothic" w:cs="+mn-cs"/>
                                <w:b/>
                                <w:bCs/>
                                <w:kern w:val="24"/>
                                <w:sz w:val="12"/>
                                <w:szCs w:val="12"/>
                              </w:rPr>
                            </w:pPr>
                            <w:r w:rsidRPr="00295DBB">
                              <w:rPr>
                                <w:rFonts w:ascii="Century Gothic" w:hAnsi="Century Gothic"/>
                                <w:b/>
                                <w:sz w:val="12"/>
                                <w:szCs w:val="20"/>
                              </w:rPr>
                              <w:t>Резистентність до INH</w:t>
                            </w:r>
                            <w:r w:rsidRPr="00295DBB">
                              <w:rPr>
                                <w:rFonts w:ascii="Century Gothic" w:hAnsi="Century Gothic"/>
                                <w:b/>
                                <w:color w:val="0099D6"/>
                                <w:sz w:val="12"/>
                                <w:szCs w:val="20"/>
                                <w:vertAlign w:val="superscript"/>
                              </w:rPr>
                              <w:t>t</w:t>
                            </w: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68729262" wp14:editId="75D97730">
                      <wp:simplePos x="0" y="0"/>
                      <wp:positionH relativeFrom="column">
                        <wp:posOffset>3237230</wp:posOffset>
                      </wp:positionH>
                      <wp:positionV relativeFrom="paragraph">
                        <wp:posOffset>2569211</wp:posOffset>
                      </wp:positionV>
                      <wp:extent cx="309563" cy="95250"/>
                      <wp:effectExtent l="0" t="0" r="0" b="0"/>
                      <wp:wrapNone/>
                      <wp:docPr id="1396460835" name="Прямокутник 16"/>
                      <wp:cNvGraphicFramePr/>
                      <a:graphic xmlns:a="http://schemas.openxmlformats.org/drawingml/2006/main">
                        <a:graphicData uri="http://schemas.microsoft.com/office/word/2010/wordprocessingShape">
                          <wps:wsp>
                            <wps:cNvSpPr/>
                            <wps:spPr>
                              <a:xfrm>
                                <a:off x="0" y="0"/>
                                <a:ext cx="309563" cy="95250"/>
                              </a:xfrm>
                              <a:prstGeom prst="rect">
                                <a:avLst/>
                              </a:prstGeom>
                              <a:solidFill>
                                <a:srgbClr val="FFFED8"/>
                              </a:solidFill>
                            </wps:spPr>
                            <wps:txbx>
                              <w:txbxContent>
                                <w:p w14:paraId="6B306C15" w14:textId="77777777" w:rsidR="009D0C1D" w:rsidRPr="00295DBB" w:rsidRDefault="009D0C1D" w:rsidP="00295DBB">
                                  <w:pPr>
                                    <w:shd w:val="clear" w:color="auto" w:fill="00B050"/>
                                    <w:rPr>
                                      <w:rFonts w:ascii="Century Gothic" w:eastAsia="+mn-ea" w:hAnsi="Century Gothic" w:cs="+mn-cs"/>
                                      <w:b/>
                                      <w:bCs/>
                                      <w:color w:val="FFFFFF"/>
                                      <w:kern w:val="24"/>
                                      <w:sz w:val="12"/>
                                      <w:szCs w:val="12"/>
                                    </w:rPr>
                                  </w:pPr>
                                  <w:r w:rsidRPr="00295DBB">
                                    <w:rPr>
                                      <w:rFonts w:ascii="Century Gothic" w:hAnsi="Century Gothic"/>
                                      <w:b/>
                                      <w:color w:val="FFFFFF"/>
                                      <w:sz w:val="12"/>
                                      <w:szCs w:val="18"/>
                                    </w:rPr>
                                    <w:t>Нрез-ТБ</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8729262" id="_x0000_s1342" style="position:absolute;margin-left:254.9pt;margin-top:202.3pt;width:24.4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" fillcolor="#fffed8" stroked="f">
                      <v:textbox inset="0,0,0,0">
                        <w:txbxContent>
                          <w:p w14:paraId="6B306C15" w14:textId="77777777" w:rsidR="009D0C1D" w:rsidRPr="00295DBB" w:rsidRDefault="009D0C1D" w:rsidP="00295DBB">
                            <w:pPr>
                              <w:shd w:val="clear" w:color="auto" w:fill="00B050"/>
                              <w:rPr>
                                <w:rFonts w:ascii="Century Gothic" w:eastAsia="+mn-ea" w:hAnsi="Century Gothic" w:cs="+mn-cs"/>
                                <w:b/>
                                <w:bCs/>
                                <w:color w:val="FFFFFF"/>
                                <w:kern w:val="24"/>
                                <w:sz w:val="12"/>
                                <w:szCs w:val="12"/>
                              </w:rPr>
                            </w:pPr>
                            <w:r w:rsidRPr="00295DBB">
                              <w:rPr>
                                <w:rFonts w:ascii="Century Gothic" w:hAnsi="Century Gothic"/>
                                <w:b/>
                                <w:color w:val="FFFFFF"/>
                                <w:sz w:val="12"/>
                                <w:szCs w:val="18"/>
                              </w:rPr>
                              <w:t>Нрез-ТБ</w:t>
                            </w: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6C88BE20" wp14:editId="4FC39BAC">
                      <wp:simplePos x="0" y="0"/>
                      <wp:positionH relativeFrom="column">
                        <wp:posOffset>1241425</wp:posOffset>
                      </wp:positionH>
                      <wp:positionV relativeFrom="paragraph">
                        <wp:posOffset>3740785</wp:posOffset>
                      </wp:positionV>
                      <wp:extent cx="885825" cy="195263"/>
                      <wp:effectExtent l="0" t="0" r="9525" b="0"/>
                      <wp:wrapNone/>
                      <wp:docPr id="450693735" name="Прямокутник 9"/>
                      <wp:cNvGraphicFramePr/>
                      <a:graphic xmlns:a="http://schemas.openxmlformats.org/drawingml/2006/main">
                        <a:graphicData uri="http://schemas.microsoft.com/office/word/2010/wordprocessingShape">
                          <wps:wsp>
                            <wps:cNvSpPr/>
                            <wps:spPr>
                              <a:xfrm>
                                <a:off x="0" y="0"/>
                                <a:ext cx="885825" cy="195263"/>
                              </a:xfrm>
                              <a:prstGeom prst="rect">
                                <a:avLst/>
                              </a:prstGeom>
                              <a:solidFill>
                                <a:srgbClr val="FFFED8"/>
                              </a:solidFill>
                            </wps:spPr>
                            <wps:txbx>
                              <w:txbxContent>
                                <w:p w14:paraId="135659C8" w14:textId="77777777" w:rsidR="009D0C1D" w:rsidRPr="00295DBB" w:rsidRDefault="009D0C1D" w:rsidP="00C060A2">
                                  <w:pPr>
                                    <w:rPr>
                                      <w:rFonts w:ascii="Century Gothic" w:eastAsia="+mn-ea" w:hAnsi="Century Gothic" w:cs="+mn-cs"/>
                                      <w:kern w:val="24"/>
                                      <w:sz w:val="12"/>
                                      <w:szCs w:val="12"/>
                                    </w:rPr>
                                  </w:pPr>
                                  <w:r w:rsidRPr="00295DBB">
                                    <w:rPr>
                                      <w:rFonts w:ascii="Century Gothic" w:hAnsi="Century Gothic"/>
                                      <w:sz w:val="12"/>
                                      <w:szCs w:val="20"/>
                                    </w:rPr>
                                    <w:t>Дотримуватися Алгоритму</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C88BE20" id="_x0000_s1343" style="position:absolute;margin-left:97.75pt;margin-top:294.55pt;width:69.75pt;height:1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" fillcolor="#fffed8" stroked="f">
                      <v:textbox inset="0,0,0,0">
                        <w:txbxContent>
                          <w:p w14:paraId="135659C8" w14:textId="77777777" w:rsidR="009D0C1D" w:rsidRPr="00295DBB" w:rsidRDefault="009D0C1D" w:rsidP="00C060A2">
                            <w:pPr>
                              <w:rPr>
                                <w:rFonts w:ascii="Century Gothic" w:eastAsia="+mn-ea" w:hAnsi="Century Gothic" w:cs="+mn-cs"/>
                                <w:kern w:val="24"/>
                                <w:sz w:val="12"/>
                                <w:szCs w:val="12"/>
                              </w:rPr>
                            </w:pPr>
                            <w:r w:rsidRPr="00295DBB">
                              <w:rPr>
                                <w:rFonts w:ascii="Century Gothic" w:hAnsi="Century Gothic"/>
                                <w:sz w:val="12"/>
                                <w:szCs w:val="20"/>
                              </w:rPr>
                              <w:t>Дотримуватися Алгоритму</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59748C3C" wp14:editId="576CE3C9">
                      <wp:simplePos x="0" y="0"/>
                      <wp:positionH relativeFrom="column">
                        <wp:posOffset>1232217</wp:posOffset>
                      </wp:positionH>
                      <wp:positionV relativeFrom="paragraph">
                        <wp:posOffset>3159760</wp:posOffset>
                      </wp:positionV>
                      <wp:extent cx="1528445" cy="581660"/>
                      <wp:effectExtent l="0" t="0" r="0" b="8890"/>
                      <wp:wrapNone/>
                      <wp:docPr id="458700606" name="Прямокутник 8"/>
                      <wp:cNvGraphicFramePr/>
                      <a:graphic xmlns:a="http://schemas.openxmlformats.org/drawingml/2006/main">
                        <a:graphicData uri="http://schemas.microsoft.com/office/word/2010/wordprocessingShape">
                          <wps:wsp>
                            <wps:cNvSpPr/>
                            <wps:spPr>
                              <a:xfrm>
                                <a:off x="0" y="0"/>
                                <a:ext cx="1528445" cy="581660"/>
                              </a:xfrm>
                              <a:prstGeom prst="rect">
                                <a:avLst/>
                              </a:prstGeom>
                              <a:solidFill>
                                <a:srgbClr val="FFFED8"/>
                              </a:solidFill>
                            </wps:spPr>
                            <wps:txbx>
                              <w:txbxContent>
                                <w:p w14:paraId="3188CEA3" w14:textId="77777777" w:rsidR="009D0C1D" w:rsidRPr="00295DBB" w:rsidRDefault="009D0C1D" w:rsidP="00C060A2">
                                  <w:pPr>
                                    <w:spacing w:line="283" w:lineRule="auto"/>
                                    <w:rPr>
                                      <w:rFonts w:ascii="Century Gothic" w:eastAsia="+mn-ea" w:hAnsi="Century Gothic" w:cs="+mn-cs"/>
                                      <w:kern w:val="24"/>
                                      <w:sz w:val="12"/>
                                      <w:szCs w:val="12"/>
                                    </w:rPr>
                                  </w:pPr>
                                  <w:r w:rsidRPr="00295DBB">
                                    <w:rPr>
                                      <w:rFonts w:ascii="Century Gothic" w:hAnsi="Century Gothic"/>
                                      <w:sz w:val="12"/>
                                      <w:szCs w:val="20"/>
                                    </w:rPr>
                                    <w:t>національних керівних принципів</w:t>
                                  </w:r>
                                  <w:r w:rsidRPr="00295DBB">
                                    <w:rPr>
                                      <w:rFonts w:ascii="Century Gothic" w:hAnsi="Century Gothic"/>
                                      <w:b/>
                                      <w:color w:val="0099D6"/>
                                      <w:sz w:val="12"/>
                                      <w:szCs w:val="20"/>
                                      <w:vertAlign w:val="superscript"/>
                                    </w:rPr>
                                    <w:t xml:space="preserve">l </w:t>
                                  </w:r>
                                  <w:r w:rsidRPr="00295DBB">
                                    <w:rPr>
                                      <w:rFonts w:ascii="Century Gothic" w:hAnsi="Century Gothic"/>
                                      <w:sz w:val="12"/>
                                      <w:szCs w:val="20"/>
                                    </w:rPr>
                                    <w:t>Розглянути ТМЧ для INH та інших лікарських засобів у разі високого ризику додаткової резистентності</w:t>
                                  </w:r>
                                  <w:r w:rsidRPr="00295DBB">
                                    <w:rPr>
                                      <w:rFonts w:ascii="Century Gothic" w:hAnsi="Century Gothic"/>
                                      <w:b/>
                                      <w:color w:val="0099D6"/>
                                      <w:sz w:val="12"/>
                                      <w:szCs w:val="20"/>
                                      <w:vertAlign w:val="superscript"/>
                                    </w:rPr>
                                    <w:t>m</w:t>
                                  </w:r>
                                </w:p>
                              </w:txbxContent>
                            </wps:txbx>
                            <wps:bodyPr wrap="square" lIns="0" tIns="0" rIns="0" bIns="0">
                              <a:noAutofit/>
                            </wps:bodyPr>
                          </wps:wsp>
                        </a:graphicData>
                      </a:graphic>
                      <wp14:sizeRelH relativeFrom="margin">
                        <wp14:pctWidth>0</wp14:pctWidth>
                      </wp14:sizeRelH>
                    </wp:anchor>
                  </w:drawing>
                </mc:Choice>
                <mc:Fallback>
                  <w:pict>
                    <v:rect w14:anchorId="59748C3C" id="_x0000_s1344" style="position:absolute;margin-left:97pt;margin-top:248.8pt;width:120.35pt;height:45.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" fillcolor="#fffed8" stroked="f">
                      <v:textbox inset="0,0,0,0">
                        <w:txbxContent>
                          <w:p w14:paraId="3188CEA3" w14:textId="77777777" w:rsidR="009D0C1D" w:rsidRPr="00295DBB" w:rsidRDefault="009D0C1D" w:rsidP="00C060A2">
                            <w:pPr>
                              <w:spacing w:line="283" w:lineRule="auto"/>
                              <w:rPr>
                                <w:rFonts w:ascii="Century Gothic" w:eastAsia="+mn-ea" w:hAnsi="Century Gothic" w:cs="+mn-cs"/>
                                <w:kern w:val="24"/>
                                <w:sz w:val="12"/>
                                <w:szCs w:val="12"/>
                              </w:rPr>
                            </w:pPr>
                            <w:r w:rsidRPr="00295DBB">
                              <w:rPr>
                                <w:rFonts w:ascii="Century Gothic" w:hAnsi="Century Gothic"/>
                                <w:sz w:val="12"/>
                                <w:szCs w:val="20"/>
                              </w:rPr>
                              <w:t>національних керівних принципів</w:t>
                            </w:r>
                            <w:r w:rsidRPr="00295DBB">
                              <w:rPr>
                                <w:rFonts w:ascii="Century Gothic" w:hAnsi="Century Gothic"/>
                                <w:b/>
                                <w:color w:val="0099D6"/>
                                <w:sz w:val="12"/>
                                <w:szCs w:val="20"/>
                                <w:vertAlign w:val="superscript"/>
                              </w:rPr>
                              <w:t xml:space="preserve">l </w:t>
                            </w:r>
                            <w:r w:rsidRPr="00295DBB">
                              <w:rPr>
                                <w:rFonts w:ascii="Century Gothic" w:hAnsi="Century Gothic"/>
                                <w:sz w:val="12"/>
                                <w:szCs w:val="20"/>
                              </w:rPr>
                              <w:t>Розглянути ТМЧ для INH та інших лікарських засобів у разі високого ризику додаткової резистентності</w:t>
                            </w:r>
                            <w:r w:rsidRPr="00295DBB">
                              <w:rPr>
                                <w:rFonts w:ascii="Century Gothic" w:hAnsi="Century Gothic"/>
                                <w:b/>
                                <w:color w:val="0099D6"/>
                                <w:sz w:val="12"/>
                                <w:szCs w:val="20"/>
                                <w:vertAlign w:val="superscript"/>
                              </w:rPr>
                              <w:t>m</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24FC50C9" wp14:editId="5BFCDF42">
                      <wp:simplePos x="0" y="0"/>
                      <wp:positionH relativeFrom="column">
                        <wp:posOffset>1870393</wp:posOffset>
                      </wp:positionH>
                      <wp:positionV relativeFrom="paragraph">
                        <wp:posOffset>2793048</wp:posOffset>
                      </wp:positionV>
                      <wp:extent cx="890587" cy="366712"/>
                      <wp:effectExtent l="0" t="0" r="5080" b="0"/>
                      <wp:wrapNone/>
                      <wp:docPr id="1571794760" name="Прямокутник 7"/>
                      <wp:cNvGraphicFramePr/>
                      <a:graphic xmlns:a="http://schemas.openxmlformats.org/drawingml/2006/main">
                        <a:graphicData uri="http://schemas.microsoft.com/office/word/2010/wordprocessingShape">
                          <wps:wsp>
                            <wps:cNvSpPr/>
                            <wps:spPr>
                              <a:xfrm>
                                <a:off x="0" y="0"/>
                                <a:ext cx="890587" cy="366712"/>
                              </a:xfrm>
                              <a:prstGeom prst="rect">
                                <a:avLst/>
                              </a:prstGeom>
                              <a:solidFill>
                                <a:srgbClr val="FFFED8"/>
                              </a:solidFill>
                            </wps:spPr>
                            <wps:txbx>
                              <w:txbxContent>
                                <w:p w14:paraId="099309F9" w14:textId="3E3B71E6" w:rsidR="009D0C1D" w:rsidRPr="00295DBB" w:rsidRDefault="009D0C1D" w:rsidP="00C060A2">
                                  <w:pPr>
                                    <w:rPr>
                                      <w:rFonts w:ascii="Century Gothic" w:eastAsia="+mn-ea" w:hAnsi="Century Gothic" w:cs="+mn-cs"/>
                                      <w:kern w:val="24"/>
                                      <w:sz w:val="12"/>
                                      <w:szCs w:val="12"/>
                                    </w:rPr>
                                  </w:pPr>
                                  <w:r w:rsidRPr="00295DBB">
                                    <w:rPr>
                                      <w:rFonts w:ascii="Century Gothic" w:hAnsi="Century Gothic"/>
                                      <w:sz w:val="12"/>
                                      <w:szCs w:val="20"/>
                                    </w:rPr>
                                    <w:t>Ввести схему лікування препаратами першої лінії відповідно до</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4FC50C9" id="_x0000_s1345" style="position:absolute;margin-left:147.3pt;margin-top:219.95pt;width:70.1pt;height:2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" fillcolor="#fffed8" stroked="f">
                      <v:textbox inset="0,0,0,0">
                        <w:txbxContent>
                          <w:p w14:paraId="099309F9" w14:textId="3E3B71E6" w:rsidR="009D0C1D" w:rsidRPr="00295DBB" w:rsidRDefault="009D0C1D" w:rsidP="00C060A2">
                            <w:pPr>
                              <w:rPr>
                                <w:rFonts w:ascii="Century Gothic" w:eastAsia="+mn-ea" w:hAnsi="Century Gothic" w:cs="+mn-cs"/>
                                <w:kern w:val="24"/>
                                <w:sz w:val="12"/>
                                <w:szCs w:val="12"/>
                              </w:rPr>
                            </w:pPr>
                            <w:r w:rsidRPr="00295DBB">
                              <w:rPr>
                                <w:rFonts w:ascii="Century Gothic" w:hAnsi="Century Gothic"/>
                                <w:sz w:val="12"/>
                                <w:szCs w:val="20"/>
                              </w:rPr>
                              <w:t>Ввести схему лікування препаратами першої лінії відповідно до</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3B3B3693" wp14:editId="24769F14">
                      <wp:simplePos x="0" y="0"/>
                      <wp:positionH relativeFrom="column">
                        <wp:posOffset>1870392</wp:posOffset>
                      </wp:positionH>
                      <wp:positionV relativeFrom="paragraph">
                        <wp:posOffset>2473960</wp:posOffset>
                      </wp:positionV>
                      <wp:extent cx="842645" cy="234315"/>
                      <wp:effectExtent l="0" t="0" r="0" b="0"/>
                      <wp:wrapNone/>
                      <wp:docPr id="1354185689" name="Прямокутник 6"/>
                      <wp:cNvGraphicFramePr/>
                      <a:graphic xmlns:a="http://schemas.openxmlformats.org/drawingml/2006/main">
                        <a:graphicData uri="http://schemas.microsoft.com/office/word/2010/wordprocessingShape">
                          <wps:wsp>
                            <wps:cNvSpPr/>
                            <wps:spPr>
                              <a:xfrm>
                                <a:off x="0" y="0"/>
                                <a:ext cx="842645" cy="234315"/>
                              </a:xfrm>
                              <a:prstGeom prst="rect">
                                <a:avLst/>
                              </a:prstGeom>
                              <a:solidFill>
                                <a:srgbClr val="FFFED8"/>
                              </a:solidFill>
                            </wps:spPr>
                            <wps:txbx>
                              <w:txbxContent>
                                <w:p w14:paraId="24A03827" w14:textId="77777777" w:rsidR="009D0C1D" w:rsidRPr="00295DBB" w:rsidRDefault="009D0C1D" w:rsidP="00C060A2">
                                  <w:pPr>
                                    <w:rPr>
                                      <w:rFonts w:ascii="Century Gothic" w:eastAsia="+mn-ea" w:hAnsi="Century Gothic" w:cs="+mn-cs"/>
                                      <w:b/>
                                      <w:bCs/>
                                      <w:kern w:val="24"/>
                                      <w:sz w:val="14"/>
                                      <w:szCs w:val="14"/>
                                    </w:rPr>
                                  </w:pPr>
                                  <w:r w:rsidRPr="00295DBB">
                                    <w:rPr>
                                      <w:rFonts w:ascii="Century Gothic" w:hAnsi="Century Gothic"/>
                                      <w:b/>
                                      <w:sz w:val="14"/>
                                      <w:szCs w:val="22"/>
                                    </w:rPr>
                                    <w:t>Чутливість до INH або невідомо</w:t>
                                  </w:r>
                                </w:p>
                              </w:txbxContent>
                            </wps:txbx>
                            <wps:bodyPr wrap="square" lIns="0" tIns="0" rIns="0" bIns="0">
                              <a:noAutofit/>
                            </wps:bodyPr>
                          </wps:wsp>
                        </a:graphicData>
                      </a:graphic>
                      <wp14:sizeRelH relativeFrom="margin">
                        <wp14:pctWidth>0</wp14:pctWidth>
                      </wp14:sizeRelH>
                    </wp:anchor>
                  </w:drawing>
                </mc:Choice>
                <mc:Fallback>
                  <w:pict>
                    <v:rect w14:anchorId="3B3B3693" id="_x0000_s1346" style="position:absolute;margin-left:147.25pt;margin-top:194.8pt;width:66.35pt;height:18.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" fillcolor="#fffed8" stroked="f">
                      <v:textbox inset="0,0,0,0">
                        <w:txbxContent>
                          <w:p w14:paraId="24A03827" w14:textId="77777777" w:rsidR="009D0C1D" w:rsidRPr="00295DBB" w:rsidRDefault="009D0C1D" w:rsidP="00C060A2">
                            <w:pPr>
                              <w:rPr>
                                <w:rFonts w:ascii="Century Gothic" w:eastAsia="+mn-ea" w:hAnsi="Century Gothic" w:cs="+mn-cs"/>
                                <w:b/>
                                <w:bCs/>
                                <w:kern w:val="24"/>
                                <w:sz w:val="14"/>
                                <w:szCs w:val="14"/>
                              </w:rPr>
                            </w:pPr>
                            <w:r w:rsidRPr="00295DBB">
                              <w:rPr>
                                <w:rFonts w:ascii="Century Gothic" w:hAnsi="Century Gothic"/>
                                <w:b/>
                                <w:sz w:val="14"/>
                                <w:szCs w:val="22"/>
                              </w:rPr>
                              <w:t>Чутливість до INH або невідомо</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4288B961" wp14:editId="343D59D5">
                      <wp:simplePos x="0" y="0"/>
                      <wp:positionH relativeFrom="column">
                        <wp:posOffset>2441363</wp:posOffset>
                      </wp:positionH>
                      <wp:positionV relativeFrom="paragraph">
                        <wp:posOffset>1517227</wp:posOffset>
                      </wp:positionV>
                      <wp:extent cx="1682115" cy="304800"/>
                      <wp:effectExtent l="0" t="0" r="0" b="0"/>
                      <wp:wrapNone/>
                      <wp:docPr id="1351541949" name="Прямокутник 5"/>
                      <wp:cNvGraphicFramePr/>
                      <a:graphic xmlns:a="http://schemas.openxmlformats.org/drawingml/2006/main">
                        <a:graphicData uri="http://schemas.microsoft.com/office/word/2010/wordprocessingShape">
                          <wps:wsp>
                            <wps:cNvSpPr/>
                            <wps:spPr>
                              <a:xfrm>
                                <a:off x="0" y="0"/>
                                <a:ext cx="1682115" cy="304800"/>
                              </a:xfrm>
                              <a:prstGeom prst="rect">
                                <a:avLst/>
                              </a:prstGeom>
                              <a:solidFill>
                                <a:srgbClr val="FFFAA8"/>
                              </a:solidFill>
                            </wps:spPr>
                            <wps:txbx>
                              <w:txbxContent>
                                <w:p w14:paraId="4DDF2AF8" w14:textId="77777777" w:rsidR="009D0C1D" w:rsidRPr="00295DBB" w:rsidRDefault="009D0C1D" w:rsidP="00C060A2">
                                  <w:pPr>
                                    <w:rPr>
                                      <w:rFonts w:ascii="Century Gothic" w:eastAsia="+mn-ea" w:hAnsi="Century Gothic" w:cs="+mn-cs"/>
                                      <w:b/>
                                      <w:bCs/>
                                      <w:color w:val="343433"/>
                                      <w:kern w:val="24"/>
                                      <w:sz w:val="14"/>
                                      <w:szCs w:val="14"/>
                                    </w:rPr>
                                  </w:pPr>
                                  <w:r w:rsidRPr="00295DBB">
                                    <w:rPr>
                                      <w:rFonts w:ascii="Century Gothic" w:hAnsi="Century Gothic"/>
                                      <w:b/>
                                      <w:color w:val="343433"/>
                                      <w:sz w:val="14"/>
                                      <w:szCs w:val="20"/>
                                    </w:rPr>
                                    <w:t xml:space="preserve">Резистентність до RIF </w:t>
                                  </w:r>
                                  <w:r w:rsidRPr="00295DBB">
                                    <w:rPr>
                                      <w:rFonts w:ascii="Century Gothic" w:hAnsi="Century Gothic"/>
                                      <w:b/>
                                      <w:i/>
                                      <w:color w:val="343433"/>
                                      <w:sz w:val="14"/>
                                      <w:szCs w:val="20"/>
                                    </w:rPr>
                                    <w:t>не</w:t>
                                  </w:r>
                                  <w:r w:rsidRPr="00295DBB">
                                    <w:rPr>
                                      <w:rFonts w:ascii="Century Gothic" w:hAnsi="Century Gothic"/>
                                      <w:b/>
                                      <w:color w:val="343433"/>
                                      <w:sz w:val="14"/>
                                      <w:szCs w:val="20"/>
                                    </w:rPr>
                                    <w:t xml:space="preserve"> виявлено</w:t>
                                  </w:r>
                                  <w:r w:rsidRPr="00295DBB">
                                    <w:rPr>
                                      <w:rFonts w:ascii="Century Gothic" w:hAnsi="Century Gothic"/>
                                      <w:b/>
                                      <w:color w:val="0099D6"/>
                                      <w:sz w:val="14"/>
                                      <w:szCs w:val="20"/>
                                      <w:vertAlign w:val="superscript"/>
                                    </w:rPr>
                                    <w:t>h</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288B961" id="_x0000_s1347" style="position:absolute;margin-left:192.25pt;margin-top:119.45pt;width:132.4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" fillcolor="#fffaa8" stroked="f">
                      <v:textbox inset="0,0,0,0">
                        <w:txbxContent>
                          <w:p w14:paraId="4DDF2AF8" w14:textId="77777777" w:rsidR="009D0C1D" w:rsidRPr="00295DBB" w:rsidRDefault="009D0C1D" w:rsidP="00C060A2">
                            <w:pPr>
                              <w:rPr>
                                <w:rFonts w:ascii="Century Gothic" w:eastAsia="+mn-ea" w:hAnsi="Century Gothic" w:cs="+mn-cs"/>
                                <w:b/>
                                <w:bCs/>
                                <w:color w:val="343433"/>
                                <w:kern w:val="24"/>
                                <w:sz w:val="14"/>
                                <w:szCs w:val="14"/>
                              </w:rPr>
                            </w:pPr>
                            <w:r w:rsidRPr="00295DBB">
                              <w:rPr>
                                <w:rFonts w:ascii="Century Gothic" w:hAnsi="Century Gothic"/>
                                <w:b/>
                                <w:color w:val="343433"/>
                                <w:sz w:val="14"/>
                                <w:szCs w:val="20"/>
                              </w:rPr>
                              <w:t xml:space="preserve">Резистентність до RIF </w:t>
                            </w:r>
                            <w:r w:rsidRPr="00295DBB">
                              <w:rPr>
                                <w:rFonts w:ascii="Century Gothic" w:hAnsi="Century Gothic"/>
                                <w:b/>
                                <w:i/>
                                <w:color w:val="343433"/>
                                <w:sz w:val="14"/>
                                <w:szCs w:val="20"/>
                              </w:rPr>
                              <w:t>не</w:t>
                            </w:r>
                            <w:r w:rsidRPr="00295DBB">
                              <w:rPr>
                                <w:rFonts w:ascii="Century Gothic" w:hAnsi="Century Gothic"/>
                                <w:b/>
                                <w:color w:val="343433"/>
                                <w:sz w:val="14"/>
                                <w:szCs w:val="20"/>
                              </w:rPr>
                              <w:t xml:space="preserve"> виявлено</w:t>
                            </w:r>
                            <w:r w:rsidRPr="00295DBB">
                              <w:rPr>
                                <w:rFonts w:ascii="Century Gothic" w:hAnsi="Century Gothic"/>
                                <w:b/>
                                <w:color w:val="0099D6"/>
                                <w:sz w:val="14"/>
                                <w:szCs w:val="20"/>
                                <w:vertAlign w:val="superscript"/>
                              </w:rPr>
                              <w:t>h</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11C91326" wp14:editId="67A33199">
                      <wp:simplePos x="0" y="0"/>
                      <wp:positionH relativeFrom="column">
                        <wp:posOffset>1958763</wp:posOffset>
                      </wp:positionH>
                      <wp:positionV relativeFrom="paragraph">
                        <wp:posOffset>899160</wp:posOffset>
                      </wp:positionV>
                      <wp:extent cx="2414905" cy="321733"/>
                      <wp:effectExtent l="0" t="0" r="4445" b="2540"/>
                      <wp:wrapNone/>
                      <wp:docPr id="221677212" name="Прямокутник 4"/>
                      <wp:cNvGraphicFramePr/>
                      <a:graphic xmlns:a="http://schemas.openxmlformats.org/drawingml/2006/main">
                        <a:graphicData uri="http://schemas.microsoft.com/office/word/2010/wordprocessingShape">
                          <wps:wsp>
                            <wps:cNvSpPr/>
                            <wps:spPr>
                              <a:xfrm>
                                <a:off x="0" y="0"/>
                                <a:ext cx="2414905" cy="321733"/>
                              </a:xfrm>
                              <a:prstGeom prst="rect">
                                <a:avLst/>
                              </a:prstGeom>
                              <a:solidFill>
                                <a:srgbClr val="FFFAA8"/>
                              </a:solidFill>
                            </wps:spPr>
                            <wps:txbx>
                              <w:txbxContent>
                                <w:p w14:paraId="13799B4F" w14:textId="77777777" w:rsidR="009D0C1D" w:rsidRPr="00295DBB" w:rsidRDefault="009D0C1D" w:rsidP="00C060A2">
                                  <w:pPr>
                                    <w:rPr>
                                      <w:rFonts w:ascii="Century Gothic" w:eastAsia="+mn-ea" w:hAnsi="Century Gothic" w:cs="+mn-cs"/>
                                      <w:b/>
                                      <w:bCs/>
                                      <w:color w:val="343433"/>
                                      <w:kern w:val="24"/>
                                      <w:sz w:val="14"/>
                                      <w:szCs w:val="14"/>
                                    </w:rPr>
                                  </w:pPr>
                                  <w:r w:rsidRPr="00295DBB">
                                    <w:rPr>
                                      <w:rFonts w:ascii="Century Gothic" w:hAnsi="Century Gothic"/>
                                      <w:b/>
                                      <w:color w:val="343433"/>
                                      <w:sz w:val="14"/>
                                      <w:szCs w:val="20"/>
                                    </w:rPr>
                                    <w:t>MTBC виявлено (у разі Ultra немає слідового результату)</w:t>
                                  </w:r>
                                  <w:r w:rsidRPr="00295DBB">
                                    <w:rPr>
                                      <w:rFonts w:ascii="Century Gothic" w:hAnsi="Century Gothic"/>
                                      <w:b/>
                                      <w:color w:val="0099D6"/>
                                      <w:sz w:val="14"/>
                                      <w:szCs w:val="20"/>
                                      <w:vertAlign w:val="superscript"/>
                                    </w:rPr>
                                    <w:t>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1C91326" id="_x0000_s1348" style="position:absolute;margin-left:154.25pt;margin-top:70.8pt;width:190.15pt;height:2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" fillcolor="#fffaa8" stroked="f">
                      <v:textbox inset="0,0,0,0">
                        <w:txbxContent>
                          <w:p w14:paraId="13799B4F" w14:textId="77777777" w:rsidR="009D0C1D" w:rsidRPr="00295DBB" w:rsidRDefault="009D0C1D" w:rsidP="00C060A2">
                            <w:pPr>
                              <w:rPr>
                                <w:rFonts w:ascii="Century Gothic" w:eastAsia="+mn-ea" w:hAnsi="Century Gothic" w:cs="+mn-cs"/>
                                <w:b/>
                                <w:bCs/>
                                <w:color w:val="343433"/>
                                <w:kern w:val="24"/>
                                <w:sz w:val="14"/>
                                <w:szCs w:val="14"/>
                              </w:rPr>
                            </w:pPr>
                            <w:r w:rsidRPr="00295DBB">
                              <w:rPr>
                                <w:rFonts w:ascii="Century Gothic" w:hAnsi="Century Gothic"/>
                                <w:b/>
                                <w:color w:val="343433"/>
                                <w:sz w:val="14"/>
                                <w:szCs w:val="20"/>
                              </w:rPr>
                              <w:t>MTBC виявлено (у разі Ultra немає слідового результату)</w:t>
                            </w:r>
                            <w:r w:rsidRPr="00295DBB">
                              <w:rPr>
                                <w:rFonts w:ascii="Century Gothic" w:hAnsi="Century Gothic"/>
                                <w:b/>
                                <w:color w:val="0099D6"/>
                                <w:sz w:val="14"/>
                                <w:szCs w:val="20"/>
                                <w:vertAlign w:val="superscript"/>
                              </w:rPr>
                              <w:t>g</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27F917A9" wp14:editId="7DB4FF14">
                      <wp:simplePos x="0" y="0"/>
                      <wp:positionH relativeFrom="column">
                        <wp:posOffset>87630</wp:posOffset>
                      </wp:positionH>
                      <wp:positionV relativeFrom="paragraph">
                        <wp:posOffset>679027</wp:posOffset>
                      </wp:positionV>
                      <wp:extent cx="457200" cy="249555"/>
                      <wp:effectExtent l="0" t="0" r="0" b="0"/>
                      <wp:wrapNone/>
                      <wp:docPr id="592518039" name="Прямокутник 3"/>
                      <wp:cNvGraphicFramePr/>
                      <a:graphic xmlns:a="http://schemas.openxmlformats.org/drawingml/2006/main">
                        <a:graphicData uri="http://schemas.microsoft.com/office/word/2010/wordprocessingShape">
                          <wps:wsp>
                            <wps:cNvSpPr/>
                            <wps:spPr>
                              <a:xfrm>
                                <a:off x="0" y="0"/>
                                <a:ext cx="457200" cy="249555"/>
                              </a:xfrm>
                              <a:prstGeom prst="rect">
                                <a:avLst/>
                              </a:prstGeom>
                              <a:solidFill>
                                <a:srgbClr val="D4D9ED"/>
                              </a:solidFill>
                            </wps:spPr>
                            <wps:txbx>
                              <w:txbxContent>
                                <w:p w14:paraId="27E07556" w14:textId="77777777" w:rsidR="009D0C1D" w:rsidRPr="00295DBB" w:rsidRDefault="009D0C1D" w:rsidP="00C060A2">
                                  <w:pPr>
                                    <w:spacing w:line="288" w:lineRule="auto"/>
                                    <w:rPr>
                                      <w:rFonts w:eastAsia="+mn-ea" w:cs="+mn-cs"/>
                                      <w:kern w:val="24"/>
                                      <w:sz w:val="11"/>
                                      <w:szCs w:val="11"/>
                                    </w:rPr>
                                  </w:pPr>
                                  <w:r w:rsidRPr="00295DBB">
                                    <w:rPr>
                                      <w:sz w:val="11"/>
                                      <w:szCs w:val="20"/>
                                    </w:rPr>
                                    <w:t>Повернутись до алгоритму</w:t>
                                  </w:r>
                                </w:p>
                              </w:txbxContent>
                            </wps:txbx>
                            <wps:bodyPr lIns="0" tIns="0" rIns="0" bIns="0">
                              <a:noAutofit/>
                            </wps:bodyPr>
                          </wps:wsp>
                        </a:graphicData>
                      </a:graphic>
                    </wp:anchor>
                  </w:drawing>
                </mc:Choice>
                <mc:Fallback>
                  <w:pict>
                    <v:rect w14:anchorId="27F917A9" id="_x0000_s1349" style="position:absolute;margin-left:6.9pt;margin-top:53.45pt;width:36pt;height:19.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" fillcolor="#d4d9ed" stroked="f">
                      <v:textbox inset="0,0,0,0">
                        <w:txbxContent>
                          <w:p w14:paraId="27E07556" w14:textId="77777777" w:rsidR="009D0C1D" w:rsidRPr="00295DBB" w:rsidRDefault="009D0C1D" w:rsidP="00C060A2">
                            <w:pPr>
                              <w:spacing w:line="288" w:lineRule="auto"/>
                              <w:rPr>
                                <w:rFonts w:eastAsia="+mn-ea" w:cs="+mn-cs"/>
                                <w:kern w:val="24"/>
                                <w:sz w:val="11"/>
                                <w:szCs w:val="11"/>
                              </w:rPr>
                            </w:pPr>
                            <w:r w:rsidRPr="00295DBB">
                              <w:rPr>
                                <w:sz w:val="11"/>
                                <w:szCs w:val="20"/>
                              </w:rPr>
                              <w:t>Повернутись до алгоритму</w:t>
                            </w:r>
                          </w:p>
                        </w:txbxContent>
                      </v:textbox>
                    </v:rect>
                  </w:pict>
                </mc:Fallback>
              </mc:AlternateContent>
            </w:r>
            <w:r w:rsidR="00C060A2">
              <w:rPr>
                <w:noProof/>
              </w:rPr>
              <mc:AlternateContent>
                <mc:Choice Requires="wps">
                  <w:drawing>
                    <wp:anchor distT="0" distB="0" distL="114300" distR="114300" simplePos="0" relativeHeight="251689984" behindDoc="0" locked="0" layoutInCell="1" allowOverlap="1" wp14:anchorId="3A92F845" wp14:editId="01B86C63">
                      <wp:simplePos x="0" y="0"/>
                      <wp:positionH relativeFrom="column">
                        <wp:posOffset>1420826</wp:posOffset>
                      </wp:positionH>
                      <wp:positionV relativeFrom="paragraph">
                        <wp:posOffset>1409065</wp:posOffset>
                      </wp:positionV>
                      <wp:extent cx="185420" cy="109220"/>
                      <wp:effectExtent l="0" t="0" r="0" b="5080"/>
                      <wp:wrapNone/>
                      <wp:docPr id="1261859652" name="Прямокутник 15"/>
                      <wp:cNvGraphicFramePr/>
                      <a:graphic xmlns:a="http://schemas.openxmlformats.org/drawingml/2006/main">
                        <a:graphicData uri="http://schemas.microsoft.com/office/word/2010/wordprocessingShape">
                          <wps:wsp>
                            <wps:cNvSpPr/>
                            <wps:spPr>
                              <a:xfrm>
                                <a:off x="0" y="0"/>
                                <a:ext cx="185420" cy="109220"/>
                              </a:xfrm>
                              <a:prstGeom prst="rect">
                                <a:avLst/>
                              </a:prstGeom>
                              <a:solidFill>
                                <a:srgbClr val="019547"/>
                              </a:solidFill>
                            </wps:spPr>
                            <wps:txbx>
                              <w:txbxContent>
                                <w:p w14:paraId="5C2EBCDB" w14:textId="77777777" w:rsidR="009D0C1D" w:rsidRPr="00295DBB" w:rsidRDefault="009D0C1D" w:rsidP="00C060A2">
                                  <w:pPr>
                                    <w:rPr>
                                      <w:rFonts w:ascii="Century Gothic" w:eastAsia="+mn-ea" w:hAnsi="Century Gothic" w:cs="+mn-cs"/>
                                      <w:b/>
                                      <w:bCs/>
                                      <w:color w:val="FFFFFF"/>
                                      <w:kern w:val="24"/>
                                      <w:sz w:val="16"/>
                                      <w:szCs w:val="16"/>
                                    </w:rPr>
                                  </w:pPr>
                                  <w:r w:rsidRPr="00295DBB">
                                    <w:rPr>
                                      <w:rFonts w:ascii="Century Gothic" w:hAnsi="Century Gothic"/>
                                      <w:b/>
                                      <w:color w:val="FFFFFF"/>
                                      <w:sz w:val="16"/>
                                      <w:szCs w:val="22"/>
                                    </w:rPr>
                                    <w:t>RIF</w:t>
                                  </w:r>
                                </w:p>
                              </w:txbxContent>
                            </wps:txbx>
                            <wps:bodyPr wrap="none" lIns="0" tIns="0" rIns="0" bIns="0">
                              <a:noAutofit/>
                            </wps:bodyPr>
                          </wps:wsp>
                        </a:graphicData>
                      </a:graphic>
                    </wp:anchor>
                  </w:drawing>
                </mc:Choice>
                <mc:Fallback>
                  <w:pict>
                    <v:rect w14:anchorId="3A92F845" id="_x0000_s1350" style="position:absolute;margin-left:111.9pt;margin-top:110.95pt;width:14.6pt;height:8.6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" fillcolor="#019547" stroked="f">
                      <v:textbox inset="0,0,0,0">
                        <w:txbxContent>
                          <w:p w14:paraId="5C2EBCDB" w14:textId="77777777" w:rsidR="009D0C1D" w:rsidRPr="00295DBB" w:rsidRDefault="009D0C1D" w:rsidP="00C060A2">
                            <w:pPr>
                              <w:rPr>
                                <w:rFonts w:ascii="Century Gothic" w:eastAsia="+mn-ea" w:hAnsi="Century Gothic" w:cs="+mn-cs"/>
                                <w:b/>
                                <w:bCs/>
                                <w:color w:val="FFFFFF"/>
                                <w:kern w:val="24"/>
                                <w:sz w:val="16"/>
                                <w:szCs w:val="16"/>
                              </w:rPr>
                            </w:pPr>
                            <w:r w:rsidRPr="00295DBB">
                              <w:rPr>
                                <w:rFonts w:ascii="Century Gothic" w:hAnsi="Century Gothic"/>
                                <w:b/>
                                <w:color w:val="FFFFFF"/>
                                <w:sz w:val="16"/>
                                <w:szCs w:val="22"/>
                              </w:rPr>
                              <w:t>RIF</w:t>
                            </w:r>
                          </w:p>
                        </w:txbxContent>
                      </v:textbox>
                    </v:rect>
                  </w:pict>
                </mc:Fallback>
              </mc:AlternateContent>
            </w:r>
            <w:r w:rsidR="00C060A2">
              <w:rPr>
                <w:noProof/>
              </w:rPr>
              <w:drawing>
                <wp:inline distT="0" distB="0" distL="0" distR="0" wp14:anchorId="33ED059F" wp14:editId="62FE44EE">
                  <wp:extent cx="5821680" cy="4175760"/>
                  <wp:effectExtent l="0" t="0" r="762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31"/>
                          <a:stretch/>
                        </pic:blipFill>
                        <pic:spPr>
                          <a:xfrm>
                            <a:off x="0" y="0"/>
                            <a:ext cx="5821680" cy="4175760"/>
                          </a:xfrm>
                          <a:prstGeom prst="rect">
                            <a:avLst/>
                          </a:prstGeom>
                        </pic:spPr>
                      </pic:pic>
                    </a:graphicData>
                  </a:graphic>
                </wp:inline>
              </w:drawing>
            </w:r>
          </w:p>
        </w:tc>
      </w:tr>
      <w:tr w:rsidR="00366CB9" w14:paraId="70E8F6E1" w14:textId="77777777" w:rsidTr="00295DBB">
        <w:trPr>
          <w:trHeight w:hRule="exact" w:val="1478"/>
        </w:trPr>
        <w:tc>
          <w:tcPr>
            <w:tcW w:w="9202" w:type="dxa"/>
            <w:shd w:val="clear" w:color="auto" w:fill="FFFFFF"/>
            <w:vAlign w:val="center"/>
          </w:tcPr>
          <w:p w14:paraId="752188AD" w14:textId="77777777" w:rsidR="00366CB9" w:rsidRDefault="009D0C1D" w:rsidP="00515F9C">
            <w:pPr>
              <w:pStyle w:val="a6"/>
              <w:shd w:val="clear" w:color="auto" w:fill="auto"/>
              <w:spacing w:after="40" w:line="266" w:lineRule="auto"/>
              <w:rPr>
                <w:sz w:val="17"/>
                <w:szCs w:val="17"/>
              </w:rPr>
            </w:pPr>
            <w:r>
              <w:rPr>
                <w:b w:val="0"/>
                <w:color w:val="000000"/>
                <w:sz w:val="17"/>
              </w:rPr>
              <w:t xml:space="preserve">ТМЧ: тестування медикаментозної чутливості; Нрез-ТБ: чутливий до рифампіцину, резистентний до ізоніазиду туберкульоз; MTB: </w:t>
            </w:r>
            <w:r>
              <w:rPr>
                <w:b w:val="0"/>
                <w:i/>
                <w:color w:val="000000"/>
                <w:sz w:val="17"/>
              </w:rPr>
              <w:t>Mycobacterium tuberculosis</w:t>
            </w:r>
            <w:r>
              <w:rPr>
                <w:b w:val="0"/>
                <w:color w:val="000000"/>
                <w:sz w:val="17"/>
              </w:rPr>
              <w:t>; mWRD: молекулярний експрес-тест для діагностики туберкульозу, рекомендований ВООЗ; ТБ: туберкульоз; ВООЗ: Всесвітня організація охорони здоров’я; WRD: експрес-тест для діагностики туберкульозу, рекомендований ВООЗ.</w:t>
            </w:r>
          </w:p>
          <w:p w14:paraId="228548C4" w14:textId="77777777" w:rsidR="00366CB9" w:rsidRDefault="009D0C1D" w:rsidP="00515F9C">
            <w:pPr>
              <w:pStyle w:val="a6"/>
              <w:shd w:val="clear" w:color="auto" w:fill="auto"/>
              <w:spacing w:after="40" w:line="266" w:lineRule="auto"/>
              <w:rPr>
                <w:sz w:val="17"/>
                <w:szCs w:val="17"/>
              </w:rPr>
            </w:pPr>
            <w:r>
              <w:rPr>
                <w:b w:val="0"/>
                <w:color w:val="000000"/>
                <w:sz w:val="17"/>
              </w:rPr>
              <w:t>Лікарські засоби: INH: ізоніазид; RIF: рифампіцин.</w:t>
            </w:r>
          </w:p>
          <w:p w14:paraId="6E453AAD" w14:textId="77777777" w:rsidR="00366CB9" w:rsidRDefault="009D0C1D" w:rsidP="00515F9C">
            <w:pPr>
              <w:pStyle w:val="a6"/>
              <w:shd w:val="clear" w:color="auto" w:fill="auto"/>
              <w:spacing w:after="40" w:line="266" w:lineRule="auto"/>
              <w:rPr>
                <w:sz w:val="17"/>
                <w:szCs w:val="17"/>
              </w:rPr>
            </w:pPr>
            <w:r>
              <w:rPr>
                <w:b w:val="0"/>
                <w:color w:val="000000"/>
                <w:sz w:val="17"/>
              </w:rPr>
              <w:t>Примітки до рисунків див. на стор. 112.</w:t>
            </w:r>
          </w:p>
        </w:tc>
      </w:tr>
    </w:tbl>
    <w:p w14:paraId="345415A4" w14:textId="58C54706" w:rsidR="00366CB9" w:rsidRPr="00295DBB" w:rsidRDefault="009D0C1D" w:rsidP="00515F9C">
      <w:pPr>
        <w:pStyle w:val="1"/>
        <w:numPr>
          <w:ilvl w:val="0"/>
          <w:numId w:val="15"/>
        </w:numPr>
        <w:shd w:val="clear" w:color="auto" w:fill="auto"/>
        <w:tabs>
          <w:tab w:val="left" w:pos="378"/>
        </w:tabs>
        <w:spacing w:before="360" w:line="326" w:lineRule="auto"/>
        <w:ind w:left="300" w:hanging="300"/>
      </w:pPr>
      <w:r w:rsidRPr="00295DBB">
        <w:rPr>
          <w:sz w:val="18"/>
          <w:szCs w:val="18"/>
        </w:rPr>
        <w:t xml:space="preserve">Якщо результат mWRD – «MTBC виявлено, резистентність до RIF не виявлено» та «резистентність до INH не виявлено» або результати для INH невідомі: </w:t>
      </w:r>
      <w:r w:rsidRPr="00295DBB">
        <w:rPr>
          <w:rFonts w:ascii="Times New Roman" w:hAnsi="Times New Roman"/>
          <w:b/>
          <w:noProof/>
          <w:color w:val="343433"/>
          <w:sz w:val="28"/>
          <w:szCs w:val="18"/>
        </w:rPr>
        <w:drawing>
          <wp:inline distT="0" distB="0" distL="0" distR="0" wp14:anchorId="2342924A" wp14:editId="4BF2E3F1">
            <wp:extent cx="384048" cy="188976"/>
            <wp:effectExtent l="0" t="0" r="0" b="1905"/>
            <wp:docPr id="8654128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25"/>
                    <a:stretch>
                      <a:fillRect/>
                    </a:stretch>
                  </pic:blipFill>
                  <pic:spPr>
                    <a:xfrm>
                      <a:off x="0" y="0"/>
                      <a:ext cx="384048" cy="188976"/>
                    </a:xfrm>
                    <a:prstGeom prst="rect">
                      <a:avLst/>
                    </a:prstGeom>
                  </pic:spPr>
                </pic:pic>
              </a:graphicData>
            </a:graphic>
          </wp:inline>
        </w:drawing>
      </w:r>
    </w:p>
    <w:p w14:paraId="18CF10D1" w14:textId="77777777" w:rsidR="00366CB9" w:rsidRPr="00295DBB" w:rsidRDefault="009D0C1D" w:rsidP="00295DBB">
      <w:pPr>
        <w:pStyle w:val="1"/>
        <w:numPr>
          <w:ilvl w:val="0"/>
          <w:numId w:val="16"/>
        </w:numPr>
        <w:shd w:val="clear" w:color="auto" w:fill="auto"/>
        <w:tabs>
          <w:tab w:val="left" w:pos="567"/>
        </w:tabs>
        <w:spacing w:line="324" w:lineRule="auto"/>
        <w:ind w:left="560" w:hanging="260"/>
        <w:rPr>
          <w:sz w:val="18"/>
          <w:szCs w:val="18"/>
        </w:rPr>
      </w:pPr>
      <w:r w:rsidRPr="00295DBB">
        <w:rPr>
          <w:sz w:val="18"/>
          <w:szCs w:val="18"/>
        </w:rPr>
        <w:t>Це застосовується для дітей, коли один або всі LC-aNAAT дають результат «MTBC виявлено, резистентність до RIF не виявлено». Якщо один LC-aNAAT дає результат «MTBC виявлено, резистентність до RIF не виявлено», а один LC-aNAAT дає результат «MTBC виявлено, результат резистентності до RIF невизначений», тест необхідно повторити на типі зразка, що спочатку тестували як невизначений результат резистентності до RIF, а остаточний дійсний результат необхідно використовувати для прийняття рішення.</w:t>
      </w:r>
    </w:p>
    <w:p w14:paraId="5AC4EC67" w14:textId="77777777" w:rsidR="00366CB9" w:rsidRPr="00295DBB" w:rsidRDefault="009D0C1D" w:rsidP="00295DBB">
      <w:pPr>
        <w:pStyle w:val="1"/>
        <w:numPr>
          <w:ilvl w:val="0"/>
          <w:numId w:val="16"/>
        </w:numPr>
        <w:shd w:val="clear" w:color="auto" w:fill="auto"/>
        <w:tabs>
          <w:tab w:val="left" w:pos="567"/>
        </w:tabs>
        <w:spacing w:line="324" w:lineRule="auto"/>
        <w:ind w:firstLine="300"/>
        <w:rPr>
          <w:sz w:val="18"/>
          <w:szCs w:val="18"/>
        </w:rPr>
      </w:pPr>
      <w:r w:rsidRPr="00295DBB">
        <w:rPr>
          <w:sz w:val="18"/>
          <w:szCs w:val="18"/>
        </w:rPr>
        <w:t>Це застосовується для людей, які живуть з ВІЛ, незалежно від результату LF-LAM.</w:t>
      </w:r>
    </w:p>
    <w:p w14:paraId="4FAE1A63" w14:textId="77777777" w:rsidR="00366CB9" w:rsidRPr="00295DBB" w:rsidRDefault="009D0C1D" w:rsidP="00295DBB">
      <w:pPr>
        <w:pStyle w:val="1"/>
        <w:numPr>
          <w:ilvl w:val="0"/>
          <w:numId w:val="16"/>
        </w:numPr>
        <w:shd w:val="clear" w:color="auto" w:fill="auto"/>
        <w:tabs>
          <w:tab w:val="left" w:pos="567"/>
        </w:tabs>
        <w:spacing w:line="324" w:lineRule="auto"/>
        <w:ind w:left="560" w:hanging="260"/>
        <w:rPr>
          <w:sz w:val="18"/>
          <w:szCs w:val="18"/>
        </w:rPr>
      </w:pPr>
      <w:r w:rsidRPr="00295DBB">
        <w:rPr>
          <w:sz w:val="18"/>
          <w:szCs w:val="18"/>
        </w:rPr>
        <w:t>Особі необхідно призначати відповідну схему лікування протитуберкульозними препаратами першої лінії відповідно до національних керівних принципів.</w:t>
      </w:r>
    </w:p>
    <w:p w14:paraId="6537222D" w14:textId="77777777" w:rsidR="00366CB9" w:rsidRPr="00295DBB" w:rsidRDefault="009D0C1D" w:rsidP="00295DBB">
      <w:pPr>
        <w:pStyle w:val="1"/>
        <w:numPr>
          <w:ilvl w:val="0"/>
          <w:numId w:val="16"/>
        </w:numPr>
        <w:shd w:val="clear" w:color="auto" w:fill="auto"/>
        <w:tabs>
          <w:tab w:val="left" w:pos="567"/>
        </w:tabs>
        <w:spacing w:line="324" w:lineRule="auto"/>
        <w:ind w:firstLine="300"/>
        <w:rPr>
          <w:sz w:val="18"/>
          <w:szCs w:val="18"/>
        </w:rPr>
      </w:pPr>
      <w:r w:rsidRPr="00295DBB">
        <w:rPr>
          <w:sz w:val="18"/>
          <w:szCs w:val="18"/>
        </w:rPr>
        <w:t>Додаткове ТМЧ необхідно запросити в таких випадках:</w:t>
      </w:r>
    </w:p>
    <w:p w14:paraId="0F270CDD" w14:textId="77777777" w:rsidR="00366CB9" w:rsidRPr="00295DBB" w:rsidRDefault="009D0C1D" w:rsidP="00515F9C">
      <w:pPr>
        <w:pStyle w:val="1"/>
        <w:numPr>
          <w:ilvl w:val="0"/>
          <w:numId w:val="17"/>
        </w:numPr>
        <w:shd w:val="clear" w:color="auto" w:fill="auto"/>
        <w:tabs>
          <w:tab w:val="left" w:pos="866"/>
        </w:tabs>
        <w:spacing w:line="324" w:lineRule="auto"/>
        <w:ind w:firstLine="560"/>
        <w:rPr>
          <w:sz w:val="18"/>
          <w:szCs w:val="18"/>
        </w:rPr>
      </w:pPr>
      <w:r w:rsidRPr="00295DBB">
        <w:rPr>
          <w:sz w:val="18"/>
          <w:szCs w:val="18"/>
        </w:rPr>
        <w:t>Молекулярне або фенотипове ТМЧ для INH показане:</w:t>
      </w:r>
    </w:p>
    <w:p w14:paraId="68253F11"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77F165A2" w14:textId="77777777" w:rsidR="00366CB9" w:rsidRDefault="00366CB9" w:rsidP="00425523">
      <w:pPr>
        <w:spacing w:line="1" w:lineRule="exact"/>
      </w:pPr>
    </w:p>
    <w:p w14:paraId="02D4FEBA" w14:textId="28C88D54" w:rsidR="00366CB9" w:rsidRPr="00295DBB" w:rsidRDefault="00FE22F4" w:rsidP="00515F9C">
      <w:pPr>
        <w:pStyle w:val="1"/>
        <w:shd w:val="clear" w:color="auto" w:fill="auto"/>
        <w:spacing w:line="326" w:lineRule="auto"/>
        <w:ind w:left="1080" w:hanging="260"/>
        <w:jc w:val="both"/>
        <w:rPr>
          <w:sz w:val="18"/>
          <w:szCs w:val="18"/>
        </w:rPr>
      </w:pPr>
      <w:r>
        <w:rPr>
          <w:color w:val="019648"/>
        </w:rPr>
        <w:sym w:font="Wingdings" w:char="F09F"/>
      </w:r>
      <w:r>
        <w:rPr>
          <w:color w:val="019648"/>
        </w:rPr>
        <w:t xml:space="preserve"> </w:t>
      </w:r>
      <w:r w:rsidR="00295DBB">
        <w:tab/>
      </w:r>
      <w:r w:rsidRPr="00295DBB">
        <w:rPr>
          <w:sz w:val="18"/>
          <w:szCs w:val="18"/>
        </w:rPr>
        <w:t>якщо особа раніше отримувала INH або є контактом особи з відомим Нрез-ТБ; або</w:t>
      </w:r>
    </w:p>
    <w:p w14:paraId="403CD740" w14:textId="1FF52FE1" w:rsidR="00366CB9" w:rsidRPr="00295DBB" w:rsidRDefault="00FE22F4" w:rsidP="00515F9C">
      <w:pPr>
        <w:pStyle w:val="1"/>
        <w:shd w:val="clear" w:color="auto" w:fill="auto"/>
        <w:spacing w:line="326" w:lineRule="auto"/>
        <w:ind w:left="1080" w:hanging="260"/>
        <w:jc w:val="both"/>
        <w:rPr>
          <w:sz w:val="18"/>
          <w:szCs w:val="18"/>
        </w:rPr>
      </w:pPr>
      <w:r w:rsidRPr="00295DBB">
        <w:rPr>
          <w:color w:val="019648"/>
          <w:sz w:val="18"/>
          <w:szCs w:val="18"/>
        </w:rPr>
        <w:sym w:font="Wingdings" w:char="F09F"/>
      </w:r>
      <w:r w:rsidRPr="00295DBB">
        <w:rPr>
          <w:color w:val="019648"/>
          <w:sz w:val="18"/>
          <w:szCs w:val="18"/>
        </w:rPr>
        <w:t xml:space="preserve"> </w:t>
      </w:r>
      <w:r w:rsidR="00295DBB" w:rsidRPr="00295DBB">
        <w:rPr>
          <w:sz w:val="18"/>
          <w:szCs w:val="18"/>
        </w:rPr>
        <w:tab/>
      </w:r>
      <w:r w:rsidRPr="00295DBB">
        <w:rPr>
          <w:sz w:val="18"/>
          <w:szCs w:val="18"/>
        </w:rPr>
        <w:t>якщо у цьому випадку спостерігається висока поширеність резистентності до INH, що не пов’язана з резистентністю до RIF (тобто Нрез-ТБ або полірезистентність, а не МЛС-ТБ);</w:t>
      </w:r>
    </w:p>
    <w:p w14:paraId="791A7622" w14:textId="77777777" w:rsidR="00366CB9" w:rsidRPr="00295DBB" w:rsidRDefault="009D0C1D" w:rsidP="00515F9C">
      <w:pPr>
        <w:pStyle w:val="1"/>
        <w:shd w:val="clear" w:color="auto" w:fill="auto"/>
        <w:spacing w:after="140" w:line="324" w:lineRule="auto"/>
        <w:ind w:left="820"/>
        <w:jc w:val="both"/>
        <w:rPr>
          <w:sz w:val="18"/>
          <w:szCs w:val="18"/>
        </w:rPr>
      </w:pPr>
      <w:r w:rsidRPr="00295DBB">
        <w:rPr>
          <w:sz w:val="18"/>
          <w:szCs w:val="18"/>
        </w:rPr>
        <w:t>якщо резистентність до INH «не виявлено» за допомогою MC-aNAAT, а у особи високий ризик Нрез-ТБ, необхідно провести фенотипове ТМЧ для INH, оскільки при MC-aNAAT можна пропустити 6-14 % резистентності до INH.</w:t>
      </w:r>
    </w:p>
    <w:p w14:paraId="0732FCED" w14:textId="77777777" w:rsidR="00366CB9" w:rsidRPr="00295DBB" w:rsidRDefault="009D0C1D" w:rsidP="00515F9C">
      <w:pPr>
        <w:pStyle w:val="1"/>
        <w:numPr>
          <w:ilvl w:val="0"/>
          <w:numId w:val="17"/>
        </w:numPr>
        <w:shd w:val="clear" w:color="auto" w:fill="auto"/>
        <w:tabs>
          <w:tab w:val="left" w:pos="858"/>
        </w:tabs>
        <w:spacing w:line="324" w:lineRule="auto"/>
        <w:ind w:left="820" w:hanging="260"/>
        <w:jc w:val="both"/>
        <w:rPr>
          <w:sz w:val="18"/>
          <w:szCs w:val="18"/>
        </w:rPr>
      </w:pPr>
      <w:r w:rsidRPr="00295DBB">
        <w:rPr>
          <w:sz w:val="18"/>
          <w:szCs w:val="18"/>
        </w:rPr>
        <w:t>Молекулярне або фенотипове ТМЧ для резистентності до RIF може бути запрошено, якщо у особи спостерігається ризик Риф-ТБ, незважаючи на початковий результат mWRD «резистентність не виявлено». Іноді ці аномальні результати можуть бути пов’язані з помилками обробки зразків, що вирішується після повторного тесту. Хибні результати Ultra щодо RIF-чутливого ТБ можливі, але дуже рідко (1-5 % протестованих випадків RIF-резистентного ТБ), а рівень таких результатів залежить від епідеміологічної ситуації. Для порівняння фенотипове ТМЧ для RIF, особливо з використанням рідкої культури, пов’язаний з вищою часткою хибночутливих результатів (</w:t>
      </w:r>
      <w:hyperlink w:anchor="bookmark200" w:tooltip="Поточний документ">
        <w:r w:rsidR="00366CB9" w:rsidRPr="00295DBB">
          <w:rPr>
            <w:sz w:val="18"/>
            <w:szCs w:val="18"/>
          </w:rPr>
          <w:t>83</w:t>
        </w:r>
      </w:hyperlink>
      <w:r w:rsidRPr="00295DBB">
        <w:rPr>
          <w:sz w:val="18"/>
          <w:szCs w:val="18"/>
        </w:rPr>
        <w:t xml:space="preserve">). Оновлена клінічна концентрація RIF має застосовуватись для мінімізації, але не усунення цієї проблеми. Секвенування необхідно проводити, за можливості, та воно має охоплювати кодони 170-491 гена </w:t>
      </w:r>
      <w:r w:rsidRPr="00295DBB">
        <w:rPr>
          <w:i/>
          <w:iCs/>
          <w:sz w:val="18"/>
          <w:szCs w:val="18"/>
        </w:rPr>
        <w:t>rpoB</w:t>
      </w:r>
      <w:r w:rsidRPr="00295DBB">
        <w:rPr>
          <w:sz w:val="18"/>
          <w:szCs w:val="18"/>
        </w:rPr>
        <w:t xml:space="preserve"> (включаючи ті, що знаходяться за межами ділянки, що визначає резистентність до рифампіцину, або RRDR).</w:t>
      </w:r>
    </w:p>
    <w:p w14:paraId="4A1DCC44" w14:textId="77777777" w:rsidR="00366CB9" w:rsidRPr="00295DBB" w:rsidRDefault="009D0C1D" w:rsidP="00515F9C">
      <w:pPr>
        <w:pStyle w:val="1"/>
        <w:numPr>
          <w:ilvl w:val="0"/>
          <w:numId w:val="16"/>
        </w:numPr>
        <w:shd w:val="clear" w:color="auto" w:fill="auto"/>
        <w:tabs>
          <w:tab w:val="left" w:pos="608"/>
        </w:tabs>
        <w:spacing w:line="324" w:lineRule="auto"/>
        <w:ind w:firstLine="300"/>
        <w:jc w:val="both"/>
        <w:rPr>
          <w:sz w:val="18"/>
          <w:szCs w:val="18"/>
        </w:rPr>
      </w:pPr>
      <w:r w:rsidRPr="00295DBB">
        <w:rPr>
          <w:sz w:val="18"/>
          <w:szCs w:val="18"/>
        </w:rPr>
        <w:t>Якщо проводиться додаткове молекулярне або фенотипове тестування:</w:t>
      </w:r>
    </w:p>
    <w:p w14:paraId="74322112" w14:textId="77777777" w:rsidR="00366CB9" w:rsidRPr="00295DBB" w:rsidRDefault="009D0C1D" w:rsidP="00515F9C">
      <w:pPr>
        <w:pStyle w:val="1"/>
        <w:numPr>
          <w:ilvl w:val="0"/>
          <w:numId w:val="18"/>
        </w:numPr>
        <w:shd w:val="clear" w:color="auto" w:fill="auto"/>
        <w:tabs>
          <w:tab w:val="left" w:pos="806"/>
        </w:tabs>
        <w:spacing w:line="324" w:lineRule="auto"/>
        <w:ind w:left="820" w:hanging="260"/>
        <w:jc w:val="both"/>
        <w:rPr>
          <w:sz w:val="18"/>
          <w:szCs w:val="18"/>
        </w:rPr>
      </w:pPr>
      <w:r w:rsidRPr="00295DBB">
        <w:rPr>
          <w:sz w:val="18"/>
          <w:szCs w:val="18"/>
        </w:rPr>
        <w:t>Тестування, що проводиться в різних лабораторіях, має бути паралельним – важливо починати новий тест без очікування результатів попереднього.</w:t>
      </w:r>
    </w:p>
    <w:p w14:paraId="422B9D9C" w14:textId="77777777" w:rsidR="00366CB9" w:rsidRPr="00295DBB" w:rsidRDefault="009D0C1D" w:rsidP="00515F9C">
      <w:pPr>
        <w:pStyle w:val="1"/>
        <w:numPr>
          <w:ilvl w:val="0"/>
          <w:numId w:val="18"/>
        </w:numPr>
        <w:shd w:val="clear" w:color="auto" w:fill="auto"/>
        <w:tabs>
          <w:tab w:val="left" w:pos="858"/>
        </w:tabs>
        <w:spacing w:line="324" w:lineRule="auto"/>
        <w:ind w:left="820" w:hanging="260"/>
        <w:jc w:val="both"/>
        <w:rPr>
          <w:sz w:val="18"/>
          <w:szCs w:val="18"/>
        </w:rPr>
      </w:pPr>
      <w:r w:rsidRPr="00295DBB">
        <w:rPr>
          <w:sz w:val="18"/>
          <w:szCs w:val="18"/>
        </w:rPr>
        <w:t>Молекулярне та фенотипове ТМЧ можна проводити з використанням зразка (безпосереднє ТМЧ) або ізоляту культури (непряме ТМЧ). Безпосереднє ТМЧ є переважним для молекулярного тестування, тоді як непряме ТМЧ може бути переважним для фенотипового ТМЧ через технічні проблеми, пов’язані з отриманням відповідного інокуляту та втратою після забруднення.</w:t>
      </w:r>
    </w:p>
    <w:p w14:paraId="1E4A3D12" w14:textId="77777777" w:rsidR="00366CB9" w:rsidRPr="00295DBB" w:rsidRDefault="009D0C1D" w:rsidP="00515F9C">
      <w:pPr>
        <w:pStyle w:val="1"/>
        <w:numPr>
          <w:ilvl w:val="0"/>
          <w:numId w:val="18"/>
        </w:numPr>
        <w:shd w:val="clear" w:color="auto" w:fill="auto"/>
        <w:tabs>
          <w:tab w:val="left" w:pos="911"/>
        </w:tabs>
        <w:spacing w:line="324" w:lineRule="auto"/>
        <w:ind w:left="820" w:hanging="260"/>
        <w:jc w:val="both"/>
        <w:rPr>
          <w:sz w:val="18"/>
          <w:szCs w:val="18"/>
        </w:rPr>
      </w:pPr>
      <w:r w:rsidRPr="00295DBB">
        <w:rPr>
          <w:sz w:val="18"/>
          <w:szCs w:val="18"/>
        </w:rPr>
        <w:t>Перевага віддається mWRD. Див. результати тлумачення мутацій у каталозі мутацій ВООЗ (</w:t>
      </w:r>
      <w:hyperlink w:anchor="bookmark196" w:tooltip="Поточний документ">
        <w:r w:rsidR="00366CB9" w:rsidRPr="00295DBB">
          <w:rPr>
            <w:sz w:val="18"/>
            <w:szCs w:val="18"/>
          </w:rPr>
          <w:t>23</w:t>
        </w:r>
      </w:hyperlink>
      <w:r w:rsidRPr="00295DBB">
        <w:rPr>
          <w:sz w:val="18"/>
          <w:szCs w:val="18"/>
        </w:rPr>
        <w:t>). Цільове СНГ є точним метод ТМЧ, що може давати результати швидше, ніж культуральне ТМЧ. Цільове СНП демонструє чутливість майже 90 % або вище для виявлення резистентності до INH, LFX, MXF, PZA, AMK, ETB та STR, та прибл. 70 % для BDQ, LZD та CFZ для зразків, резистентних до RIF.</w:t>
      </w:r>
    </w:p>
    <w:p w14:paraId="21159563" w14:textId="77777777" w:rsidR="00366CB9" w:rsidRPr="00295DBB" w:rsidRDefault="009D0C1D" w:rsidP="00515F9C">
      <w:pPr>
        <w:pStyle w:val="1"/>
        <w:numPr>
          <w:ilvl w:val="0"/>
          <w:numId w:val="15"/>
        </w:numPr>
        <w:shd w:val="clear" w:color="auto" w:fill="auto"/>
        <w:tabs>
          <w:tab w:val="left" w:pos="318"/>
        </w:tabs>
        <w:spacing w:line="324" w:lineRule="auto"/>
        <w:ind w:left="300" w:hanging="300"/>
        <w:jc w:val="both"/>
        <w:rPr>
          <w:sz w:val="18"/>
          <w:szCs w:val="18"/>
        </w:rPr>
      </w:pPr>
      <w:r w:rsidRPr="00295DBB">
        <w:rPr>
          <w:sz w:val="18"/>
          <w:szCs w:val="18"/>
        </w:rPr>
        <w:t>Культуральне фенотипове ТМЧ для INH та RIF часто вимагає 3-8 тижнів для отримання результатів, але може застосовуватись для оцінки осіб з чутливим результатом молекулярного тестування, особливо у популяціях з високою клінічною передбачуваністю щодо INH. Якщо результат mWRD – «MTBC виявлено, резистентність до RIF не виявлено та резистентність до INH виявлено» (наразі застосовується лише до MC-aNAAT):</w:t>
      </w:r>
    </w:p>
    <w:p w14:paraId="5410B322" w14:textId="77777777" w:rsidR="00366CB9" w:rsidRPr="00295DBB" w:rsidRDefault="009D0C1D" w:rsidP="00515F9C">
      <w:pPr>
        <w:pStyle w:val="1"/>
        <w:numPr>
          <w:ilvl w:val="0"/>
          <w:numId w:val="19"/>
        </w:numPr>
        <w:shd w:val="clear" w:color="auto" w:fill="auto"/>
        <w:tabs>
          <w:tab w:val="left" w:pos="608"/>
        </w:tabs>
        <w:spacing w:line="324" w:lineRule="auto"/>
        <w:ind w:left="560" w:hanging="260"/>
        <w:jc w:val="both"/>
        <w:rPr>
          <w:sz w:val="18"/>
          <w:szCs w:val="18"/>
        </w:rPr>
      </w:pPr>
      <w:r w:rsidRPr="00295DBB">
        <w:rPr>
          <w:sz w:val="18"/>
          <w:szCs w:val="18"/>
        </w:rPr>
        <w:t>Особі необхідно призначити відповідну схему лікування Нрез-ТБ відповідно до національних керівних принципів. Рекомендація ВООЗ для осіб з Нрез-ТБ – застосовувати RIF, EMB, PZA та LFX протягом 6 місяців (</w:t>
      </w:r>
      <w:hyperlink w:anchor="bookmark193" w:tooltip="Поточний документ">
        <w:r w:rsidR="00366CB9" w:rsidRPr="00295DBB">
          <w:rPr>
            <w:sz w:val="18"/>
            <w:szCs w:val="18"/>
          </w:rPr>
          <w:t>7</w:t>
        </w:r>
      </w:hyperlink>
      <w:r w:rsidRPr="00295DBB">
        <w:rPr>
          <w:sz w:val="18"/>
          <w:szCs w:val="18"/>
        </w:rPr>
        <w:t>).</w:t>
      </w:r>
    </w:p>
    <w:p w14:paraId="1FB4F3B9" w14:textId="77777777" w:rsidR="00366CB9" w:rsidRPr="00295DBB" w:rsidRDefault="009D0C1D" w:rsidP="00515F9C">
      <w:pPr>
        <w:pStyle w:val="1"/>
        <w:numPr>
          <w:ilvl w:val="0"/>
          <w:numId w:val="19"/>
        </w:numPr>
        <w:shd w:val="clear" w:color="auto" w:fill="auto"/>
        <w:tabs>
          <w:tab w:val="left" w:pos="622"/>
        </w:tabs>
        <w:spacing w:line="324" w:lineRule="auto"/>
        <w:ind w:firstLine="300"/>
        <w:jc w:val="both"/>
        <w:rPr>
          <w:sz w:val="18"/>
          <w:szCs w:val="18"/>
        </w:rPr>
      </w:pPr>
      <w:r w:rsidRPr="00295DBB">
        <w:rPr>
          <w:sz w:val="18"/>
          <w:szCs w:val="18"/>
        </w:rPr>
        <w:t>Для осіб з Нрез-ТБ необхідно дотримуватися Алгоритму 3:</w:t>
      </w:r>
    </w:p>
    <w:p w14:paraId="7BF6C7E9" w14:textId="77777777" w:rsidR="00366CB9" w:rsidRPr="00295DBB" w:rsidRDefault="009D0C1D" w:rsidP="00515F9C">
      <w:pPr>
        <w:pStyle w:val="1"/>
        <w:numPr>
          <w:ilvl w:val="0"/>
          <w:numId w:val="20"/>
        </w:numPr>
        <w:shd w:val="clear" w:color="auto" w:fill="auto"/>
        <w:tabs>
          <w:tab w:val="left" w:pos="806"/>
        </w:tabs>
        <w:spacing w:line="324" w:lineRule="auto"/>
        <w:ind w:left="820" w:hanging="260"/>
        <w:jc w:val="both"/>
        <w:rPr>
          <w:sz w:val="18"/>
          <w:szCs w:val="18"/>
        </w:rPr>
      </w:pPr>
      <w:r w:rsidRPr="00295DBB">
        <w:rPr>
          <w:sz w:val="18"/>
          <w:szCs w:val="18"/>
        </w:rPr>
        <w:t xml:space="preserve">Додаткове ТМЧ для RIF може застосовуватись у регіонах високої поширеності мутацій, резистентних до RIF, поза межами RRDR. Рішення про вибір між фенотиповим тестуванням або секвенуванням залежить від доступності секвенування та типу очікуваної мутації. У регіонах високої поширеності мутації </w:t>
      </w:r>
      <w:r w:rsidRPr="00295DBB">
        <w:rPr>
          <w:i/>
          <w:iCs/>
          <w:sz w:val="18"/>
          <w:szCs w:val="18"/>
        </w:rPr>
        <w:t>rpoB</w:t>
      </w:r>
      <w:r w:rsidRPr="00295DBB">
        <w:rPr>
          <w:sz w:val="18"/>
          <w:szCs w:val="18"/>
        </w:rPr>
        <w:t xml:space="preserve"> I491F секвенування є</w:t>
      </w:r>
    </w:p>
    <w:p w14:paraId="45602F54"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160482C2" w14:textId="5B287B70"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202"/>
      </w:tblGrid>
      <w:tr w:rsidR="00366CB9" w14:paraId="4A0B8F33" w14:textId="77777777">
        <w:trPr>
          <w:trHeight w:hRule="exact" w:val="624"/>
        </w:trPr>
        <w:tc>
          <w:tcPr>
            <w:tcW w:w="9202" w:type="dxa"/>
            <w:shd w:val="clear" w:color="auto" w:fill="FFFFFF"/>
            <w:vAlign w:val="bottom"/>
          </w:tcPr>
          <w:p w14:paraId="46190CC4" w14:textId="77777777" w:rsidR="00366CB9" w:rsidRPr="00295DBB" w:rsidRDefault="009D0C1D" w:rsidP="00515F9C">
            <w:pPr>
              <w:pStyle w:val="a6"/>
              <w:shd w:val="clear" w:color="auto" w:fill="auto"/>
              <w:spacing w:line="326" w:lineRule="auto"/>
              <w:ind w:left="780"/>
              <w:rPr>
                <w:sz w:val="18"/>
                <w:szCs w:val="24"/>
              </w:rPr>
            </w:pPr>
            <w:r w:rsidRPr="00295DBB">
              <w:rPr>
                <w:b w:val="0"/>
                <w:color w:val="000000"/>
                <w:sz w:val="18"/>
                <w:szCs w:val="24"/>
              </w:rPr>
              <w:t>переважним, оскільки фенотипове ТМЧ, навіть з нижчою КК, може пропустити багато резистентних інфекцій; в інших випадках (наприклад, V170F) доцільним є фенотипове тестування (</w:t>
            </w:r>
            <w:hyperlink w:anchor="bookmark200" w:tooltip="Поточний документ">
              <w:r w:rsidR="00366CB9" w:rsidRPr="00295DBB">
                <w:rPr>
                  <w:b w:val="0"/>
                  <w:color w:val="000000"/>
                  <w:sz w:val="18"/>
                  <w:szCs w:val="24"/>
                </w:rPr>
                <w:t>84</w:t>
              </w:r>
            </w:hyperlink>
            <w:r w:rsidRPr="00295DBB">
              <w:rPr>
                <w:b w:val="0"/>
                <w:color w:val="000000"/>
                <w:sz w:val="18"/>
                <w:szCs w:val="24"/>
              </w:rPr>
              <w:t>).</w:t>
            </w:r>
          </w:p>
        </w:tc>
      </w:tr>
      <w:tr w:rsidR="00366CB9" w14:paraId="56B66E0A" w14:textId="77777777" w:rsidTr="00C060A2">
        <w:trPr>
          <w:trHeight w:hRule="exact" w:val="10258"/>
        </w:trPr>
        <w:tc>
          <w:tcPr>
            <w:tcW w:w="9202" w:type="dxa"/>
            <w:shd w:val="clear" w:color="auto" w:fill="FFFFFF"/>
          </w:tcPr>
          <w:p w14:paraId="388162C2" w14:textId="7EC07F17" w:rsidR="00366CB9" w:rsidRDefault="00295DBB" w:rsidP="00515F9C">
            <w:pPr>
              <w:rPr>
                <w:sz w:val="2"/>
                <w:szCs w:val="2"/>
              </w:rPr>
            </w:pPr>
            <w:r>
              <w:rPr>
                <w:noProof/>
              </w:rPr>
              <mc:AlternateContent>
                <mc:Choice Requires="wps">
                  <w:drawing>
                    <wp:anchor distT="0" distB="0" distL="114300" distR="114300" simplePos="0" relativeHeight="251703296" behindDoc="0" locked="0" layoutInCell="1" allowOverlap="1" wp14:anchorId="1479858C" wp14:editId="5CE1EF24">
                      <wp:simplePos x="0" y="0"/>
                      <wp:positionH relativeFrom="column">
                        <wp:posOffset>1111250</wp:posOffset>
                      </wp:positionH>
                      <wp:positionV relativeFrom="paragraph">
                        <wp:posOffset>6015990</wp:posOffset>
                      </wp:positionV>
                      <wp:extent cx="1264920" cy="276860"/>
                      <wp:effectExtent l="0" t="0" r="0" b="8890"/>
                      <wp:wrapNone/>
                      <wp:docPr id="814094449" name="Прямокутник 15"/>
                      <wp:cNvGraphicFramePr/>
                      <a:graphic xmlns:a="http://schemas.openxmlformats.org/drawingml/2006/main">
                        <a:graphicData uri="http://schemas.microsoft.com/office/word/2010/wordprocessingShape">
                          <wps:wsp>
                            <wps:cNvSpPr/>
                            <wps:spPr>
                              <a:xfrm>
                                <a:off x="0" y="0"/>
                                <a:ext cx="1264920" cy="276860"/>
                              </a:xfrm>
                              <a:prstGeom prst="rect">
                                <a:avLst/>
                              </a:prstGeom>
                              <a:solidFill>
                                <a:srgbClr val="FDBDBD"/>
                              </a:solidFill>
                            </wps:spPr>
                            <wps:txbx>
                              <w:txbxContent>
                                <w:p w14:paraId="624D2EFA" w14:textId="77777777" w:rsidR="009D0C1D" w:rsidRPr="00295DBB" w:rsidRDefault="009D0C1D" w:rsidP="00C060A2">
                                  <w:pPr>
                                    <w:jc w:val="center"/>
                                    <w:rPr>
                                      <w:rFonts w:ascii="Century Gothic" w:eastAsia="+mn-ea" w:hAnsi="Century Gothic" w:cs="+mn-cs"/>
                                      <w:b/>
                                      <w:bCs/>
                                      <w:color w:val="343433"/>
                                      <w:kern w:val="24"/>
                                      <w:sz w:val="14"/>
                                      <w:szCs w:val="14"/>
                                    </w:rPr>
                                  </w:pPr>
                                  <w:r w:rsidRPr="00295DBB">
                                    <w:rPr>
                                      <w:rFonts w:ascii="Century Gothic" w:hAnsi="Century Gothic"/>
                                      <w:b/>
                                      <w:color w:val="343433"/>
                                      <w:sz w:val="14"/>
                                      <w:szCs w:val="20"/>
                                    </w:rPr>
                                    <w:t>для подальшого тестування та оцінки</w:t>
                                  </w:r>
                                </w:p>
                              </w:txbxContent>
                            </wps:txbx>
                            <wps:bodyPr wrap="square" lIns="0" tIns="0" rIns="0" bIns="0">
                              <a:noAutofit/>
                            </wps:bodyPr>
                          </wps:wsp>
                        </a:graphicData>
                      </a:graphic>
                      <wp14:sizeRelH relativeFrom="margin">
                        <wp14:pctWidth>0</wp14:pctWidth>
                      </wp14:sizeRelH>
                    </wp:anchor>
                  </w:drawing>
                </mc:Choice>
                <mc:Fallback>
                  <w:pict>
                    <v:rect w14:anchorId="1479858C" id="_x0000_s1351" style="position:absolute;margin-left:87.5pt;margin-top:473.7pt;width:99.6pt;height:21.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" fillcolor="#fdbdbd" stroked="f">
                      <v:textbox inset="0,0,0,0">
                        <w:txbxContent>
                          <w:p w14:paraId="624D2EFA" w14:textId="77777777" w:rsidR="009D0C1D" w:rsidRPr="00295DBB" w:rsidRDefault="009D0C1D" w:rsidP="00C060A2">
                            <w:pPr>
                              <w:jc w:val="center"/>
                              <w:rPr>
                                <w:rFonts w:ascii="Century Gothic" w:eastAsia="+mn-ea" w:hAnsi="Century Gothic" w:cs="+mn-cs"/>
                                <w:b/>
                                <w:bCs/>
                                <w:color w:val="343433"/>
                                <w:kern w:val="24"/>
                                <w:sz w:val="14"/>
                                <w:szCs w:val="14"/>
                              </w:rPr>
                            </w:pPr>
                            <w:r w:rsidRPr="00295DBB">
                              <w:rPr>
                                <w:rFonts w:ascii="Century Gothic" w:hAnsi="Century Gothic"/>
                                <w:b/>
                                <w:color w:val="343433"/>
                                <w:sz w:val="14"/>
                                <w:szCs w:val="20"/>
                              </w:rPr>
                              <w:t>для подальшого тестування та оцінки</w:t>
                            </w:r>
                          </w:p>
                        </w:txbxContent>
                      </v:textbox>
                    </v:rect>
                  </w:pict>
                </mc:Fallback>
              </mc:AlternateContent>
            </w:r>
            <w:r>
              <w:rPr>
                <w:noProof/>
              </w:rPr>
              <mc:AlternateContent>
                <mc:Choice Requires="wps">
                  <w:drawing>
                    <wp:anchor distT="0" distB="0" distL="114300" distR="114300" simplePos="0" relativeHeight="251704320" behindDoc="0" locked="0" layoutInCell="1" allowOverlap="1" wp14:anchorId="7A574856" wp14:editId="02F536A9">
                      <wp:simplePos x="0" y="0"/>
                      <wp:positionH relativeFrom="column">
                        <wp:posOffset>3580130</wp:posOffset>
                      </wp:positionH>
                      <wp:positionV relativeFrom="paragraph">
                        <wp:posOffset>5528310</wp:posOffset>
                      </wp:positionV>
                      <wp:extent cx="1155065" cy="487680"/>
                      <wp:effectExtent l="0" t="0" r="6985" b="7620"/>
                      <wp:wrapNone/>
                      <wp:docPr id="1129253754" name="Прямокутник 16"/>
                      <wp:cNvGraphicFramePr/>
                      <a:graphic xmlns:a="http://schemas.openxmlformats.org/drawingml/2006/main">
                        <a:graphicData uri="http://schemas.microsoft.com/office/word/2010/wordprocessingShape">
                          <wps:wsp>
                            <wps:cNvSpPr/>
                            <wps:spPr>
                              <a:xfrm>
                                <a:off x="0" y="0"/>
                                <a:ext cx="1155065" cy="487680"/>
                              </a:xfrm>
                              <a:prstGeom prst="rect">
                                <a:avLst/>
                              </a:prstGeom>
                              <a:solidFill>
                                <a:srgbClr val="FDBDBD"/>
                              </a:solidFill>
                            </wps:spPr>
                            <wps:txbx>
                              <w:txbxContent>
                                <w:p w14:paraId="7229988D" w14:textId="77777777" w:rsidR="009D0C1D" w:rsidRPr="00295DBB" w:rsidRDefault="009D0C1D" w:rsidP="00C060A2">
                                  <w:pPr>
                                    <w:jc w:val="center"/>
                                    <w:rPr>
                                      <w:rFonts w:ascii="Century Gothic" w:eastAsia="+mn-ea" w:hAnsi="Century Gothic" w:cs="+mn-cs"/>
                                      <w:b/>
                                      <w:bCs/>
                                      <w:color w:val="343433"/>
                                      <w:kern w:val="24"/>
                                      <w:sz w:val="14"/>
                                      <w:szCs w:val="14"/>
                                    </w:rPr>
                                  </w:pPr>
                                  <w:r w:rsidRPr="00295DBB">
                                    <w:rPr>
                                      <w:rFonts w:ascii="Century Gothic" w:hAnsi="Century Gothic"/>
                                      <w:b/>
                                      <w:color w:val="343433"/>
                                      <w:sz w:val="14"/>
                                      <w:szCs w:val="20"/>
                                    </w:rPr>
                                    <w:t xml:space="preserve">Дотримуватися </w:t>
                                  </w:r>
                                  <w:r w:rsidRPr="00295DBB">
                                    <w:rPr>
                                      <w:rFonts w:ascii="Century Gothic" w:hAnsi="Century Gothic"/>
                                      <w:b/>
                                      <w:i/>
                                      <w:color w:val="343433"/>
                                      <w:sz w:val="14"/>
                                      <w:szCs w:val="20"/>
                                    </w:rPr>
                                    <w:t>цього</w:t>
                                  </w:r>
                                  <w:r w:rsidRPr="00295DBB">
                                    <w:rPr>
                                      <w:rFonts w:ascii="Century Gothic" w:hAnsi="Century Gothic"/>
                                      <w:b/>
                                      <w:color w:val="343433"/>
                                      <w:sz w:val="14"/>
                                      <w:szCs w:val="20"/>
                                    </w:rPr>
                                    <w:t xml:space="preserve"> Алгоритму для тлумачення результатів</w:t>
                                  </w:r>
                                </w:p>
                              </w:txbxContent>
                            </wps:txbx>
                            <wps:bodyPr wrap="square" lIns="0" tIns="0" rIns="0" bIns="0">
                              <a:noAutofit/>
                            </wps:bodyPr>
                          </wps:wsp>
                        </a:graphicData>
                      </a:graphic>
                      <wp14:sizeRelV relativeFrom="margin">
                        <wp14:pctHeight>0</wp14:pctHeight>
                      </wp14:sizeRelV>
                    </wp:anchor>
                  </w:drawing>
                </mc:Choice>
                <mc:Fallback>
                  <w:pict>
                    <v:rect w14:anchorId="7A574856" id="_x0000_s1352" style="position:absolute;margin-left:281.9pt;margin-top:435.3pt;width:90.95pt;height:38.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" fillcolor="#fdbdbd" stroked="f">
                      <v:textbox inset="0,0,0,0">
                        <w:txbxContent>
                          <w:p w14:paraId="7229988D" w14:textId="77777777" w:rsidR="009D0C1D" w:rsidRPr="00295DBB" w:rsidRDefault="009D0C1D" w:rsidP="00C060A2">
                            <w:pPr>
                              <w:jc w:val="center"/>
                              <w:rPr>
                                <w:rFonts w:ascii="Century Gothic" w:eastAsia="+mn-ea" w:hAnsi="Century Gothic" w:cs="+mn-cs"/>
                                <w:b/>
                                <w:bCs/>
                                <w:color w:val="343433"/>
                                <w:kern w:val="24"/>
                                <w:sz w:val="14"/>
                                <w:szCs w:val="14"/>
                              </w:rPr>
                            </w:pPr>
                            <w:r w:rsidRPr="00295DBB">
                              <w:rPr>
                                <w:rFonts w:ascii="Century Gothic" w:hAnsi="Century Gothic"/>
                                <w:b/>
                                <w:color w:val="343433"/>
                                <w:sz w:val="14"/>
                                <w:szCs w:val="20"/>
                              </w:rPr>
                              <w:t xml:space="preserve">Дотримуватися </w:t>
                            </w:r>
                            <w:r w:rsidRPr="00295DBB">
                              <w:rPr>
                                <w:rFonts w:ascii="Century Gothic" w:hAnsi="Century Gothic"/>
                                <w:b/>
                                <w:i/>
                                <w:color w:val="343433"/>
                                <w:sz w:val="14"/>
                                <w:szCs w:val="20"/>
                              </w:rPr>
                              <w:t>цього</w:t>
                            </w:r>
                            <w:r w:rsidRPr="00295DBB">
                              <w:rPr>
                                <w:rFonts w:ascii="Century Gothic" w:hAnsi="Century Gothic"/>
                                <w:b/>
                                <w:color w:val="343433"/>
                                <w:sz w:val="14"/>
                                <w:szCs w:val="20"/>
                              </w:rPr>
                              <w:t xml:space="preserve"> Алгоритму для тлумачення результатів</w:t>
                            </w:r>
                          </w:p>
                        </w:txbxContent>
                      </v:textbox>
                    </v:rect>
                  </w:pict>
                </mc:Fallback>
              </mc:AlternateContent>
            </w:r>
            <w:r>
              <w:rPr>
                <w:noProof/>
              </w:rPr>
              <mc:AlternateContent>
                <mc:Choice Requires="wps">
                  <w:drawing>
                    <wp:anchor distT="0" distB="0" distL="114300" distR="114300" simplePos="0" relativeHeight="251701248" behindDoc="0" locked="0" layoutInCell="1" allowOverlap="1" wp14:anchorId="131F378B" wp14:editId="45D5FF97">
                      <wp:simplePos x="0" y="0"/>
                      <wp:positionH relativeFrom="column">
                        <wp:posOffset>1210310</wp:posOffset>
                      </wp:positionH>
                      <wp:positionV relativeFrom="paragraph">
                        <wp:posOffset>5535930</wp:posOffset>
                      </wp:positionV>
                      <wp:extent cx="1313180" cy="137160"/>
                      <wp:effectExtent l="0" t="0" r="1270" b="0"/>
                      <wp:wrapNone/>
                      <wp:docPr id="1643573475" name="Прямокутник 13"/>
                      <wp:cNvGraphicFramePr/>
                      <a:graphic xmlns:a="http://schemas.openxmlformats.org/drawingml/2006/main">
                        <a:graphicData uri="http://schemas.microsoft.com/office/word/2010/wordprocessingShape">
                          <wps:wsp>
                            <wps:cNvSpPr/>
                            <wps:spPr>
                              <a:xfrm>
                                <a:off x="0" y="0"/>
                                <a:ext cx="1313180" cy="137160"/>
                              </a:xfrm>
                              <a:prstGeom prst="rect">
                                <a:avLst/>
                              </a:prstGeom>
                              <a:solidFill>
                                <a:srgbClr val="FDBDBD"/>
                              </a:solidFill>
                            </wps:spPr>
                            <wps:txbx>
                              <w:txbxContent>
                                <w:p w14:paraId="1333EB70" w14:textId="77777777" w:rsidR="009D0C1D" w:rsidRPr="00295DBB" w:rsidRDefault="009D0C1D" w:rsidP="00C060A2">
                                  <w:pPr>
                                    <w:rPr>
                                      <w:rFonts w:ascii="Century Gothic" w:eastAsia="+mn-ea" w:hAnsi="Century Gothic" w:cs="+mn-cs"/>
                                      <w:b/>
                                      <w:bCs/>
                                      <w:color w:val="343433"/>
                                      <w:kern w:val="24"/>
                                      <w:sz w:val="14"/>
                                      <w:szCs w:val="14"/>
                                    </w:rPr>
                                  </w:pPr>
                                  <w:r w:rsidRPr="00295DBB">
                                    <w:rPr>
                                      <w:rFonts w:ascii="Century Gothic" w:hAnsi="Century Gothic"/>
                                      <w:b/>
                                      <w:color w:val="343433"/>
                                      <w:sz w:val="14"/>
                                      <w:szCs w:val="20"/>
                                    </w:rPr>
                                    <w:t>Дотримуватися Алгоритму</w:t>
                                  </w:r>
                                </w:p>
                              </w:txbxContent>
                            </wps:txbx>
                            <wps:bodyPr wrap="square" lIns="0" tIns="0" rIns="0" bIns="0">
                              <a:noAutofit/>
                            </wps:bodyPr>
                          </wps:wsp>
                        </a:graphicData>
                      </a:graphic>
                      <wp14:sizeRelH relativeFrom="margin">
                        <wp14:pctWidth>0</wp14:pctWidth>
                      </wp14:sizeRelH>
                    </wp:anchor>
                  </w:drawing>
                </mc:Choice>
                <mc:Fallback>
                  <w:pict>
                    <v:rect w14:anchorId="131F378B" id="_x0000_s1353" style="position:absolute;margin-left:95.3pt;margin-top:435.9pt;width:103.4pt;height:10.8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" fillcolor="#fdbdbd" stroked="f">
                      <v:textbox inset="0,0,0,0">
                        <w:txbxContent>
                          <w:p w14:paraId="1333EB70" w14:textId="77777777" w:rsidR="009D0C1D" w:rsidRPr="00295DBB" w:rsidRDefault="009D0C1D" w:rsidP="00C060A2">
                            <w:pPr>
                              <w:rPr>
                                <w:rFonts w:ascii="Century Gothic" w:eastAsia="+mn-ea" w:hAnsi="Century Gothic" w:cs="+mn-cs"/>
                                <w:b/>
                                <w:bCs/>
                                <w:color w:val="343433"/>
                                <w:kern w:val="24"/>
                                <w:sz w:val="14"/>
                                <w:szCs w:val="14"/>
                              </w:rPr>
                            </w:pPr>
                            <w:r w:rsidRPr="00295DBB">
                              <w:rPr>
                                <w:rFonts w:ascii="Century Gothic" w:hAnsi="Century Gothic"/>
                                <w:b/>
                                <w:color w:val="343433"/>
                                <w:sz w:val="14"/>
                                <w:szCs w:val="20"/>
                              </w:rPr>
                              <w:t>Дотримуватися Алгоритму</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2698E3D1" wp14:editId="4C6FF372">
                      <wp:simplePos x="0" y="0"/>
                      <wp:positionH relativeFrom="column">
                        <wp:posOffset>3473450</wp:posOffset>
                      </wp:positionH>
                      <wp:positionV relativeFrom="paragraph">
                        <wp:posOffset>4370070</wp:posOffset>
                      </wp:positionV>
                      <wp:extent cx="1346835" cy="335280"/>
                      <wp:effectExtent l="0" t="0" r="5715" b="7620"/>
                      <wp:wrapNone/>
                      <wp:docPr id="1360931033" name="Прямокутник 12"/>
                      <wp:cNvGraphicFramePr/>
                      <a:graphic xmlns:a="http://schemas.openxmlformats.org/drawingml/2006/main">
                        <a:graphicData uri="http://schemas.microsoft.com/office/word/2010/wordprocessingShape">
                          <wps:wsp>
                            <wps:cNvSpPr/>
                            <wps:spPr>
                              <a:xfrm>
                                <a:off x="0" y="0"/>
                                <a:ext cx="1346835" cy="335280"/>
                              </a:xfrm>
                              <a:prstGeom prst="rect">
                                <a:avLst/>
                              </a:prstGeom>
                              <a:solidFill>
                                <a:srgbClr val="FDBDBD"/>
                              </a:solidFill>
                            </wps:spPr>
                            <wps:txbx>
                              <w:txbxContent>
                                <w:p w14:paraId="6336AB80" w14:textId="77777777" w:rsidR="009D0C1D" w:rsidRPr="00295DBB" w:rsidRDefault="009D0C1D" w:rsidP="00C060A2">
                                  <w:pPr>
                                    <w:jc w:val="center"/>
                                    <w:rPr>
                                      <w:rFonts w:ascii="Century Gothic" w:eastAsia="+mn-ea" w:hAnsi="Century Gothic" w:cs="+mn-cs"/>
                                      <w:b/>
                                      <w:bCs/>
                                      <w:color w:val="343433"/>
                                      <w:kern w:val="24"/>
                                      <w:sz w:val="14"/>
                                      <w:szCs w:val="14"/>
                                    </w:rPr>
                                  </w:pPr>
                                  <w:r w:rsidRPr="00295DBB">
                                    <w:rPr>
                                      <w:rFonts w:ascii="Century Gothic" w:hAnsi="Century Gothic"/>
                                      <w:b/>
                                      <w:color w:val="343433"/>
                                      <w:sz w:val="14"/>
                                      <w:szCs w:val="20"/>
                                    </w:rPr>
                                    <w:t>Повторити тест mWRD зі свіжим зразком</w:t>
                                  </w:r>
                                  <w:r w:rsidRPr="00295DBB">
                                    <w:rPr>
                                      <w:rFonts w:ascii="Century Gothic" w:hAnsi="Century Gothic"/>
                                      <w:b/>
                                      <w:color w:val="0099D6"/>
                                      <w:sz w:val="14"/>
                                      <w:szCs w:val="20"/>
                                      <w:vertAlign w:val="superscript"/>
                                    </w:rPr>
                                    <w:t>o</w:t>
                                  </w:r>
                                </w:p>
                              </w:txbxContent>
                            </wps:txbx>
                            <wps:bodyPr wrap="square" lIns="0" tIns="0" rIns="0" bIns="0">
                              <a:noAutofit/>
                            </wps:bodyPr>
                          </wps:wsp>
                        </a:graphicData>
                      </a:graphic>
                      <wp14:sizeRelV relativeFrom="margin">
                        <wp14:pctHeight>0</wp14:pctHeight>
                      </wp14:sizeRelV>
                    </wp:anchor>
                  </w:drawing>
                </mc:Choice>
                <mc:Fallback>
                  <w:pict>
                    <v:rect w14:anchorId="2698E3D1" id="_x0000_s1354" style="position:absolute;margin-left:273.5pt;margin-top:344.1pt;width:106.05pt;height:26.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" fillcolor="#fdbdbd" stroked="f">
                      <v:textbox inset="0,0,0,0">
                        <w:txbxContent>
                          <w:p w14:paraId="6336AB80" w14:textId="77777777" w:rsidR="009D0C1D" w:rsidRPr="00295DBB" w:rsidRDefault="009D0C1D" w:rsidP="00C060A2">
                            <w:pPr>
                              <w:jc w:val="center"/>
                              <w:rPr>
                                <w:rFonts w:ascii="Century Gothic" w:eastAsia="+mn-ea" w:hAnsi="Century Gothic" w:cs="+mn-cs"/>
                                <w:b/>
                                <w:bCs/>
                                <w:color w:val="343433"/>
                                <w:kern w:val="24"/>
                                <w:sz w:val="14"/>
                                <w:szCs w:val="14"/>
                              </w:rPr>
                            </w:pPr>
                            <w:r w:rsidRPr="00295DBB">
                              <w:rPr>
                                <w:rFonts w:ascii="Century Gothic" w:hAnsi="Century Gothic"/>
                                <w:b/>
                                <w:color w:val="343433"/>
                                <w:sz w:val="14"/>
                                <w:szCs w:val="20"/>
                              </w:rPr>
                              <w:t>Повторити тест mWRD зі свіжим зразком</w:t>
                            </w:r>
                            <w:r w:rsidRPr="00295DBB">
                              <w:rPr>
                                <w:rFonts w:ascii="Century Gothic" w:hAnsi="Century Gothic"/>
                                <w:b/>
                                <w:color w:val="0099D6"/>
                                <w:sz w:val="14"/>
                                <w:szCs w:val="20"/>
                                <w:vertAlign w:val="superscript"/>
                              </w:rPr>
                              <w:t>o</w:t>
                            </w:r>
                          </w:p>
                        </w:txbxContent>
                      </v:textbox>
                    </v:rect>
                  </w:pict>
                </mc:Fallback>
              </mc:AlternateContent>
            </w:r>
            <w:r>
              <w:rPr>
                <w:noProof/>
              </w:rPr>
              <mc:AlternateContent>
                <mc:Choice Requires="wps">
                  <w:drawing>
                    <wp:anchor distT="0" distB="0" distL="114300" distR="114300" simplePos="0" relativeHeight="251699200" behindDoc="0" locked="0" layoutInCell="1" allowOverlap="1" wp14:anchorId="72BE11D1" wp14:editId="04C70385">
                      <wp:simplePos x="0" y="0"/>
                      <wp:positionH relativeFrom="column">
                        <wp:posOffset>890270</wp:posOffset>
                      </wp:positionH>
                      <wp:positionV relativeFrom="paragraph">
                        <wp:posOffset>4377690</wp:posOffset>
                      </wp:positionV>
                      <wp:extent cx="1684020" cy="415290"/>
                      <wp:effectExtent l="0" t="0" r="0" b="3810"/>
                      <wp:wrapNone/>
                      <wp:docPr id="464411131" name="Прямокутник 11"/>
                      <wp:cNvGraphicFramePr/>
                      <a:graphic xmlns:a="http://schemas.openxmlformats.org/drawingml/2006/main">
                        <a:graphicData uri="http://schemas.microsoft.com/office/word/2010/wordprocessingShape">
                          <wps:wsp>
                            <wps:cNvSpPr/>
                            <wps:spPr>
                              <a:xfrm>
                                <a:off x="0" y="0"/>
                                <a:ext cx="1684020" cy="415290"/>
                              </a:xfrm>
                              <a:prstGeom prst="rect">
                                <a:avLst/>
                              </a:prstGeom>
                              <a:solidFill>
                                <a:srgbClr val="FDBDBD"/>
                              </a:solidFill>
                            </wps:spPr>
                            <wps:txbx>
                              <w:txbxContent>
                                <w:p w14:paraId="61130D5C" w14:textId="77777777" w:rsidR="009D0C1D" w:rsidRPr="00295DBB" w:rsidRDefault="009D0C1D" w:rsidP="00C060A2">
                                  <w:pPr>
                                    <w:jc w:val="center"/>
                                    <w:rPr>
                                      <w:rFonts w:ascii="Century Gothic" w:eastAsia="+mn-ea" w:hAnsi="Century Gothic" w:cs="+mn-cs"/>
                                      <w:b/>
                                      <w:bCs/>
                                      <w:color w:val="343433"/>
                                      <w:kern w:val="24"/>
                                      <w:sz w:val="14"/>
                                      <w:szCs w:val="14"/>
                                    </w:rPr>
                                  </w:pPr>
                                  <w:r w:rsidRPr="00295DBB">
                                    <w:rPr>
                                      <w:rFonts w:ascii="Century Gothic" w:hAnsi="Century Gothic"/>
                                      <w:b/>
                                      <w:color w:val="343433"/>
                                      <w:sz w:val="14"/>
                                      <w:szCs w:val="20"/>
                                    </w:rPr>
                                    <w:t>Вводити схему лікування МЛС-ТБ відповідно до національних керівних принципів</w:t>
                                  </w:r>
                                  <w:r w:rsidRPr="00295DBB">
                                    <w:rPr>
                                      <w:rFonts w:ascii="Century Gothic" w:hAnsi="Century Gothic"/>
                                      <w:b/>
                                      <w:color w:val="0099D6"/>
                                      <w:sz w:val="14"/>
                                      <w:szCs w:val="20"/>
                                      <w:vertAlign w:val="superscript"/>
                                    </w:rPr>
                                    <w:t>q</w:t>
                                  </w:r>
                                </w:p>
                              </w:txbxContent>
                            </wps:txbx>
                            <wps:bodyPr wrap="square" lIns="0" tIns="0" rIns="0" bIns="0">
                              <a:noAutofit/>
                            </wps:bodyPr>
                          </wps:wsp>
                        </a:graphicData>
                      </a:graphic>
                      <wp14:sizeRelH relativeFrom="margin">
                        <wp14:pctWidth>0</wp14:pctWidth>
                      </wp14:sizeRelH>
                    </wp:anchor>
                  </w:drawing>
                </mc:Choice>
                <mc:Fallback>
                  <w:pict>
                    <v:rect w14:anchorId="72BE11D1" id="_x0000_s1355" style="position:absolute;margin-left:70.1pt;margin-top:344.7pt;width:132.6pt;height:32.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" fillcolor="#fdbdbd" stroked="f">
                      <v:textbox inset="0,0,0,0">
                        <w:txbxContent>
                          <w:p w14:paraId="61130D5C" w14:textId="77777777" w:rsidR="009D0C1D" w:rsidRPr="00295DBB" w:rsidRDefault="009D0C1D" w:rsidP="00C060A2">
                            <w:pPr>
                              <w:jc w:val="center"/>
                              <w:rPr>
                                <w:rFonts w:ascii="Century Gothic" w:eastAsia="+mn-ea" w:hAnsi="Century Gothic" w:cs="+mn-cs"/>
                                <w:b/>
                                <w:bCs/>
                                <w:color w:val="343433"/>
                                <w:kern w:val="24"/>
                                <w:sz w:val="14"/>
                                <w:szCs w:val="14"/>
                              </w:rPr>
                            </w:pPr>
                            <w:r w:rsidRPr="00295DBB">
                              <w:rPr>
                                <w:rFonts w:ascii="Century Gothic" w:hAnsi="Century Gothic"/>
                                <w:b/>
                                <w:color w:val="343433"/>
                                <w:sz w:val="14"/>
                                <w:szCs w:val="20"/>
                              </w:rPr>
                              <w:t>Вводити схему лікування МЛС-ТБ відповідно до національних керівних принципів</w:t>
                            </w:r>
                            <w:r w:rsidRPr="00295DBB">
                              <w:rPr>
                                <w:rFonts w:ascii="Century Gothic" w:hAnsi="Century Gothic"/>
                                <w:b/>
                                <w:color w:val="0099D6"/>
                                <w:sz w:val="14"/>
                                <w:szCs w:val="20"/>
                                <w:vertAlign w:val="superscript"/>
                              </w:rPr>
                              <w:t>q</w:t>
                            </w: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59829C43" wp14:editId="2A86C9B8">
                      <wp:simplePos x="0" y="0"/>
                      <wp:positionH relativeFrom="column">
                        <wp:posOffset>3458210</wp:posOffset>
                      </wp:positionH>
                      <wp:positionV relativeFrom="paragraph">
                        <wp:posOffset>3470910</wp:posOffset>
                      </wp:positionV>
                      <wp:extent cx="1120140" cy="276860"/>
                      <wp:effectExtent l="0" t="0" r="3810" b="8890"/>
                      <wp:wrapNone/>
                      <wp:docPr id="995511134" name="Прямокутник 10"/>
                      <wp:cNvGraphicFramePr/>
                      <a:graphic xmlns:a="http://schemas.openxmlformats.org/drawingml/2006/main">
                        <a:graphicData uri="http://schemas.microsoft.com/office/word/2010/wordprocessingShape">
                          <wps:wsp>
                            <wps:cNvSpPr/>
                            <wps:spPr>
                              <a:xfrm>
                                <a:off x="0" y="0"/>
                                <a:ext cx="1120140" cy="276860"/>
                              </a:xfrm>
                              <a:prstGeom prst="rect">
                                <a:avLst/>
                              </a:prstGeom>
                              <a:solidFill>
                                <a:srgbClr val="FDD3D5"/>
                              </a:solidFill>
                            </wps:spPr>
                            <wps:txbx>
                              <w:txbxContent>
                                <w:p w14:paraId="115BC5BB" w14:textId="77777777" w:rsidR="009D0C1D" w:rsidRPr="00295DBB" w:rsidRDefault="009D0C1D" w:rsidP="00C060A2">
                                  <w:pPr>
                                    <w:jc w:val="center"/>
                                    <w:rPr>
                                      <w:rFonts w:ascii="Century Gothic" w:eastAsia="+mn-ea" w:hAnsi="Century Gothic" w:cs="+mn-cs"/>
                                      <w:b/>
                                      <w:bCs/>
                                      <w:color w:val="343433"/>
                                      <w:kern w:val="24"/>
                                      <w:sz w:val="14"/>
                                      <w:szCs w:val="14"/>
                                    </w:rPr>
                                  </w:pPr>
                                  <w:r w:rsidRPr="00295DBB">
                                    <w:rPr>
                                      <w:rFonts w:ascii="Century Gothic" w:hAnsi="Century Gothic"/>
                                      <w:b/>
                                      <w:color w:val="343433"/>
                                      <w:sz w:val="14"/>
                                      <w:szCs w:val="20"/>
                                    </w:rPr>
                                    <w:t xml:space="preserve">Пацієнт з </w:t>
                                  </w:r>
                                  <w:r w:rsidRPr="00295DBB">
                                    <w:rPr>
                                      <w:rFonts w:ascii="Century Gothic" w:hAnsi="Century Gothic"/>
                                      <w:b/>
                                      <w:i/>
                                      <w:color w:val="343433"/>
                                      <w:sz w:val="14"/>
                                      <w:szCs w:val="20"/>
                                    </w:rPr>
                                    <w:t>низьким</w:t>
                                  </w:r>
                                  <w:r w:rsidRPr="00295DBB">
                                    <w:rPr>
                                      <w:rFonts w:ascii="Century Gothic" w:hAnsi="Century Gothic"/>
                                      <w:b/>
                                      <w:color w:val="343433"/>
                                      <w:sz w:val="14"/>
                                      <w:szCs w:val="20"/>
                                    </w:rPr>
                                    <w:t xml:space="preserve"> ризиком МЛС-ТБ</w:t>
                                  </w:r>
                                </w:p>
                              </w:txbxContent>
                            </wps:txbx>
                            <wps:bodyPr wrap="square" lIns="0" tIns="0" rIns="0" bIns="0">
                              <a:noAutofit/>
                            </wps:bodyPr>
                          </wps:wsp>
                        </a:graphicData>
                      </a:graphic>
                      <wp14:sizeRelH relativeFrom="margin">
                        <wp14:pctWidth>0</wp14:pctWidth>
                      </wp14:sizeRelH>
                    </wp:anchor>
                  </w:drawing>
                </mc:Choice>
                <mc:Fallback>
                  <w:pict>
                    <v:rect w14:anchorId="59829C43" id="_x0000_s1356" style="position:absolute;margin-left:272.3pt;margin-top:273.3pt;width:88.2pt;height:21.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" fillcolor="#fdd3d5" stroked="f">
                      <v:textbox inset="0,0,0,0">
                        <w:txbxContent>
                          <w:p w14:paraId="115BC5BB" w14:textId="77777777" w:rsidR="009D0C1D" w:rsidRPr="00295DBB" w:rsidRDefault="009D0C1D" w:rsidP="00C060A2">
                            <w:pPr>
                              <w:jc w:val="center"/>
                              <w:rPr>
                                <w:rFonts w:ascii="Century Gothic" w:eastAsia="+mn-ea" w:hAnsi="Century Gothic" w:cs="+mn-cs"/>
                                <w:b/>
                                <w:bCs/>
                                <w:color w:val="343433"/>
                                <w:kern w:val="24"/>
                                <w:sz w:val="14"/>
                                <w:szCs w:val="14"/>
                              </w:rPr>
                            </w:pPr>
                            <w:r w:rsidRPr="00295DBB">
                              <w:rPr>
                                <w:rFonts w:ascii="Century Gothic" w:hAnsi="Century Gothic"/>
                                <w:b/>
                                <w:color w:val="343433"/>
                                <w:sz w:val="14"/>
                                <w:szCs w:val="20"/>
                              </w:rPr>
                              <w:t xml:space="preserve">Пацієнт з </w:t>
                            </w:r>
                            <w:r w:rsidRPr="00295DBB">
                              <w:rPr>
                                <w:rFonts w:ascii="Century Gothic" w:hAnsi="Century Gothic"/>
                                <w:b/>
                                <w:i/>
                                <w:color w:val="343433"/>
                                <w:sz w:val="14"/>
                                <w:szCs w:val="20"/>
                              </w:rPr>
                              <w:t>низьким</w:t>
                            </w:r>
                            <w:r w:rsidRPr="00295DBB">
                              <w:rPr>
                                <w:rFonts w:ascii="Century Gothic" w:hAnsi="Century Gothic"/>
                                <w:b/>
                                <w:color w:val="343433"/>
                                <w:sz w:val="14"/>
                                <w:szCs w:val="20"/>
                              </w:rPr>
                              <w:t xml:space="preserve"> ризиком МЛС-ТБ</w:t>
                            </w: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6DDF236A" wp14:editId="4185B590">
                      <wp:simplePos x="0" y="0"/>
                      <wp:positionH relativeFrom="column">
                        <wp:posOffset>1347470</wp:posOffset>
                      </wp:positionH>
                      <wp:positionV relativeFrom="paragraph">
                        <wp:posOffset>3478530</wp:posOffset>
                      </wp:positionV>
                      <wp:extent cx="1176020" cy="276860"/>
                      <wp:effectExtent l="0" t="0" r="5080" b="8890"/>
                      <wp:wrapNone/>
                      <wp:docPr id="891103270" name="Прямокутник 9"/>
                      <wp:cNvGraphicFramePr/>
                      <a:graphic xmlns:a="http://schemas.openxmlformats.org/drawingml/2006/main">
                        <a:graphicData uri="http://schemas.microsoft.com/office/word/2010/wordprocessingShape">
                          <wps:wsp>
                            <wps:cNvSpPr/>
                            <wps:spPr>
                              <a:xfrm>
                                <a:off x="0" y="0"/>
                                <a:ext cx="1176020" cy="276860"/>
                              </a:xfrm>
                              <a:prstGeom prst="rect">
                                <a:avLst/>
                              </a:prstGeom>
                              <a:solidFill>
                                <a:srgbClr val="FDD3D5"/>
                              </a:solidFill>
                            </wps:spPr>
                            <wps:txbx>
                              <w:txbxContent>
                                <w:p w14:paraId="77F70C77" w14:textId="77777777" w:rsidR="009D0C1D" w:rsidRPr="00295DBB" w:rsidRDefault="009D0C1D" w:rsidP="00C060A2">
                                  <w:pPr>
                                    <w:jc w:val="center"/>
                                    <w:rPr>
                                      <w:rFonts w:ascii="Century Gothic" w:eastAsia="+mn-ea" w:hAnsi="Century Gothic" w:cs="+mn-cs"/>
                                      <w:b/>
                                      <w:bCs/>
                                      <w:color w:val="343433"/>
                                      <w:kern w:val="24"/>
                                      <w:sz w:val="14"/>
                                      <w:szCs w:val="14"/>
                                    </w:rPr>
                                  </w:pPr>
                                  <w:r w:rsidRPr="00295DBB">
                                    <w:rPr>
                                      <w:rFonts w:ascii="Century Gothic" w:hAnsi="Century Gothic"/>
                                      <w:b/>
                                      <w:color w:val="343433"/>
                                      <w:sz w:val="14"/>
                                      <w:szCs w:val="20"/>
                                    </w:rPr>
                                    <w:t xml:space="preserve">Пацієнт з </w:t>
                                  </w:r>
                                  <w:r w:rsidRPr="00295DBB">
                                    <w:rPr>
                                      <w:rFonts w:ascii="Century Gothic" w:hAnsi="Century Gothic"/>
                                      <w:b/>
                                      <w:i/>
                                      <w:color w:val="343433"/>
                                      <w:sz w:val="14"/>
                                      <w:szCs w:val="20"/>
                                    </w:rPr>
                                    <w:t>високим</w:t>
                                  </w:r>
                                  <w:r w:rsidRPr="00295DBB">
                                    <w:rPr>
                                      <w:rFonts w:ascii="Century Gothic" w:hAnsi="Century Gothic"/>
                                      <w:b/>
                                      <w:color w:val="343433"/>
                                      <w:sz w:val="14"/>
                                      <w:szCs w:val="20"/>
                                    </w:rPr>
                                    <w:t xml:space="preserve"> ризиком МЛС-ТБ</w:t>
                                  </w:r>
                                </w:p>
                              </w:txbxContent>
                            </wps:txbx>
                            <wps:bodyPr wrap="square" lIns="0" tIns="0" rIns="0" bIns="0">
                              <a:noAutofit/>
                            </wps:bodyPr>
                          </wps:wsp>
                        </a:graphicData>
                      </a:graphic>
                      <wp14:sizeRelH relativeFrom="margin">
                        <wp14:pctWidth>0</wp14:pctWidth>
                      </wp14:sizeRelH>
                    </wp:anchor>
                  </w:drawing>
                </mc:Choice>
                <mc:Fallback>
                  <w:pict>
                    <v:rect w14:anchorId="6DDF236A" id="_x0000_s1357" style="position:absolute;margin-left:106.1pt;margin-top:273.9pt;width:92.6pt;height:21.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" fillcolor="#fdd3d5" stroked="f">
                      <v:textbox inset="0,0,0,0">
                        <w:txbxContent>
                          <w:p w14:paraId="77F70C77" w14:textId="77777777" w:rsidR="009D0C1D" w:rsidRPr="00295DBB" w:rsidRDefault="009D0C1D" w:rsidP="00C060A2">
                            <w:pPr>
                              <w:jc w:val="center"/>
                              <w:rPr>
                                <w:rFonts w:ascii="Century Gothic" w:eastAsia="+mn-ea" w:hAnsi="Century Gothic" w:cs="+mn-cs"/>
                                <w:b/>
                                <w:bCs/>
                                <w:color w:val="343433"/>
                                <w:kern w:val="24"/>
                                <w:sz w:val="14"/>
                                <w:szCs w:val="14"/>
                              </w:rPr>
                            </w:pPr>
                            <w:r w:rsidRPr="00295DBB">
                              <w:rPr>
                                <w:rFonts w:ascii="Century Gothic" w:hAnsi="Century Gothic"/>
                                <w:b/>
                                <w:color w:val="343433"/>
                                <w:sz w:val="14"/>
                                <w:szCs w:val="20"/>
                              </w:rPr>
                              <w:t xml:space="preserve">Пацієнт з </w:t>
                            </w:r>
                            <w:r w:rsidRPr="00295DBB">
                              <w:rPr>
                                <w:rFonts w:ascii="Century Gothic" w:hAnsi="Century Gothic"/>
                                <w:b/>
                                <w:i/>
                                <w:color w:val="343433"/>
                                <w:sz w:val="14"/>
                                <w:szCs w:val="20"/>
                              </w:rPr>
                              <w:t>високим</w:t>
                            </w:r>
                            <w:r w:rsidRPr="00295DBB">
                              <w:rPr>
                                <w:rFonts w:ascii="Century Gothic" w:hAnsi="Century Gothic"/>
                                <w:b/>
                                <w:color w:val="343433"/>
                                <w:sz w:val="14"/>
                                <w:szCs w:val="20"/>
                              </w:rPr>
                              <w:t xml:space="preserve"> ризиком МЛС-ТБ</w:t>
                            </w:r>
                          </w:p>
                        </w:txbxContent>
                      </v:textbox>
                    </v:rect>
                  </w:pict>
                </mc:Fallback>
              </mc:AlternateContent>
            </w:r>
            <w:r>
              <w:rPr>
                <w:noProof/>
              </w:rPr>
              <mc:AlternateContent>
                <mc:Choice Requires="wps">
                  <w:drawing>
                    <wp:anchor distT="0" distB="0" distL="114300" distR="114300" simplePos="0" relativeHeight="251696128" behindDoc="0" locked="0" layoutInCell="1" allowOverlap="1" wp14:anchorId="012F1F65" wp14:editId="2BD891A5">
                      <wp:simplePos x="0" y="0"/>
                      <wp:positionH relativeFrom="column">
                        <wp:posOffset>2178050</wp:posOffset>
                      </wp:positionH>
                      <wp:positionV relativeFrom="paragraph">
                        <wp:posOffset>2350770</wp:posOffset>
                      </wp:positionV>
                      <wp:extent cx="1920240" cy="307340"/>
                      <wp:effectExtent l="0" t="0" r="3810" b="0"/>
                      <wp:wrapNone/>
                      <wp:docPr id="1452237059" name="Прямокутник 8"/>
                      <wp:cNvGraphicFramePr/>
                      <a:graphic xmlns:a="http://schemas.openxmlformats.org/drawingml/2006/main">
                        <a:graphicData uri="http://schemas.microsoft.com/office/word/2010/wordprocessingShape">
                          <wps:wsp>
                            <wps:cNvSpPr/>
                            <wps:spPr>
                              <a:xfrm>
                                <a:off x="0" y="0"/>
                                <a:ext cx="1920240" cy="307340"/>
                              </a:xfrm>
                              <a:prstGeom prst="rect">
                                <a:avLst/>
                              </a:prstGeom>
                              <a:solidFill>
                                <a:srgbClr val="FDD3D5"/>
                              </a:solidFill>
                            </wps:spPr>
                            <wps:txbx>
                              <w:txbxContent>
                                <w:p w14:paraId="63A530CD" w14:textId="77777777" w:rsidR="009D0C1D" w:rsidRPr="00295DBB" w:rsidRDefault="009D0C1D" w:rsidP="00C060A2">
                                  <w:pPr>
                                    <w:jc w:val="center"/>
                                    <w:rPr>
                                      <w:rFonts w:ascii="Century Gothic" w:eastAsia="+mn-ea" w:hAnsi="Century Gothic" w:cs="+mn-cs"/>
                                      <w:color w:val="343433"/>
                                      <w:kern w:val="24"/>
                                      <w:sz w:val="18"/>
                                      <w:szCs w:val="18"/>
                                    </w:rPr>
                                  </w:pPr>
                                  <w:r w:rsidRPr="00295DBB">
                                    <w:rPr>
                                      <w:rFonts w:ascii="Century Gothic" w:hAnsi="Century Gothic"/>
                                      <w:color w:val="343433"/>
                                      <w:sz w:val="18"/>
                                      <w:szCs w:val="22"/>
                                    </w:rPr>
                                    <w:t xml:space="preserve">Оцінити пацієнта на </w:t>
                                  </w:r>
                                  <w:r w:rsidRPr="00295DBB">
                                    <w:rPr>
                                      <w:rFonts w:ascii="Century Gothic" w:hAnsi="Century Gothic"/>
                                      <w:b/>
                                      <w:color w:val="343433"/>
                                      <w:sz w:val="18"/>
                                      <w:szCs w:val="22"/>
                                    </w:rPr>
                                    <w:t>фактори ризику МЛС-ТБ</w:t>
                                  </w:r>
                                  <w:r w:rsidRPr="00295DBB">
                                    <w:rPr>
                                      <w:rFonts w:ascii="Century Gothic" w:hAnsi="Century Gothic"/>
                                      <w:b/>
                                      <w:color w:val="0099D6"/>
                                      <w:sz w:val="16"/>
                                      <w:szCs w:val="22"/>
                                      <w:vertAlign w:val="superscript"/>
                                    </w:rPr>
                                    <w:t>n</w:t>
                                  </w:r>
                                </w:p>
                              </w:txbxContent>
                            </wps:txbx>
                            <wps:bodyPr wrap="square" lIns="0" tIns="0" rIns="0" bIns="0">
                              <a:noAutofit/>
                            </wps:bodyPr>
                          </wps:wsp>
                        </a:graphicData>
                      </a:graphic>
                      <wp14:sizeRelH relativeFrom="margin">
                        <wp14:pctWidth>0</wp14:pctWidth>
                      </wp14:sizeRelH>
                    </wp:anchor>
                  </w:drawing>
                </mc:Choice>
                <mc:Fallback>
                  <w:pict>
                    <v:rect w14:anchorId="012F1F65" id="_x0000_s1358" style="position:absolute;margin-left:171.5pt;margin-top:185.1pt;width:151.2pt;height:24.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" fillcolor="#fdd3d5" stroked="f">
                      <v:textbox inset="0,0,0,0">
                        <w:txbxContent>
                          <w:p w14:paraId="63A530CD" w14:textId="77777777" w:rsidR="009D0C1D" w:rsidRPr="00295DBB" w:rsidRDefault="009D0C1D" w:rsidP="00C060A2">
                            <w:pPr>
                              <w:jc w:val="center"/>
                              <w:rPr>
                                <w:rFonts w:ascii="Century Gothic" w:eastAsia="+mn-ea" w:hAnsi="Century Gothic" w:cs="+mn-cs"/>
                                <w:color w:val="343433"/>
                                <w:kern w:val="24"/>
                                <w:sz w:val="18"/>
                                <w:szCs w:val="18"/>
                              </w:rPr>
                            </w:pPr>
                            <w:r w:rsidRPr="00295DBB">
                              <w:rPr>
                                <w:rFonts w:ascii="Century Gothic" w:hAnsi="Century Gothic"/>
                                <w:color w:val="343433"/>
                                <w:sz w:val="18"/>
                                <w:szCs w:val="22"/>
                              </w:rPr>
                              <w:t xml:space="preserve">Оцінити пацієнта на </w:t>
                            </w:r>
                            <w:r w:rsidRPr="00295DBB">
                              <w:rPr>
                                <w:rFonts w:ascii="Century Gothic" w:hAnsi="Century Gothic"/>
                                <w:b/>
                                <w:color w:val="343433"/>
                                <w:sz w:val="18"/>
                                <w:szCs w:val="22"/>
                              </w:rPr>
                              <w:t>фактори ризику МЛС-ТБ</w:t>
                            </w:r>
                            <w:r w:rsidRPr="00295DBB">
                              <w:rPr>
                                <w:rFonts w:ascii="Century Gothic" w:hAnsi="Century Gothic"/>
                                <w:b/>
                                <w:color w:val="0099D6"/>
                                <w:sz w:val="16"/>
                                <w:szCs w:val="22"/>
                                <w:vertAlign w:val="superscript"/>
                              </w:rPr>
                              <w:t>n</w:t>
                            </w:r>
                          </w:p>
                        </w:txbxContent>
                      </v:textbox>
                    </v:rect>
                  </w:pict>
                </mc:Fallback>
              </mc:AlternateContent>
            </w:r>
            <w:r>
              <w:rPr>
                <w:noProof/>
              </w:rPr>
              <mc:AlternateContent>
                <mc:Choice Requires="wps">
                  <w:drawing>
                    <wp:anchor distT="0" distB="0" distL="114300" distR="114300" simplePos="0" relativeHeight="251694080" behindDoc="0" locked="0" layoutInCell="1" allowOverlap="1" wp14:anchorId="5EAF1713" wp14:editId="427414E1">
                      <wp:simplePos x="0" y="0"/>
                      <wp:positionH relativeFrom="column">
                        <wp:posOffset>2444750</wp:posOffset>
                      </wp:positionH>
                      <wp:positionV relativeFrom="paragraph">
                        <wp:posOffset>1489710</wp:posOffset>
                      </wp:positionV>
                      <wp:extent cx="1402080" cy="327660"/>
                      <wp:effectExtent l="0" t="0" r="7620" b="0"/>
                      <wp:wrapNone/>
                      <wp:docPr id="2084169338" name="Прямокутник 6"/>
                      <wp:cNvGraphicFramePr/>
                      <a:graphic xmlns:a="http://schemas.openxmlformats.org/drawingml/2006/main">
                        <a:graphicData uri="http://schemas.microsoft.com/office/word/2010/wordprocessingShape">
                          <wps:wsp>
                            <wps:cNvSpPr/>
                            <wps:spPr>
                              <a:xfrm>
                                <a:off x="0" y="0"/>
                                <a:ext cx="1402080" cy="327660"/>
                              </a:xfrm>
                              <a:prstGeom prst="rect">
                                <a:avLst/>
                              </a:prstGeom>
                              <a:solidFill>
                                <a:srgbClr val="FD9A9D"/>
                              </a:solidFill>
                            </wps:spPr>
                            <wps:txbx>
                              <w:txbxContent>
                                <w:p w14:paraId="251D38B6" w14:textId="77777777" w:rsidR="009D0C1D" w:rsidRPr="00295DBB" w:rsidRDefault="009D0C1D" w:rsidP="00C060A2">
                                  <w:pPr>
                                    <w:rPr>
                                      <w:rFonts w:ascii="Century Gothic" w:eastAsia="+mn-ea" w:hAnsi="Century Gothic" w:cs="+mn-cs"/>
                                      <w:b/>
                                      <w:bCs/>
                                      <w:color w:val="343433"/>
                                      <w:kern w:val="24"/>
                                      <w:sz w:val="16"/>
                                      <w:szCs w:val="16"/>
                                    </w:rPr>
                                  </w:pPr>
                                  <w:r w:rsidRPr="00295DBB">
                                    <w:rPr>
                                      <w:rFonts w:ascii="Century Gothic" w:hAnsi="Century Gothic"/>
                                      <w:b/>
                                      <w:color w:val="343433"/>
                                      <w:sz w:val="16"/>
                                      <w:szCs w:val="22"/>
                                    </w:rPr>
                                    <w:t>Резистентність до RIF виявлено</w:t>
                                  </w:r>
                                  <w:r w:rsidRPr="00295DBB">
                                    <w:rPr>
                                      <w:rFonts w:ascii="Century Gothic" w:hAnsi="Century Gothic"/>
                                      <w:b/>
                                      <w:color w:val="0099D6"/>
                                      <w:sz w:val="16"/>
                                      <w:szCs w:val="22"/>
                                      <w:vertAlign w:val="superscript"/>
                                    </w:rPr>
                                    <w:t>h</w:t>
                                  </w:r>
                                </w:p>
                              </w:txbxContent>
                            </wps:txbx>
                            <wps:bodyPr wrap="square" lIns="0" tIns="0" rIns="0" bIns="0">
                              <a:noAutofit/>
                            </wps:bodyPr>
                          </wps:wsp>
                        </a:graphicData>
                      </a:graphic>
                      <wp14:sizeRelV relativeFrom="margin">
                        <wp14:pctHeight>0</wp14:pctHeight>
                      </wp14:sizeRelV>
                    </wp:anchor>
                  </w:drawing>
                </mc:Choice>
                <mc:Fallback>
                  <w:pict>
                    <v:rect w14:anchorId="5EAF1713" id="_x0000_s1359" style="position:absolute;margin-left:192.5pt;margin-top:117.3pt;width:110.4pt;height:25.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" fillcolor="#fd9a9d" stroked="f">
                      <v:textbox inset="0,0,0,0">
                        <w:txbxContent>
                          <w:p w14:paraId="251D38B6" w14:textId="77777777" w:rsidR="009D0C1D" w:rsidRPr="00295DBB" w:rsidRDefault="009D0C1D" w:rsidP="00C060A2">
                            <w:pPr>
                              <w:rPr>
                                <w:rFonts w:ascii="Century Gothic" w:eastAsia="+mn-ea" w:hAnsi="Century Gothic" w:cs="+mn-cs"/>
                                <w:b/>
                                <w:bCs/>
                                <w:color w:val="343433"/>
                                <w:kern w:val="24"/>
                                <w:sz w:val="16"/>
                                <w:szCs w:val="16"/>
                              </w:rPr>
                            </w:pPr>
                            <w:r w:rsidRPr="00295DBB">
                              <w:rPr>
                                <w:rFonts w:ascii="Century Gothic" w:hAnsi="Century Gothic"/>
                                <w:b/>
                                <w:color w:val="343433"/>
                                <w:sz w:val="16"/>
                                <w:szCs w:val="22"/>
                              </w:rPr>
                              <w:t>Резистентність до RIF виявлено</w:t>
                            </w:r>
                            <w:r w:rsidRPr="00295DBB">
                              <w:rPr>
                                <w:rFonts w:ascii="Century Gothic" w:hAnsi="Century Gothic"/>
                                <w:b/>
                                <w:color w:val="0099D6"/>
                                <w:sz w:val="16"/>
                                <w:szCs w:val="22"/>
                                <w:vertAlign w:val="superscript"/>
                              </w:rPr>
                              <w:t>h</w:t>
                            </w: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40D07ED2" wp14:editId="5899CAC7">
                      <wp:simplePos x="0" y="0"/>
                      <wp:positionH relativeFrom="column">
                        <wp:posOffset>1964690</wp:posOffset>
                      </wp:positionH>
                      <wp:positionV relativeFrom="paragraph">
                        <wp:posOffset>819150</wp:posOffset>
                      </wp:positionV>
                      <wp:extent cx="2319020" cy="297180"/>
                      <wp:effectExtent l="0" t="0" r="5080" b="7620"/>
                      <wp:wrapNone/>
                      <wp:docPr id="1875170332" name="Прямокутник 5"/>
                      <wp:cNvGraphicFramePr/>
                      <a:graphic xmlns:a="http://schemas.openxmlformats.org/drawingml/2006/main">
                        <a:graphicData uri="http://schemas.microsoft.com/office/word/2010/wordprocessingShape">
                          <wps:wsp>
                            <wps:cNvSpPr/>
                            <wps:spPr>
                              <a:xfrm>
                                <a:off x="0" y="0"/>
                                <a:ext cx="2319020" cy="297180"/>
                              </a:xfrm>
                              <a:prstGeom prst="rect">
                                <a:avLst/>
                              </a:prstGeom>
                              <a:solidFill>
                                <a:srgbClr val="FD9A9D"/>
                              </a:solidFill>
                            </wps:spPr>
                            <wps:txbx>
                              <w:txbxContent>
                                <w:p w14:paraId="081B1BC0" w14:textId="77777777" w:rsidR="009D0C1D" w:rsidRPr="00295DBB" w:rsidRDefault="009D0C1D" w:rsidP="00C060A2">
                                  <w:pPr>
                                    <w:rPr>
                                      <w:rFonts w:ascii="Century Gothic" w:eastAsia="+mn-ea" w:hAnsi="Century Gothic" w:cs="+mn-cs"/>
                                      <w:b/>
                                      <w:bCs/>
                                      <w:color w:val="343433"/>
                                      <w:kern w:val="24"/>
                                      <w:sz w:val="16"/>
                                      <w:szCs w:val="16"/>
                                    </w:rPr>
                                  </w:pPr>
                                  <w:r w:rsidRPr="00295DBB">
                                    <w:rPr>
                                      <w:rFonts w:ascii="Century Gothic" w:hAnsi="Century Gothic"/>
                                      <w:b/>
                                      <w:color w:val="343433"/>
                                      <w:sz w:val="16"/>
                                      <w:szCs w:val="22"/>
                                    </w:rPr>
                                    <w:t>MTBC виявлено (у разі Ultra немає слідового результату)</w:t>
                                  </w:r>
                                  <w:r w:rsidRPr="00295DBB">
                                    <w:rPr>
                                      <w:rFonts w:ascii="Century Gothic" w:hAnsi="Century Gothic"/>
                                      <w:b/>
                                      <w:color w:val="0099D6"/>
                                      <w:sz w:val="16"/>
                                      <w:szCs w:val="22"/>
                                      <w:vertAlign w:val="superscript"/>
                                    </w:rPr>
                                    <w:t>g</w:t>
                                  </w:r>
                                </w:p>
                              </w:txbxContent>
                            </wps:txbx>
                            <wps:bodyPr wrap="square" lIns="0" tIns="0" rIns="0" bIns="0">
                              <a:noAutofit/>
                            </wps:bodyPr>
                          </wps:wsp>
                        </a:graphicData>
                      </a:graphic>
                      <wp14:sizeRelV relativeFrom="margin">
                        <wp14:pctHeight>0</wp14:pctHeight>
                      </wp14:sizeRelV>
                    </wp:anchor>
                  </w:drawing>
                </mc:Choice>
                <mc:Fallback>
                  <w:pict>
                    <v:rect w14:anchorId="40D07ED2" id="_x0000_s1360" style="position:absolute;margin-left:154.7pt;margin-top:64.5pt;width:182.6pt;height:23.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" fillcolor="#fd9a9d" stroked="f">
                      <v:textbox inset="0,0,0,0">
                        <w:txbxContent>
                          <w:p w14:paraId="081B1BC0" w14:textId="77777777" w:rsidR="009D0C1D" w:rsidRPr="00295DBB" w:rsidRDefault="009D0C1D" w:rsidP="00C060A2">
                            <w:pPr>
                              <w:rPr>
                                <w:rFonts w:ascii="Century Gothic" w:eastAsia="+mn-ea" w:hAnsi="Century Gothic" w:cs="+mn-cs"/>
                                <w:b/>
                                <w:bCs/>
                                <w:color w:val="343433"/>
                                <w:kern w:val="24"/>
                                <w:sz w:val="16"/>
                                <w:szCs w:val="16"/>
                              </w:rPr>
                            </w:pPr>
                            <w:r w:rsidRPr="00295DBB">
                              <w:rPr>
                                <w:rFonts w:ascii="Century Gothic" w:hAnsi="Century Gothic"/>
                                <w:b/>
                                <w:color w:val="343433"/>
                                <w:sz w:val="16"/>
                                <w:szCs w:val="22"/>
                              </w:rPr>
                              <w:t>MTBC виявлено (у разі Ultra немає слідового результату)</w:t>
                            </w:r>
                            <w:r w:rsidRPr="00295DBB">
                              <w:rPr>
                                <w:rFonts w:ascii="Century Gothic" w:hAnsi="Century Gothic"/>
                                <w:b/>
                                <w:color w:val="0099D6"/>
                                <w:sz w:val="16"/>
                                <w:szCs w:val="22"/>
                                <w:vertAlign w:val="superscript"/>
                              </w:rPr>
                              <w:t>g</w:t>
                            </w:r>
                          </w:p>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1689F40F" wp14:editId="62AA726D">
                      <wp:simplePos x="0" y="0"/>
                      <wp:positionH relativeFrom="column">
                        <wp:posOffset>90170</wp:posOffset>
                      </wp:positionH>
                      <wp:positionV relativeFrom="paragraph">
                        <wp:posOffset>659130</wp:posOffset>
                      </wp:positionV>
                      <wp:extent cx="447675" cy="264160"/>
                      <wp:effectExtent l="0" t="0" r="9525" b="2540"/>
                      <wp:wrapNone/>
                      <wp:docPr id="1090509278" name="Прямокутник 4"/>
                      <wp:cNvGraphicFramePr/>
                      <a:graphic xmlns:a="http://schemas.openxmlformats.org/drawingml/2006/main">
                        <a:graphicData uri="http://schemas.microsoft.com/office/word/2010/wordprocessingShape">
                          <wps:wsp>
                            <wps:cNvSpPr/>
                            <wps:spPr>
                              <a:xfrm>
                                <a:off x="0" y="0"/>
                                <a:ext cx="447675" cy="264160"/>
                              </a:xfrm>
                              <a:prstGeom prst="rect">
                                <a:avLst/>
                              </a:prstGeom>
                              <a:solidFill>
                                <a:srgbClr val="D4D9ED"/>
                              </a:solidFill>
                            </wps:spPr>
                            <wps:txbx>
                              <w:txbxContent>
                                <w:p w14:paraId="24FC141C" w14:textId="77777777" w:rsidR="009D0C1D" w:rsidRPr="00295DBB" w:rsidRDefault="009D0C1D" w:rsidP="00C060A2">
                                  <w:pPr>
                                    <w:spacing w:line="288" w:lineRule="auto"/>
                                    <w:jc w:val="both"/>
                                    <w:rPr>
                                      <w:rFonts w:eastAsia="+mn-ea" w:cs="+mn-cs"/>
                                      <w:kern w:val="24"/>
                                      <w:sz w:val="11"/>
                                      <w:szCs w:val="11"/>
                                    </w:rPr>
                                  </w:pPr>
                                  <w:r w:rsidRPr="00295DBB">
                                    <w:rPr>
                                      <w:sz w:val="11"/>
                                      <w:szCs w:val="20"/>
                                    </w:rPr>
                                    <w:t>Повернутись до алгоритму</w:t>
                                  </w:r>
                                </w:p>
                              </w:txbxContent>
                            </wps:txbx>
                            <wps:bodyPr wrap="square" lIns="0" tIns="0" rIns="0" bIns="0">
                              <a:noAutofit/>
                            </wps:bodyPr>
                          </wps:wsp>
                        </a:graphicData>
                      </a:graphic>
                    </wp:anchor>
                  </w:drawing>
                </mc:Choice>
                <mc:Fallback>
                  <w:pict>
                    <v:rect w14:anchorId="1689F40F" id="_x0000_s1361" style="position:absolute;margin-left:7.1pt;margin-top:51.9pt;width:35.25pt;height:20.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" fillcolor="#d4d9ed" stroked="f">
                      <v:textbox inset="0,0,0,0">
                        <w:txbxContent>
                          <w:p w14:paraId="24FC141C" w14:textId="77777777" w:rsidR="009D0C1D" w:rsidRPr="00295DBB" w:rsidRDefault="009D0C1D" w:rsidP="00C060A2">
                            <w:pPr>
                              <w:spacing w:line="288" w:lineRule="auto"/>
                              <w:jc w:val="both"/>
                              <w:rPr>
                                <w:rFonts w:eastAsia="+mn-ea" w:cs="+mn-cs"/>
                                <w:kern w:val="24"/>
                                <w:sz w:val="11"/>
                                <w:szCs w:val="11"/>
                              </w:rPr>
                            </w:pPr>
                            <w:r w:rsidRPr="00295DBB">
                              <w:rPr>
                                <w:sz w:val="11"/>
                                <w:szCs w:val="20"/>
                              </w:rPr>
                              <w:t>Повернутись до алгоритму</w:t>
                            </w:r>
                          </w:p>
                        </w:txbxContent>
                      </v:textbox>
                    </v:rect>
                  </w:pict>
                </mc:Fallback>
              </mc:AlternateContent>
            </w:r>
            <w:r w:rsidR="00C060A2">
              <w:rPr>
                <w:noProof/>
              </w:rPr>
              <mc:AlternateContent>
                <mc:Choice Requires="wps">
                  <w:drawing>
                    <wp:anchor distT="0" distB="0" distL="114300" distR="114300" simplePos="0" relativeHeight="251695104" behindDoc="0" locked="0" layoutInCell="1" allowOverlap="1" wp14:anchorId="0D1E1143" wp14:editId="321E7F23">
                      <wp:simplePos x="0" y="0"/>
                      <wp:positionH relativeFrom="column">
                        <wp:posOffset>1403046</wp:posOffset>
                      </wp:positionH>
                      <wp:positionV relativeFrom="paragraph">
                        <wp:posOffset>1419225</wp:posOffset>
                      </wp:positionV>
                      <wp:extent cx="182880" cy="138430"/>
                      <wp:effectExtent l="0" t="0" r="7620" b="0"/>
                      <wp:wrapNone/>
                      <wp:docPr id="814223656" name="Прямокутник 7"/>
                      <wp:cNvGraphicFramePr/>
                      <a:graphic xmlns:a="http://schemas.openxmlformats.org/drawingml/2006/main">
                        <a:graphicData uri="http://schemas.microsoft.com/office/word/2010/wordprocessingShape">
                          <wps:wsp>
                            <wps:cNvSpPr/>
                            <wps:spPr>
                              <a:xfrm>
                                <a:off x="0" y="0"/>
                                <a:ext cx="182880" cy="138430"/>
                              </a:xfrm>
                              <a:prstGeom prst="rect">
                                <a:avLst/>
                              </a:prstGeom>
                              <a:solidFill>
                                <a:srgbClr val="BC0000"/>
                              </a:solidFill>
                            </wps:spPr>
                            <wps:txbx>
                              <w:txbxContent>
                                <w:p w14:paraId="694C1ED5" w14:textId="77777777" w:rsidR="009D0C1D" w:rsidRPr="00295DBB" w:rsidRDefault="009D0C1D" w:rsidP="00C060A2">
                                  <w:pPr>
                                    <w:rPr>
                                      <w:rFonts w:ascii="Century Gothic" w:eastAsia="+mn-ea" w:hAnsi="Century Gothic" w:cs="+mn-cs"/>
                                      <w:b/>
                                      <w:bCs/>
                                      <w:color w:val="FFFFFF"/>
                                      <w:kern w:val="24"/>
                                      <w:sz w:val="16"/>
                                      <w:szCs w:val="16"/>
                                    </w:rPr>
                                  </w:pPr>
                                  <w:r w:rsidRPr="00295DBB">
                                    <w:rPr>
                                      <w:rFonts w:ascii="Century Gothic" w:hAnsi="Century Gothic"/>
                                      <w:b/>
                                      <w:color w:val="FFFFFF"/>
                                      <w:sz w:val="16"/>
                                      <w:szCs w:val="22"/>
                                    </w:rPr>
                                    <w:t>RIF</w:t>
                                  </w:r>
                                </w:p>
                              </w:txbxContent>
                            </wps:txbx>
                            <wps:bodyPr wrap="square" lIns="0" tIns="0" rIns="0" bIns="0">
                              <a:noAutofit/>
                            </wps:bodyPr>
                          </wps:wsp>
                        </a:graphicData>
                      </a:graphic>
                    </wp:anchor>
                  </w:drawing>
                </mc:Choice>
                <mc:Fallback>
                  <w:pict>
                    <v:rect w14:anchorId="0D1E1143" id="_x0000_s1362" style="position:absolute;margin-left:110.5pt;margin-top:111.75pt;width:14.4pt;height:10.9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" fillcolor="#bc0000" stroked="f">
                      <v:textbox inset="0,0,0,0">
                        <w:txbxContent>
                          <w:p w14:paraId="694C1ED5" w14:textId="77777777" w:rsidR="009D0C1D" w:rsidRPr="00295DBB" w:rsidRDefault="009D0C1D" w:rsidP="00C060A2">
                            <w:pPr>
                              <w:rPr>
                                <w:rFonts w:ascii="Century Gothic" w:eastAsia="+mn-ea" w:hAnsi="Century Gothic" w:cs="+mn-cs"/>
                                <w:b/>
                                <w:bCs/>
                                <w:color w:val="FFFFFF"/>
                                <w:kern w:val="24"/>
                                <w:sz w:val="16"/>
                                <w:szCs w:val="16"/>
                              </w:rPr>
                            </w:pPr>
                            <w:r w:rsidRPr="00295DBB">
                              <w:rPr>
                                <w:rFonts w:ascii="Century Gothic" w:hAnsi="Century Gothic"/>
                                <w:b/>
                                <w:color w:val="FFFFFF"/>
                                <w:sz w:val="16"/>
                                <w:szCs w:val="22"/>
                              </w:rPr>
                              <w:t>RIF</w:t>
                            </w:r>
                          </w:p>
                        </w:txbxContent>
                      </v:textbox>
                    </v:rect>
                  </w:pict>
                </mc:Fallback>
              </mc:AlternateContent>
            </w:r>
            <w:r w:rsidR="00C060A2">
              <w:rPr>
                <w:noProof/>
              </w:rPr>
              <mc:AlternateContent>
                <mc:Choice Requires="wps">
                  <w:drawing>
                    <wp:anchor distT="0" distB="0" distL="114300" distR="114300" simplePos="0" relativeHeight="251702272" behindDoc="0" locked="0" layoutInCell="1" allowOverlap="1" wp14:anchorId="0A78A5C2" wp14:editId="43E1A78F">
                      <wp:simplePos x="0" y="0"/>
                      <wp:positionH relativeFrom="column">
                        <wp:posOffset>1660525</wp:posOffset>
                      </wp:positionH>
                      <wp:positionV relativeFrom="paragraph">
                        <wp:posOffset>5798185</wp:posOffset>
                      </wp:positionV>
                      <wp:extent cx="124460" cy="138430"/>
                      <wp:effectExtent l="0" t="0" r="8890" b="0"/>
                      <wp:wrapNone/>
                      <wp:docPr id="919417426" name="Прямокутник 14"/>
                      <wp:cNvGraphicFramePr/>
                      <a:graphic xmlns:a="http://schemas.openxmlformats.org/drawingml/2006/main">
                        <a:graphicData uri="http://schemas.microsoft.com/office/word/2010/wordprocessingShape">
                          <wps:wsp>
                            <wps:cNvSpPr/>
                            <wps:spPr>
                              <a:xfrm>
                                <a:off x="0" y="0"/>
                                <a:ext cx="124460" cy="138430"/>
                              </a:xfrm>
                              <a:prstGeom prst="rect">
                                <a:avLst/>
                              </a:prstGeom>
                              <a:solidFill>
                                <a:srgbClr val="FDBDBD"/>
                              </a:solidFill>
                            </wps:spPr>
                            <wps:txbx>
                              <w:txbxContent>
                                <w:p w14:paraId="13178490" w14:textId="77777777" w:rsidR="009D0C1D" w:rsidRPr="00C060A2" w:rsidRDefault="009D0C1D" w:rsidP="00C060A2">
                                  <w:pPr>
                                    <w:rPr>
                                      <w:rFonts w:ascii="Century Gothic" w:eastAsia="+mn-ea" w:hAnsi="Century Gothic" w:cs="+mn-cs"/>
                                      <w:b/>
                                      <w:bCs/>
                                      <w:color w:val="343433"/>
                                      <w:kern w:val="24"/>
                                      <w:sz w:val="18"/>
                                      <w:szCs w:val="18"/>
                                    </w:rPr>
                                  </w:pPr>
                                  <w:r>
                                    <w:rPr>
                                      <w:rFonts w:ascii="Century Gothic" w:hAnsi="Century Gothic"/>
                                      <w:b/>
                                      <w:color w:val="343433"/>
                                      <w:sz w:val="18"/>
                                    </w:rPr>
                                    <w:t>або</w:t>
                                  </w:r>
                                </w:p>
                              </w:txbxContent>
                            </wps:txbx>
                            <wps:bodyPr wrap="square" lIns="0" tIns="0" rIns="0" bIns="0">
                              <a:noAutofit/>
                            </wps:bodyPr>
                          </wps:wsp>
                        </a:graphicData>
                      </a:graphic>
                    </wp:anchor>
                  </w:drawing>
                </mc:Choice>
                <mc:Fallback>
                  <w:pict>
                    <v:rect w14:anchorId="0A78A5C2" id="_x0000_s1363" style="position:absolute;margin-left:130.75pt;margin-top:456.55pt;width:9.8pt;height:10.9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" fillcolor="#fdbdbd" stroked="f">
                      <v:textbox inset="0,0,0,0">
                        <w:txbxContent>
                          <w:p w14:paraId="13178490" w14:textId="77777777" w:rsidR="009D0C1D" w:rsidRPr="00C060A2" w:rsidRDefault="009D0C1D" w:rsidP="00C060A2">
                            <w:pPr>
                              <w:rPr>
                                <w:rFonts w:ascii="Century Gothic" w:eastAsia="+mn-ea" w:hAnsi="Century Gothic" w:cs="+mn-cs"/>
                                <w:b/>
                                <w:bCs/>
                                <w:color w:val="343433"/>
                                <w:kern w:val="24"/>
                                <w:sz w:val="18"/>
                                <w:szCs w:val="18"/>
                              </w:rPr>
                            </w:pPr>
                            <w:r>
                              <w:rPr>
                                <w:rFonts w:ascii="Century Gothic" w:hAnsi="Century Gothic"/>
                                <w:b/>
                                <w:color w:val="343433"/>
                                <w:sz w:val="18"/>
                              </w:rPr>
                              <w:t>або</w:t>
                            </w:r>
                          </w:p>
                        </w:txbxContent>
                      </v:textbox>
                    </v:rect>
                  </w:pict>
                </mc:Fallback>
              </mc:AlternateContent>
            </w:r>
            <w:r w:rsidR="00C060A2">
              <w:rPr>
                <w:noProof/>
              </w:rPr>
              <w:drawing>
                <wp:inline distT="0" distB="0" distL="0" distR="0" wp14:anchorId="6528548A" wp14:editId="3DC131F2">
                  <wp:extent cx="5843270" cy="651383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32"/>
                          <a:stretch/>
                        </pic:blipFill>
                        <pic:spPr>
                          <a:xfrm>
                            <a:off x="0" y="0"/>
                            <a:ext cx="5843270" cy="6513830"/>
                          </a:xfrm>
                          <a:prstGeom prst="rect">
                            <a:avLst/>
                          </a:prstGeom>
                        </pic:spPr>
                      </pic:pic>
                    </a:graphicData>
                  </a:graphic>
                </wp:inline>
              </w:drawing>
            </w:r>
          </w:p>
        </w:tc>
      </w:tr>
      <w:tr w:rsidR="00366CB9" w14:paraId="0271FA47" w14:textId="77777777">
        <w:trPr>
          <w:trHeight w:hRule="exact" w:val="1272"/>
        </w:trPr>
        <w:tc>
          <w:tcPr>
            <w:tcW w:w="9202" w:type="dxa"/>
            <w:shd w:val="clear" w:color="auto" w:fill="FFFFFF"/>
            <w:vAlign w:val="bottom"/>
          </w:tcPr>
          <w:p w14:paraId="2FA84D00" w14:textId="77777777" w:rsidR="00366CB9" w:rsidRDefault="009D0C1D" w:rsidP="00515F9C">
            <w:pPr>
              <w:pStyle w:val="a6"/>
              <w:shd w:val="clear" w:color="auto" w:fill="auto"/>
              <w:spacing w:after="40" w:line="266" w:lineRule="auto"/>
              <w:rPr>
                <w:sz w:val="17"/>
                <w:szCs w:val="17"/>
              </w:rPr>
            </w:pPr>
            <w:r>
              <w:rPr>
                <w:b w:val="0"/>
                <w:color w:val="000000"/>
                <w:sz w:val="17"/>
              </w:rPr>
              <w:t xml:space="preserve">МЛС-ТБ: ТБ із множинною лікарською стійкістю; MTB: </w:t>
            </w:r>
            <w:r>
              <w:rPr>
                <w:b w:val="0"/>
                <w:i/>
                <w:color w:val="000000"/>
                <w:sz w:val="17"/>
              </w:rPr>
              <w:t>Mycobacterium tuberculosis</w:t>
            </w:r>
            <w:r>
              <w:rPr>
                <w:b w:val="0"/>
                <w:color w:val="000000"/>
                <w:sz w:val="17"/>
              </w:rPr>
              <w:t>; mWRD: молекулярний експрес-тест для діагностики туберкульозу, рекомендований ВООЗ; ТБ: туберкульоз; ВООЗ: Всесвітня організація охорони здоров’я; WRD: експрес-тест для діагностики туберкульозу, рекомендований ВООЗ.</w:t>
            </w:r>
          </w:p>
          <w:p w14:paraId="669ECAE5" w14:textId="77777777" w:rsidR="00366CB9" w:rsidRDefault="009D0C1D" w:rsidP="00515F9C">
            <w:pPr>
              <w:pStyle w:val="a6"/>
              <w:shd w:val="clear" w:color="auto" w:fill="auto"/>
              <w:spacing w:after="40" w:line="266" w:lineRule="auto"/>
              <w:rPr>
                <w:sz w:val="17"/>
                <w:szCs w:val="17"/>
              </w:rPr>
            </w:pPr>
            <w:r>
              <w:rPr>
                <w:b w:val="0"/>
                <w:color w:val="000000"/>
                <w:sz w:val="17"/>
              </w:rPr>
              <w:t>Лікарський засіб: RIF: рифампіцин.</w:t>
            </w:r>
          </w:p>
          <w:p w14:paraId="74DAA17C" w14:textId="77777777" w:rsidR="00366CB9" w:rsidRDefault="009D0C1D" w:rsidP="00515F9C">
            <w:pPr>
              <w:pStyle w:val="a6"/>
              <w:shd w:val="clear" w:color="auto" w:fill="auto"/>
              <w:spacing w:after="40" w:line="266" w:lineRule="auto"/>
              <w:rPr>
                <w:sz w:val="17"/>
                <w:szCs w:val="17"/>
              </w:rPr>
            </w:pPr>
            <w:r>
              <w:rPr>
                <w:b w:val="0"/>
                <w:color w:val="000000"/>
                <w:sz w:val="17"/>
              </w:rPr>
              <w:t>Примітки до рисунків див. на стор. 112.</w:t>
            </w:r>
          </w:p>
        </w:tc>
      </w:tr>
    </w:tbl>
    <w:p w14:paraId="699B1C61" w14:textId="4CAAB510" w:rsidR="00366CB9" w:rsidRPr="00295DBB" w:rsidRDefault="009D0C1D" w:rsidP="00515F9C">
      <w:pPr>
        <w:pStyle w:val="1"/>
        <w:numPr>
          <w:ilvl w:val="0"/>
          <w:numId w:val="15"/>
        </w:numPr>
        <w:shd w:val="clear" w:color="auto" w:fill="auto"/>
        <w:tabs>
          <w:tab w:val="left" w:pos="318"/>
        </w:tabs>
        <w:spacing w:before="360" w:line="295" w:lineRule="auto"/>
        <w:ind w:left="300" w:hanging="300"/>
        <w:jc w:val="both"/>
        <w:rPr>
          <w:sz w:val="18"/>
          <w:szCs w:val="18"/>
        </w:rPr>
      </w:pPr>
      <w:r w:rsidRPr="00295DBB">
        <w:rPr>
          <w:sz w:val="18"/>
          <w:szCs w:val="18"/>
        </w:rPr>
        <w:t>Якщо результат mWRD – «MTBC виявлено, резистентність до RIF виявлено», потрібна оцінка ризику МЛС-ТБ, незалежно від результату для INH. До осіб з високим ризиком МЛС-ТБ належать люди, які отримували лікування (наприклад, ті, з якими було втрачено контакт для подальшого спостереження, хто мали рецидив або неефективну схему лікування); ті, у кого не розвинувся ТБ (наприклад, ті, у кого був позитивний мазок наприкінці інтенсивної фази лікування лікарсько-чутливого ТБ);</w:t>
      </w:r>
    </w:p>
    <w:p w14:paraId="7E9CA3FB"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5A4BD6DB" w14:textId="77777777" w:rsidR="00366CB9" w:rsidRDefault="00366CB9" w:rsidP="00425523">
      <w:pPr>
        <w:spacing w:line="1" w:lineRule="exact"/>
      </w:pPr>
    </w:p>
    <w:p w14:paraId="2A7E875F" w14:textId="3B9E5A6B" w:rsidR="00366CB9" w:rsidRPr="00295DBB" w:rsidRDefault="009D0C1D" w:rsidP="00515F9C">
      <w:pPr>
        <w:pStyle w:val="1"/>
        <w:shd w:val="clear" w:color="auto" w:fill="auto"/>
        <w:spacing w:line="324" w:lineRule="auto"/>
        <w:ind w:left="300"/>
        <w:jc w:val="both"/>
        <w:rPr>
          <w:sz w:val="18"/>
          <w:szCs w:val="18"/>
        </w:rPr>
      </w:pPr>
      <w:r w:rsidRPr="00295DBB">
        <w:rPr>
          <w:sz w:val="18"/>
          <w:szCs w:val="18"/>
        </w:rPr>
        <w:t>контакти осіб з МЛС-ТБ; та будь-які інші групи ризику МЛС-ТБ, виявлені у країні. У країнах з високим тягарем епідемії МЛС-ТБ кожна особа з ТБ може мати високий ризик МЛС-ТБ.</w:t>
      </w:r>
    </w:p>
    <w:p w14:paraId="531C0BFF" w14:textId="39D88C31" w:rsidR="00366CB9" w:rsidRPr="00295DBB" w:rsidRDefault="009D0C1D" w:rsidP="00515F9C">
      <w:pPr>
        <w:pStyle w:val="1"/>
        <w:shd w:val="clear" w:color="auto" w:fill="auto"/>
        <w:spacing w:line="324" w:lineRule="auto"/>
        <w:ind w:left="560" w:hanging="260"/>
        <w:jc w:val="both"/>
        <w:rPr>
          <w:sz w:val="18"/>
          <w:szCs w:val="18"/>
        </w:rPr>
      </w:pPr>
      <w:r w:rsidRPr="00295DBB">
        <w:rPr>
          <w:sz w:val="18"/>
          <w:szCs w:val="18"/>
        </w:rPr>
        <w:t xml:space="preserve">a. </w:t>
      </w:r>
      <w:r w:rsidR="00295DBB">
        <w:tab/>
      </w:r>
      <w:r w:rsidRPr="00295DBB">
        <w:rPr>
          <w:sz w:val="18"/>
          <w:szCs w:val="18"/>
        </w:rPr>
        <w:t>Для стратегії супутнього тестування застосовується, коли принаймні один LC-aNAAT дає результат «MTBC виявлено, резистентність до RIF виявлено». Результати LF-LAM необхідно враховувати у такому випадку.</w:t>
      </w:r>
    </w:p>
    <w:p w14:paraId="76051039" w14:textId="45F9F737" w:rsidR="00366CB9" w:rsidRPr="00295DBB" w:rsidRDefault="009D0C1D" w:rsidP="00515F9C">
      <w:pPr>
        <w:pStyle w:val="1"/>
        <w:shd w:val="clear" w:color="auto" w:fill="auto"/>
        <w:spacing w:line="324" w:lineRule="auto"/>
        <w:ind w:left="560" w:hanging="260"/>
        <w:jc w:val="both"/>
        <w:rPr>
          <w:sz w:val="18"/>
          <w:szCs w:val="18"/>
        </w:rPr>
      </w:pPr>
      <w:r w:rsidRPr="00295DBB">
        <w:rPr>
          <w:sz w:val="18"/>
          <w:szCs w:val="18"/>
        </w:rPr>
        <w:t xml:space="preserve">b. </w:t>
      </w:r>
      <w:r w:rsidR="00295DBB">
        <w:tab/>
      </w:r>
      <w:r w:rsidRPr="00295DBB">
        <w:rPr>
          <w:sz w:val="18"/>
          <w:szCs w:val="18"/>
        </w:rPr>
        <w:t>Якщо у особи високий ризик МЛС-ТБ, їй необхідно призначити схему лікування МЛС/Риф-ТБ відповідно до національних керівних принципів, а для додаткового тестування необхідно дотримуватися Алгоритму 2a або 2b.</w:t>
      </w:r>
    </w:p>
    <w:p w14:paraId="3B4C4BB3" w14:textId="77777777" w:rsidR="00366CB9" w:rsidRPr="00295DBB" w:rsidRDefault="009D0C1D" w:rsidP="00515F9C">
      <w:pPr>
        <w:pStyle w:val="1"/>
        <w:numPr>
          <w:ilvl w:val="0"/>
          <w:numId w:val="19"/>
        </w:numPr>
        <w:shd w:val="clear" w:color="auto" w:fill="auto"/>
        <w:tabs>
          <w:tab w:val="left" w:pos="589"/>
        </w:tabs>
        <w:spacing w:line="324" w:lineRule="auto"/>
        <w:ind w:left="560" w:hanging="260"/>
        <w:jc w:val="both"/>
        <w:rPr>
          <w:sz w:val="18"/>
          <w:szCs w:val="18"/>
        </w:rPr>
      </w:pPr>
      <w:r w:rsidRPr="00295DBB">
        <w:rPr>
          <w:sz w:val="18"/>
          <w:szCs w:val="18"/>
        </w:rPr>
        <w:t>Якщо у особи немає високого ризику МЛС-ТБ, тест необхідно повторити за допомогою mWRD з другим зразком. Для полегшення тлумачення можна переглянути початковий результат приладу, за наявності. Затримка у зв’язуванні зонда та зразки з низьким бацилярним навантаженням (наприклад, низькі або дуже низькі категорії напівкількісного тесту Xpert Ultra) були пов’язані з підвищенням рівня хибної резистентності в деяких умовах (</w:t>
      </w:r>
      <w:hyperlink w:anchor="bookmark200" w:tooltip="Поточний документ">
        <w:r w:rsidR="00366CB9" w:rsidRPr="00295DBB">
          <w:rPr>
            <w:sz w:val="18"/>
            <w:szCs w:val="18"/>
          </w:rPr>
          <w:t>85–87</w:t>
        </w:r>
      </w:hyperlink>
      <w:r w:rsidRPr="00295DBB">
        <w:rPr>
          <w:sz w:val="18"/>
          <w:szCs w:val="18"/>
        </w:rPr>
        <w:t>).</w:t>
      </w:r>
    </w:p>
    <w:p w14:paraId="7900E891" w14:textId="77777777" w:rsidR="00366CB9" w:rsidRPr="00295DBB" w:rsidRDefault="009D0C1D" w:rsidP="00515F9C">
      <w:pPr>
        <w:pStyle w:val="1"/>
        <w:numPr>
          <w:ilvl w:val="0"/>
          <w:numId w:val="21"/>
        </w:numPr>
        <w:shd w:val="clear" w:color="auto" w:fill="auto"/>
        <w:tabs>
          <w:tab w:val="left" w:pos="806"/>
        </w:tabs>
        <w:spacing w:line="324" w:lineRule="auto"/>
        <w:ind w:left="820" w:hanging="260"/>
        <w:jc w:val="both"/>
        <w:rPr>
          <w:sz w:val="18"/>
          <w:szCs w:val="18"/>
        </w:rPr>
      </w:pPr>
      <w:r w:rsidRPr="00295DBB">
        <w:rPr>
          <w:sz w:val="18"/>
          <w:szCs w:val="18"/>
        </w:rPr>
        <w:t>Якщо другий тест також вказує на резистентність до RIF, необхідно призначити схему лікування МЛС/Риф-ТБ відповідно до національних керівних принципів та рекомендацій ВООЗ, а для додаткового тестування необхідно дотримуватися Алгоритму 2a або 2b.</w:t>
      </w:r>
    </w:p>
    <w:p w14:paraId="32E6FB03" w14:textId="77777777" w:rsidR="00366CB9" w:rsidRPr="00295DBB" w:rsidRDefault="009D0C1D" w:rsidP="00515F9C">
      <w:pPr>
        <w:pStyle w:val="1"/>
        <w:numPr>
          <w:ilvl w:val="0"/>
          <w:numId w:val="21"/>
        </w:numPr>
        <w:shd w:val="clear" w:color="auto" w:fill="auto"/>
        <w:tabs>
          <w:tab w:val="left" w:pos="858"/>
        </w:tabs>
        <w:spacing w:line="324" w:lineRule="auto"/>
        <w:ind w:left="820" w:hanging="260"/>
        <w:jc w:val="both"/>
        <w:rPr>
          <w:sz w:val="18"/>
          <w:szCs w:val="18"/>
        </w:rPr>
      </w:pPr>
      <w:r w:rsidRPr="00295DBB">
        <w:rPr>
          <w:sz w:val="18"/>
          <w:szCs w:val="18"/>
        </w:rPr>
        <w:t>Якщо результат mWRD для другого зразка – «MTBC виявлено, резистентність до RIF виявлено», необхідно ввести схему лікування препаратами першої лінії відповідно до національних керівних принципів. У більшості випадків хибнопозитивні результати резистентності до RIF через технічні характеристики аналізу є рідкісними; однак такі результати можливі через лабораторні або канцелярські помилки. Повторний тест можна проводити з більшою обережністю, результат другого тесту може бути правильним, а результат першого тесту може бути спричинений лабораторною або канцелярською помилкою. Змішані інфекції у регіонах з високим тягарем епідемії також можуть пояснити таку невідповідність; тому за особами необхідно ретельно спостерігати та повторно тестувати, якщо відповідь на лікування препаратами першої лінії є поганою. За наявності результату резистентності або чутливості до INH результат необхідно тлумачити та контролювати, як описано в Алгоритмі 3.</w:t>
      </w:r>
    </w:p>
    <w:p w14:paraId="62387123" w14:textId="77777777" w:rsidR="00366CB9" w:rsidRPr="00295DBB" w:rsidRDefault="009D0C1D" w:rsidP="00515F9C">
      <w:pPr>
        <w:pStyle w:val="1"/>
        <w:numPr>
          <w:ilvl w:val="0"/>
          <w:numId w:val="21"/>
        </w:numPr>
        <w:shd w:val="clear" w:color="auto" w:fill="auto"/>
        <w:tabs>
          <w:tab w:val="left" w:pos="911"/>
        </w:tabs>
        <w:spacing w:line="324" w:lineRule="auto"/>
        <w:ind w:left="820" w:hanging="260"/>
        <w:jc w:val="both"/>
        <w:rPr>
          <w:sz w:val="18"/>
          <w:szCs w:val="18"/>
        </w:rPr>
      </w:pPr>
      <w:r w:rsidRPr="00295DBB">
        <w:rPr>
          <w:sz w:val="18"/>
          <w:szCs w:val="18"/>
        </w:rPr>
        <w:t>Якщо результат mWRD для другого зразка – «MTBC виявлено, результат резистентності до RIF невизначений», особі знадобиться подальше обстеження. Такий сценарій може пояснити можлива змішана інфекція. Необхідно переглянути наявність в анамнезі попереднього лікування та контактів з особами з ТБ. Рішення щодо лікування особи з Нрез-ТБ або МЛС/Риф-ТБ має бути засновано на подальшому обстеженні, що включає фенотипове ТМЧ для RIF та INH та, за можливості, секвенування ДНК. Для прийняття рішення про початкову терапію потрібен третій mWRD; за особою необхідно ретельно спостерігати в очікуванні остаточних результатів, а також необхідно дотримуватися відповідного алгоритму.</w:t>
      </w:r>
    </w:p>
    <w:p w14:paraId="2A593DC2" w14:textId="77777777" w:rsidR="00366CB9" w:rsidRPr="00295DBB" w:rsidRDefault="009D0C1D" w:rsidP="00515F9C">
      <w:pPr>
        <w:pStyle w:val="1"/>
        <w:numPr>
          <w:ilvl w:val="0"/>
          <w:numId w:val="21"/>
        </w:numPr>
        <w:shd w:val="clear" w:color="auto" w:fill="auto"/>
        <w:tabs>
          <w:tab w:val="left" w:pos="911"/>
        </w:tabs>
        <w:spacing w:line="324" w:lineRule="auto"/>
        <w:ind w:left="820" w:hanging="260"/>
        <w:jc w:val="both"/>
        <w:rPr>
          <w:sz w:val="18"/>
          <w:szCs w:val="18"/>
        </w:rPr>
      </w:pPr>
      <w:r w:rsidRPr="00295DBB">
        <w:rPr>
          <w:sz w:val="18"/>
          <w:szCs w:val="18"/>
        </w:rPr>
        <w:t>Якщо було проведено MC-aNAAT, а також представлені результати для INH, це може бути корисним для достовірності доказів. Виявлення резистентності до INH має вести до подальшого обстеження для виключення резистентності до RIF.</w:t>
      </w:r>
    </w:p>
    <w:p w14:paraId="3CA3007C" w14:textId="77777777" w:rsidR="00366CB9" w:rsidRPr="00295DBB" w:rsidRDefault="009D0C1D" w:rsidP="00515F9C">
      <w:pPr>
        <w:pStyle w:val="1"/>
        <w:numPr>
          <w:ilvl w:val="0"/>
          <w:numId w:val="19"/>
        </w:numPr>
        <w:shd w:val="clear" w:color="auto" w:fill="auto"/>
        <w:tabs>
          <w:tab w:val="left" w:pos="622"/>
        </w:tabs>
        <w:spacing w:line="324" w:lineRule="auto"/>
        <w:ind w:left="560" w:hanging="260"/>
        <w:jc w:val="both"/>
        <w:rPr>
          <w:sz w:val="18"/>
          <w:szCs w:val="18"/>
        </w:rPr>
      </w:pPr>
      <w:r w:rsidRPr="00295DBB">
        <w:rPr>
          <w:sz w:val="18"/>
          <w:szCs w:val="18"/>
        </w:rPr>
        <w:t>Для всіх осіб з МЛС/Риф-ТБ потрібні додаткові обстеження для оцінки резистентності до лікарських засобів, що застосовуються в рамках схеми лікування. Швидке виявлення резистентності до FQ є важливим для визначення обраної схеми лікування. Нещодавнє додавання LC-aNAAT для виявлення резистентності до FQ забезпечує швидке та точне рішення на периферійному рівні, що можна проводити безпосередньо на зразках. Підготовка зразків для тесту Xpert MTB/XDR є аналогічною для тесту Xpert MTB/RIF Ultra. Якщо залишилось більше 2 мл</w:t>
      </w:r>
    </w:p>
    <w:p w14:paraId="54567A0D"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149518DF" w14:textId="77777777" w:rsidR="00366CB9" w:rsidRDefault="00366CB9" w:rsidP="00425523">
      <w:pPr>
        <w:spacing w:line="1" w:lineRule="exact"/>
      </w:pPr>
    </w:p>
    <w:p w14:paraId="36E7D5D0" w14:textId="77777777" w:rsidR="00366CB9" w:rsidRPr="00295DBB" w:rsidRDefault="009D0C1D" w:rsidP="00515F9C">
      <w:pPr>
        <w:pStyle w:val="1"/>
        <w:shd w:val="clear" w:color="auto" w:fill="auto"/>
        <w:spacing w:line="324" w:lineRule="auto"/>
        <w:ind w:left="560"/>
        <w:jc w:val="both"/>
        <w:rPr>
          <w:sz w:val="18"/>
          <w:szCs w:val="18"/>
        </w:rPr>
      </w:pPr>
      <w:r w:rsidRPr="00295DBB">
        <w:rPr>
          <w:sz w:val="18"/>
          <w:szCs w:val="18"/>
        </w:rPr>
        <w:t>реакційної суміші (мінімальний об’єм для додавання до картриджа Xpert) для тесту Xpert Ultra, її можна використовувати безпосередньо для тесту Xpert MTB/XDR при зберіганні суміші за температури 2-8 °C протягом менше 4 годин.</w:t>
      </w:r>
    </w:p>
    <w:p w14:paraId="77026C3E" w14:textId="77777777" w:rsidR="00366CB9" w:rsidRPr="00295DBB" w:rsidRDefault="009D0C1D" w:rsidP="00515F9C">
      <w:pPr>
        <w:pStyle w:val="1"/>
        <w:numPr>
          <w:ilvl w:val="0"/>
          <w:numId w:val="19"/>
        </w:numPr>
        <w:shd w:val="clear" w:color="auto" w:fill="auto"/>
        <w:tabs>
          <w:tab w:val="left" w:pos="608"/>
        </w:tabs>
        <w:spacing w:line="324" w:lineRule="auto"/>
        <w:ind w:left="560" w:hanging="260"/>
        <w:jc w:val="both"/>
        <w:rPr>
          <w:sz w:val="18"/>
          <w:szCs w:val="18"/>
        </w:rPr>
      </w:pPr>
      <w:r w:rsidRPr="00295DBB">
        <w:rPr>
          <w:sz w:val="18"/>
          <w:szCs w:val="18"/>
        </w:rPr>
        <w:t>Для оцінки медикаментозної резистентності, крім RIF та INH, доступні фенотипові (посів та ТМЧ) та молекулярні методи (наприклад, LC-aNAAT, SL-LPA та цільове СНП). Перевагу віддають зазвичай швидким молекулярним методам. Однак, для виявлення резистентності до деяких нових та перепрофільованих препаратів, необхідно застосовувати цільове СНП, за можливості, інакше необхідно проводити фенотипове ТМЧ, якщо це єдиний доступний варіант; таким чином, можуть знадобитися два окремі зразки.</w:t>
      </w:r>
    </w:p>
    <w:p w14:paraId="32FF8501" w14:textId="77777777" w:rsidR="00366CB9" w:rsidRPr="00295DBB" w:rsidRDefault="009D0C1D" w:rsidP="00515F9C">
      <w:pPr>
        <w:pStyle w:val="1"/>
        <w:numPr>
          <w:ilvl w:val="0"/>
          <w:numId w:val="22"/>
        </w:numPr>
        <w:shd w:val="clear" w:color="auto" w:fill="auto"/>
        <w:tabs>
          <w:tab w:val="left" w:pos="806"/>
        </w:tabs>
        <w:spacing w:line="324" w:lineRule="auto"/>
        <w:ind w:left="820" w:hanging="260"/>
        <w:jc w:val="both"/>
        <w:rPr>
          <w:sz w:val="18"/>
          <w:szCs w:val="18"/>
        </w:rPr>
      </w:pPr>
      <w:r w:rsidRPr="00295DBB">
        <w:rPr>
          <w:sz w:val="18"/>
          <w:szCs w:val="18"/>
        </w:rPr>
        <w:t>Схеми лікування МЛС/Риф-ТБ передбачають BDQ з FQ або без нього (зразок необхідно надати для цільового СНП або молекулярного тестування на виявлення резистентності до FQ плюс фенотипове ТМЧ – див. Алгоритм 2a або 2b).</w:t>
      </w:r>
    </w:p>
    <w:p w14:paraId="0F9E4238" w14:textId="77777777" w:rsidR="00366CB9" w:rsidRPr="00295DBB" w:rsidRDefault="009D0C1D" w:rsidP="00515F9C">
      <w:pPr>
        <w:pStyle w:val="1"/>
        <w:numPr>
          <w:ilvl w:val="0"/>
          <w:numId w:val="22"/>
        </w:numPr>
        <w:shd w:val="clear" w:color="auto" w:fill="auto"/>
        <w:tabs>
          <w:tab w:val="left" w:pos="858"/>
        </w:tabs>
        <w:spacing w:line="324" w:lineRule="auto"/>
        <w:ind w:left="820" w:hanging="260"/>
        <w:jc w:val="both"/>
        <w:rPr>
          <w:sz w:val="18"/>
          <w:szCs w:val="18"/>
        </w:rPr>
      </w:pPr>
      <w:r w:rsidRPr="00295DBB">
        <w:rPr>
          <w:sz w:val="18"/>
          <w:szCs w:val="18"/>
        </w:rPr>
        <w:t>В ідеалі, зразок від кожної особи необхідно надати для ТМЧ для кожного лікарського засобу в рамках схеми, для якого існує надійний метод тестування. Однак лікування не слід відкладати в очікуванні результатів ТМЧ (наприклад, фенотипове ТМЧ може надавати результати протягом кількох тижнів або навіть місяців).</w:t>
      </w:r>
    </w:p>
    <w:p w14:paraId="455F236D" w14:textId="77777777" w:rsidR="00366CB9" w:rsidRPr="00295DBB" w:rsidRDefault="009D0C1D" w:rsidP="00515F9C">
      <w:pPr>
        <w:pStyle w:val="1"/>
        <w:numPr>
          <w:ilvl w:val="0"/>
          <w:numId w:val="22"/>
        </w:numPr>
        <w:shd w:val="clear" w:color="auto" w:fill="auto"/>
        <w:tabs>
          <w:tab w:val="left" w:pos="911"/>
        </w:tabs>
        <w:spacing w:line="324" w:lineRule="auto"/>
        <w:ind w:left="820" w:hanging="260"/>
        <w:jc w:val="both"/>
        <w:rPr>
          <w:sz w:val="18"/>
          <w:szCs w:val="18"/>
        </w:rPr>
      </w:pPr>
      <w:r w:rsidRPr="00295DBB">
        <w:rPr>
          <w:sz w:val="18"/>
          <w:szCs w:val="18"/>
        </w:rPr>
        <w:t>Будь-який позитивний результат відновленої культури під час контролю лікування, що вказує на неефективність лікування, необхідно протестувати в рамках ТМЧ для лікарських засобів в рамках схеми лікування.</w:t>
      </w:r>
    </w:p>
    <w:p w14:paraId="6DDEF891"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1DF2C911" w14:textId="77777777" w:rsidR="00366CB9" w:rsidRDefault="00366CB9" w:rsidP="00425523">
      <w:pPr>
        <w:spacing w:line="1" w:lineRule="exact"/>
      </w:pPr>
    </w:p>
    <w:tbl>
      <w:tblPr>
        <w:tblOverlap w:val="never"/>
        <w:tblW w:w="9226" w:type="dxa"/>
        <w:tblLayout w:type="fixed"/>
        <w:tblCellMar>
          <w:left w:w="10" w:type="dxa"/>
          <w:right w:w="10" w:type="dxa"/>
        </w:tblCellMar>
        <w:tblLook w:val="0000" w:firstRow="0" w:lastRow="0" w:firstColumn="0" w:lastColumn="0" w:noHBand="0" w:noVBand="0"/>
      </w:tblPr>
      <w:tblGrid>
        <w:gridCol w:w="9226"/>
      </w:tblGrid>
      <w:tr w:rsidR="00366CB9" w14:paraId="6C030CDB" w14:textId="77777777" w:rsidTr="00C060A2">
        <w:trPr>
          <w:trHeight w:hRule="exact" w:val="11640"/>
        </w:trPr>
        <w:tc>
          <w:tcPr>
            <w:tcW w:w="9226" w:type="dxa"/>
            <w:shd w:val="clear" w:color="auto" w:fill="FFFFFF"/>
          </w:tcPr>
          <w:p w14:paraId="0618445B" w14:textId="52880BA6" w:rsidR="00366CB9" w:rsidRDefault="00BC7F53" w:rsidP="00515F9C">
            <w:pPr>
              <w:rPr>
                <w:sz w:val="2"/>
                <w:szCs w:val="2"/>
              </w:rPr>
            </w:pPr>
            <w:r>
              <w:rPr>
                <w:noProof/>
              </w:rPr>
              <mc:AlternateContent>
                <mc:Choice Requires="wps">
                  <w:drawing>
                    <wp:anchor distT="0" distB="0" distL="114300" distR="114300" simplePos="0" relativeHeight="251718656" behindDoc="0" locked="0" layoutInCell="1" allowOverlap="1" wp14:anchorId="2C18BB07" wp14:editId="700EF929">
                      <wp:simplePos x="0" y="0"/>
                      <wp:positionH relativeFrom="column">
                        <wp:posOffset>3740150</wp:posOffset>
                      </wp:positionH>
                      <wp:positionV relativeFrom="paragraph">
                        <wp:posOffset>2472690</wp:posOffset>
                      </wp:positionV>
                      <wp:extent cx="967740" cy="307340"/>
                      <wp:effectExtent l="0" t="0" r="3810" b="0"/>
                      <wp:wrapNone/>
                      <wp:docPr id="259879304" name="Прямокутник 15"/>
                      <wp:cNvGraphicFramePr/>
                      <a:graphic xmlns:a="http://schemas.openxmlformats.org/drawingml/2006/main">
                        <a:graphicData uri="http://schemas.microsoft.com/office/word/2010/wordprocessingShape">
                          <wps:wsp>
                            <wps:cNvSpPr/>
                            <wps:spPr>
                              <a:xfrm>
                                <a:off x="0" y="0"/>
                                <a:ext cx="967740" cy="307340"/>
                              </a:xfrm>
                              <a:prstGeom prst="rect">
                                <a:avLst/>
                              </a:prstGeom>
                              <a:solidFill>
                                <a:srgbClr val="FFEDCE"/>
                              </a:solidFill>
                            </wps:spPr>
                            <wps:txbx>
                              <w:txbxContent>
                                <w:p w14:paraId="32EF7941" w14:textId="77777777" w:rsidR="009D0C1D" w:rsidRPr="00BC7F53" w:rsidRDefault="009D0C1D" w:rsidP="00C060A2">
                                  <w:pPr>
                                    <w:jc w:val="center"/>
                                    <w:rPr>
                                      <w:rFonts w:ascii="Century Gothic" w:eastAsia="+mn-ea" w:hAnsi="Century Gothic" w:cs="+mn-cs"/>
                                      <w:b/>
                                      <w:bCs/>
                                      <w:color w:val="343433"/>
                                      <w:kern w:val="24"/>
                                      <w:sz w:val="16"/>
                                      <w:szCs w:val="16"/>
                                    </w:rPr>
                                  </w:pPr>
                                  <w:r w:rsidRPr="00BC7F53">
                                    <w:rPr>
                                      <w:rFonts w:ascii="Century Gothic" w:hAnsi="Century Gothic"/>
                                      <w:b/>
                                      <w:color w:val="343433"/>
                                      <w:sz w:val="16"/>
                                      <w:szCs w:val="20"/>
                                    </w:rPr>
                                    <w:t>Інший mWRD або LF-LAM</w:t>
                                  </w:r>
                                </w:p>
                              </w:txbxContent>
                            </wps:txbx>
                            <wps:bodyPr wrap="square" lIns="0" tIns="0" rIns="0" bIns="0">
                              <a:noAutofit/>
                            </wps:bodyPr>
                          </wps:wsp>
                        </a:graphicData>
                      </a:graphic>
                      <wp14:sizeRelH relativeFrom="margin">
                        <wp14:pctWidth>0</wp14:pctWidth>
                      </wp14:sizeRelH>
                    </wp:anchor>
                  </w:drawing>
                </mc:Choice>
                <mc:Fallback>
                  <w:pict>
                    <v:rect w14:anchorId="2C18BB07" id="_x0000_s1364" style="position:absolute;margin-left:294.5pt;margin-top:194.7pt;width:76.2pt;height:24.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" fillcolor="#ffedce" stroked="f">
                      <v:textbox inset="0,0,0,0">
                        <w:txbxContent>
                          <w:p w14:paraId="32EF7941" w14:textId="77777777" w:rsidR="009D0C1D" w:rsidRPr="00BC7F53" w:rsidRDefault="009D0C1D" w:rsidP="00C060A2">
                            <w:pPr>
                              <w:jc w:val="center"/>
                              <w:rPr>
                                <w:rFonts w:ascii="Century Gothic" w:eastAsia="+mn-ea" w:hAnsi="Century Gothic" w:cs="+mn-cs"/>
                                <w:b/>
                                <w:bCs/>
                                <w:color w:val="343433"/>
                                <w:kern w:val="24"/>
                                <w:sz w:val="16"/>
                                <w:szCs w:val="16"/>
                              </w:rPr>
                            </w:pPr>
                            <w:r w:rsidRPr="00BC7F53">
                              <w:rPr>
                                <w:rFonts w:ascii="Century Gothic" w:hAnsi="Century Gothic"/>
                                <w:b/>
                                <w:color w:val="343433"/>
                                <w:sz w:val="16"/>
                                <w:szCs w:val="20"/>
                              </w:rPr>
                              <w:t>Інший mWRD або LF-LAM</w:t>
                            </w:r>
                          </w:p>
                        </w:txbxContent>
                      </v:textbox>
                    </v:rect>
                  </w:pict>
                </mc:Fallback>
              </mc:AlternateContent>
            </w:r>
            <w:r>
              <w:rPr>
                <w:noProof/>
              </w:rPr>
              <mc:AlternateContent>
                <mc:Choice Requires="wps">
                  <w:drawing>
                    <wp:anchor distT="0" distB="0" distL="114300" distR="114300" simplePos="0" relativeHeight="251722752" behindDoc="0" locked="0" layoutInCell="1" allowOverlap="1" wp14:anchorId="1F81BA0F" wp14:editId="7AEFCB97">
                      <wp:simplePos x="0" y="0"/>
                      <wp:positionH relativeFrom="column">
                        <wp:posOffset>3503930</wp:posOffset>
                      </wp:positionH>
                      <wp:positionV relativeFrom="paragraph">
                        <wp:posOffset>5680710</wp:posOffset>
                      </wp:positionV>
                      <wp:extent cx="1325880" cy="1414780"/>
                      <wp:effectExtent l="0" t="0" r="7620" b="0"/>
                      <wp:wrapNone/>
                      <wp:docPr id="1892432893" name="Прямокутник 19"/>
                      <wp:cNvGraphicFramePr/>
                      <a:graphic xmlns:a="http://schemas.openxmlformats.org/drawingml/2006/main">
                        <a:graphicData uri="http://schemas.microsoft.com/office/word/2010/wordprocessingShape">
                          <wps:wsp>
                            <wps:cNvSpPr/>
                            <wps:spPr>
                              <a:xfrm>
                                <a:off x="0" y="0"/>
                                <a:ext cx="1325880" cy="1414780"/>
                              </a:xfrm>
                              <a:prstGeom prst="rect">
                                <a:avLst/>
                              </a:prstGeom>
                              <a:solidFill>
                                <a:srgbClr val="FDE3B9"/>
                              </a:solidFill>
                            </wps:spPr>
                            <wps:txbx>
                              <w:txbxContent>
                                <w:p w14:paraId="6C51FB46" w14:textId="759F6FCC" w:rsidR="009D0C1D" w:rsidRPr="00BC7F53" w:rsidRDefault="009D0C1D" w:rsidP="00C060A2">
                                  <w:pPr>
                                    <w:spacing w:after="42" w:line="266" w:lineRule="auto"/>
                                    <w:jc w:val="center"/>
                                    <w:rPr>
                                      <w:rFonts w:ascii="Century Gothic" w:eastAsia="+mn-ea" w:hAnsi="Century Gothic" w:cs="+mn-cs"/>
                                      <w:color w:val="343433"/>
                                      <w:kern w:val="24"/>
                                      <w:sz w:val="12"/>
                                      <w:szCs w:val="12"/>
                                    </w:rPr>
                                  </w:pPr>
                                  <w:r w:rsidRPr="00BC7F53">
                                    <w:rPr>
                                      <w:rFonts w:ascii="Century Gothic" w:hAnsi="Century Gothic"/>
                                      <w:color w:val="343433"/>
                                      <w:sz w:val="12"/>
                                      <w:szCs w:val="20"/>
                                    </w:rPr>
                                    <w:t xml:space="preserve">Якщо обидва тести дають невизначені результати, вводити </w:t>
                                  </w:r>
                                  <w:r w:rsidRPr="00BC7F53">
                                    <w:rPr>
                                      <w:rFonts w:ascii="Century Gothic" w:hAnsi="Century Gothic"/>
                                      <w:b/>
                                      <w:color w:val="343433"/>
                                      <w:sz w:val="12"/>
                                      <w:szCs w:val="20"/>
                                    </w:rPr>
                                    <w:t>схему лікування препаратами першої лінії</w:t>
                                  </w:r>
                                  <w:r w:rsidRPr="00BC7F53">
                                    <w:rPr>
                                      <w:rFonts w:ascii="Century Gothic" w:hAnsi="Century Gothic"/>
                                      <w:b/>
                                      <w:color w:val="0099D6"/>
                                      <w:sz w:val="14"/>
                                      <w:szCs w:val="20"/>
                                      <w:vertAlign w:val="superscript"/>
                                    </w:rPr>
                                    <w:t xml:space="preserve">l </w:t>
                                  </w:r>
                                  <w:r w:rsidRPr="00BC7F53">
                                    <w:rPr>
                                      <w:rFonts w:ascii="Century Gothic" w:hAnsi="Century Gothic"/>
                                      <w:color w:val="343433"/>
                                      <w:sz w:val="12"/>
                                      <w:szCs w:val="20"/>
                                    </w:rPr>
                                    <w:t xml:space="preserve">Оперативно провести додаткові обстеження для </w:t>
                                  </w:r>
                                  <w:r w:rsidRPr="00BC7F53">
                                    <w:rPr>
                                      <w:rFonts w:ascii="Century Gothic" w:hAnsi="Century Gothic"/>
                                      <w:b/>
                                      <w:color w:val="343433"/>
                                      <w:sz w:val="12"/>
                                      <w:szCs w:val="20"/>
                                    </w:rPr>
                                    <w:t>оцінки резистентності до RIF</w:t>
                                  </w:r>
                                  <w:r w:rsidRPr="00BC7F53">
                                    <w:rPr>
                                      <w:rFonts w:ascii="Century Gothic" w:hAnsi="Century Gothic"/>
                                      <w:b/>
                                      <w:color w:val="0099D6"/>
                                      <w:sz w:val="14"/>
                                      <w:szCs w:val="20"/>
                                      <w:vertAlign w:val="superscript"/>
                                    </w:rPr>
                                    <w:t>r</w:t>
                                  </w:r>
                                </w:p>
                                <w:p w14:paraId="2021945C" w14:textId="77777777" w:rsidR="009D0C1D" w:rsidRPr="00BC7F53" w:rsidRDefault="009D0C1D" w:rsidP="00C060A2">
                                  <w:pPr>
                                    <w:jc w:val="center"/>
                                    <w:rPr>
                                      <w:rFonts w:ascii="Century Gothic" w:eastAsia="+mn-ea" w:hAnsi="Century Gothic" w:cs="+mn-cs"/>
                                      <w:color w:val="343433"/>
                                      <w:kern w:val="24"/>
                                      <w:sz w:val="12"/>
                                      <w:szCs w:val="12"/>
                                    </w:rPr>
                                  </w:pPr>
                                  <w:r w:rsidRPr="00BC7F53">
                                    <w:rPr>
                                      <w:rFonts w:ascii="Century Gothic" w:hAnsi="Century Gothic"/>
                                      <w:color w:val="343433"/>
                                      <w:sz w:val="12"/>
                                      <w:szCs w:val="20"/>
                                    </w:rPr>
                                    <w:t xml:space="preserve">Переглянути лікування на основі результатів </w:t>
                                  </w:r>
                                  <w:r w:rsidRPr="00BC7F53">
                                    <w:rPr>
                                      <w:rFonts w:ascii="Century Gothic" w:hAnsi="Century Gothic"/>
                                      <w:b/>
                                      <w:color w:val="343433"/>
                                      <w:sz w:val="12"/>
                                      <w:szCs w:val="20"/>
                                    </w:rPr>
                                    <w:t>ТМЧ</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F81BA0F" id="_x0000_s1365" style="position:absolute;margin-left:275.9pt;margin-top:447.3pt;width:104.4pt;height:111.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" fillcolor="#fde3b9" stroked="f">
                      <v:textbox inset="0,0,0,0">
                        <w:txbxContent>
                          <w:p w14:paraId="6C51FB46" w14:textId="759F6FCC" w:rsidR="009D0C1D" w:rsidRPr="00BC7F53" w:rsidRDefault="009D0C1D" w:rsidP="00C060A2">
                            <w:pPr>
                              <w:spacing w:after="42" w:line="266" w:lineRule="auto"/>
                              <w:jc w:val="center"/>
                              <w:rPr>
                                <w:rFonts w:ascii="Century Gothic" w:eastAsia="+mn-ea" w:hAnsi="Century Gothic" w:cs="+mn-cs"/>
                                <w:color w:val="343433"/>
                                <w:kern w:val="24"/>
                                <w:sz w:val="12"/>
                                <w:szCs w:val="12"/>
                              </w:rPr>
                            </w:pPr>
                            <w:r w:rsidRPr="00BC7F53">
                              <w:rPr>
                                <w:rFonts w:ascii="Century Gothic" w:hAnsi="Century Gothic"/>
                                <w:color w:val="343433"/>
                                <w:sz w:val="12"/>
                                <w:szCs w:val="20"/>
                              </w:rPr>
                              <w:t xml:space="preserve">Якщо обидва тести дають невизначені результати, вводити </w:t>
                            </w:r>
                            <w:r w:rsidRPr="00BC7F53">
                              <w:rPr>
                                <w:rFonts w:ascii="Century Gothic" w:hAnsi="Century Gothic"/>
                                <w:b/>
                                <w:color w:val="343433"/>
                                <w:sz w:val="12"/>
                                <w:szCs w:val="20"/>
                              </w:rPr>
                              <w:t>схему лікування препаратами першої лінії</w:t>
                            </w:r>
                            <w:r w:rsidRPr="00BC7F53">
                              <w:rPr>
                                <w:rFonts w:ascii="Century Gothic" w:hAnsi="Century Gothic"/>
                                <w:b/>
                                <w:color w:val="0099D6"/>
                                <w:sz w:val="14"/>
                                <w:szCs w:val="20"/>
                                <w:vertAlign w:val="superscript"/>
                              </w:rPr>
                              <w:t xml:space="preserve">l </w:t>
                            </w:r>
                            <w:r w:rsidRPr="00BC7F53">
                              <w:rPr>
                                <w:rFonts w:ascii="Century Gothic" w:hAnsi="Century Gothic"/>
                                <w:color w:val="343433"/>
                                <w:sz w:val="12"/>
                                <w:szCs w:val="20"/>
                              </w:rPr>
                              <w:t xml:space="preserve">Оперативно провести додаткові обстеження для </w:t>
                            </w:r>
                            <w:r w:rsidRPr="00BC7F53">
                              <w:rPr>
                                <w:rFonts w:ascii="Century Gothic" w:hAnsi="Century Gothic"/>
                                <w:b/>
                                <w:color w:val="343433"/>
                                <w:sz w:val="12"/>
                                <w:szCs w:val="20"/>
                              </w:rPr>
                              <w:t>оцінки резистентності до RIF</w:t>
                            </w:r>
                            <w:r w:rsidRPr="00BC7F53">
                              <w:rPr>
                                <w:rFonts w:ascii="Century Gothic" w:hAnsi="Century Gothic"/>
                                <w:b/>
                                <w:color w:val="0099D6"/>
                                <w:sz w:val="14"/>
                                <w:szCs w:val="20"/>
                                <w:vertAlign w:val="superscript"/>
                              </w:rPr>
                              <w:t>r</w:t>
                            </w:r>
                          </w:p>
                          <w:p w14:paraId="2021945C" w14:textId="77777777" w:rsidR="009D0C1D" w:rsidRPr="00BC7F53" w:rsidRDefault="009D0C1D" w:rsidP="00C060A2">
                            <w:pPr>
                              <w:jc w:val="center"/>
                              <w:rPr>
                                <w:rFonts w:ascii="Century Gothic" w:eastAsia="+mn-ea" w:hAnsi="Century Gothic" w:cs="+mn-cs"/>
                                <w:color w:val="343433"/>
                                <w:kern w:val="24"/>
                                <w:sz w:val="12"/>
                                <w:szCs w:val="12"/>
                              </w:rPr>
                            </w:pPr>
                            <w:r w:rsidRPr="00BC7F53">
                              <w:rPr>
                                <w:rFonts w:ascii="Century Gothic" w:hAnsi="Century Gothic"/>
                                <w:color w:val="343433"/>
                                <w:sz w:val="12"/>
                                <w:szCs w:val="20"/>
                              </w:rPr>
                              <w:t xml:space="preserve">Переглянути лікування на основі результатів </w:t>
                            </w:r>
                            <w:r w:rsidRPr="00BC7F53">
                              <w:rPr>
                                <w:rFonts w:ascii="Century Gothic" w:hAnsi="Century Gothic"/>
                                <w:b/>
                                <w:color w:val="343433"/>
                                <w:sz w:val="12"/>
                                <w:szCs w:val="20"/>
                              </w:rPr>
                              <w:t>ТМЧ</w:t>
                            </w:r>
                          </w:p>
                        </w:txbxContent>
                      </v:textbox>
                    </v:rect>
                  </w:pict>
                </mc:Fallback>
              </mc:AlternateContent>
            </w:r>
            <w:r>
              <w:rPr>
                <w:noProof/>
              </w:rPr>
              <mc:AlternateContent>
                <mc:Choice Requires="wps">
                  <w:drawing>
                    <wp:anchor distT="0" distB="0" distL="114300" distR="114300" simplePos="0" relativeHeight="251721728" behindDoc="0" locked="0" layoutInCell="1" allowOverlap="1" wp14:anchorId="6D3ADBE6" wp14:editId="45BB2C46">
                      <wp:simplePos x="0" y="0"/>
                      <wp:positionH relativeFrom="column">
                        <wp:posOffset>3473450</wp:posOffset>
                      </wp:positionH>
                      <wp:positionV relativeFrom="paragraph">
                        <wp:posOffset>5345430</wp:posOffset>
                      </wp:positionV>
                      <wp:extent cx="1082040" cy="335280"/>
                      <wp:effectExtent l="0" t="0" r="3810" b="7620"/>
                      <wp:wrapNone/>
                      <wp:docPr id="1296828948" name="Прямокутник 18"/>
                      <wp:cNvGraphicFramePr/>
                      <a:graphic xmlns:a="http://schemas.openxmlformats.org/drawingml/2006/main">
                        <a:graphicData uri="http://schemas.microsoft.com/office/word/2010/wordprocessingShape">
                          <wps:wsp>
                            <wps:cNvSpPr/>
                            <wps:spPr>
                              <a:xfrm>
                                <a:off x="0" y="0"/>
                                <a:ext cx="1082040" cy="335280"/>
                              </a:xfrm>
                              <a:prstGeom prst="rect">
                                <a:avLst/>
                              </a:prstGeom>
                              <a:solidFill>
                                <a:srgbClr val="FDE3B9"/>
                              </a:solidFill>
                            </wps:spPr>
                            <wps:txbx>
                              <w:txbxContent>
                                <w:p w14:paraId="586A322A" w14:textId="77777777" w:rsidR="009D0C1D" w:rsidRPr="00BC7F53" w:rsidRDefault="009D0C1D" w:rsidP="00C060A2">
                                  <w:pPr>
                                    <w:jc w:val="center"/>
                                    <w:rPr>
                                      <w:rFonts w:ascii="Century Gothic" w:eastAsia="+mn-ea" w:hAnsi="Century Gothic" w:cs="+mn-cs"/>
                                      <w:b/>
                                      <w:bCs/>
                                      <w:color w:val="343433"/>
                                      <w:kern w:val="24"/>
                                      <w:sz w:val="12"/>
                                      <w:szCs w:val="12"/>
                                    </w:rPr>
                                  </w:pPr>
                                  <w:r w:rsidRPr="00BC7F53">
                                    <w:rPr>
                                      <w:rFonts w:ascii="Century Gothic" w:hAnsi="Century Gothic"/>
                                      <w:b/>
                                      <w:color w:val="343433"/>
                                      <w:sz w:val="12"/>
                                      <w:szCs w:val="20"/>
                                    </w:rPr>
                                    <w:t xml:space="preserve">Дотримуватися </w:t>
                                  </w:r>
                                  <w:r w:rsidRPr="00BC7F53">
                                    <w:rPr>
                                      <w:rFonts w:ascii="Century Gothic" w:hAnsi="Century Gothic"/>
                                      <w:b/>
                                      <w:i/>
                                      <w:color w:val="343433"/>
                                      <w:sz w:val="12"/>
                                      <w:szCs w:val="20"/>
                                    </w:rPr>
                                    <w:t>цього</w:t>
                                  </w:r>
                                  <w:r w:rsidRPr="00BC7F53">
                                    <w:rPr>
                                      <w:rFonts w:ascii="Century Gothic" w:hAnsi="Century Gothic"/>
                                      <w:b/>
                                      <w:color w:val="343433"/>
                                      <w:sz w:val="12"/>
                                      <w:szCs w:val="20"/>
                                    </w:rPr>
                                    <w:t xml:space="preserve"> Алгоритму для тлумачення результатів</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D3ADBE6" id="_x0000_s1366" style="position:absolute;margin-left:273.5pt;margin-top:420.9pt;width:85.2pt;height:26.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" fillcolor="#fde3b9" stroked="f">
                      <v:textbox inset="0,0,0,0">
                        <w:txbxContent>
                          <w:p w14:paraId="586A322A" w14:textId="77777777" w:rsidR="009D0C1D" w:rsidRPr="00BC7F53" w:rsidRDefault="009D0C1D" w:rsidP="00C060A2">
                            <w:pPr>
                              <w:jc w:val="center"/>
                              <w:rPr>
                                <w:rFonts w:ascii="Century Gothic" w:eastAsia="+mn-ea" w:hAnsi="Century Gothic" w:cs="+mn-cs"/>
                                <w:b/>
                                <w:bCs/>
                                <w:color w:val="343433"/>
                                <w:kern w:val="24"/>
                                <w:sz w:val="12"/>
                                <w:szCs w:val="12"/>
                              </w:rPr>
                            </w:pPr>
                            <w:r w:rsidRPr="00BC7F53">
                              <w:rPr>
                                <w:rFonts w:ascii="Century Gothic" w:hAnsi="Century Gothic"/>
                                <w:b/>
                                <w:color w:val="343433"/>
                                <w:sz w:val="12"/>
                                <w:szCs w:val="20"/>
                              </w:rPr>
                              <w:t xml:space="preserve">Дотримуватися </w:t>
                            </w:r>
                            <w:r w:rsidRPr="00BC7F53">
                              <w:rPr>
                                <w:rFonts w:ascii="Century Gothic" w:hAnsi="Century Gothic"/>
                                <w:b/>
                                <w:i/>
                                <w:color w:val="343433"/>
                                <w:sz w:val="12"/>
                                <w:szCs w:val="20"/>
                              </w:rPr>
                              <w:t>цього</w:t>
                            </w:r>
                            <w:r w:rsidRPr="00BC7F53">
                              <w:rPr>
                                <w:rFonts w:ascii="Century Gothic" w:hAnsi="Century Gothic"/>
                                <w:b/>
                                <w:color w:val="343433"/>
                                <w:sz w:val="12"/>
                                <w:szCs w:val="20"/>
                              </w:rPr>
                              <w:t xml:space="preserve"> Алгоритму для тлумачення результатів</w:t>
                            </w:r>
                          </w:p>
                        </w:txbxContent>
                      </v:textbox>
                    </v:rect>
                  </w:pict>
                </mc:Fallback>
              </mc:AlternateContent>
            </w:r>
            <w:r w:rsidR="00295DBB">
              <w:rPr>
                <w:noProof/>
              </w:rPr>
              <mc:AlternateContent>
                <mc:Choice Requires="wps">
                  <w:drawing>
                    <wp:anchor distT="0" distB="0" distL="114300" distR="114300" simplePos="0" relativeHeight="251717632" behindDoc="0" locked="0" layoutInCell="1" allowOverlap="1" wp14:anchorId="0FE643C3" wp14:editId="26A4E5E4">
                      <wp:simplePos x="0" y="0"/>
                      <wp:positionH relativeFrom="column">
                        <wp:posOffset>1979930</wp:posOffset>
                      </wp:positionH>
                      <wp:positionV relativeFrom="paragraph">
                        <wp:posOffset>6305550</wp:posOffset>
                      </wp:positionV>
                      <wp:extent cx="670560" cy="246380"/>
                      <wp:effectExtent l="0" t="0" r="0" b="1270"/>
                      <wp:wrapNone/>
                      <wp:docPr id="1376906297" name="Прямокутник 14"/>
                      <wp:cNvGraphicFramePr/>
                      <a:graphic xmlns:a="http://schemas.openxmlformats.org/drawingml/2006/main">
                        <a:graphicData uri="http://schemas.microsoft.com/office/word/2010/wordprocessingShape">
                          <wps:wsp>
                            <wps:cNvSpPr/>
                            <wps:spPr>
                              <a:xfrm>
                                <a:off x="0" y="0"/>
                                <a:ext cx="670560" cy="246380"/>
                              </a:xfrm>
                              <a:prstGeom prst="rect">
                                <a:avLst/>
                              </a:prstGeom>
                              <a:solidFill>
                                <a:srgbClr val="FFEDCE"/>
                              </a:solidFill>
                            </wps:spPr>
                            <wps:txbx>
                              <w:txbxContent>
                                <w:p w14:paraId="62A737AE" w14:textId="77777777" w:rsidR="009D0C1D" w:rsidRPr="00295DBB" w:rsidRDefault="009D0C1D" w:rsidP="00C060A2">
                                  <w:pPr>
                                    <w:rPr>
                                      <w:rFonts w:ascii="Century Gothic" w:eastAsia="+mn-ea" w:hAnsi="Century Gothic" w:cs="+mn-cs"/>
                                      <w:b/>
                                      <w:bCs/>
                                      <w:color w:val="343433"/>
                                      <w:kern w:val="24"/>
                                      <w:sz w:val="12"/>
                                      <w:szCs w:val="12"/>
                                    </w:rPr>
                                  </w:pPr>
                                  <w:r w:rsidRPr="00295DBB">
                                    <w:rPr>
                                      <w:rFonts w:ascii="Century Gothic" w:hAnsi="Century Gothic"/>
                                      <w:b/>
                                      <w:color w:val="343433"/>
                                      <w:sz w:val="12"/>
                                      <w:szCs w:val="20"/>
                                    </w:rPr>
                                    <w:t>Повторити mWRD</w:t>
                                  </w:r>
                                  <w:r w:rsidRPr="00295DBB">
                                    <w:rPr>
                                      <w:rFonts w:ascii="Century Gothic" w:hAnsi="Century Gothic"/>
                                      <w:b/>
                                      <w:color w:val="0099D6"/>
                                      <w:sz w:val="14"/>
                                      <w:szCs w:val="20"/>
                                      <w:vertAlign w:val="superscript"/>
                                    </w:rPr>
                                    <w:t>o</w:t>
                                  </w:r>
                                </w:p>
                              </w:txbxContent>
                            </wps:txbx>
                            <wps:bodyPr wrap="square" lIns="0" tIns="0" rIns="0" bIns="0">
                              <a:noAutofit/>
                            </wps:bodyPr>
                          </wps:wsp>
                        </a:graphicData>
                      </a:graphic>
                      <wp14:sizeRelH relativeFrom="margin">
                        <wp14:pctWidth>0</wp14:pctWidth>
                      </wp14:sizeRelH>
                    </wp:anchor>
                  </w:drawing>
                </mc:Choice>
                <mc:Fallback>
                  <w:pict>
                    <v:rect w14:anchorId="0FE643C3" id="_x0000_s1367" style="position:absolute;margin-left:155.9pt;margin-top:496.5pt;width:52.8pt;height:19.4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" fillcolor="#ffedce" stroked="f">
                      <v:textbox inset="0,0,0,0">
                        <w:txbxContent>
                          <w:p w14:paraId="62A737AE" w14:textId="77777777" w:rsidR="009D0C1D" w:rsidRPr="00295DBB" w:rsidRDefault="009D0C1D" w:rsidP="00C060A2">
                            <w:pPr>
                              <w:rPr>
                                <w:rFonts w:ascii="Century Gothic" w:eastAsia="+mn-ea" w:hAnsi="Century Gothic" w:cs="+mn-cs"/>
                                <w:b/>
                                <w:bCs/>
                                <w:color w:val="343433"/>
                                <w:kern w:val="24"/>
                                <w:sz w:val="12"/>
                                <w:szCs w:val="12"/>
                              </w:rPr>
                            </w:pPr>
                            <w:r w:rsidRPr="00295DBB">
                              <w:rPr>
                                <w:rFonts w:ascii="Century Gothic" w:hAnsi="Century Gothic"/>
                                <w:b/>
                                <w:color w:val="343433"/>
                                <w:sz w:val="12"/>
                                <w:szCs w:val="20"/>
                              </w:rPr>
                              <w:t>Повторити mWRD</w:t>
                            </w:r>
                            <w:r w:rsidRPr="00295DBB">
                              <w:rPr>
                                <w:rFonts w:ascii="Century Gothic" w:hAnsi="Century Gothic"/>
                                <w:b/>
                                <w:color w:val="0099D6"/>
                                <w:sz w:val="14"/>
                                <w:szCs w:val="20"/>
                                <w:vertAlign w:val="superscript"/>
                              </w:rPr>
                              <w:t>o</w:t>
                            </w:r>
                          </w:p>
                        </w:txbxContent>
                      </v:textbox>
                    </v:rect>
                  </w:pict>
                </mc:Fallback>
              </mc:AlternateContent>
            </w:r>
            <w:r w:rsidR="00295DBB">
              <w:rPr>
                <w:noProof/>
              </w:rPr>
              <mc:AlternateContent>
                <mc:Choice Requires="wps">
                  <w:drawing>
                    <wp:anchor distT="0" distB="0" distL="114300" distR="114300" simplePos="0" relativeHeight="251716608" behindDoc="0" locked="0" layoutInCell="1" allowOverlap="1" wp14:anchorId="5F87605F" wp14:editId="23B01542">
                      <wp:simplePos x="0" y="0"/>
                      <wp:positionH relativeFrom="column">
                        <wp:posOffset>1827530</wp:posOffset>
                      </wp:positionH>
                      <wp:positionV relativeFrom="paragraph">
                        <wp:posOffset>5764530</wp:posOffset>
                      </wp:positionV>
                      <wp:extent cx="937260" cy="281940"/>
                      <wp:effectExtent l="0" t="0" r="0" b="3810"/>
                      <wp:wrapNone/>
                      <wp:docPr id="1044208464" name="Прямокутник 13"/>
                      <wp:cNvGraphicFramePr/>
                      <a:graphic xmlns:a="http://schemas.openxmlformats.org/drawingml/2006/main">
                        <a:graphicData uri="http://schemas.microsoft.com/office/word/2010/wordprocessingShape">
                          <wps:wsp>
                            <wps:cNvSpPr/>
                            <wps:spPr>
                              <a:xfrm>
                                <a:off x="0" y="0"/>
                                <a:ext cx="937260" cy="281940"/>
                              </a:xfrm>
                              <a:prstGeom prst="rect">
                                <a:avLst/>
                              </a:prstGeom>
                              <a:solidFill>
                                <a:srgbClr val="FFEDCE"/>
                              </a:solidFill>
                            </wps:spPr>
                            <wps:txbx>
                              <w:txbxContent>
                                <w:p w14:paraId="1DC91250" w14:textId="77777777" w:rsidR="009D0C1D" w:rsidRPr="00295DBB" w:rsidRDefault="009D0C1D" w:rsidP="00C060A2">
                                  <w:pPr>
                                    <w:jc w:val="center"/>
                                    <w:rPr>
                                      <w:rFonts w:ascii="Century Gothic" w:eastAsia="+mn-ea" w:hAnsi="Century Gothic" w:cs="+mn-cs"/>
                                      <w:b/>
                                      <w:bCs/>
                                      <w:color w:val="343433"/>
                                      <w:kern w:val="24"/>
                                      <w:sz w:val="12"/>
                                      <w:szCs w:val="12"/>
                                    </w:rPr>
                                  </w:pPr>
                                  <w:r w:rsidRPr="00295DBB">
                                    <w:rPr>
                                      <w:rFonts w:ascii="Century Gothic" w:hAnsi="Century Gothic"/>
                                      <w:b/>
                                      <w:color w:val="343433"/>
                                      <w:sz w:val="12"/>
                                      <w:szCs w:val="20"/>
                                    </w:rPr>
                                    <w:t>Ініціювати лікування препаратами першої лінії</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F87605F" id="_x0000_s1368" style="position:absolute;margin-left:143.9pt;margin-top:453.9pt;width:73.8pt;height:2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" fillcolor="#ffedce" stroked="f">
                      <v:textbox inset="0,0,0,0">
                        <w:txbxContent>
                          <w:p w14:paraId="1DC91250" w14:textId="77777777" w:rsidR="009D0C1D" w:rsidRPr="00295DBB" w:rsidRDefault="009D0C1D" w:rsidP="00C060A2">
                            <w:pPr>
                              <w:jc w:val="center"/>
                              <w:rPr>
                                <w:rFonts w:ascii="Century Gothic" w:eastAsia="+mn-ea" w:hAnsi="Century Gothic" w:cs="+mn-cs"/>
                                <w:b/>
                                <w:bCs/>
                                <w:color w:val="343433"/>
                                <w:kern w:val="24"/>
                                <w:sz w:val="12"/>
                                <w:szCs w:val="12"/>
                              </w:rPr>
                            </w:pPr>
                            <w:r w:rsidRPr="00295DBB">
                              <w:rPr>
                                <w:rFonts w:ascii="Century Gothic" w:hAnsi="Century Gothic"/>
                                <w:b/>
                                <w:color w:val="343433"/>
                                <w:sz w:val="12"/>
                                <w:szCs w:val="20"/>
                              </w:rPr>
                              <w:t>Ініціювати лікування препаратами першої лінії</w:t>
                            </w:r>
                          </w:p>
                        </w:txbxContent>
                      </v:textbox>
                    </v:rect>
                  </w:pict>
                </mc:Fallback>
              </mc:AlternateContent>
            </w:r>
            <w:r w:rsidR="00295DBB">
              <w:rPr>
                <w:noProof/>
              </w:rPr>
              <mc:AlternateContent>
                <mc:Choice Requires="wps">
                  <w:drawing>
                    <wp:anchor distT="0" distB="0" distL="114300" distR="114300" simplePos="0" relativeHeight="251715584" behindDoc="0" locked="0" layoutInCell="1" allowOverlap="1" wp14:anchorId="52C734A3" wp14:editId="5CC37C34">
                      <wp:simplePos x="0" y="0"/>
                      <wp:positionH relativeFrom="column">
                        <wp:posOffset>745490</wp:posOffset>
                      </wp:positionH>
                      <wp:positionV relativeFrom="paragraph">
                        <wp:posOffset>5947410</wp:posOffset>
                      </wp:positionV>
                      <wp:extent cx="328930" cy="220980"/>
                      <wp:effectExtent l="0" t="0" r="0" b="7620"/>
                      <wp:wrapNone/>
                      <wp:docPr id="1115832649" name="Прямокутник 12"/>
                      <wp:cNvGraphicFramePr/>
                      <a:graphic xmlns:a="http://schemas.openxmlformats.org/drawingml/2006/main">
                        <a:graphicData uri="http://schemas.microsoft.com/office/word/2010/wordprocessingShape">
                          <wps:wsp>
                            <wps:cNvSpPr/>
                            <wps:spPr>
                              <a:xfrm>
                                <a:off x="0" y="0"/>
                                <a:ext cx="328930" cy="220980"/>
                              </a:xfrm>
                              <a:prstGeom prst="rect">
                                <a:avLst/>
                              </a:prstGeom>
                              <a:solidFill>
                                <a:srgbClr val="FEE4B1"/>
                              </a:solidFill>
                            </wps:spPr>
                            <wps:txbx>
                              <w:txbxContent>
                                <w:p w14:paraId="46AFAB59" w14:textId="1906A5C3" w:rsidR="009D0C1D" w:rsidRPr="00295DBB" w:rsidRDefault="009D0C1D" w:rsidP="00C060A2">
                                  <w:pPr>
                                    <w:rPr>
                                      <w:rFonts w:ascii="Century Gothic" w:eastAsia="+mn-ea" w:hAnsi="Century Gothic" w:cs="+mn-cs"/>
                                      <w:b/>
                                      <w:bCs/>
                                      <w:color w:val="343433"/>
                                      <w:kern w:val="24"/>
                                      <w:sz w:val="12"/>
                                      <w:szCs w:val="12"/>
                                    </w:rPr>
                                  </w:pPr>
                                  <w:r w:rsidRPr="00295DBB">
                                    <w:rPr>
                                      <w:rFonts w:ascii="Century Gothic" w:hAnsi="Century Gothic"/>
                                      <w:b/>
                                      <w:color w:val="343433"/>
                                      <w:sz w:val="12"/>
                                      <w:szCs w:val="20"/>
                                    </w:rPr>
                                    <w:t>Дотри</w:t>
                                  </w:r>
                                  <w:r>
                                    <w:rPr>
                                      <w:rFonts w:ascii="Century Gothic" w:hAnsi="Century Gothic"/>
                                      <w:b/>
                                      <w:color w:val="343433"/>
                                      <w:sz w:val="12"/>
                                      <w:szCs w:val="20"/>
                                    </w:rPr>
                                    <w:t>-</w:t>
                                  </w:r>
                                  <w:r w:rsidRPr="00295DBB">
                                    <w:rPr>
                                      <w:rFonts w:ascii="Century Gothic" w:hAnsi="Century Gothic"/>
                                      <w:b/>
                                      <w:color w:val="343433"/>
                                      <w:sz w:val="12"/>
                                      <w:szCs w:val="20"/>
                                    </w:rPr>
                                    <w:t>муватися</w:t>
                                  </w:r>
                                </w:p>
                              </w:txbxContent>
                            </wps:txbx>
                            <wps:bodyPr wrap="square" lIns="0" tIns="0" rIns="0" bIns="0">
                              <a:noAutofit/>
                            </wps:bodyPr>
                          </wps:wsp>
                        </a:graphicData>
                      </a:graphic>
                      <wp14:sizeRelV relativeFrom="margin">
                        <wp14:pctHeight>0</wp14:pctHeight>
                      </wp14:sizeRelV>
                    </wp:anchor>
                  </w:drawing>
                </mc:Choice>
                <mc:Fallback>
                  <w:pict>
                    <v:rect w14:anchorId="52C734A3" id="_x0000_s1369" style="position:absolute;margin-left:58.7pt;margin-top:468.3pt;width:25.9pt;height:17.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" fillcolor="#fee4b1" stroked="f">
                      <v:textbox inset="0,0,0,0">
                        <w:txbxContent>
                          <w:p w14:paraId="46AFAB59" w14:textId="1906A5C3" w:rsidR="009D0C1D" w:rsidRPr="00295DBB" w:rsidRDefault="009D0C1D" w:rsidP="00C060A2">
                            <w:pPr>
                              <w:rPr>
                                <w:rFonts w:ascii="Century Gothic" w:eastAsia="+mn-ea" w:hAnsi="Century Gothic" w:cs="+mn-cs"/>
                                <w:b/>
                                <w:bCs/>
                                <w:color w:val="343433"/>
                                <w:kern w:val="24"/>
                                <w:sz w:val="12"/>
                                <w:szCs w:val="12"/>
                              </w:rPr>
                            </w:pPr>
                            <w:r w:rsidRPr="00295DBB">
                              <w:rPr>
                                <w:rFonts w:ascii="Century Gothic" w:hAnsi="Century Gothic"/>
                                <w:b/>
                                <w:color w:val="343433"/>
                                <w:sz w:val="12"/>
                                <w:szCs w:val="20"/>
                              </w:rPr>
                              <w:t>Дотри</w:t>
                            </w:r>
                            <w:r>
                              <w:rPr>
                                <w:rFonts w:ascii="Century Gothic" w:hAnsi="Century Gothic"/>
                                <w:b/>
                                <w:color w:val="343433"/>
                                <w:sz w:val="12"/>
                                <w:szCs w:val="20"/>
                              </w:rPr>
                              <w:t>-</w:t>
                            </w:r>
                            <w:r w:rsidRPr="00295DBB">
                              <w:rPr>
                                <w:rFonts w:ascii="Century Gothic" w:hAnsi="Century Gothic"/>
                                <w:b/>
                                <w:color w:val="343433"/>
                                <w:sz w:val="12"/>
                                <w:szCs w:val="20"/>
                              </w:rPr>
                              <w:t>муватися</w:t>
                            </w:r>
                          </w:p>
                        </w:txbxContent>
                      </v:textbox>
                    </v:rect>
                  </w:pict>
                </mc:Fallback>
              </mc:AlternateContent>
            </w:r>
            <w:r w:rsidR="00295DBB">
              <w:rPr>
                <w:noProof/>
              </w:rPr>
              <mc:AlternateContent>
                <mc:Choice Requires="wps">
                  <w:drawing>
                    <wp:anchor distT="0" distB="0" distL="114300" distR="114300" simplePos="0" relativeHeight="251712512" behindDoc="0" locked="0" layoutInCell="1" allowOverlap="1" wp14:anchorId="0B9B62C8" wp14:editId="31DC5B37">
                      <wp:simplePos x="0" y="0"/>
                      <wp:positionH relativeFrom="column">
                        <wp:posOffset>1918970</wp:posOffset>
                      </wp:positionH>
                      <wp:positionV relativeFrom="paragraph">
                        <wp:posOffset>4469130</wp:posOffset>
                      </wp:positionV>
                      <wp:extent cx="725170" cy="304800"/>
                      <wp:effectExtent l="0" t="0" r="0" b="0"/>
                      <wp:wrapNone/>
                      <wp:docPr id="783774434" name="Прямокутник 9"/>
                      <wp:cNvGraphicFramePr/>
                      <a:graphic xmlns:a="http://schemas.openxmlformats.org/drawingml/2006/main">
                        <a:graphicData uri="http://schemas.microsoft.com/office/word/2010/wordprocessingShape">
                          <wps:wsp>
                            <wps:cNvSpPr/>
                            <wps:spPr>
                              <a:xfrm>
                                <a:off x="0" y="0"/>
                                <a:ext cx="725170" cy="304800"/>
                              </a:xfrm>
                              <a:prstGeom prst="rect">
                                <a:avLst/>
                              </a:prstGeom>
                              <a:solidFill>
                                <a:srgbClr val="FFEDCE"/>
                              </a:solidFill>
                            </wps:spPr>
                            <wps:txbx>
                              <w:txbxContent>
                                <w:p w14:paraId="67127E7F" w14:textId="77777777" w:rsidR="009D0C1D" w:rsidRPr="00295DBB" w:rsidRDefault="009D0C1D" w:rsidP="00C060A2">
                                  <w:pPr>
                                    <w:rPr>
                                      <w:rFonts w:ascii="Century Gothic" w:eastAsia="+mn-ea" w:hAnsi="Century Gothic" w:cs="+mn-cs"/>
                                      <w:b/>
                                      <w:bCs/>
                                      <w:color w:val="343433"/>
                                      <w:kern w:val="24"/>
                                      <w:sz w:val="12"/>
                                      <w:szCs w:val="12"/>
                                    </w:rPr>
                                  </w:pPr>
                                  <w:r w:rsidRPr="00295DBB">
                                    <w:rPr>
                                      <w:rFonts w:ascii="Century Gothic" w:hAnsi="Century Gothic"/>
                                      <w:b/>
                                      <w:color w:val="343433"/>
                                      <w:sz w:val="12"/>
                                      <w:szCs w:val="20"/>
                                    </w:rPr>
                                    <w:t xml:space="preserve">Резистентність до RIF </w:t>
                                  </w:r>
                                  <w:r w:rsidRPr="00295DBB">
                                    <w:rPr>
                                      <w:rFonts w:ascii="Century Gothic" w:hAnsi="Century Gothic"/>
                                      <w:b/>
                                      <w:i/>
                                      <w:color w:val="343433"/>
                                      <w:sz w:val="12"/>
                                      <w:szCs w:val="20"/>
                                    </w:rPr>
                                    <w:t>не</w:t>
                                  </w:r>
                                  <w:r w:rsidRPr="00295DBB">
                                    <w:rPr>
                                      <w:rFonts w:ascii="Century Gothic" w:hAnsi="Century Gothic"/>
                                      <w:b/>
                                      <w:color w:val="343433"/>
                                      <w:sz w:val="12"/>
                                      <w:szCs w:val="20"/>
                                    </w:rPr>
                                    <w:t xml:space="preserve"> виявлено</w:t>
                                  </w:r>
                                </w:p>
                              </w:txbxContent>
                            </wps:txbx>
                            <wps:bodyPr wrap="square" lIns="0" tIns="0" rIns="0" bIns="0">
                              <a:noAutofit/>
                            </wps:bodyPr>
                          </wps:wsp>
                        </a:graphicData>
                      </a:graphic>
                      <wp14:sizeRelV relativeFrom="margin">
                        <wp14:pctHeight>0</wp14:pctHeight>
                      </wp14:sizeRelV>
                    </wp:anchor>
                  </w:drawing>
                </mc:Choice>
                <mc:Fallback>
                  <w:pict>
                    <v:rect w14:anchorId="0B9B62C8" id="_x0000_s1370" style="position:absolute;margin-left:151.1pt;margin-top:351.9pt;width:57.1pt;height:2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" fillcolor="#ffedce" stroked="f">
                      <v:textbox inset="0,0,0,0">
                        <w:txbxContent>
                          <w:p w14:paraId="67127E7F" w14:textId="77777777" w:rsidR="009D0C1D" w:rsidRPr="00295DBB" w:rsidRDefault="009D0C1D" w:rsidP="00C060A2">
                            <w:pPr>
                              <w:rPr>
                                <w:rFonts w:ascii="Century Gothic" w:eastAsia="+mn-ea" w:hAnsi="Century Gothic" w:cs="+mn-cs"/>
                                <w:b/>
                                <w:bCs/>
                                <w:color w:val="343433"/>
                                <w:kern w:val="24"/>
                                <w:sz w:val="12"/>
                                <w:szCs w:val="12"/>
                              </w:rPr>
                            </w:pPr>
                            <w:r w:rsidRPr="00295DBB">
                              <w:rPr>
                                <w:rFonts w:ascii="Century Gothic" w:hAnsi="Century Gothic"/>
                                <w:b/>
                                <w:color w:val="343433"/>
                                <w:sz w:val="12"/>
                                <w:szCs w:val="20"/>
                              </w:rPr>
                              <w:t xml:space="preserve">Резистентність до RIF </w:t>
                            </w:r>
                            <w:r w:rsidRPr="00295DBB">
                              <w:rPr>
                                <w:rFonts w:ascii="Century Gothic" w:hAnsi="Century Gothic"/>
                                <w:b/>
                                <w:i/>
                                <w:color w:val="343433"/>
                                <w:sz w:val="12"/>
                                <w:szCs w:val="20"/>
                              </w:rPr>
                              <w:t>не</w:t>
                            </w:r>
                            <w:r w:rsidRPr="00295DBB">
                              <w:rPr>
                                <w:rFonts w:ascii="Century Gothic" w:hAnsi="Century Gothic"/>
                                <w:b/>
                                <w:color w:val="343433"/>
                                <w:sz w:val="12"/>
                                <w:szCs w:val="20"/>
                              </w:rPr>
                              <w:t xml:space="preserve"> виявлено</w:t>
                            </w:r>
                          </w:p>
                        </w:txbxContent>
                      </v:textbox>
                    </v:rect>
                  </w:pict>
                </mc:Fallback>
              </mc:AlternateContent>
            </w:r>
            <w:r w:rsidR="00295DBB">
              <w:rPr>
                <w:noProof/>
              </w:rPr>
              <mc:AlternateContent>
                <mc:Choice Requires="wps">
                  <w:drawing>
                    <wp:anchor distT="0" distB="0" distL="114300" distR="114300" simplePos="0" relativeHeight="251711488" behindDoc="0" locked="0" layoutInCell="1" allowOverlap="1" wp14:anchorId="7F3EBCFE" wp14:editId="325A1741">
                      <wp:simplePos x="0" y="0"/>
                      <wp:positionH relativeFrom="column">
                        <wp:posOffset>806450</wp:posOffset>
                      </wp:positionH>
                      <wp:positionV relativeFrom="paragraph">
                        <wp:posOffset>4461510</wp:posOffset>
                      </wp:positionV>
                      <wp:extent cx="728345" cy="312420"/>
                      <wp:effectExtent l="0" t="0" r="0" b="0"/>
                      <wp:wrapNone/>
                      <wp:docPr id="435833490" name="Прямокутник 8"/>
                      <wp:cNvGraphicFramePr/>
                      <a:graphic xmlns:a="http://schemas.openxmlformats.org/drawingml/2006/main">
                        <a:graphicData uri="http://schemas.microsoft.com/office/word/2010/wordprocessingShape">
                          <wps:wsp>
                            <wps:cNvSpPr/>
                            <wps:spPr>
                              <a:xfrm>
                                <a:off x="0" y="0"/>
                                <a:ext cx="728345" cy="312420"/>
                              </a:xfrm>
                              <a:prstGeom prst="rect">
                                <a:avLst/>
                              </a:prstGeom>
                              <a:solidFill>
                                <a:srgbClr val="FFEDCE"/>
                              </a:solidFill>
                            </wps:spPr>
                            <wps:txbx>
                              <w:txbxContent>
                                <w:p w14:paraId="07711895" w14:textId="77777777" w:rsidR="009D0C1D" w:rsidRPr="00295DBB" w:rsidRDefault="009D0C1D" w:rsidP="00C060A2">
                                  <w:pPr>
                                    <w:jc w:val="center"/>
                                    <w:rPr>
                                      <w:rFonts w:ascii="Century Gothic" w:eastAsia="+mn-ea" w:hAnsi="Century Gothic" w:cs="+mn-cs"/>
                                      <w:b/>
                                      <w:bCs/>
                                      <w:color w:val="343433"/>
                                      <w:kern w:val="24"/>
                                      <w:sz w:val="12"/>
                                      <w:szCs w:val="12"/>
                                    </w:rPr>
                                  </w:pPr>
                                  <w:r w:rsidRPr="00295DBB">
                                    <w:rPr>
                                      <w:rFonts w:ascii="Century Gothic" w:hAnsi="Century Gothic"/>
                                      <w:b/>
                                      <w:color w:val="343433"/>
                                      <w:sz w:val="12"/>
                                      <w:szCs w:val="20"/>
                                    </w:rPr>
                                    <w:t>Резистентність до RIF виявлено</w:t>
                                  </w:r>
                                </w:p>
                              </w:txbxContent>
                            </wps:txbx>
                            <wps:bodyPr wrap="square" lIns="0" tIns="0" rIns="0" bIns="0">
                              <a:noAutofit/>
                            </wps:bodyPr>
                          </wps:wsp>
                        </a:graphicData>
                      </a:graphic>
                      <wp14:sizeRelV relativeFrom="margin">
                        <wp14:pctHeight>0</wp14:pctHeight>
                      </wp14:sizeRelV>
                    </wp:anchor>
                  </w:drawing>
                </mc:Choice>
                <mc:Fallback>
                  <w:pict>
                    <v:rect w14:anchorId="7F3EBCFE" id="_x0000_s1371" style="position:absolute;margin-left:63.5pt;margin-top:351.3pt;width:57.35pt;height:24.6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" fillcolor="#ffedce" stroked="f">
                      <v:textbox inset="0,0,0,0">
                        <w:txbxContent>
                          <w:p w14:paraId="07711895" w14:textId="77777777" w:rsidR="009D0C1D" w:rsidRPr="00295DBB" w:rsidRDefault="009D0C1D" w:rsidP="00C060A2">
                            <w:pPr>
                              <w:jc w:val="center"/>
                              <w:rPr>
                                <w:rFonts w:ascii="Century Gothic" w:eastAsia="+mn-ea" w:hAnsi="Century Gothic" w:cs="+mn-cs"/>
                                <w:b/>
                                <w:bCs/>
                                <w:color w:val="343433"/>
                                <w:kern w:val="24"/>
                                <w:sz w:val="12"/>
                                <w:szCs w:val="12"/>
                              </w:rPr>
                            </w:pPr>
                            <w:r w:rsidRPr="00295DBB">
                              <w:rPr>
                                <w:rFonts w:ascii="Century Gothic" w:hAnsi="Century Gothic"/>
                                <w:b/>
                                <w:color w:val="343433"/>
                                <w:sz w:val="12"/>
                                <w:szCs w:val="20"/>
                              </w:rPr>
                              <w:t>Резистентність до RIF виявлено</w:t>
                            </w:r>
                          </w:p>
                        </w:txbxContent>
                      </v:textbox>
                    </v:rect>
                  </w:pict>
                </mc:Fallback>
              </mc:AlternateContent>
            </w:r>
            <w:r w:rsidR="00295DBB">
              <w:rPr>
                <w:noProof/>
              </w:rPr>
              <mc:AlternateContent>
                <mc:Choice Requires="wps">
                  <w:drawing>
                    <wp:anchor distT="0" distB="0" distL="114300" distR="114300" simplePos="0" relativeHeight="251720704" behindDoc="0" locked="0" layoutInCell="1" allowOverlap="1" wp14:anchorId="446C42A5" wp14:editId="3BA93EB3">
                      <wp:simplePos x="0" y="0"/>
                      <wp:positionH relativeFrom="column">
                        <wp:posOffset>3679190</wp:posOffset>
                      </wp:positionH>
                      <wp:positionV relativeFrom="paragraph">
                        <wp:posOffset>3844290</wp:posOffset>
                      </wp:positionV>
                      <wp:extent cx="944880" cy="368935"/>
                      <wp:effectExtent l="0" t="0" r="7620" b="0"/>
                      <wp:wrapNone/>
                      <wp:docPr id="1406536406" name="Прямокутник 17"/>
                      <wp:cNvGraphicFramePr/>
                      <a:graphic xmlns:a="http://schemas.openxmlformats.org/drawingml/2006/main">
                        <a:graphicData uri="http://schemas.microsoft.com/office/word/2010/wordprocessingShape">
                          <wps:wsp>
                            <wps:cNvSpPr/>
                            <wps:spPr>
                              <a:xfrm>
                                <a:off x="0" y="0"/>
                                <a:ext cx="944880" cy="368935"/>
                              </a:xfrm>
                              <a:prstGeom prst="rect">
                                <a:avLst/>
                              </a:prstGeom>
                              <a:solidFill>
                                <a:srgbClr val="FFEDCE"/>
                              </a:solidFill>
                            </wps:spPr>
                            <wps:txbx>
                              <w:txbxContent>
                                <w:p w14:paraId="6F740331" w14:textId="77777777" w:rsidR="009D0C1D" w:rsidRPr="00295DBB" w:rsidRDefault="009D0C1D" w:rsidP="00C060A2">
                                  <w:pPr>
                                    <w:jc w:val="center"/>
                                    <w:rPr>
                                      <w:rFonts w:ascii="Century Gothic" w:eastAsia="+mn-ea" w:hAnsi="Century Gothic" w:cs="+mn-cs"/>
                                      <w:b/>
                                      <w:bCs/>
                                      <w:color w:val="343433"/>
                                      <w:kern w:val="24"/>
                                      <w:sz w:val="12"/>
                                      <w:szCs w:val="12"/>
                                    </w:rPr>
                                  </w:pPr>
                                  <w:r w:rsidRPr="00295DBB">
                                    <w:rPr>
                                      <w:rFonts w:ascii="Century Gothic" w:hAnsi="Century Gothic"/>
                                      <w:b/>
                                      <w:color w:val="343433"/>
                                      <w:sz w:val="12"/>
                                      <w:szCs w:val="20"/>
                                    </w:rPr>
                                    <w:t>Провести mWRD з виявленням резистентності до RIF</w:t>
                                  </w:r>
                                </w:p>
                              </w:txbxContent>
                            </wps:txbx>
                            <wps:bodyPr wrap="square" lIns="0" tIns="0" rIns="0" bIns="0">
                              <a:noAutofit/>
                            </wps:bodyPr>
                          </wps:wsp>
                        </a:graphicData>
                      </a:graphic>
                      <wp14:sizeRelH relativeFrom="margin">
                        <wp14:pctWidth>0</wp14:pctWidth>
                      </wp14:sizeRelH>
                    </wp:anchor>
                  </w:drawing>
                </mc:Choice>
                <mc:Fallback>
                  <w:pict>
                    <v:rect w14:anchorId="446C42A5" id="_x0000_s1372" style="position:absolute;margin-left:289.7pt;margin-top:302.7pt;width:74.4pt;height:29.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" fillcolor="#ffedce" stroked="f">
                      <v:textbox inset="0,0,0,0">
                        <w:txbxContent>
                          <w:p w14:paraId="6F740331" w14:textId="77777777" w:rsidR="009D0C1D" w:rsidRPr="00295DBB" w:rsidRDefault="009D0C1D" w:rsidP="00C060A2">
                            <w:pPr>
                              <w:jc w:val="center"/>
                              <w:rPr>
                                <w:rFonts w:ascii="Century Gothic" w:eastAsia="+mn-ea" w:hAnsi="Century Gothic" w:cs="+mn-cs"/>
                                <w:b/>
                                <w:bCs/>
                                <w:color w:val="343433"/>
                                <w:kern w:val="24"/>
                                <w:sz w:val="12"/>
                                <w:szCs w:val="12"/>
                              </w:rPr>
                            </w:pPr>
                            <w:r w:rsidRPr="00295DBB">
                              <w:rPr>
                                <w:rFonts w:ascii="Century Gothic" w:hAnsi="Century Gothic"/>
                                <w:b/>
                                <w:color w:val="343433"/>
                                <w:sz w:val="12"/>
                                <w:szCs w:val="20"/>
                              </w:rPr>
                              <w:t>Провести mWRD з виявленням резистентності до RIF</w:t>
                            </w:r>
                          </w:p>
                        </w:txbxContent>
                      </v:textbox>
                    </v:rect>
                  </w:pict>
                </mc:Fallback>
              </mc:AlternateContent>
            </w:r>
            <w:r w:rsidR="00295DBB">
              <w:rPr>
                <w:noProof/>
              </w:rPr>
              <mc:AlternateContent>
                <mc:Choice Requires="wps">
                  <w:drawing>
                    <wp:anchor distT="0" distB="0" distL="114300" distR="114300" simplePos="0" relativeHeight="251719680" behindDoc="0" locked="0" layoutInCell="1" allowOverlap="1" wp14:anchorId="64AC2EF2" wp14:editId="7C149560">
                      <wp:simplePos x="0" y="0"/>
                      <wp:positionH relativeFrom="column">
                        <wp:posOffset>3519170</wp:posOffset>
                      </wp:positionH>
                      <wp:positionV relativeFrom="paragraph">
                        <wp:posOffset>3181350</wp:posOffset>
                      </wp:positionV>
                      <wp:extent cx="1261745" cy="249555"/>
                      <wp:effectExtent l="0" t="0" r="0" b="0"/>
                      <wp:wrapNone/>
                      <wp:docPr id="507866077" name="Прямокутник 16"/>
                      <wp:cNvGraphicFramePr/>
                      <a:graphic xmlns:a="http://schemas.openxmlformats.org/drawingml/2006/main">
                        <a:graphicData uri="http://schemas.microsoft.com/office/word/2010/wordprocessingShape">
                          <wps:wsp>
                            <wps:cNvSpPr/>
                            <wps:spPr>
                              <a:xfrm>
                                <a:off x="0" y="0"/>
                                <a:ext cx="1261745" cy="249555"/>
                              </a:xfrm>
                              <a:prstGeom prst="rect">
                                <a:avLst/>
                              </a:prstGeom>
                              <a:solidFill>
                                <a:srgbClr val="FFEDCE"/>
                              </a:solidFill>
                            </wps:spPr>
                            <wps:txbx>
                              <w:txbxContent>
                                <w:p w14:paraId="5E9C49DD" w14:textId="193A88D1" w:rsidR="009D0C1D" w:rsidRPr="00295DBB" w:rsidRDefault="009D0C1D" w:rsidP="00C060A2">
                                  <w:pPr>
                                    <w:jc w:val="center"/>
                                    <w:rPr>
                                      <w:rFonts w:ascii="Century Gothic" w:eastAsia="+mn-ea" w:hAnsi="Century Gothic" w:cs="+mn-cs"/>
                                      <w:b/>
                                      <w:bCs/>
                                      <w:color w:val="343433"/>
                                      <w:kern w:val="24"/>
                                      <w:sz w:val="14"/>
                                      <w:szCs w:val="14"/>
                                    </w:rPr>
                                  </w:pPr>
                                  <w:r w:rsidRPr="00295DBB">
                                    <w:rPr>
                                      <w:rFonts w:ascii="Century Gothic" w:hAnsi="Century Gothic"/>
                                      <w:b/>
                                      <w:color w:val="343433"/>
                                      <w:sz w:val="14"/>
                                      <w:szCs w:val="22"/>
                                    </w:rPr>
                                    <w:t>Ініціювати лікування препаратами першої лінії</w:t>
                                  </w:r>
                                </w:p>
                              </w:txbxContent>
                            </wps:txbx>
                            <wps:bodyPr wrap="square" lIns="0" tIns="0" rIns="0" bIns="0">
                              <a:noAutofit/>
                            </wps:bodyPr>
                          </wps:wsp>
                        </a:graphicData>
                      </a:graphic>
                      <wp14:sizeRelH relativeFrom="margin">
                        <wp14:pctWidth>0</wp14:pctWidth>
                      </wp14:sizeRelH>
                    </wp:anchor>
                  </w:drawing>
                </mc:Choice>
                <mc:Fallback>
                  <w:pict>
                    <v:rect w14:anchorId="64AC2EF2" id="_x0000_s1373" style="position:absolute;margin-left:277.1pt;margin-top:250.5pt;width:99.35pt;height:19.6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" fillcolor="#ffedce" stroked="f">
                      <v:textbox inset="0,0,0,0">
                        <w:txbxContent>
                          <w:p w14:paraId="5E9C49DD" w14:textId="193A88D1" w:rsidR="009D0C1D" w:rsidRPr="00295DBB" w:rsidRDefault="009D0C1D" w:rsidP="00C060A2">
                            <w:pPr>
                              <w:jc w:val="center"/>
                              <w:rPr>
                                <w:rFonts w:ascii="Century Gothic" w:eastAsia="+mn-ea" w:hAnsi="Century Gothic" w:cs="+mn-cs"/>
                                <w:b/>
                                <w:bCs/>
                                <w:color w:val="343433"/>
                                <w:kern w:val="24"/>
                                <w:sz w:val="14"/>
                                <w:szCs w:val="14"/>
                              </w:rPr>
                            </w:pPr>
                            <w:r w:rsidRPr="00295DBB">
                              <w:rPr>
                                <w:rFonts w:ascii="Century Gothic" w:hAnsi="Century Gothic"/>
                                <w:b/>
                                <w:color w:val="343433"/>
                                <w:sz w:val="14"/>
                                <w:szCs w:val="22"/>
                              </w:rPr>
                              <w:t>Ініціювати лікування препаратами першої лінії</w:t>
                            </w:r>
                          </w:p>
                        </w:txbxContent>
                      </v:textbox>
                    </v:rect>
                  </w:pict>
                </mc:Fallback>
              </mc:AlternateContent>
            </w:r>
            <w:r w:rsidR="00295DBB">
              <w:rPr>
                <w:noProof/>
              </w:rPr>
              <mc:AlternateContent>
                <mc:Choice Requires="wps">
                  <w:drawing>
                    <wp:anchor distT="0" distB="0" distL="114300" distR="114300" simplePos="0" relativeHeight="251710464" behindDoc="0" locked="0" layoutInCell="1" allowOverlap="1" wp14:anchorId="11A54CB6" wp14:editId="1A905E0C">
                      <wp:simplePos x="0" y="0"/>
                      <wp:positionH relativeFrom="column">
                        <wp:posOffset>1210310</wp:posOffset>
                      </wp:positionH>
                      <wp:positionV relativeFrom="paragraph">
                        <wp:posOffset>3036570</wp:posOffset>
                      </wp:positionV>
                      <wp:extent cx="1150620" cy="289560"/>
                      <wp:effectExtent l="0" t="0" r="0" b="0"/>
                      <wp:wrapNone/>
                      <wp:docPr id="632450538" name="Прямокутник 7"/>
                      <wp:cNvGraphicFramePr/>
                      <a:graphic xmlns:a="http://schemas.openxmlformats.org/drawingml/2006/main">
                        <a:graphicData uri="http://schemas.microsoft.com/office/word/2010/wordprocessingShape">
                          <wps:wsp>
                            <wps:cNvSpPr/>
                            <wps:spPr>
                              <a:xfrm>
                                <a:off x="0" y="0"/>
                                <a:ext cx="1150620" cy="289560"/>
                              </a:xfrm>
                              <a:prstGeom prst="rect">
                                <a:avLst/>
                              </a:prstGeom>
                              <a:solidFill>
                                <a:srgbClr val="FFEDCE"/>
                              </a:solidFill>
                            </wps:spPr>
                            <wps:txbx>
                              <w:txbxContent>
                                <w:p w14:paraId="4F421855" w14:textId="77777777" w:rsidR="009D0C1D" w:rsidRPr="00295DBB" w:rsidRDefault="009D0C1D" w:rsidP="00C060A2">
                                  <w:pPr>
                                    <w:jc w:val="center"/>
                                    <w:rPr>
                                      <w:rFonts w:ascii="Century Gothic" w:eastAsia="+mn-ea" w:hAnsi="Century Gothic" w:cs="+mn-cs"/>
                                      <w:color w:val="343433"/>
                                      <w:kern w:val="24"/>
                                      <w:sz w:val="14"/>
                                      <w:szCs w:val="14"/>
                                    </w:rPr>
                                  </w:pPr>
                                  <w:r w:rsidRPr="00295DBB">
                                    <w:rPr>
                                      <w:rFonts w:ascii="Century Gothic" w:hAnsi="Century Gothic"/>
                                      <w:color w:val="343433"/>
                                      <w:sz w:val="14"/>
                                      <w:szCs w:val="22"/>
                                    </w:rPr>
                                    <w:t>Оцінити</w:t>
                                  </w:r>
                                </w:p>
                                <w:p w14:paraId="35AC4F3E" w14:textId="77777777" w:rsidR="009D0C1D" w:rsidRPr="00295DBB" w:rsidRDefault="009D0C1D" w:rsidP="00C060A2">
                                  <w:pPr>
                                    <w:rPr>
                                      <w:rFonts w:ascii="Century Gothic" w:eastAsia="+mn-ea" w:hAnsi="Century Gothic" w:cs="+mn-cs"/>
                                      <w:b/>
                                      <w:bCs/>
                                      <w:color w:val="343433"/>
                                      <w:kern w:val="24"/>
                                      <w:sz w:val="14"/>
                                      <w:szCs w:val="14"/>
                                    </w:rPr>
                                  </w:pPr>
                                  <w:r w:rsidRPr="00295DBB">
                                    <w:rPr>
                                      <w:rFonts w:ascii="Century Gothic" w:hAnsi="Century Gothic"/>
                                      <w:b/>
                                      <w:color w:val="343433"/>
                                      <w:sz w:val="14"/>
                                      <w:szCs w:val="22"/>
                                    </w:rPr>
                                    <w:t>Крива плавлення Ultra</w:t>
                                  </w:r>
                                  <w:r w:rsidRPr="00295DBB">
                                    <w:rPr>
                                      <w:rFonts w:ascii="Century Gothic" w:hAnsi="Century Gothic"/>
                                      <w:b/>
                                      <w:color w:val="0099D6"/>
                                      <w:sz w:val="16"/>
                                      <w:szCs w:val="22"/>
                                      <w:vertAlign w:val="superscript"/>
                                    </w:rPr>
                                    <w:t>i</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1A54CB6" id="_x0000_s1374" style="position:absolute;margin-left:95.3pt;margin-top:239.1pt;width:90.6pt;height:2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" fillcolor="#ffedce" stroked="f">
                      <v:textbox inset="0,0,0,0">
                        <w:txbxContent>
                          <w:p w14:paraId="4F421855" w14:textId="77777777" w:rsidR="009D0C1D" w:rsidRPr="00295DBB" w:rsidRDefault="009D0C1D" w:rsidP="00C060A2">
                            <w:pPr>
                              <w:jc w:val="center"/>
                              <w:rPr>
                                <w:rFonts w:ascii="Century Gothic" w:eastAsia="+mn-ea" w:hAnsi="Century Gothic" w:cs="+mn-cs"/>
                                <w:color w:val="343433"/>
                                <w:kern w:val="24"/>
                                <w:sz w:val="14"/>
                                <w:szCs w:val="14"/>
                              </w:rPr>
                            </w:pPr>
                            <w:r w:rsidRPr="00295DBB">
                              <w:rPr>
                                <w:rFonts w:ascii="Century Gothic" w:hAnsi="Century Gothic"/>
                                <w:color w:val="343433"/>
                                <w:sz w:val="14"/>
                                <w:szCs w:val="22"/>
                              </w:rPr>
                              <w:t>Оцінити</w:t>
                            </w:r>
                          </w:p>
                          <w:p w14:paraId="35AC4F3E" w14:textId="77777777" w:rsidR="009D0C1D" w:rsidRPr="00295DBB" w:rsidRDefault="009D0C1D" w:rsidP="00C060A2">
                            <w:pPr>
                              <w:rPr>
                                <w:rFonts w:ascii="Century Gothic" w:eastAsia="+mn-ea" w:hAnsi="Century Gothic" w:cs="+mn-cs"/>
                                <w:b/>
                                <w:bCs/>
                                <w:color w:val="343433"/>
                                <w:kern w:val="24"/>
                                <w:sz w:val="14"/>
                                <w:szCs w:val="14"/>
                              </w:rPr>
                            </w:pPr>
                            <w:r w:rsidRPr="00295DBB">
                              <w:rPr>
                                <w:rFonts w:ascii="Century Gothic" w:hAnsi="Century Gothic"/>
                                <w:b/>
                                <w:color w:val="343433"/>
                                <w:sz w:val="14"/>
                                <w:szCs w:val="22"/>
                              </w:rPr>
                              <w:t>Крива плавлення Ultra</w:t>
                            </w:r>
                            <w:r w:rsidRPr="00295DBB">
                              <w:rPr>
                                <w:rFonts w:ascii="Century Gothic" w:hAnsi="Century Gothic"/>
                                <w:b/>
                                <w:color w:val="0099D6"/>
                                <w:sz w:val="16"/>
                                <w:szCs w:val="22"/>
                                <w:vertAlign w:val="superscript"/>
                              </w:rPr>
                              <w:t>i</w:t>
                            </w:r>
                          </w:p>
                        </w:txbxContent>
                      </v:textbox>
                    </v:rect>
                  </w:pict>
                </mc:Fallback>
              </mc:AlternateContent>
            </w:r>
            <w:r w:rsidR="00295DBB">
              <w:rPr>
                <w:noProof/>
              </w:rPr>
              <mc:AlternateContent>
                <mc:Choice Requires="wps">
                  <w:drawing>
                    <wp:anchor distT="0" distB="0" distL="114300" distR="114300" simplePos="0" relativeHeight="251709440" behindDoc="0" locked="0" layoutInCell="1" allowOverlap="1" wp14:anchorId="40166B2E" wp14:editId="5A7FF094">
                      <wp:simplePos x="0" y="0"/>
                      <wp:positionH relativeFrom="column">
                        <wp:posOffset>1583690</wp:posOffset>
                      </wp:positionH>
                      <wp:positionV relativeFrom="paragraph">
                        <wp:posOffset>2556510</wp:posOffset>
                      </wp:positionV>
                      <wp:extent cx="403860" cy="153670"/>
                      <wp:effectExtent l="0" t="0" r="0" b="0"/>
                      <wp:wrapNone/>
                      <wp:docPr id="109900536" name="Прямокутник 6"/>
                      <wp:cNvGraphicFramePr/>
                      <a:graphic xmlns:a="http://schemas.openxmlformats.org/drawingml/2006/main">
                        <a:graphicData uri="http://schemas.microsoft.com/office/word/2010/wordprocessingShape">
                          <wps:wsp>
                            <wps:cNvSpPr/>
                            <wps:spPr>
                              <a:xfrm>
                                <a:off x="0" y="0"/>
                                <a:ext cx="403860" cy="153670"/>
                              </a:xfrm>
                              <a:prstGeom prst="rect">
                                <a:avLst/>
                              </a:prstGeom>
                              <a:solidFill>
                                <a:srgbClr val="FFEDCE"/>
                              </a:solidFill>
                            </wps:spPr>
                            <wps:txbx>
                              <w:txbxContent>
                                <w:p w14:paraId="6D384B1E" w14:textId="77777777" w:rsidR="009D0C1D" w:rsidRPr="00BC7F53" w:rsidRDefault="009D0C1D" w:rsidP="00C060A2">
                                  <w:pPr>
                                    <w:rPr>
                                      <w:rFonts w:ascii="Century Gothic" w:eastAsia="+mn-ea" w:hAnsi="Century Gothic" w:cs="+mn-cs"/>
                                      <w:b/>
                                      <w:bCs/>
                                      <w:color w:val="343433"/>
                                      <w:kern w:val="24"/>
                                      <w:sz w:val="16"/>
                                      <w:szCs w:val="16"/>
                                    </w:rPr>
                                  </w:pPr>
                                  <w:r w:rsidRPr="00BC7F53">
                                    <w:rPr>
                                      <w:rFonts w:ascii="Century Gothic" w:hAnsi="Century Gothic"/>
                                      <w:b/>
                                      <w:color w:val="343433"/>
                                      <w:sz w:val="16"/>
                                      <w:szCs w:val="20"/>
                                    </w:rPr>
                                    <w:t>Ultra</w:t>
                                  </w:r>
                                </w:p>
                              </w:txbxContent>
                            </wps:txbx>
                            <wps:bodyPr wrap="square" lIns="0" tIns="0" rIns="0" bIns="0">
                              <a:noAutofit/>
                            </wps:bodyPr>
                          </wps:wsp>
                        </a:graphicData>
                      </a:graphic>
                      <wp14:sizeRelH relativeFrom="margin">
                        <wp14:pctWidth>0</wp14:pctWidth>
                      </wp14:sizeRelH>
                    </wp:anchor>
                  </w:drawing>
                </mc:Choice>
                <mc:Fallback>
                  <w:pict>
                    <v:rect w14:anchorId="40166B2E" id="_x0000_s1375" style="position:absolute;margin-left:124.7pt;margin-top:201.3pt;width:31.8pt;height:1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" fillcolor="#ffedce" stroked="f">
                      <v:textbox inset="0,0,0,0">
                        <w:txbxContent>
                          <w:p w14:paraId="6D384B1E" w14:textId="77777777" w:rsidR="009D0C1D" w:rsidRPr="00BC7F53" w:rsidRDefault="009D0C1D" w:rsidP="00C060A2">
                            <w:pPr>
                              <w:rPr>
                                <w:rFonts w:ascii="Century Gothic" w:eastAsia="+mn-ea" w:hAnsi="Century Gothic" w:cs="+mn-cs"/>
                                <w:b/>
                                <w:bCs/>
                                <w:color w:val="343433"/>
                                <w:kern w:val="24"/>
                                <w:sz w:val="16"/>
                                <w:szCs w:val="16"/>
                              </w:rPr>
                            </w:pPr>
                            <w:r w:rsidRPr="00BC7F53">
                              <w:rPr>
                                <w:rFonts w:ascii="Century Gothic" w:hAnsi="Century Gothic"/>
                                <w:b/>
                                <w:color w:val="343433"/>
                                <w:sz w:val="16"/>
                                <w:szCs w:val="20"/>
                              </w:rPr>
                              <w:t>Ultra</w:t>
                            </w:r>
                          </w:p>
                        </w:txbxContent>
                      </v:textbox>
                    </v:rect>
                  </w:pict>
                </mc:Fallback>
              </mc:AlternateContent>
            </w:r>
            <w:r w:rsidR="00295DBB">
              <w:rPr>
                <w:noProof/>
              </w:rPr>
              <mc:AlternateContent>
                <mc:Choice Requires="wps">
                  <w:drawing>
                    <wp:anchor distT="0" distB="0" distL="114300" distR="114300" simplePos="0" relativeHeight="251708416" behindDoc="0" locked="0" layoutInCell="1" allowOverlap="1" wp14:anchorId="09B6CB6B" wp14:editId="786D3C3A">
                      <wp:simplePos x="0" y="0"/>
                      <wp:positionH relativeFrom="column">
                        <wp:posOffset>2452370</wp:posOffset>
                      </wp:positionH>
                      <wp:positionV relativeFrom="paragraph">
                        <wp:posOffset>1588770</wp:posOffset>
                      </wp:positionV>
                      <wp:extent cx="1988820" cy="281940"/>
                      <wp:effectExtent l="0" t="0" r="0" b="3810"/>
                      <wp:wrapNone/>
                      <wp:docPr id="593544748" name="Прямокутник 5"/>
                      <wp:cNvGraphicFramePr/>
                      <a:graphic xmlns:a="http://schemas.openxmlformats.org/drawingml/2006/main">
                        <a:graphicData uri="http://schemas.microsoft.com/office/word/2010/wordprocessingShape">
                          <wps:wsp>
                            <wps:cNvSpPr/>
                            <wps:spPr>
                              <a:xfrm>
                                <a:off x="0" y="0"/>
                                <a:ext cx="1988820" cy="281940"/>
                              </a:xfrm>
                              <a:prstGeom prst="rect">
                                <a:avLst/>
                              </a:prstGeom>
                              <a:solidFill>
                                <a:srgbClr val="FFD58A"/>
                              </a:solidFill>
                            </wps:spPr>
                            <wps:txbx>
                              <w:txbxContent>
                                <w:p w14:paraId="17971875" w14:textId="77777777" w:rsidR="009D0C1D" w:rsidRPr="00295DBB" w:rsidRDefault="009D0C1D" w:rsidP="00C060A2">
                                  <w:pPr>
                                    <w:rPr>
                                      <w:rFonts w:ascii="Century Gothic" w:eastAsia="+mn-ea" w:hAnsi="Century Gothic" w:cs="+mn-cs"/>
                                      <w:b/>
                                      <w:bCs/>
                                      <w:color w:val="343433"/>
                                      <w:kern w:val="24"/>
                                      <w:sz w:val="16"/>
                                      <w:szCs w:val="16"/>
                                    </w:rPr>
                                  </w:pPr>
                                  <w:r w:rsidRPr="00295DBB">
                                    <w:rPr>
                                      <w:rFonts w:ascii="Century Gothic" w:hAnsi="Century Gothic"/>
                                      <w:b/>
                                      <w:color w:val="343433"/>
                                      <w:sz w:val="16"/>
                                      <w:szCs w:val="22"/>
                                    </w:rPr>
                                    <w:t>Невизначені або невідомі результати резистентності до RIF</w:t>
                                  </w:r>
                                  <w:r w:rsidRPr="00295DBB">
                                    <w:rPr>
                                      <w:rFonts w:ascii="Century Gothic" w:hAnsi="Century Gothic"/>
                                      <w:b/>
                                      <w:color w:val="0099D6"/>
                                      <w:sz w:val="16"/>
                                      <w:szCs w:val="22"/>
                                      <w:vertAlign w:val="superscript"/>
                                    </w:rPr>
                                    <w:t>i</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9B6CB6B" id="_x0000_s1376" style="position:absolute;margin-left:193.1pt;margin-top:125.1pt;width:156.6pt;height:2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" fillcolor="#ffd58a" stroked="f">
                      <v:textbox inset="0,0,0,0">
                        <w:txbxContent>
                          <w:p w14:paraId="17971875" w14:textId="77777777" w:rsidR="009D0C1D" w:rsidRPr="00295DBB" w:rsidRDefault="009D0C1D" w:rsidP="00C060A2">
                            <w:pPr>
                              <w:rPr>
                                <w:rFonts w:ascii="Century Gothic" w:eastAsia="+mn-ea" w:hAnsi="Century Gothic" w:cs="+mn-cs"/>
                                <w:b/>
                                <w:bCs/>
                                <w:color w:val="343433"/>
                                <w:kern w:val="24"/>
                                <w:sz w:val="16"/>
                                <w:szCs w:val="16"/>
                              </w:rPr>
                            </w:pPr>
                            <w:r w:rsidRPr="00295DBB">
                              <w:rPr>
                                <w:rFonts w:ascii="Century Gothic" w:hAnsi="Century Gothic"/>
                                <w:b/>
                                <w:color w:val="343433"/>
                                <w:sz w:val="16"/>
                                <w:szCs w:val="22"/>
                              </w:rPr>
                              <w:t>Невизначені або невідомі результати резистентності до RIF</w:t>
                            </w:r>
                            <w:r w:rsidRPr="00295DBB">
                              <w:rPr>
                                <w:rFonts w:ascii="Century Gothic" w:hAnsi="Century Gothic"/>
                                <w:b/>
                                <w:color w:val="0099D6"/>
                                <w:sz w:val="16"/>
                                <w:szCs w:val="22"/>
                                <w:vertAlign w:val="superscript"/>
                              </w:rPr>
                              <w:t>i</w:t>
                            </w:r>
                          </w:p>
                        </w:txbxContent>
                      </v:textbox>
                    </v:rect>
                  </w:pict>
                </mc:Fallback>
              </mc:AlternateContent>
            </w:r>
            <w:r w:rsidR="00295DBB">
              <w:rPr>
                <w:noProof/>
              </w:rPr>
              <mc:AlternateContent>
                <mc:Choice Requires="wps">
                  <w:drawing>
                    <wp:anchor distT="0" distB="0" distL="114300" distR="114300" simplePos="0" relativeHeight="251706368" behindDoc="0" locked="0" layoutInCell="1" allowOverlap="1" wp14:anchorId="349FE8AA" wp14:editId="6C3C8CBA">
                      <wp:simplePos x="0" y="0"/>
                      <wp:positionH relativeFrom="column">
                        <wp:posOffset>1979930</wp:posOffset>
                      </wp:positionH>
                      <wp:positionV relativeFrom="paragraph">
                        <wp:posOffset>971550</wp:posOffset>
                      </wp:positionV>
                      <wp:extent cx="2340610" cy="312420"/>
                      <wp:effectExtent l="0" t="0" r="2540" b="0"/>
                      <wp:wrapNone/>
                      <wp:docPr id="809713708" name="Прямокутник 3"/>
                      <wp:cNvGraphicFramePr/>
                      <a:graphic xmlns:a="http://schemas.openxmlformats.org/drawingml/2006/main">
                        <a:graphicData uri="http://schemas.microsoft.com/office/word/2010/wordprocessingShape">
                          <wps:wsp>
                            <wps:cNvSpPr/>
                            <wps:spPr>
                              <a:xfrm>
                                <a:off x="0" y="0"/>
                                <a:ext cx="2340610" cy="312420"/>
                              </a:xfrm>
                              <a:prstGeom prst="rect">
                                <a:avLst/>
                              </a:prstGeom>
                              <a:solidFill>
                                <a:srgbClr val="FFD58A"/>
                              </a:solidFill>
                            </wps:spPr>
                            <wps:txbx>
                              <w:txbxContent>
                                <w:p w14:paraId="2A696B71" w14:textId="77777777" w:rsidR="009D0C1D" w:rsidRPr="00295DBB" w:rsidRDefault="009D0C1D" w:rsidP="00C060A2">
                                  <w:pPr>
                                    <w:rPr>
                                      <w:rFonts w:ascii="Century Gothic" w:eastAsia="+mn-ea" w:hAnsi="Century Gothic" w:cs="+mn-cs"/>
                                      <w:b/>
                                      <w:bCs/>
                                      <w:color w:val="343433"/>
                                      <w:kern w:val="24"/>
                                      <w:sz w:val="16"/>
                                      <w:szCs w:val="16"/>
                                    </w:rPr>
                                  </w:pPr>
                                  <w:r w:rsidRPr="00295DBB">
                                    <w:rPr>
                                      <w:rFonts w:ascii="Century Gothic" w:hAnsi="Century Gothic"/>
                                      <w:b/>
                                      <w:color w:val="343433"/>
                                      <w:sz w:val="16"/>
                                      <w:szCs w:val="22"/>
                                    </w:rPr>
                                    <w:t>MTBC виявлено (у разі Ultra немає слідового результату)</w:t>
                                  </w:r>
                                  <w:r w:rsidRPr="00295DBB">
                                    <w:rPr>
                                      <w:rFonts w:ascii="Century Gothic" w:hAnsi="Century Gothic"/>
                                      <w:b/>
                                      <w:color w:val="0099D6"/>
                                      <w:sz w:val="16"/>
                                      <w:szCs w:val="22"/>
                                      <w:vertAlign w:val="superscript"/>
                                    </w:rPr>
                                    <w:t>g</w:t>
                                  </w:r>
                                </w:p>
                              </w:txbxContent>
                            </wps:txbx>
                            <wps:bodyPr wrap="square" lIns="0" tIns="0" rIns="0" bIns="0">
                              <a:noAutofit/>
                            </wps:bodyPr>
                          </wps:wsp>
                        </a:graphicData>
                      </a:graphic>
                      <wp14:sizeRelV relativeFrom="margin">
                        <wp14:pctHeight>0</wp14:pctHeight>
                      </wp14:sizeRelV>
                    </wp:anchor>
                  </w:drawing>
                </mc:Choice>
                <mc:Fallback>
                  <w:pict>
                    <v:rect w14:anchorId="349FE8AA" id="_x0000_s1377" style="position:absolute;margin-left:155.9pt;margin-top:76.5pt;width:184.3pt;height:24.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" fillcolor="#ffd58a" stroked="f">
                      <v:textbox inset="0,0,0,0">
                        <w:txbxContent>
                          <w:p w14:paraId="2A696B71" w14:textId="77777777" w:rsidR="009D0C1D" w:rsidRPr="00295DBB" w:rsidRDefault="009D0C1D" w:rsidP="00C060A2">
                            <w:pPr>
                              <w:rPr>
                                <w:rFonts w:ascii="Century Gothic" w:eastAsia="+mn-ea" w:hAnsi="Century Gothic" w:cs="+mn-cs"/>
                                <w:b/>
                                <w:bCs/>
                                <w:color w:val="343433"/>
                                <w:kern w:val="24"/>
                                <w:sz w:val="16"/>
                                <w:szCs w:val="16"/>
                              </w:rPr>
                            </w:pPr>
                            <w:r w:rsidRPr="00295DBB">
                              <w:rPr>
                                <w:rFonts w:ascii="Century Gothic" w:hAnsi="Century Gothic"/>
                                <w:b/>
                                <w:color w:val="343433"/>
                                <w:sz w:val="16"/>
                                <w:szCs w:val="22"/>
                              </w:rPr>
                              <w:t>MTBC виявлено (у разі Ultra немає слідового результату)</w:t>
                            </w:r>
                            <w:r w:rsidRPr="00295DBB">
                              <w:rPr>
                                <w:rFonts w:ascii="Century Gothic" w:hAnsi="Century Gothic"/>
                                <w:b/>
                                <w:color w:val="0099D6"/>
                                <w:sz w:val="16"/>
                                <w:szCs w:val="22"/>
                                <w:vertAlign w:val="superscript"/>
                              </w:rPr>
                              <w:t>g</w:t>
                            </w:r>
                          </w:p>
                        </w:txbxContent>
                      </v:textbox>
                    </v:rect>
                  </w:pict>
                </mc:Fallback>
              </mc:AlternateContent>
            </w:r>
            <w:r w:rsidR="00C060A2">
              <w:rPr>
                <w:noProof/>
              </w:rPr>
              <mc:AlternateContent>
                <mc:Choice Requires="wps">
                  <w:drawing>
                    <wp:anchor distT="0" distB="0" distL="114300" distR="114300" simplePos="0" relativeHeight="251705344" behindDoc="0" locked="0" layoutInCell="1" allowOverlap="1" wp14:anchorId="68EB12F5" wp14:editId="0941E4AB">
                      <wp:simplePos x="0" y="0"/>
                      <wp:positionH relativeFrom="column">
                        <wp:posOffset>103505</wp:posOffset>
                      </wp:positionH>
                      <wp:positionV relativeFrom="paragraph">
                        <wp:posOffset>752475</wp:posOffset>
                      </wp:positionV>
                      <wp:extent cx="450850" cy="264160"/>
                      <wp:effectExtent l="0" t="0" r="6350" b="2540"/>
                      <wp:wrapNone/>
                      <wp:docPr id="643383932" name="Прямокутник 2"/>
                      <wp:cNvGraphicFramePr/>
                      <a:graphic xmlns:a="http://schemas.openxmlformats.org/drawingml/2006/main">
                        <a:graphicData uri="http://schemas.microsoft.com/office/word/2010/wordprocessingShape">
                          <wps:wsp>
                            <wps:cNvSpPr/>
                            <wps:spPr>
                              <a:xfrm>
                                <a:off x="0" y="0"/>
                                <a:ext cx="450850" cy="264160"/>
                              </a:xfrm>
                              <a:prstGeom prst="rect">
                                <a:avLst/>
                              </a:prstGeom>
                              <a:solidFill>
                                <a:srgbClr val="D4D9ED"/>
                              </a:solidFill>
                            </wps:spPr>
                            <wps:txbx>
                              <w:txbxContent>
                                <w:p w14:paraId="4528D2A5" w14:textId="77777777" w:rsidR="009D0C1D" w:rsidRPr="00295DBB" w:rsidRDefault="009D0C1D" w:rsidP="00C060A2">
                                  <w:pPr>
                                    <w:spacing w:line="288" w:lineRule="auto"/>
                                    <w:jc w:val="both"/>
                                    <w:rPr>
                                      <w:rFonts w:eastAsia="+mn-ea" w:cs="+mn-cs"/>
                                      <w:kern w:val="24"/>
                                      <w:sz w:val="11"/>
                                      <w:szCs w:val="11"/>
                                    </w:rPr>
                                  </w:pPr>
                                  <w:r w:rsidRPr="00295DBB">
                                    <w:rPr>
                                      <w:sz w:val="11"/>
                                      <w:szCs w:val="20"/>
                                    </w:rPr>
                                    <w:t>Повернутись до алгоритму</w:t>
                                  </w:r>
                                </w:p>
                              </w:txbxContent>
                            </wps:txbx>
                            <wps:bodyPr wrap="square" lIns="0" tIns="0" rIns="0" bIns="0">
                              <a:noAutofit/>
                            </wps:bodyPr>
                          </wps:wsp>
                        </a:graphicData>
                      </a:graphic>
                    </wp:anchor>
                  </w:drawing>
                </mc:Choice>
                <mc:Fallback>
                  <w:pict>
                    <v:rect w14:anchorId="68EB12F5" id="_x0000_s1378" style="position:absolute;margin-left:8.15pt;margin-top:59.25pt;width:35.5pt;height:20.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" fillcolor="#d4d9ed" stroked="f">
                      <v:textbox inset="0,0,0,0">
                        <w:txbxContent>
                          <w:p w14:paraId="4528D2A5" w14:textId="77777777" w:rsidR="009D0C1D" w:rsidRPr="00295DBB" w:rsidRDefault="009D0C1D" w:rsidP="00C060A2">
                            <w:pPr>
                              <w:spacing w:line="288" w:lineRule="auto"/>
                              <w:jc w:val="both"/>
                              <w:rPr>
                                <w:rFonts w:eastAsia="+mn-ea" w:cs="+mn-cs"/>
                                <w:kern w:val="24"/>
                                <w:sz w:val="11"/>
                                <w:szCs w:val="11"/>
                              </w:rPr>
                            </w:pPr>
                            <w:r w:rsidRPr="00295DBB">
                              <w:rPr>
                                <w:sz w:val="11"/>
                                <w:szCs w:val="20"/>
                              </w:rPr>
                              <w:t>Повернутись до алгоритму</w:t>
                            </w:r>
                          </w:p>
                        </w:txbxContent>
                      </v:textbox>
                    </v:rect>
                  </w:pict>
                </mc:Fallback>
              </mc:AlternateContent>
            </w:r>
            <w:r w:rsidR="00C060A2">
              <w:rPr>
                <w:noProof/>
              </w:rPr>
              <mc:AlternateContent>
                <mc:Choice Requires="wps">
                  <w:drawing>
                    <wp:anchor distT="0" distB="0" distL="114300" distR="114300" simplePos="0" relativeHeight="251707392" behindDoc="0" locked="0" layoutInCell="1" allowOverlap="1" wp14:anchorId="1F3739C4" wp14:editId="47420B7F">
                      <wp:simplePos x="0" y="0"/>
                      <wp:positionH relativeFrom="column">
                        <wp:posOffset>1428115</wp:posOffset>
                      </wp:positionH>
                      <wp:positionV relativeFrom="paragraph">
                        <wp:posOffset>1482090</wp:posOffset>
                      </wp:positionV>
                      <wp:extent cx="173355" cy="138430"/>
                      <wp:effectExtent l="0" t="0" r="0" b="0"/>
                      <wp:wrapNone/>
                      <wp:docPr id="730449657" name="Прямокутник 4"/>
                      <wp:cNvGraphicFramePr/>
                      <a:graphic xmlns:a="http://schemas.openxmlformats.org/drawingml/2006/main">
                        <a:graphicData uri="http://schemas.microsoft.com/office/word/2010/wordprocessingShape">
                          <wps:wsp>
                            <wps:cNvSpPr/>
                            <wps:spPr>
                              <a:xfrm>
                                <a:off x="0" y="0"/>
                                <a:ext cx="173355" cy="138430"/>
                              </a:xfrm>
                              <a:prstGeom prst="rect">
                                <a:avLst/>
                              </a:prstGeom>
                              <a:solidFill>
                                <a:srgbClr val="545454"/>
                              </a:solidFill>
                            </wps:spPr>
                            <wps:txbx>
                              <w:txbxContent>
                                <w:p w14:paraId="5335ECE0" w14:textId="77777777" w:rsidR="009D0C1D" w:rsidRPr="00C060A2" w:rsidRDefault="009D0C1D" w:rsidP="00C060A2">
                                  <w:pPr>
                                    <w:rPr>
                                      <w:rFonts w:ascii="Century Gothic" w:eastAsia="+mn-ea" w:hAnsi="Century Gothic" w:cs="+mn-cs"/>
                                      <w:b/>
                                      <w:bCs/>
                                      <w:color w:val="FFFFFF"/>
                                      <w:kern w:val="24"/>
                                      <w:sz w:val="18"/>
                                      <w:szCs w:val="18"/>
                                    </w:rPr>
                                  </w:pPr>
                                  <w:r>
                                    <w:rPr>
                                      <w:rFonts w:ascii="Century Gothic" w:hAnsi="Century Gothic"/>
                                      <w:b/>
                                      <w:color w:val="FFFFFF"/>
                                      <w:sz w:val="18"/>
                                    </w:rPr>
                                    <w:t>RIF</w:t>
                                  </w:r>
                                </w:p>
                              </w:txbxContent>
                            </wps:txbx>
                            <wps:bodyPr wrap="square" lIns="0" tIns="0" rIns="0" bIns="0">
                              <a:noAutofit/>
                            </wps:bodyPr>
                          </wps:wsp>
                        </a:graphicData>
                      </a:graphic>
                    </wp:anchor>
                  </w:drawing>
                </mc:Choice>
                <mc:Fallback>
                  <w:pict>
                    <v:rect w14:anchorId="1F3739C4" id="_x0000_s1379" style="position:absolute;margin-left:112.45pt;margin-top:116.7pt;width:13.65pt;height:10.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" fillcolor="#545454" stroked="f">
                      <v:textbox inset="0,0,0,0">
                        <w:txbxContent>
                          <w:p w14:paraId="5335ECE0" w14:textId="77777777" w:rsidR="009D0C1D" w:rsidRPr="00C060A2" w:rsidRDefault="009D0C1D" w:rsidP="00C060A2">
                            <w:pPr>
                              <w:rPr>
                                <w:rFonts w:ascii="Century Gothic" w:eastAsia="+mn-ea" w:hAnsi="Century Gothic" w:cs="+mn-cs"/>
                                <w:b/>
                                <w:bCs/>
                                <w:color w:val="FFFFFF"/>
                                <w:kern w:val="24"/>
                                <w:sz w:val="18"/>
                                <w:szCs w:val="18"/>
                              </w:rPr>
                            </w:pPr>
                            <w:r>
                              <w:rPr>
                                <w:rFonts w:ascii="Century Gothic" w:hAnsi="Century Gothic"/>
                                <w:b/>
                                <w:color w:val="FFFFFF"/>
                                <w:sz w:val="18"/>
                              </w:rPr>
                              <w:t>RIF</w:t>
                            </w:r>
                          </w:p>
                        </w:txbxContent>
                      </v:textbox>
                    </v:rect>
                  </w:pict>
                </mc:Fallback>
              </mc:AlternateContent>
            </w:r>
            <w:r w:rsidR="00C060A2">
              <w:rPr>
                <w:noProof/>
              </w:rPr>
              <mc:AlternateContent>
                <mc:Choice Requires="wps">
                  <w:drawing>
                    <wp:anchor distT="0" distB="0" distL="114300" distR="114300" simplePos="0" relativeHeight="251713536" behindDoc="0" locked="0" layoutInCell="1" allowOverlap="1" wp14:anchorId="418E36DC" wp14:editId="630EC43A">
                      <wp:simplePos x="0" y="0"/>
                      <wp:positionH relativeFrom="column">
                        <wp:posOffset>867410</wp:posOffset>
                      </wp:positionH>
                      <wp:positionV relativeFrom="paragraph">
                        <wp:posOffset>4965700</wp:posOffset>
                      </wp:positionV>
                      <wp:extent cx="130810" cy="99695"/>
                      <wp:effectExtent l="0" t="0" r="2540" b="0"/>
                      <wp:wrapNone/>
                      <wp:docPr id="1824120165" name="Прямокутник 10"/>
                      <wp:cNvGraphicFramePr/>
                      <a:graphic xmlns:a="http://schemas.openxmlformats.org/drawingml/2006/main">
                        <a:graphicData uri="http://schemas.microsoft.com/office/word/2010/wordprocessingShape">
                          <wps:wsp>
                            <wps:cNvSpPr/>
                            <wps:spPr>
                              <a:xfrm>
                                <a:off x="0" y="0"/>
                                <a:ext cx="130810" cy="99695"/>
                              </a:xfrm>
                              <a:prstGeom prst="rect">
                                <a:avLst/>
                              </a:prstGeom>
                              <a:solidFill>
                                <a:srgbClr val="C90102"/>
                              </a:solidFill>
                            </wps:spPr>
                            <wps:txbx>
                              <w:txbxContent>
                                <w:p w14:paraId="4CC5794C" w14:textId="77777777" w:rsidR="009D0C1D" w:rsidRPr="00C060A2" w:rsidRDefault="009D0C1D" w:rsidP="00C060A2">
                                  <w:pPr>
                                    <w:rPr>
                                      <w:rFonts w:ascii="Century Gothic" w:eastAsia="+mn-ea" w:hAnsi="Century Gothic" w:cs="+mn-cs"/>
                                      <w:b/>
                                      <w:bCs/>
                                      <w:color w:val="FFFFFF"/>
                                      <w:kern w:val="24"/>
                                      <w:sz w:val="13"/>
                                      <w:szCs w:val="13"/>
                                    </w:rPr>
                                  </w:pPr>
                                  <w:r>
                                    <w:rPr>
                                      <w:rFonts w:ascii="Century Gothic" w:hAnsi="Century Gothic"/>
                                      <w:b/>
                                      <w:color w:val="FFFFFF"/>
                                      <w:sz w:val="13"/>
                                    </w:rPr>
                                    <w:t>RIF</w:t>
                                  </w:r>
                                </w:p>
                              </w:txbxContent>
                            </wps:txbx>
                            <wps:bodyPr wrap="square" lIns="0" tIns="0" rIns="0" bIns="0">
                              <a:noAutofit/>
                            </wps:bodyPr>
                          </wps:wsp>
                        </a:graphicData>
                      </a:graphic>
                    </wp:anchor>
                  </w:drawing>
                </mc:Choice>
                <mc:Fallback>
                  <w:pict>
                    <v:rect w14:anchorId="418E36DC" id="_x0000_s1380" style="position:absolute;margin-left:68.3pt;margin-top:391pt;width:10.3pt;height:7.8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" fillcolor="#c90102" stroked="f">
                      <v:textbox inset="0,0,0,0">
                        <w:txbxContent>
                          <w:p w14:paraId="4CC5794C" w14:textId="77777777" w:rsidR="009D0C1D" w:rsidRPr="00C060A2" w:rsidRDefault="009D0C1D" w:rsidP="00C060A2">
                            <w:pPr>
                              <w:rPr>
                                <w:rFonts w:ascii="Century Gothic" w:eastAsia="+mn-ea" w:hAnsi="Century Gothic" w:cs="+mn-cs"/>
                                <w:b/>
                                <w:bCs/>
                                <w:color w:val="FFFFFF"/>
                                <w:kern w:val="24"/>
                                <w:sz w:val="13"/>
                                <w:szCs w:val="13"/>
                              </w:rPr>
                            </w:pPr>
                            <w:r>
                              <w:rPr>
                                <w:rFonts w:ascii="Century Gothic" w:hAnsi="Century Gothic"/>
                                <w:b/>
                                <w:color w:val="FFFFFF"/>
                                <w:sz w:val="13"/>
                              </w:rPr>
                              <w:t>RIF</w:t>
                            </w:r>
                          </w:p>
                        </w:txbxContent>
                      </v:textbox>
                    </v:rect>
                  </w:pict>
                </mc:Fallback>
              </mc:AlternateContent>
            </w:r>
            <w:r w:rsidR="00C060A2">
              <w:rPr>
                <w:noProof/>
              </w:rPr>
              <mc:AlternateContent>
                <mc:Choice Requires="wps">
                  <w:drawing>
                    <wp:anchor distT="0" distB="0" distL="114300" distR="114300" simplePos="0" relativeHeight="251714560" behindDoc="0" locked="0" layoutInCell="1" allowOverlap="1" wp14:anchorId="087AFC18" wp14:editId="0BCCE70E">
                      <wp:simplePos x="0" y="0"/>
                      <wp:positionH relativeFrom="column">
                        <wp:posOffset>1988820</wp:posOffset>
                      </wp:positionH>
                      <wp:positionV relativeFrom="paragraph">
                        <wp:posOffset>4947285</wp:posOffset>
                      </wp:positionV>
                      <wp:extent cx="130810" cy="99695"/>
                      <wp:effectExtent l="0" t="0" r="2540" b="0"/>
                      <wp:wrapNone/>
                      <wp:docPr id="1850651245" name="Прямокутник 11"/>
                      <wp:cNvGraphicFramePr/>
                      <a:graphic xmlns:a="http://schemas.openxmlformats.org/drawingml/2006/main">
                        <a:graphicData uri="http://schemas.microsoft.com/office/word/2010/wordprocessingShape">
                          <wps:wsp>
                            <wps:cNvSpPr/>
                            <wps:spPr>
                              <a:xfrm>
                                <a:off x="0" y="0"/>
                                <a:ext cx="130810" cy="99695"/>
                              </a:xfrm>
                              <a:prstGeom prst="rect">
                                <a:avLst/>
                              </a:prstGeom>
                              <a:solidFill>
                                <a:srgbClr val="009547"/>
                              </a:solidFill>
                            </wps:spPr>
                            <wps:txbx>
                              <w:txbxContent>
                                <w:p w14:paraId="6255CEBA" w14:textId="77777777" w:rsidR="009D0C1D" w:rsidRPr="00C060A2" w:rsidRDefault="009D0C1D" w:rsidP="00C060A2">
                                  <w:pPr>
                                    <w:rPr>
                                      <w:rFonts w:ascii="Century Gothic" w:eastAsia="+mn-ea" w:hAnsi="Century Gothic" w:cs="+mn-cs"/>
                                      <w:b/>
                                      <w:bCs/>
                                      <w:color w:val="FFFFFF"/>
                                      <w:kern w:val="24"/>
                                      <w:sz w:val="13"/>
                                      <w:szCs w:val="13"/>
                                    </w:rPr>
                                  </w:pPr>
                                  <w:r>
                                    <w:rPr>
                                      <w:rFonts w:ascii="Century Gothic" w:hAnsi="Century Gothic"/>
                                      <w:b/>
                                      <w:color w:val="FFFFFF"/>
                                      <w:sz w:val="13"/>
                                    </w:rPr>
                                    <w:t>RIF</w:t>
                                  </w:r>
                                </w:p>
                              </w:txbxContent>
                            </wps:txbx>
                            <wps:bodyPr wrap="square" lIns="0" tIns="0" rIns="0" bIns="0">
                              <a:noAutofit/>
                            </wps:bodyPr>
                          </wps:wsp>
                        </a:graphicData>
                      </a:graphic>
                    </wp:anchor>
                  </w:drawing>
                </mc:Choice>
                <mc:Fallback>
                  <w:pict>
                    <v:rect w14:anchorId="087AFC18" id="_x0000_s1381" style="position:absolute;margin-left:156.6pt;margin-top:389.55pt;width:10.3pt;height:7.8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" fillcolor="#009547" stroked="f">
                      <v:textbox inset="0,0,0,0">
                        <w:txbxContent>
                          <w:p w14:paraId="6255CEBA" w14:textId="77777777" w:rsidR="009D0C1D" w:rsidRPr="00C060A2" w:rsidRDefault="009D0C1D" w:rsidP="00C060A2">
                            <w:pPr>
                              <w:rPr>
                                <w:rFonts w:ascii="Century Gothic" w:eastAsia="+mn-ea" w:hAnsi="Century Gothic" w:cs="+mn-cs"/>
                                <w:b/>
                                <w:bCs/>
                                <w:color w:val="FFFFFF"/>
                                <w:kern w:val="24"/>
                                <w:sz w:val="13"/>
                                <w:szCs w:val="13"/>
                              </w:rPr>
                            </w:pPr>
                            <w:r>
                              <w:rPr>
                                <w:rFonts w:ascii="Century Gothic" w:hAnsi="Century Gothic"/>
                                <w:b/>
                                <w:color w:val="FFFFFF"/>
                                <w:sz w:val="13"/>
                              </w:rPr>
                              <w:t>RIF</w:t>
                            </w:r>
                          </w:p>
                        </w:txbxContent>
                      </v:textbox>
                    </v:rect>
                  </w:pict>
                </mc:Fallback>
              </mc:AlternateContent>
            </w:r>
            <w:r w:rsidR="00C060A2">
              <w:rPr>
                <w:noProof/>
              </w:rPr>
              <w:drawing>
                <wp:inline distT="0" distB="0" distL="0" distR="0" wp14:anchorId="5165669E" wp14:editId="6F651A8F">
                  <wp:extent cx="5858510" cy="739140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33"/>
                          <a:stretch/>
                        </pic:blipFill>
                        <pic:spPr>
                          <a:xfrm>
                            <a:off x="0" y="0"/>
                            <a:ext cx="5858510" cy="7391400"/>
                          </a:xfrm>
                          <a:prstGeom prst="rect">
                            <a:avLst/>
                          </a:prstGeom>
                        </pic:spPr>
                      </pic:pic>
                    </a:graphicData>
                  </a:graphic>
                </wp:inline>
              </w:drawing>
            </w:r>
          </w:p>
        </w:tc>
      </w:tr>
      <w:tr w:rsidR="00366CB9" w14:paraId="316D85E0" w14:textId="77777777" w:rsidTr="00BC7F53">
        <w:trPr>
          <w:trHeight w:hRule="exact" w:val="1823"/>
        </w:trPr>
        <w:tc>
          <w:tcPr>
            <w:tcW w:w="9226" w:type="dxa"/>
            <w:shd w:val="clear" w:color="auto" w:fill="FFFFFF"/>
            <w:vAlign w:val="center"/>
          </w:tcPr>
          <w:p w14:paraId="4C11176F" w14:textId="77777777" w:rsidR="00366CB9" w:rsidRDefault="009D0C1D" w:rsidP="00515F9C">
            <w:pPr>
              <w:pStyle w:val="a6"/>
              <w:shd w:val="clear" w:color="auto" w:fill="auto"/>
              <w:spacing w:after="40" w:line="266" w:lineRule="auto"/>
              <w:rPr>
                <w:sz w:val="17"/>
                <w:szCs w:val="17"/>
              </w:rPr>
            </w:pPr>
            <w:r>
              <w:rPr>
                <w:b w:val="0"/>
                <w:color w:val="000000"/>
                <w:sz w:val="17"/>
              </w:rPr>
              <w:t xml:space="preserve">ТМЧ: тестування медикаментозної чутливості; LF-LAM: ліпоарабіноманнановий тест бокового зсуву; MTB: </w:t>
            </w:r>
            <w:r>
              <w:rPr>
                <w:b w:val="0"/>
                <w:i/>
                <w:color w:val="000000"/>
                <w:sz w:val="17"/>
              </w:rPr>
              <w:t>Mycobacterium tuberculosis</w:t>
            </w:r>
            <w:r>
              <w:rPr>
                <w:b w:val="0"/>
                <w:color w:val="000000"/>
                <w:sz w:val="17"/>
              </w:rPr>
              <w:t>; mWRD: молекулярний експрес-тест для діагностики туберкульозу, рекомендований ВООЗ; ТБ: туберкульоз; ВООЗ: Всесвітня організація охорони здоров’я; WRD: експрес-тест для діагностики туберкульозу, рекомендований ВООЗ.</w:t>
            </w:r>
          </w:p>
          <w:p w14:paraId="46BCCA20" w14:textId="77777777" w:rsidR="00366CB9" w:rsidRDefault="009D0C1D" w:rsidP="00515F9C">
            <w:pPr>
              <w:pStyle w:val="a6"/>
              <w:shd w:val="clear" w:color="auto" w:fill="auto"/>
              <w:spacing w:after="40" w:line="266" w:lineRule="auto"/>
              <w:rPr>
                <w:sz w:val="17"/>
                <w:szCs w:val="17"/>
              </w:rPr>
            </w:pPr>
            <w:r>
              <w:rPr>
                <w:b w:val="0"/>
                <w:color w:val="000000"/>
                <w:sz w:val="17"/>
              </w:rPr>
              <w:t>Лікарський засіб: RIF: рифампіцин.</w:t>
            </w:r>
          </w:p>
          <w:p w14:paraId="53A30E6E" w14:textId="77777777" w:rsidR="00366CB9" w:rsidRDefault="009D0C1D" w:rsidP="00515F9C">
            <w:pPr>
              <w:pStyle w:val="a6"/>
              <w:shd w:val="clear" w:color="auto" w:fill="auto"/>
              <w:spacing w:after="40" w:line="266" w:lineRule="auto"/>
              <w:rPr>
                <w:sz w:val="17"/>
                <w:szCs w:val="17"/>
              </w:rPr>
            </w:pPr>
            <w:r>
              <w:rPr>
                <w:b w:val="0"/>
                <w:color w:val="000000"/>
                <w:sz w:val="17"/>
              </w:rPr>
              <w:t>Примітки до рисунків див. на стор. 112.</w:t>
            </w:r>
          </w:p>
        </w:tc>
      </w:tr>
    </w:tbl>
    <w:p w14:paraId="51B5BC23" w14:textId="402F8FDF"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43FF7BC8" w14:textId="77777777" w:rsidR="00366CB9" w:rsidRDefault="00366CB9" w:rsidP="00425523">
      <w:pPr>
        <w:spacing w:line="1" w:lineRule="exact"/>
      </w:pPr>
    </w:p>
    <w:p w14:paraId="3B3C852B" w14:textId="0EA56507" w:rsidR="00366CB9" w:rsidRPr="00BC7F53" w:rsidRDefault="009D0C1D" w:rsidP="00515F9C">
      <w:pPr>
        <w:pStyle w:val="1"/>
        <w:numPr>
          <w:ilvl w:val="0"/>
          <w:numId w:val="15"/>
        </w:numPr>
        <w:shd w:val="clear" w:color="auto" w:fill="auto"/>
        <w:tabs>
          <w:tab w:val="left" w:pos="318"/>
        </w:tabs>
        <w:spacing w:after="40" w:line="312" w:lineRule="auto"/>
        <w:ind w:left="300" w:hanging="300"/>
        <w:jc w:val="both"/>
        <w:rPr>
          <w:sz w:val="18"/>
          <w:szCs w:val="18"/>
        </w:rPr>
      </w:pPr>
      <w:r w:rsidRPr="00BC7F53">
        <w:rPr>
          <w:sz w:val="18"/>
          <w:szCs w:val="18"/>
        </w:rPr>
        <w:t>Якщо mWRD дає результат «MTBC виявлено, результат резистентності до RIF невизначений», особі знадобиться подальше обстеження. Це також стосується супутнього тестування з LC-aNAAT та LF-LAM (для людей, які живуть з ВІЛ), коли лише LF-LAM дає позитивний результат. Тлумачення результатів та подальше тестування для Xpert Ultra відрізняється від інших mWRD. З будь-яким з mWRD та для LF-LAM початковий результат «MTBC виявлено» (або «позитивний результат» LF-LAM) необхідно вважати бактеріологічним підтвердженням ТБ. Особі необхідно призначати відповідну схему лікування протитуберкульозними препаратами першої лінії відповідно до національних керівних принципів. Якщо у особи високий ризик МЛС-ТБ, наступним етапом є або початок лікування МЛС-ТБ на основі місцевих керівних принципів, або початок лікування препаратами першої лінії та звернення до місцевого комітету з лікування МЛС для прийняття остаточного рішення. У більшості випадків, для прийняття рішень щодо лікування, наявності в анамнезі попереднього лікування ТБ недостатньо, щоб вказати на високий ризик МЛС-ТБ.</w:t>
      </w:r>
    </w:p>
    <w:p w14:paraId="1BCD9079" w14:textId="77777777" w:rsidR="00366CB9" w:rsidRPr="00BC7F53" w:rsidRDefault="009D0C1D" w:rsidP="00515F9C">
      <w:pPr>
        <w:pStyle w:val="1"/>
        <w:numPr>
          <w:ilvl w:val="0"/>
          <w:numId w:val="23"/>
        </w:numPr>
        <w:shd w:val="clear" w:color="auto" w:fill="auto"/>
        <w:tabs>
          <w:tab w:val="left" w:pos="608"/>
        </w:tabs>
        <w:spacing w:line="324" w:lineRule="auto"/>
        <w:ind w:left="560" w:hanging="260"/>
        <w:jc w:val="both"/>
        <w:rPr>
          <w:sz w:val="18"/>
          <w:szCs w:val="18"/>
        </w:rPr>
      </w:pPr>
      <w:r w:rsidRPr="00BC7F53">
        <w:rPr>
          <w:sz w:val="18"/>
          <w:szCs w:val="18"/>
        </w:rPr>
        <w:t>Для більшості mWRD результат «MTBC виявлено, результат резистентності до RIF невизначений», як правило, спричинений навантаженням олігобацилярного ТБ у зразку; у таких випадках рекомендується повторне тестування свіжого зразка.</w:t>
      </w:r>
    </w:p>
    <w:p w14:paraId="382C413B" w14:textId="77777777" w:rsidR="00366CB9" w:rsidRPr="00BC7F53" w:rsidRDefault="009D0C1D" w:rsidP="00515F9C">
      <w:pPr>
        <w:pStyle w:val="1"/>
        <w:numPr>
          <w:ilvl w:val="0"/>
          <w:numId w:val="24"/>
        </w:numPr>
        <w:shd w:val="clear" w:color="auto" w:fill="auto"/>
        <w:tabs>
          <w:tab w:val="left" w:pos="826"/>
        </w:tabs>
        <w:spacing w:line="324" w:lineRule="auto"/>
        <w:ind w:left="820" w:hanging="240"/>
        <w:jc w:val="both"/>
        <w:rPr>
          <w:sz w:val="18"/>
          <w:szCs w:val="18"/>
        </w:rPr>
      </w:pPr>
      <w:r w:rsidRPr="00BC7F53">
        <w:rPr>
          <w:sz w:val="18"/>
          <w:szCs w:val="18"/>
        </w:rPr>
        <w:t>Якщо результат другого mWRD – «MTBC виявлено, резистентність до RIF не виявлено», необхідно виконати етап 3. У разі результату «MTBC виявлено, резистентність до RIF виявлено» необхідно виконати етап 5.</w:t>
      </w:r>
    </w:p>
    <w:p w14:paraId="14CF5505" w14:textId="77777777" w:rsidR="00366CB9" w:rsidRPr="00BC7F53" w:rsidRDefault="009D0C1D" w:rsidP="00515F9C">
      <w:pPr>
        <w:pStyle w:val="1"/>
        <w:numPr>
          <w:ilvl w:val="0"/>
          <w:numId w:val="24"/>
        </w:numPr>
        <w:shd w:val="clear" w:color="auto" w:fill="auto"/>
        <w:tabs>
          <w:tab w:val="left" w:pos="878"/>
        </w:tabs>
        <w:spacing w:line="324" w:lineRule="auto"/>
        <w:ind w:left="820" w:hanging="240"/>
        <w:jc w:val="both"/>
        <w:rPr>
          <w:sz w:val="18"/>
          <w:szCs w:val="18"/>
        </w:rPr>
      </w:pPr>
      <w:r w:rsidRPr="00BC7F53">
        <w:rPr>
          <w:sz w:val="18"/>
          <w:szCs w:val="18"/>
        </w:rPr>
        <w:t>У деяких випадках тестування другого зразка, у якому також може міститись дуже мало бактерій, може призвести до результату «MTBC виявлено, результат резистентності до RIF невизначений» або «MTB не виявлено». У цих ситуаціях можуть знадобитися додаткові обстеження, такі як культуральне та фенотипове ТМЧ або молекулярне тестування ізоляту або секвенування, щоб підтвердити або виключити резистентність до RIF, оскільки невизначений результат не дає інформації про резистентність. Результати «MTBC виявлено (немає слідів), результат резистентності до RIF невизначений», отримані за допомогою тесту Xpert Ultra (особливо ті, що мають високі або середні напівкількісні результати), можуть бути пов’язані з наявністю великих делецій або множинних мутацій у RRDR, або з мутаціями, що порушують роботу програмного забезпечення для аналізу мутацій (</w:t>
      </w:r>
      <w:hyperlink w:anchor="bookmark200" w:tooltip="Поточний документ">
        <w:r w:rsidR="00366CB9" w:rsidRPr="00BC7F53">
          <w:rPr>
            <w:sz w:val="18"/>
            <w:szCs w:val="18"/>
          </w:rPr>
          <w:t>88</w:t>
        </w:r>
      </w:hyperlink>
      <w:r w:rsidRPr="00BC7F53">
        <w:rPr>
          <w:sz w:val="18"/>
          <w:szCs w:val="18"/>
        </w:rPr>
        <w:t>).</w:t>
      </w:r>
    </w:p>
    <w:p w14:paraId="70FD5976" w14:textId="77777777" w:rsidR="00366CB9" w:rsidRPr="00BC7F53" w:rsidRDefault="009D0C1D" w:rsidP="00515F9C">
      <w:pPr>
        <w:pStyle w:val="1"/>
        <w:numPr>
          <w:ilvl w:val="0"/>
          <w:numId w:val="24"/>
        </w:numPr>
        <w:shd w:val="clear" w:color="auto" w:fill="auto"/>
        <w:tabs>
          <w:tab w:val="left" w:pos="931"/>
        </w:tabs>
        <w:spacing w:line="324" w:lineRule="auto"/>
        <w:ind w:left="820" w:hanging="240"/>
        <w:jc w:val="both"/>
        <w:rPr>
          <w:sz w:val="18"/>
          <w:szCs w:val="18"/>
        </w:rPr>
      </w:pPr>
      <w:r w:rsidRPr="00BC7F53">
        <w:rPr>
          <w:sz w:val="18"/>
          <w:szCs w:val="18"/>
        </w:rPr>
        <w:t>Криві плавлення Xpert Ultra для зразків «MTBC виявлено (немає слідів), результат резистентності до RIF невизначений» необхідно переглянути (бажано досвідченим користувачем Xpert або керівником), включаючи огляд ампліфікації цільових послідовностей та профілю кривих плавлення (</w:t>
      </w:r>
      <w:hyperlink w:anchor="bookmark200" w:tooltip="Поточний документ">
        <w:r w:rsidR="00366CB9" w:rsidRPr="00BC7F53">
          <w:rPr>
            <w:sz w:val="18"/>
            <w:szCs w:val="18"/>
          </w:rPr>
          <w:t>88</w:t>
        </w:r>
      </w:hyperlink>
      <w:r w:rsidRPr="00BC7F53">
        <w:rPr>
          <w:sz w:val="18"/>
          <w:szCs w:val="18"/>
        </w:rPr>
        <w:t>).</w:t>
      </w:r>
    </w:p>
    <w:p w14:paraId="425DE9FF" w14:textId="77A044A9" w:rsidR="00366CB9" w:rsidRPr="00BC7F53" w:rsidRDefault="00FE22F4" w:rsidP="00515F9C">
      <w:pPr>
        <w:pStyle w:val="1"/>
        <w:shd w:val="clear" w:color="auto" w:fill="auto"/>
        <w:spacing w:line="324" w:lineRule="auto"/>
        <w:ind w:left="1080" w:hanging="260"/>
        <w:jc w:val="both"/>
        <w:rPr>
          <w:sz w:val="18"/>
          <w:szCs w:val="18"/>
        </w:rPr>
      </w:pPr>
      <w:r w:rsidRPr="00BC7F53">
        <w:rPr>
          <w:color w:val="019648"/>
          <w:sz w:val="18"/>
          <w:szCs w:val="18"/>
        </w:rPr>
        <w:sym w:font="Wingdings" w:char="F09F"/>
      </w:r>
      <w:r w:rsidRPr="00BC7F53">
        <w:rPr>
          <w:color w:val="019648"/>
          <w:sz w:val="18"/>
          <w:szCs w:val="18"/>
        </w:rPr>
        <w:t xml:space="preserve"> </w:t>
      </w:r>
      <w:r w:rsidR="00BC7F53">
        <w:tab/>
      </w:r>
      <w:r w:rsidRPr="00BC7F53">
        <w:rPr>
          <w:sz w:val="18"/>
          <w:szCs w:val="18"/>
        </w:rPr>
        <w:t>Криві плавлення, що вказують на наявність великої делеції або множинних мутацій у RRDR, необхідно тлумачити як «резистентність до RIF виявлено». У таких випадках необхідно виконати етапи 4.b та 4.c.</w:t>
      </w:r>
    </w:p>
    <w:p w14:paraId="27E6A54B" w14:textId="6964D90E" w:rsidR="00366CB9" w:rsidRPr="00BC7F53" w:rsidRDefault="00FE22F4" w:rsidP="00515F9C">
      <w:pPr>
        <w:pStyle w:val="1"/>
        <w:shd w:val="clear" w:color="auto" w:fill="auto"/>
        <w:spacing w:line="324" w:lineRule="auto"/>
        <w:ind w:left="1080" w:hanging="260"/>
        <w:jc w:val="both"/>
        <w:rPr>
          <w:sz w:val="18"/>
          <w:szCs w:val="18"/>
        </w:rPr>
      </w:pPr>
      <w:r w:rsidRPr="00BC7F53">
        <w:rPr>
          <w:color w:val="019648"/>
          <w:sz w:val="18"/>
          <w:szCs w:val="18"/>
        </w:rPr>
        <w:sym w:font="Wingdings" w:char="F09F"/>
      </w:r>
      <w:r w:rsidRPr="00BC7F53">
        <w:rPr>
          <w:color w:val="019648"/>
          <w:sz w:val="18"/>
          <w:szCs w:val="18"/>
        </w:rPr>
        <w:t xml:space="preserve"> </w:t>
      </w:r>
      <w:r w:rsidR="00BC7F53">
        <w:tab/>
      </w:r>
      <w:r w:rsidRPr="00BC7F53">
        <w:rPr>
          <w:sz w:val="18"/>
          <w:szCs w:val="18"/>
        </w:rPr>
        <w:t>Якщо крива плавлення не відповідає наявності великої делеції або множинних мутацій у RRDR, результат визначається як «невизначений». У таких випадках необхідно виконати етап 5a.ii для додаткового тестування.</w:t>
      </w:r>
    </w:p>
    <w:p w14:paraId="565FF6ED" w14:textId="218F102B" w:rsidR="00366CB9" w:rsidRPr="00BC7F53" w:rsidRDefault="00FE22F4" w:rsidP="00515F9C">
      <w:pPr>
        <w:pStyle w:val="1"/>
        <w:shd w:val="clear" w:color="auto" w:fill="auto"/>
        <w:spacing w:line="324" w:lineRule="auto"/>
        <w:ind w:left="1080" w:hanging="260"/>
        <w:jc w:val="both"/>
        <w:rPr>
          <w:sz w:val="18"/>
          <w:szCs w:val="18"/>
        </w:rPr>
      </w:pPr>
      <w:r w:rsidRPr="00BC7F53">
        <w:rPr>
          <w:color w:val="019648"/>
          <w:sz w:val="18"/>
          <w:szCs w:val="18"/>
        </w:rPr>
        <w:sym w:font="Wingdings" w:char="F09F"/>
      </w:r>
      <w:r w:rsidRPr="00BC7F53">
        <w:rPr>
          <w:color w:val="019648"/>
          <w:sz w:val="18"/>
          <w:szCs w:val="18"/>
        </w:rPr>
        <w:t xml:space="preserve"> </w:t>
      </w:r>
      <w:r w:rsidR="00BC7F53">
        <w:tab/>
      </w:r>
      <w:r w:rsidRPr="00BC7F53">
        <w:rPr>
          <w:sz w:val="18"/>
          <w:szCs w:val="18"/>
        </w:rPr>
        <w:t>Якщо напівкількісний результат є високим або середнім, може застосовуватись FL-LPA або секвенування ДНК.</w:t>
      </w:r>
    </w:p>
    <w:p w14:paraId="3A90C348" w14:textId="77777777" w:rsidR="00366CB9" w:rsidRPr="00BC7F53" w:rsidRDefault="009D0C1D" w:rsidP="00515F9C">
      <w:pPr>
        <w:pStyle w:val="1"/>
        <w:numPr>
          <w:ilvl w:val="0"/>
          <w:numId w:val="23"/>
        </w:numPr>
        <w:shd w:val="clear" w:color="auto" w:fill="auto"/>
        <w:tabs>
          <w:tab w:val="left" w:pos="622"/>
        </w:tabs>
        <w:spacing w:line="324" w:lineRule="auto"/>
        <w:ind w:left="560" w:hanging="260"/>
        <w:jc w:val="both"/>
        <w:rPr>
          <w:sz w:val="18"/>
          <w:szCs w:val="18"/>
        </w:rPr>
      </w:pPr>
      <w:r w:rsidRPr="00BC7F53">
        <w:rPr>
          <w:sz w:val="18"/>
          <w:szCs w:val="18"/>
        </w:rPr>
        <w:t>Для подальшого тестування можна здійснити посів та фенотипове ТМЧ, FL-LPA або секвенування ДНК для підтвердження або виключення резистентності до RIF.</w:t>
      </w:r>
    </w:p>
    <w:p w14:paraId="5EA06B2F"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4B3CD599" w14:textId="2DC81072"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202"/>
      </w:tblGrid>
      <w:tr w:rsidR="00366CB9" w14:paraId="2BADBFCC" w14:textId="77777777" w:rsidTr="00515F9C">
        <w:trPr>
          <w:trHeight w:hRule="exact" w:val="10008"/>
        </w:trPr>
        <w:tc>
          <w:tcPr>
            <w:tcW w:w="9202" w:type="dxa"/>
            <w:shd w:val="clear" w:color="auto" w:fill="FFFFFF"/>
          </w:tcPr>
          <w:p w14:paraId="77DB1B28" w14:textId="47ED86D1" w:rsidR="00366CB9" w:rsidRDefault="00BC7F53" w:rsidP="00515F9C">
            <w:pPr>
              <w:rPr>
                <w:sz w:val="2"/>
                <w:szCs w:val="2"/>
              </w:rPr>
            </w:pPr>
            <w:r>
              <w:rPr>
                <w:noProof/>
              </w:rPr>
              <mc:AlternateContent>
                <mc:Choice Requires="wps">
                  <w:drawing>
                    <wp:anchor distT="0" distB="0" distL="114300" distR="114300" simplePos="0" relativeHeight="251731968" behindDoc="0" locked="0" layoutInCell="1" allowOverlap="1" wp14:anchorId="3EE2F862" wp14:editId="769FCAF1">
                      <wp:simplePos x="0" y="0"/>
                      <wp:positionH relativeFrom="column">
                        <wp:posOffset>3144701</wp:posOffset>
                      </wp:positionH>
                      <wp:positionV relativeFrom="paragraph">
                        <wp:posOffset>4460421</wp:posOffset>
                      </wp:positionV>
                      <wp:extent cx="1992086" cy="1616257"/>
                      <wp:effectExtent l="0" t="0" r="8255" b="3175"/>
                      <wp:wrapNone/>
                      <wp:docPr id="1299495526" name="Прямокутник 11"/>
                      <wp:cNvGraphicFramePr/>
                      <a:graphic xmlns:a="http://schemas.openxmlformats.org/drawingml/2006/main">
                        <a:graphicData uri="http://schemas.microsoft.com/office/word/2010/wordprocessingShape">
                          <wps:wsp>
                            <wps:cNvSpPr/>
                            <wps:spPr>
                              <a:xfrm>
                                <a:off x="0" y="0"/>
                                <a:ext cx="1992086" cy="1616257"/>
                              </a:xfrm>
                              <a:prstGeom prst="rect">
                                <a:avLst/>
                              </a:prstGeom>
                              <a:solidFill>
                                <a:srgbClr val="CDBFD0"/>
                              </a:solidFill>
                            </wps:spPr>
                            <wps:txbx>
                              <w:txbxContent>
                                <w:p w14:paraId="1BEEAF38" w14:textId="77777777" w:rsidR="009D0C1D" w:rsidRPr="00BC7F53" w:rsidRDefault="009D0C1D" w:rsidP="00CF0462">
                                  <w:pPr>
                                    <w:spacing w:after="140"/>
                                    <w:rPr>
                                      <w:rFonts w:ascii="Century Gothic" w:eastAsia="+mn-ea" w:hAnsi="Century Gothic" w:cs="+mn-cs"/>
                                      <w:color w:val="343433"/>
                                      <w:kern w:val="24"/>
                                      <w:sz w:val="16"/>
                                      <w:szCs w:val="16"/>
                                    </w:rPr>
                                  </w:pPr>
                                  <w:r w:rsidRPr="00BC7F53">
                                    <w:rPr>
                                      <w:rFonts w:ascii="Century Gothic" w:hAnsi="Century Gothic"/>
                                      <w:color w:val="343433"/>
                                      <w:sz w:val="16"/>
                                      <w:szCs w:val="22"/>
                                    </w:rPr>
                                    <w:t xml:space="preserve">Нещодавнє лікування ТБ може давати </w:t>
                                  </w:r>
                                  <w:r w:rsidRPr="00BC7F53">
                                    <w:rPr>
                                      <w:rFonts w:ascii="Century Gothic" w:hAnsi="Century Gothic"/>
                                      <w:b/>
                                      <w:color w:val="343433"/>
                                      <w:sz w:val="16"/>
                                      <w:szCs w:val="22"/>
                                    </w:rPr>
                                    <w:t xml:space="preserve">хибнопозитивний </w:t>
                                  </w:r>
                                  <w:r w:rsidRPr="00BC7F53">
                                    <w:rPr>
                                      <w:rFonts w:ascii="Century Gothic" w:hAnsi="Century Gothic"/>
                                      <w:color w:val="343433"/>
                                      <w:sz w:val="16"/>
                                      <w:szCs w:val="22"/>
                                    </w:rPr>
                                    <w:t>результат</w:t>
                                  </w:r>
                                  <w:r w:rsidRPr="00BC7F53">
                                    <w:rPr>
                                      <w:rFonts w:ascii="Century Gothic" w:hAnsi="Century Gothic"/>
                                      <w:b/>
                                      <w:color w:val="0099D6"/>
                                      <w:sz w:val="16"/>
                                      <w:szCs w:val="22"/>
                                      <w:vertAlign w:val="superscript"/>
                                    </w:rPr>
                                    <w:t>s</w:t>
                                  </w:r>
                                </w:p>
                                <w:p w14:paraId="2EC4B2B0" w14:textId="77777777" w:rsidR="009D0C1D" w:rsidRPr="00BC7F53" w:rsidRDefault="009D0C1D" w:rsidP="00CF0462">
                                  <w:pPr>
                                    <w:spacing w:after="140"/>
                                    <w:rPr>
                                      <w:rFonts w:ascii="Century Gothic" w:eastAsia="+mn-ea" w:hAnsi="Century Gothic" w:cs="+mn-cs"/>
                                      <w:b/>
                                      <w:bCs/>
                                      <w:color w:val="343433"/>
                                      <w:kern w:val="24"/>
                                      <w:sz w:val="16"/>
                                      <w:szCs w:val="16"/>
                                    </w:rPr>
                                  </w:pPr>
                                  <w:r w:rsidRPr="00BC7F53">
                                    <w:rPr>
                                      <w:rFonts w:ascii="Century Gothic" w:hAnsi="Century Gothic"/>
                                      <w:b/>
                                      <w:color w:val="343433"/>
                                      <w:sz w:val="16"/>
                                      <w:szCs w:val="22"/>
                                    </w:rPr>
                                    <w:t>Провести повторну клінічну оцінку пацієнта</w:t>
                                  </w:r>
                                  <w:r w:rsidRPr="00BC7F53">
                                    <w:rPr>
                                      <w:rFonts w:ascii="Century Gothic" w:hAnsi="Century Gothic"/>
                                      <w:b/>
                                      <w:color w:val="0099D6"/>
                                      <w:sz w:val="16"/>
                                      <w:szCs w:val="22"/>
                                      <w:vertAlign w:val="superscript"/>
                                    </w:rPr>
                                    <w:t>n</w:t>
                                  </w:r>
                                </w:p>
                                <w:p w14:paraId="4B07DE62" w14:textId="77777777" w:rsidR="009D0C1D" w:rsidRPr="00BC7F53" w:rsidRDefault="009D0C1D" w:rsidP="00CF0462">
                                  <w:pPr>
                                    <w:spacing w:after="140"/>
                                    <w:rPr>
                                      <w:rFonts w:ascii="Century Gothic" w:eastAsia="+mn-ea" w:hAnsi="Century Gothic" w:cs="+mn-cs"/>
                                      <w:color w:val="343433"/>
                                      <w:kern w:val="24"/>
                                      <w:sz w:val="16"/>
                                      <w:szCs w:val="16"/>
                                    </w:rPr>
                                  </w:pPr>
                                  <w:r w:rsidRPr="00BC7F53">
                                    <w:rPr>
                                      <w:rFonts w:ascii="Century Gothic" w:hAnsi="Century Gothic"/>
                                      <w:color w:val="343433"/>
                                      <w:sz w:val="16"/>
                                      <w:szCs w:val="22"/>
                                    </w:rPr>
                                    <w:t xml:space="preserve">Провести </w:t>
                                  </w:r>
                                  <w:r w:rsidRPr="00BC7F53">
                                    <w:rPr>
                                      <w:rFonts w:ascii="Century Gothic" w:hAnsi="Century Gothic"/>
                                      <w:b/>
                                      <w:color w:val="343433"/>
                                      <w:sz w:val="16"/>
                                      <w:szCs w:val="22"/>
                                    </w:rPr>
                                    <w:t xml:space="preserve">додаткове тестування на наявність ТБ та резистентності до RIF </w:t>
                                  </w:r>
                                  <w:r w:rsidRPr="00BC7F53">
                                    <w:rPr>
                                      <w:rFonts w:ascii="Century Gothic" w:hAnsi="Century Gothic"/>
                                      <w:color w:val="343433"/>
                                      <w:sz w:val="16"/>
                                      <w:szCs w:val="22"/>
                                    </w:rPr>
                                    <w:t>відповідно до національних керівних принципів</w:t>
                                  </w:r>
                                  <w:r w:rsidRPr="00BC7F53">
                                    <w:rPr>
                                      <w:rFonts w:ascii="Century Gothic" w:hAnsi="Century Gothic"/>
                                      <w:b/>
                                      <w:color w:val="0099D6"/>
                                      <w:sz w:val="16"/>
                                      <w:szCs w:val="22"/>
                                      <w:vertAlign w:val="superscript"/>
                                    </w:rPr>
                                    <w:t>r</w:t>
                                  </w:r>
                                </w:p>
                                <w:p w14:paraId="07EB2448" w14:textId="77777777" w:rsidR="009D0C1D" w:rsidRPr="00BC7F53" w:rsidRDefault="009D0C1D" w:rsidP="00CF0462">
                                  <w:pPr>
                                    <w:rPr>
                                      <w:rFonts w:ascii="Century Gothic" w:eastAsia="+mn-ea" w:hAnsi="Century Gothic" w:cs="+mn-cs"/>
                                      <w:color w:val="343433"/>
                                      <w:kern w:val="24"/>
                                      <w:sz w:val="16"/>
                                      <w:szCs w:val="16"/>
                                    </w:rPr>
                                  </w:pPr>
                                  <w:r w:rsidRPr="00BC7F53">
                                    <w:rPr>
                                      <w:rFonts w:ascii="Century Gothic" w:hAnsi="Century Gothic"/>
                                      <w:color w:val="343433"/>
                                      <w:sz w:val="16"/>
                                      <w:szCs w:val="22"/>
                                    </w:rPr>
                                    <w:t xml:space="preserve">Використати </w:t>
                                  </w:r>
                                  <w:r w:rsidRPr="00BC7F53">
                                    <w:rPr>
                                      <w:rFonts w:ascii="Century Gothic" w:hAnsi="Century Gothic"/>
                                      <w:b/>
                                      <w:color w:val="343433"/>
                                      <w:sz w:val="16"/>
                                      <w:szCs w:val="22"/>
                                    </w:rPr>
                                    <w:t xml:space="preserve">клінічне судження </w:t>
                                  </w:r>
                                  <w:r w:rsidRPr="00BC7F53">
                                    <w:rPr>
                                      <w:rFonts w:ascii="Century Gothic" w:hAnsi="Century Gothic"/>
                                      <w:color w:val="343433"/>
                                      <w:sz w:val="16"/>
                                      <w:szCs w:val="22"/>
                                    </w:rPr>
                                    <w:t>для прийняття рішень щодо лікування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EE2F862" id="_x0000_s1382" style="position:absolute;margin-left:247.6pt;margin-top:351.2pt;width:156.85pt;height:12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" fillcolor="#cdbfd0" stroked="f">
                      <v:textbox inset="0,0,0,0">
                        <w:txbxContent>
                          <w:p w14:paraId="1BEEAF38" w14:textId="77777777" w:rsidR="009D0C1D" w:rsidRPr="00BC7F53" w:rsidRDefault="009D0C1D" w:rsidP="00CF0462">
                            <w:pPr>
                              <w:spacing w:after="140"/>
                              <w:rPr>
                                <w:rFonts w:ascii="Century Gothic" w:eastAsia="+mn-ea" w:hAnsi="Century Gothic" w:cs="+mn-cs"/>
                                <w:color w:val="343433"/>
                                <w:kern w:val="24"/>
                                <w:sz w:val="16"/>
                                <w:szCs w:val="16"/>
                              </w:rPr>
                            </w:pPr>
                            <w:r w:rsidRPr="00BC7F53">
                              <w:rPr>
                                <w:rFonts w:ascii="Century Gothic" w:hAnsi="Century Gothic"/>
                                <w:color w:val="343433"/>
                                <w:sz w:val="16"/>
                                <w:szCs w:val="22"/>
                              </w:rPr>
                              <w:t xml:space="preserve">Нещодавнє лікування ТБ може давати </w:t>
                            </w:r>
                            <w:r w:rsidRPr="00BC7F53">
                              <w:rPr>
                                <w:rFonts w:ascii="Century Gothic" w:hAnsi="Century Gothic"/>
                                <w:b/>
                                <w:color w:val="343433"/>
                                <w:sz w:val="16"/>
                                <w:szCs w:val="22"/>
                              </w:rPr>
                              <w:t xml:space="preserve">хибнопозитивний </w:t>
                            </w:r>
                            <w:r w:rsidRPr="00BC7F53">
                              <w:rPr>
                                <w:rFonts w:ascii="Century Gothic" w:hAnsi="Century Gothic"/>
                                <w:color w:val="343433"/>
                                <w:sz w:val="16"/>
                                <w:szCs w:val="22"/>
                              </w:rPr>
                              <w:t>результат</w:t>
                            </w:r>
                            <w:r w:rsidRPr="00BC7F53">
                              <w:rPr>
                                <w:rFonts w:ascii="Century Gothic" w:hAnsi="Century Gothic"/>
                                <w:b/>
                                <w:color w:val="0099D6"/>
                                <w:sz w:val="16"/>
                                <w:szCs w:val="22"/>
                                <w:vertAlign w:val="superscript"/>
                              </w:rPr>
                              <w:t>s</w:t>
                            </w:r>
                          </w:p>
                          <w:p w14:paraId="2EC4B2B0" w14:textId="77777777" w:rsidR="009D0C1D" w:rsidRPr="00BC7F53" w:rsidRDefault="009D0C1D" w:rsidP="00CF0462">
                            <w:pPr>
                              <w:spacing w:after="140"/>
                              <w:rPr>
                                <w:rFonts w:ascii="Century Gothic" w:eastAsia="+mn-ea" w:hAnsi="Century Gothic" w:cs="+mn-cs"/>
                                <w:b/>
                                <w:bCs/>
                                <w:color w:val="343433"/>
                                <w:kern w:val="24"/>
                                <w:sz w:val="16"/>
                                <w:szCs w:val="16"/>
                              </w:rPr>
                            </w:pPr>
                            <w:r w:rsidRPr="00BC7F53">
                              <w:rPr>
                                <w:rFonts w:ascii="Century Gothic" w:hAnsi="Century Gothic"/>
                                <w:b/>
                                <w:color w:val="343433"/>
                                <w:sz w:val="16"/>
                                <w:szCs w:val="22"/>
                              </w:rPr>
                              <w:t>Провести повторну клінічну оцінку пацієнта</w:t>
                            </w:r>
                            <w:r w:rsidRPr="00BC7F53">
                              <w:rPr>
                                <w:rFonts w:ascii="Century Gothic" w:hAnsi="Century Gothic"/>
                                <w:b/>
                                <w:color w:val="0099D6"/>
                                <w:sz w:val="16"/>
                                <w:szCs w:val="22"/>
                                <w:vertAlign w:val="superscript"/>
                              </w:rPr>
                              <w:t>n</w:t>
                            </w:r>
                          </w:p>
                          <w:p w14:paraId="4B07DE62" w14:textId="77777777" w:rsidR="009D0C1D" w:rsidRPr="00BC7F53" w:rsidRDefault="009D0C1D" w:rsidP="00CF0462">
                            <w:pPr>
                              <w:spacing w:after="140"/>
                              <w:rPr>
                                <w:rFonts w:ascii="Century Gothic" w:eastAsia="+mn-ea" w:hAnsi="Century Gothic" w:cs="+mn-cs"/>
                                <w:color w:val="343433"/>
                                <w:kern w:val="24"/>
                                <w:sz w:val="16"/>
                                <w:szCs w:val="16"/>
                              </w:rPr>
                            </w:pPr>
                            <w:r w:rsidRPr="00BC7F53">
                              <w:rPr>
                                <w:rFonts w:ascii="Century Gothic" w:hAnsi="Century Gothic"/>
                                <w:color w:val="343433"/>
                                <w:sz w:val="16"/>
                                <w:szCs w:val="22"/>
                              </w:rPr>
                              <w:t xml:space="preserve">Провести </w:t>
                            </w:r>
                            <w:r w:rsidRPr="00BC7F53">
                              <w:rPr>
                                <w:rFonts w:ascii="Century Gothic" w:hAnsi="Century Gothic"/>
                                <w:b/>
                                <w:color w:val="343433"/>
                                <w:sz w:val="16"/>
                                <w:szCs w:val="22"/>
                              </w:rPr>
                              <w:t xml:space="preserve">додаткове тестування на наявність ТБ та резистентності до RIF </w:t>
                            </w:r>
                            <w:r w:rsidRPr="00BC7F53">
                              <w:rPr>
                                <w:rFonts w:ascii="Century Gothic" w:hAnsi="Century Gothic"/>
                                <w:color w:val="343433"/>
                                <w:sz w:val="16"/>
                                <w:szCs w:val="22"/>
                              </w:rPr>
                              <w:t>відповідно до національних керівних принципів</w:t>
                            </w:r>
                            <w:r w:rsidRPr="00BC7F53">
                              <w:rPr>
                                <w:rFonts w:ascii="Century Gothic" w:hAnsi="Century Gothic"/>
                                <w:b/>
                                <w:color w:val="0099D6"/>
                                <w:sz w:val="16"/>
                                <w:szCs w:val="22"/>
                                <w:vertAlign w:val="superscript"/>
                              </w:rPr>
                              <w:t>r</w:t>
                            </w:r>
                          </w:p>
                          <w:p w14:paraId="07EB2448" w14:textId="77777777" w:rsidR="009D0C1D" w:rsidRPr="00BC7F53" w:rsidRDefault="009D0C1D" w:rsidP="00CF0462">
                            <w:pPr>
                              <w:rPr>
                                <w:rFonts w:ascii="Century Gothic" w:eastAsia="+mn-ea" w:hAnsi="Century Gothic" w:cs="+mn-cs"/>
                                <w:color w:val="343433"/>
                                <w:kern w:val="24"/>
                                <w:sz w:val="16"/>
                                <w:szCs w:val="16"/>
                              </w:rPr>
                            </w:pPr>
                            <w:r w:rsidRPr="00BC7F53">
                              <w:rPr>
                                <w:rFonts w:ascii="Century Gothic" w:hAnsi="Century Gothic"/>
                                <w:color w:val="343433"/>
                                <w:sz w:val="16"/>
                                <w:szCs w:val="22"/>
                              </w:rPr>
                              <w:t xml:space="preserve">Використати </w:t>
                            </w:r>
                            <w:r w:rsidRPr="00BC7F53">
                              <w:rPr>
                                <w:rFonts w:ascii="Century Gothic" w:hAnsi="Century Gothic"/>
                                <w:b/>
                                <w:color w:val="343433"/>
                                <w:sz w:val="16"/>
                                <w:szCs w:val="22"/>
                              </w:rPr>
                              <w:t xml:space="preserve">клінічне судження </w:t>
                            </w:r>
                            <w:r w:rsidRPr="00BC7F53">
                              <w:rPr>
                                <w:rFonts w:ascii="Century Gothic" w:hAnsi="Century Gothic"/>
                                <w:color w:val="343433"/>
                                <w:sz w:val="16"/>
                                <w:szCs w:val="22"/>
                              </w:rPr>
                              <w:t>для прийняття рішень щодо лікування</w:t>
                            </w:r>
                          </w:p>
                        </w:txbxContent>
                      </v:textbox>
                    </v:rect>
                  </w:pict>
                </mc:Fallback>
              </mc:AlternateContent>
            </w:r>
            <w:r>
              <w:rPr>
                <w:noProof/>
              </w:rPr>
              <mc:AlternateContent>
                <mc:Choice Requires="wps">
                  <w:drawing>
                    <wp:anchor distT="0" distB="0" distL="114300" distR="114300" simplePos="0" relativeHeight="251730944" behindDoc="0" locked="0" layoutInCell="1" allowOverlap="1" wp14:anchorId="6866E18A" wp14:editId="3E73EE7E">
                      <wp:simplePos x="0" y="0"/>
                      <wp:positionH relativeFrom="column">
                        <wp:posOffset>755287</wp:posOffset>
                      </wp:positionH>
                      <wp:positionV relativeFrom="paragraph">
                        <wp:posOffset>5244192</wp:posOffset>
                      </wp:positionV>
                      <wp:extent cx="1959610" cy="832757"/>
                      <wp:effectExtent l="0" t="0" r="2540" b="5715"/>
                      <wp:wrapNone/>
                      <wp:docPr id="129386038" name="Прямокутник 10"/>
                      <wp:cNvGraphicFramePr/>
                      <a:graphic xmlns:a="http://schemas.openxmlformats.org/drawingml/2006/main">
                        <a:graphicData uri="http://schemas.microsoft.com/office/word/2010/wordprocessingShape">
                          <wps:wsp>
                            <wps:cNvSpPr/>
                            <wps:spPr>
                              <a:xfrm>
                                <a:off x="0" y="0"/>
                                <a:ext cx="1959610" cy="832757"/>
                              </a:xfrm>
                              <a:prstGeom prst="rect">
                                <a:avLst/>
                              </a:prstGeom>
                              <a:solidFill>
                                <a:srgbClr val="CDBFD0"/>
                              </a:solidFill>
                            </wps:spPr>
                            <wps:txbx>
                              <w:txbxContent>
                                <w:p w14:paraId="4872DE62" w14:textId="77777777" w:rsidR="009D0C1D" w:rsidRPr="00BC7F53" w:rsidRDefault="009D0C1D" w:rsidP="00CF0462">
                                  <w:pPr>
                                    <w:spacing w:after="140"/>
                                    <w:rPr>
                                      <w:rFonts w:ascii="Century Gothic" w:eastAsia="+mn-ea" w:hAnsi="Century Gothic" w:cs="+mn-cs"/>
                                      <w:color w:val="343433"/>
                                      <w:kern w:val="24"/>
                                      <w:sz w:val="16"/>
                                      <w:szCs w:val="16"/>
                                    </w:rPr>
                                  </w:pPr>
                                  <w:r w:rsidRPr="00BC7F53">
                                    <w:rPr>
                                      <w:rFonts w:ascii="Century Gothic" w:hAnsi="Century Gothic"/>
                                      <w:color w:val="343433"/>
                                      <w:sz w:val="16"/>
                                      <w:szCs w:val="22"/>
                                    </w:rPr>
                                    <w:t xml:space="preserve">Провести додаткові обстеження для </w:t>
                                  </w:r>
                                  <w:r w:rsidRPr="00BC7F53">
                                    <w:rPr>
                                      <w:rFonts w:ascii="Century Gothic" w:hAnsi="Century Gothic"/>
                                      <w:b/>
                                      <w:color w:val="343433"/>
                                      <w:sz w:val="16"/>
                                      <w:szCs w:val="22"/>
                                    </w:rPr>
                                    <w:t>оцінки резистентності до рифампіцину</w:t>
                                  </w:r>
                                  <w:r w:rsidRPr="00BC7F53">
                                    <w:rPr>
                                      <w:rFonts w:ascii="Century Gothic" w:hAnsi="Century Gothic"/>
                                      <w:b/>
                                      <w:color w:val="0099D6"/>
                                      <w:sz w:val="16"/>
                                      <w:szCs w:val="22"/>
                                      <w:vertAlign w:val="superscript"/>
                                    </w:rPr>
                                    <w:t>r</w:t>
                                  </w:r>
                                </w:p>
                                <w:p w14:paraId="79CA2A44" w14:textId="77777777" w:rsidR="009D0C1D" w:rsidRPr="00BC7F53" w:rsidRDefault="009D0C1D" w:rsidP="00CF0462">
                                  <w:pPr>
                                    <w:rPr>
                                      <w:rFonts w:ascii="Century Gothic" w:eastAsia="+mn-ea" w:hAnsi="Century Gothic" w:cs="+mn-cs"/>
                                      <w:color w:val="343433"/>
                                      <w:kern w:val="24"/>
                                      <w:sz w:val="16"/>
                                      <w:szCs w:val="16"/>
                                    </w:rPr>
                                  </w:pPr>
                                  <w:r w:rsidRPr="00BC7F53">
                                    <w:rPr>
                                      <w:rFonts w:ascii="Century Gothic" w:hAnsi="Century Gothic"/>
                                      <w:color w:val="343433"/>
                                      <w:sz w:val="16"/>
                                      <w:szCs w:val="22"/>
                                    </w:rPr>
                                    <w:t>Переглянути лікування на основі результатів ТМЧ</w:t>
                                  </w:r>
                                </w:p>
                              </w:txbxContent>
                            </wps:txbx>
                            <wps:bodyPr lIns="0" tIns="0" rIns="0" bIns="0">
                              <a:noAutofit/>
                            </wps:bodyPr>
                          </wps:wsp>
                        </a:graphicData>
                      </a:graphic>
                      <wp14:sizeRelV relativeFrom="margin">
                        <wp14:pctHeight>0</wp14:pctHeight>
                      </wp14:sizeRelV>
                    </wp:anchor>
                  </w:drawing>
                </mc:Choice>
                <mc:Fallback>
                  <w:pict>
                    <v:rect w14:anchorId="6866E18A" id="_x0000_s1383" style="position:absolute;margin-left:59.45pt;margin-top:412.95pt;width:154.3pt;height:65.5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" fillcolor="#cdbfd0" stroked="f">
                      <v:textbox inset="0,0,0,0">
                        <w:txbxContent>
                          <w:p w14:paraId="4872DE62" w14:textId="77777777" w:rsidR="009D0C1D" w:rsidRPr="00BC7F53" w:rsidRDefault="009D0C1D" w:rsidP="00CF0462">
                            <w:pPr>
                              <w:spacing w:after="140"/>
                              <w:rPr>
                                <w:rFonts w:ascii="Century Gothic" w:eastAsia="+mn-ea" w:hAnsi="Century Gothic" w:cs="+mn-cs"/>
                                <w:color w:val="343433"/>
                                <w:kern w:val="24"/>
                                <w:sz w:val="16"/>
                                <w:szCs w:val="16"/>
                              </w:rPr>
                            </w:pPr>
                            <w:r w:rsidRPr="00BC7F53">
                              <w:rPr>
                                <w:rFonts w:ascii="Century Gothic" w:hAnsi="Century Gothic"/>
                                <w:color w:val="343433"/>
                                <w:sz w:val="16"/>
                                <w:szCs w:val="22"/>
                              </w:rPr>
                              <w:t xml:space="preserve">Провести додаткові обстеження для </w:t>
                            </w:r>
                            <w:r w:rsidRPr="00BC7F53">
                              <w:rPr>
                                <w:rFonts w:ascii="Century Gothic" w:hAnsi="Century Gothic"/>
                                <w:b/>
                                <w:color w:val="343433"/>
                                <w:sz w:val="16"/>
                                <w:szCs w:val="22"/>
                              </w:rPr>
                              <w:t>оцінки резистентності до рифампіцину</w:t>
                            </w:r>
                            <w:r w:rsidRPr="00BC7F53">
                              <w:rPr>
                                <w:rFonts w:ascii="Century Gothic" w:hAnsi="Century Gothic"/>
                                <w:b/>
                                <w:color w:val="0099D6"/>
                                <w:sz w:val="16"/>
                                <w:szCs w:val="22"/>
                                <w:vertAlign w:val="superscript"/>
                              </w:rPr>
                              <w:t>r</w:t>
                            </w:r>
                          </w:p>
                          <w:p w14:paraId="79CA2A44" w14:textId="77777777" w:rsidR="009D0C1D" w:rsidRPr="00BC7F53" w:rsidRDefault="009D0C1D" w:rsidP="00CF0462">
                            <w:pPr>
                              <w:rPr>
                                <w:rFonts w:ascii="Century Gothic" w:eastAsia="+mn-ea" w:hAnsi="Century Gothic" w:cs="+mn-cs"/>
                                <w:color w:val="343433"/>
                                <w:kern w:val="24"/>
                                <w:sz w:val="16"/>
                                <w:szCs w:val="16"/>
                              </w:rPr>
                            </w:pPr>
                            <w:r w:rsidRPr="00BC7F53">
                              <w:rPr>
                                <w:rFonts w:ascii="Century Gothic" w:hAnsi="Century Gothic"/>
                                <w:color w:val="343433"/>
                                <w:sz w:val="16"/>
                                <w:szCs w:val="22"/>
                              </w:rPr>
                              <w:t>Переглянути лікування на основі результатів ТМЧ</w:t>
                            </w:r>
                          </w:p>
                        </w:txbxContent>
                      </v:textbox>
                    </v:rect>
                  </w:pict>
                </mc:Fallback>
              </mc:AlternateContent>
            </w:r>
            <w:r>
              <w:rPr>
                <w:noProof/>
              </w:rPr>
              <mc:AlternateContent>
                <mc:Choice Requires="wps">
                  <w:drawing>
                    <wp:anchor distT="0" distB="0" distL="114300" distR="114300" simplePos="0" relativeHeight="251729920" behindDoc="0" locked="0" layoutInCell="1" allowOverlap="1" wp14:anchorId="1A327B2B" wp14:editId="758D6E64">
                      <wp:simplePos x="0" y="0"/>
                      <wp:positionH relativeFrom="column">
                        <wp:posOffset>711200</wp:posOffset>
                      </wp:positionH>
                      <wp:positionV relativeFrom="paragraph">
                        <wp:posOffset>4345759</wp:posOffset>
                      </wp:positionV>
                      <wp:extent cx="2041072" cy="250371"/>
                      <wp:effectExtent l="0" t="0" r="0" b="0"/>
                      <wp:wrapNone/>
                      <wp:docPr id="1339330210" name="Прямокутник 9"/>
                      <wp:cNvGraphicFramePr/>
                      <a:graphic xmlns:a="http://schemas.openxmlformats.org/drawingml/2006/main">
                        <a:graphicData uri="http://schemas.microsoft.com/office/word/2010/wordprocessingShape">
                          <wps:wsp>
                            <wps:cNvSpPr/>
                            <wps:spPr>
                              <a:xfrm>
                                <a:off x="0" y="0"/>
                                <a:ext cx="2041072" cy="250371"/>
                              </a:xfrm>
                              <a:prstGeom prst="rect">
                                <a:avLst/>
                              </a:prstGeom>
                              <a:solidFill>
                                <a:srgbClr val="CDBFD0"/>
                              </a:solidFill>
                            </wps:spPr>
                            <wps:txbx>
                              <w:txbxContent>
                                <w:p w14:paraId="269DE42B" w14:textId="0F0F1E81" w:rsidR="009D0C1D" w:rsidRPr="00BC7F53" w:rsidRDefault="009D0C1D" w:rsidP="00CF0462">
                                  <w:pPr>
                                    <w:rPr>
                                      <w:rFonts w:ascii="Century Gothic" w:eastAsia="+mn-ea" w:hAnsi="Century Gothic" w:cs="+mn-cs"/>
                                      <w:color w:val="343433"/>
                                      <w:kern w:val="24"/>
                                      <w:sz w:val="16"/>
                                      <w:szCs w:val="16"/>
                                    </w:rPr>
                                  </w:pPr>
                                  <w:r w:rsidRPr="00BC7F53">
                                    <w:rPr>
                                      <w:rFonts w:ascii="Century Gothic" w:hAnsi="Century Gothic"/>
                                      <w:color w:val="343433"/>
                                      <w:sz w:val="16"/>
                                      <w:szCs w:val="22"/>
                                    </w:rPr>
                                    <w:t xml:space="preserve">Вводити </w:t>
                                  </w:r>
                                  <w:r w:rsidRPr="00BC7F53">
                                    <w:rPr>
                                      <w:rFonts w:ascii="Century Gothic" w:hAnsi="Century Gothic"/>
                                      <w:b/>
                                      <w:color w:val="343433"/>
                                      <w:sz w:val="16"/>
                                      <w:szCs w:val="22"/>
                                    </w:rPr>
                                    <w:t>схему лікування препаратами першої лінії</w:t>
                                  </w:r>
                                  <w:r w:rsidRPr="00BC7F53">
                                    <w:rPr>
                                      <w:rFonts w:ascii="Century Gothic" w:hAnsi="Century Gothic"/>
                                      <w:b/>
                                      <w:color w:val="0099D6"/>
                                      <w:sz w:val="16"/>
                                      <w:szCs w:val="22"/>
                                      <w:vertAlign w:val="superscript"/>
                                    </w:rPr>
                                    <w:t>l</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A327B2B" id="_x0000_s1384" style="position:absolute;margin-left:56pt;margin-top:342.2pt;width:160.7pt;height:19.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" fillcolor="#cdbfd0" stroked="f">
                      <v:textbox inset="0,0,0,0">
                        <w:txbxContent>
                          <w:p w14:paraId="269DE42B" w14:textId="0F0F1E81" w:rsidR="009D0C1D" w:rsidRPr="00BC7F53" w:rsidRDefault="009D0C1D" w:rsidP="00CF0462">
                            <w:pPr>
                              <w:rPr>
                                <w:rFonts w:ascii="Century Gothic" w:eastAsia="+mn-ea" w:hAnsi="Century Gothic" w:cs="+mn-cs"/>
                                <w:color w:val="343433"/>
                                <w:kern w:val="24"/>
                                <w:sz w:val="16"/>
                                <w:szCs w:val="16"/>
                              </w:rPr>
                            </w:pPr>
                            <w:r w:rsidRPr="00BC7F53">
                              <w:rPr>
                                <w:rFonts w:ascii="Century Gothic" w:hAnsi="Century Gothic"/>
                                <w:color w:val="343433"/>
                                <w:sz w:val="16"/>
                                <w:szCs w:val="22"/>
                              </w:rPr>
                              <w:t xml:space="preserve">Вводити </w:t>
                            </w:r>
                            <w:r w:rsidRPr="00BC7F53">
                              <w:rPr>
                                <w:rFonts w:ascii="Century Gothic" w:hAnsi="Century Gothic"/>
                                <w:b/>
                                <w:color w:val="343433"/>
                                <w:sz w:val="16"/>
                                <w:szCs w:val="22"/>
                              </w:rPr>
                              <w:t>схему лікування препаратами першої лінії</w:t>
                            </w:r>
                            <w:r w:rsidRPr="00BC7F53">
                              <w:rPr>
                                <w:rFonts w:ascii="Century Gothic" w:hAnsi="Century Gothic"/>
                                <w:b/>
                                <w:color w:val="0099D6"/>
                                <w:sz w:val="16"/>
                                <w:szCs w:val="22"/>
                                <w:vertAlign w:val="superscript"/>
                              </w:rPr>
                              <w:t>l</w:t>
                            </w:r>
                          </w:p>
                        </w:txbxContent>
                      </v:textbox>
                    </v:rect>
                  </w:pict>
                </mc:Fallback>
              </mc:AlternateContent>
            </w:r>
            <w:r>
              <w:rPr>
                <w:noProof/>
              </w:rPr>
              <mc:AlternateContent>
                <mc:Choice Requires="wps">
                  <w:drawing>
                    <wp:anchor distT="0" distB="0" distL="114300" distR="114300" simplePos="0" relativeHeight="251728896" behindDoc="0" locked="0" layoutInCell="1" allowOverlap="1" wp14:anchorId="1FDB5277" wp14:editId="3A518B0A">
                      <wp:simplePos x="0" y="0"/>
                      <wp:positionH relativeFrom="column">
                        <wp:posOffset>3210016</wp:posOffset>
                      </wp:positionH>
                      <wp:positionV relativeFrom="paragraph">
                        <wp:posOffset>2533649</wp:posOffset>
                      </wp:positionV>
                      <wp:extent cx="1676400" cy="947057"/>
                      <wp:effectExtent l="0" t="0" r="0" b="5715"/>
                      <wp:wrapNone/>
                      <wp:docPr id="1885662340" name="Прямокутник 8"/>
                      <wp:cNvGraphicFramePr/>
                      <a:graphic xmlns:a="http://schemas.openxmlformats.org/drawingml/2006/main">
                        <a:graphicData uri="http://schemas.microsoft.com/office/word/2010/wordprocessingShape">
                          <wps:wsp>
                            <wps:cNvSpPr/>
                            <wps:spPr>
                              <a:xfrm>
                                <a:off x="0" y="0"/>
                                <a:ext cx="1676400" cy="947057"/>
                              </a:xfrm>
                              <a:prstGeom prst="rect">
                                <a:avLst/>
                              </a:prstGeom>
                              <a:solidFill>
                                <a:srgbClr val="DED4DF"/>
                              </a:solidFill>
                            </wps:spPr>
                            <wps:txbx>
                              <w:txbxContent>
                                <w:p w14:paraId="61979FE3" w14:textId="77777777" w:rsidR="009D0C1D" w:rsidRPr="00BC7F53" w:rsidRDefault="009D0C1D" w:rsidP="00CF0462">
                                  <w:pPr>
                                    <w:rPr>
                                      <w:rFonts w:ascii="Century Gothic" w:eastAsia="+mn-ea" w:hAnsi="Century Gothic" w:cs="+mn-cs"/>
                                      <w:b/>
                                      <w:bCs/>
                                      <w:color w:val="343433"/>
                                      <w:kern w:val="24"/>
                                      <w:sz w:val="16"/>
                                      <w:szCs w:val="16"/>
                                    </w:rPr>
                                  </w:pPr>
                                  <w:r w:rsidRPr="00BC7F53">
                                    <w:rPr>
                                      <w:rFonts w:ascii="Century Gothic" w:hAnsi="Century Gothic"/>
                                      <w:b/>
                                      <w:color w:val="343433"/>
                                      <w:sz w:val="16"/>
                                      <w:szCs w:val="22"/>
                                    </w:rPr>
                                    <w:t xml:space="preserve">Дорослі, </w:t>
                                  </w:r>
                                  <w:r w:rsidRPr="00BC7F53">
                                    <w:rPr>
                                      <w:rFonts w:ascii="Century Gothic" w:hAnsi="Century Gothic"/>
                                      <w:color w:val="343433"/>
                                      <w:sz w:val="16"/>
                                      <w:szCs w:val="22"/>
                                    </w:rPr>
                                    <w:t xml:space="preserve">які проходять обстеження на ТБ легень, </w:t>
                                  </w:r>
                                  <w:r w:rsidRPr="00BC7F53">
                                    <w:rPr>
                                      <w:rFonts w:ascii="Century Gothic" w:hAnsi="Century Gothic"/>
                                      <w:i/>
                                      <w:color w:val="343433"/>
                                      <w:sz w:val="16"/>
                                      <w:szCs w:val="22"/>
                                    </w:rPr>
                                    <w:t xml:space="preserve">без </w:t>
                                  </w:r>
                                  <w:r w:rsidRPr="00BC7F53">
                                    <w:rPr>
                                      <w:rFonts w:ascii="Century Gothic" w:hAnsi="Century Gothic"/>
                                      <w:color w:val="343433"/>
                                      <w:sz w:val="16"/>
                                      <w:szCs w:val="22"/>
                                    </w:rPr>
                                    <w:t xml:space="preserve">ризику ВІЛ </w:t>
                                  </w:r>
                                  <w:r w:rsidRPr="00BC7F53">
                                    <w:rPr>
                                      <w:rFonts w:ascii="Century Gothic" w:hAnsi="Century Gothic"/>
                                      <w:i/>
                                      <w:color w:val="343433"/>
                                      <w:sz w:val="16"/>
                                      <w:szCs w:val="22"/>
                                    </w:rPr>
                                    <w:t>та</w:t>
                                  </w:r>
                                  <w:r w:rsidRPr="00BC7F53">
                                    <w:rPr>
                                      <w:rFonts w:ascii="Century Gothic" w:hAnsi="Century Gothic"/>
                                      <w:color w:val="343433"/>
                                      <w:sz w:val="16"/>
                                      <w:szCs w:val="22"/>
                                    </w:rPr>
                                    <w:t xml:space="preserve"> з наявністю в анамнезі ТБ </w:t>
                                  </w:r>
                                  <w:r w:rsidRPr="00BC7F53">
                                    <w:rPr>
                                      <w:rFonts w:ascii="Century Gothic" w:hAnsi="Century Gothic"/>
                                      <w:i/>
                                      <w:color w:val="343433"/>
                                      <w:sz w:val="16"/>
                                      <w:szCs w:val="22"/>
                                    </w:rPr>
                                    <w:t>або</w:t>
                                  </w:r>
                                  <w:r w:rsidRPr="00BC7F53">
                                    <w:rPr>
                                      <w:rFonts w:ascii="Century Gothic" w:hAnsi="Century Gothic"/>
                                      <w:color w:val="343433"/>
                                      <w:sz w:val="16"/>
                                      <w:szCs w:val="22"/>
                                    </w:rPr>
                                    <w:t xml:space="preserve"> завершення лікування ТБ менше 5 років тому</w:t>
                                  </w:r>
                                </w:p>
                              </w:txbxContent>
                            </wps:txbx>
                            <wps:bodyPr lIns="0" tIns="0" rIns="0" bIns="0">
                              <a:noAutofit/>
                            </wps:bodyPr>
                          </wps:wsp>
                        </a:graphicData>
                      </a:graphic>
                      <wp14:sizeRelV relativeFrom="margin">
                        <wp14:pctHeight>0</wp14:pctHeight>
                      </wp14:sizeRelV>
                    </wp:anchor>
                  </w:drawing>
                </mc:Choice>
                <mc:Fallback>
                  <w:pict>
                    <v:rect w14:anchorId="1FDB5277" id="_x0000_s1385" style="position:absolute;margin-left:252.75pt;margin-top:199.5pt;width:132pt;height:74.5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" fillcolor="#ded4df" stroked="f">
                      <v:textbox inset="0,0,0,0">
                        <w:txbxContent>
                          <w:p w14:paraId="61979FE3" w14:textId="77777777" w:rsidR="009D0C1D" w:rsidRPr="00BC7F53" w:rsidRDefault="009D0C1D" w:rsidP="00CF0462">
                            <w:pPr>
                              <w:rPr>
                                <w:rFonts w:ascii="Century Gothic" w:eastAsia="+mn-ea" w:hAnsi="Century Gothic" w:cs="+mn-cs"/>
                                <w:b/>
                                <w:bCs/>
                                <w:color w:val="343433"/>
                                <w:kern w:val="24"/>
                                <w:sz w:val="16"/>
                                <w:szCs w:val="16"/>
                              </w:rPr>
                            </w:pPr>
                            <w:r w:rsidRPr="00BC7F53">
                              <w:rPr>
                                <w:rFonts w:ascii="Century Gothic" w:hAnsi="Century Gothic"/>
                                <w:b/>
                                <w:color w:val="343433"/>
                                <w:sz w:val="16"/>
                                <w:szCs w:val="22"/>
                              </w:rPr>
                              <w:t xml:space="preserve">Дорослі, </w:t>
                            </w:r>
                            <w:r w:rsidRPr="00BC7F53">
                              <w:rPr>
                                <w:rFonts w:ascii="Century Gothic" w:hAnsi="Century Gothic"/>
                                <w:color w:val="343433"/>
                                <w:sz w:val="16"/>
                                <w:szCs w:val="22"/>
                              </w:rPr>
                              <w:t xml:space="preserve">які проходять обстеження на ТБ легень, </w:t>
                            </w:r>
                            <w:r w:rsidRPr="00BC7F53">
                              <w:rPr>
                                <w:rFonts w:ascii="Century Gothic" w:hAnsi="Century Gothic"/>
                                <w:i/>
                                <w:color w:val="343433"/>
                                <w:sz w:val="16"/>
                                <w:szCs w:val="22"/>
                              </w:rPr>
                              <w:t xml:space="preserve">без </w:t>
                            </w:r>
                            <w:r w:rsidRPr="00BC7F53">
                              <w:rPr>
                                <w:rFonts w:ascii="Century Gothic" w:hAnsi="Century Gothic"/>
                                <w:color w:val="343433"/>
                                <w:sz w:val="16"/>
                                <w:szCs w:val="22"/>
                              </w:rPr>
                              <w:t xml:space="preserve">ризику ВІЛ </w:t>
                            </w:r>
                            <w:r w:rsidRPr="00BC7F53">
                              <w:rPr>
                                <w:rFonts w:ascii="Century Gothic" w:hAnsi="Century Gothic"/>
                                <w:i/>
                                <w:color w:val="343433"/>
                                <w:sz w:val="16"/>
                                <w:szCs w:val="22"/>
                              </w:rPr>
                              <w:t>та</w:t>
                            </w:r>
                            <w:r w:rsidRPr="00BC7F53">
                              <w:rPr>
                                <w:rFonts w:ascii="Century Gothic" w:hAnsi="Century Gothic"/>
                                <w:color w:val="343433"/>
                                <w:sz w:val="16"/>
                                <w:szCs w:val="22"/>
                              </w:rPr>
                              <w:t xml:space="preserve"> з наявністю в анамнезі ТБ </w:t>
                            </w:r>
                            <w:r w:rsidRPr="00BC7F53">
                              <w:rPr>
                                <w:rFonts w:ascii="Century Gothic" w:hAnsi="Century Gothic"/>
                                <w:i/>
                                <w:color w:val="343433"/>
                                <w:sz w:val="16"/>
                                <w:szCs w:val="22"/>
                              </w:rPr>
                              <w:t>або</w:t>
                            </w:r>
                            <w:r w:rsidRPr="00BC7F53">
                              <w:rPr>
                                <w:rFonts w:ascii="Century Gothic" w:hAnsi="Century Gothic"/>
                                <w:color w:val="343433"/>
                                <w:sz w:val="16"/>
                                <w:szCs w:val="22"/>
                              </w:rPr>
                              <w:t xml:space="preserve"> завершення лікування ТБ менше 5 років тому</w:t>
                            </w:r>
                          </w:p>
                        </w:txbxContent>
                      </v:textbox>
                    </v:rect>
                  </w:pict>
                </mc:Fallback>
              </mc:AlternateContent>
            </w:r>
            <w:r>
              <w:rPr>
                <w:noProof/>
              </w:rPr>
              <mc:AlternateContent>
                <mc:Choice Requires="wps">
                  <w:drawing>
                    <wp:anchor distT="0" distB="0" distL="114300" distR="114300" simplePos="0" relativeHeight="251727872" behindDoc="0" locked="0" layoutInCell="1" allowOverlap="1" wp14:anchorId="5BA36D69" wp14:editId="2E9E2A32">
                      <wp:simplePos x="0" y="0"/>
                      <wp:positionH relativeFrom="column">
                        <wp:posOffset>804273</wp:posOffset>
                      </wp:positionH>
                      <wp:positionV relativeFrom="paragraph">
                        <wp:posOffset>2539093</wp:posOffset>
                      </wp:positionV>
                      <wp:extent cx="1864995" cy="1382486"/>
                      <wp:effectExtent l="0" t="0" r="1905" b="8255"/>
                      <wp:wrapNone/>
                      <wp:docPr id="122734719" name="Прямокутник 7"/>
                      <wp:cNvGraphicFramePr/>
                      <a:graphic xmlns:a="http://schemas.openxmlformats.org/drawingml/2006/main">
                        <a:graphicData uri="http://schemas.microsoft.com/office/word/2010/wordprocessingShape">
                          <wps:wsp>
                            <wps:cNvSpPr/>
                            <wps:spPr>
                              <a:xfrm>
                                <a:off x="0" y="0"/>
                                <a:ext cx="1864995" cy="1382486"/>
                              </a:xfrm>
                              <a:prstGeom prst="rect">
                                <a:avLst/>
                              </a:prstGeom>
                              <a:solidFill>
                                <a:srgbClr val="DED4DF"/>
                              </a:solidFill>
                            </wps:spPr>
                            <wps:txbx>
                              <w:txbxContent>
                                <w:p w14:paraId="453FD427" w14:textId="77777777" w:rsidR="009D0C1D" w:rsidRPr="00BC7F53" w:rsidRDefault="009D0C1D" w:rsidP="00CF0462">
                                  <w:pPr>
                                    <w:rPr>
                                      <w:rFonts w:ascii="Century Gothic" w:eastAsia="+mn-ea" w:hAnsi="Century Gothic" w:cs="+mn-cs"/>
                                      <w:b/>
                                      <w:bCs/>
                                      <w:color w:val="343433"/>
                                      <w:kern w:val="24"/>
                                      <w:sz w:val="16"/>
                                      <w:szCs w:val="16"/>
                                    </w:rPr>
                                  </w:pPr>
                                  <w:r w:rsidRPr="00BC7F53">
                                    <w:rPr>
                                      <w:rFonts w:ascii="Century Gothic" w:hAnsi="Century Gothic"/>
                                      <w:b/>
                                      <w:color w:val="343433"/>
                                      <w:sz w:val="16"/>
                                      <w:szCs w:val="22"/>
                                    </w:rPr>
                                    <w:t>ЛЖВІЛ</w:t>
                                  </w:r>
                                  <w:r w:rsidRPr="00BC7F53">
                                    <w:rPr>
                                      <w:rFonts w:ascii="Century Gothic" w:hAnsi="Century Gothic"/>
                                      <w:b/>
                                      <w:color w:val="0099D6"/>
                                      <w:sz w:val="16"/>
                                      <w:szCs w:val="22"/>
                                      <w:vertAlign w:val="superscript"/>
                                    </w:rPr>
                                    <w:t>p</w:t>
                                  </w:r>
                                  <w:r w:rsidRPr="00BC7F53">
                                    <w:rPr>
                                      <w:rFonts w:ascii="Century Gothic" w:hAnsi="Century Gothic"/>
                                      <w:b/>
                                      <w:color w:val="0099D6"/>
                                      <w:sz w:val="16"/>
                                      <w:szCs w:val="22"/>
                                    </w:rPr>
                                    <w:t xml:space="preserve"> </w:t>
                                  </w:r>
                                  <w:r w:rsidRPr="00BC7F53">
                                    <w:rPr>
                                      <w:rFonts w:ascii="Century Gothic" w:hAnsi="Century Gothic"/>
                                      <w:b/>
                                      <w:color w:val="343433"/>
                                      <w:sz w:val="16"/>
                                      <w:szCs w:val="22"/>
                                    </w:rPr>
                                    <w:t xml:space="preserve">або </w:t>
                                  </w:r>
                                  <w:r w:rsidRPr="00BC7F53">
                                    <w:rPr>
                                      <w:rFonts w:ascii="Century Gothic" w:hAnsi="Century Gothic"/>
                                      <w:color w:val="343433"/>
                                      <w:sz w:val="16"/>
                                      <w:szCs w:val="22"/>
                                    </w:rPr>
                                    <w:t xml:space="preserve">діти, які проходять обстеження на ТБ легень, особи, які проходять обстеження на позалегеневий ТБ, </w:t>
                                  </w:r>
                                  <w:r w:rsidRPr="00BC7F53">
                                    <w:rPr>
                                      <w:rFonts w:ascii="Century Gothic" w:hAnsi="Century Gothic"/>
                                      <w:i/>
                                      <w:iCs/>
                                      <w:color w:val="343433"/>
                                      <w:sz w:val="16"/>
                                      <w:szCs w:val="22"/>
                                    </w:rPr>
                                    <w:t>та</w:t>
                                  </w:r>
                                  <w:r w:rsidRPr="00BC7F53">
                                    <w:rPr>
                                      <w:rFonts w:ascii="Century Gothic" w:hAnsi="Century Gothic"/>
                                      <w:color w:val="343433"/>
                                      <w:sz w:val="16"/>
                                      <w:szCs w:val="22"/>
                                    </w:rPr>
                                    <w:t xml:space="preserve"> дорослі, які проходять обстеження на ТБ легень, без ризику ВІЛ </w:t>
                                  </w:r>
                                  <w:r w:rsidRPr="00BC7F53">
                                    <w:rPr>
                                      <w:rFonts w:ascii="Century Gothic" w:hAnsi="Century Gothic"/>
                                      <w:i/>
                                      <w:iCs/>
                                      <w:color w:val="343433"/>
                                      <w:sz w:val="16"/>
                                      <w:szCs w:val="22"/>
                                    </w:rPr>
                                    <w:t>та</w:t>
                                  </w:r>
                                  <w:r w:rsidRPr="00BC7F53">
                                    <w:rPr>
                                      <w:rFonts w:ascii="Century Gothic" w:hAnsi="Century Gothic"/>
                                      <w:color w:val="343433"/>
                                      <w:sz w:val="16"/>
                                      <w:szCs w:val="22"/>
                                    </w:rPr>
                                    <w:t xml:space="preserve"> без наявності в анамнезі ТБ </w:t>
                                  </w:r>
                                  <w:r w:rsidRPr="00BC7F53">
                                    <w:rPr>
                                      <w:rFonts w:ascii="Century Gothic" w:hAnsi="Century Gothic"/>
                                      <w:i/>
                                      <w:iCs/>
                                      <w:color w:val="343433"/>
                                      <w:sz w:val="16"/>
                                      <w:szCs w:val="22"/>
                                    </w:rPr>
                                    <w:t>або</w:t>
                                  </w:r>
                                  <w:r w:rsidRPr="00BC7F53">
                                    <w:rPr>
                                      <w:rFonts w:ascii="Century Gothic" w:hAnsi="Century Gothic"/>
                                      <w:color w:val="343433"/>
                                      <w:sz w:val="16"/>
                                      <w:szCs w:val="22"/>
                                    </w:rPr>
                                    <w:t xml:space="preserve"> лікування ТБ протягом останніх 5 років</w:t>
                                  </w:r>
                                </w:p>
                              </w:txbxContent>
                            </wps:txbx>
                            <wps:bodyPr lIns="0" tIns="0" rIns="0" bIns="0">
                              <a:noAutofit/>
                            </wps:bodyPr>
                          </wps:wsp>
                        </a:graphicData>
                      </a:graphic>
                      <wp14:sizeRelV relativeFrom="margin">
                        <wp14:pctHeight>0</wp14:pctHeight>
                      </wp14:sizeRelV>
                    </wp:anchor>
                  </w:drawing>
                </mc:Choice>
                <mc:Fallback>
                  <w:pict>
                    <v:rect w14:anchorId="5BA36D69" id="_x0000_s1386" style="position:absolute;margin-left:63.35pt;margin-top:199.95pt;width:146.85pt;height:108.8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" fillcolor="#ded4df" stroked="f">
                      <v:textbox inset="0,0,0,0">
                        <w:txbxContent>
                          <w:p w14:paraId="453FD427" w14:textId="77777777" w:rsidR="009D0C1D" w:rsidRPr="00BC7F53" w:rsidRDefault="009D0C1D" w:rsidP="00CF0462">
                            <w:pPr>
                              <w:rPr>
                                <w:rFonts w:ascii="Century Gothic" w:eastAsia="+mn-ea" w:hAnsi="Century Gothic" w:cs="+mn-cs"/>
                                <w:b/>
                                <w:bCs/>
                                <w:color w:val="343433"/>
                                <w:kern w:val="24"/>
                                <w:sz w:val="16"/>
                                <w:szCs w:val="16"/>
                              </w:rPr>
                            </w:pPr>
                            <w:r w:rsidRPr="00BC7F53">
                              <w:rPr>
                                <w:rFonts w:ascii="Century Gothic" w:hAnsi="Century Gothic"/>
                                <w:b/>
                                <w:color w:val="343433"/>
                                <w:sz w:val="16"/>
                                <w:szCs w:val="22"/>
                              </w:rPr>
                              <w:t>ЛЖВІЛ</w:t>
                            </w:r>
                            <w:r w:rsidRPr="00BC7F53">
                              <w:rPr>
                                <w:rFonts w:ascii="Century Gothic" w:hAnsi="Century Gothic"/>
                                <w:b/>
                                <w:color w:val="0099D6"/>
                                <w:sz w:val="16"/>
                                <w:szCs w:val="22"/>
                                <w:vertAlign w:val="superscript"/>
                              </w:rPr>
                              <w:t>p</w:t>
                            </w:r>
                            <w:r w:rsidRPr="00BC7F53">
                              <w:rPr>
                                <w:rFonts w:ascii="Century Gothic" w:hAnsi="Century Gothic"/>
                                <w:b/>
                                <w:color w:val="0099D6"/>
                                <w:sz w:val="16"/>
                                <w:szCs w:val="22"/>
                              </w:rPr>
                              <w:t xml:space="preserve"> </w:t>
                            </w:r>
                            <w:r w:rsidRPr="00BC7F53">
                              <w:rPr>
                                <w:rFonts w:ascii="Century Gothic" w:hAnsi="Century Gothic"/>
                                <w:b/>
                                <w:color w:val="343433"/>
                                <w:sz w:val="16"/>
                                <w:szCs w:val="22"/>
                              </w:rPr>
                              <w:t xml:space="preserve">або </w:t>
                            </w:r>
                            <w:r w:rsidRPr="00BC7F53">
                              <w:rPr>
                                <w:rFonts w:ascii="Century Gothic" w:hAnsi="Century Gothic"/>
                                <w:color w:val="343433"/>
                                <w:sz w:val="16"/>
                                <w:szCs w:val="22"/>
                              </w:rPr>
                              <w:t xml:space="preserve">діти, які проходять обстеження на ТБ легень, особи, які проходять обстеження на позалегеневий ТБ, </w:t>
                            </w:r>
                            <w:r w:rsidRPr="00BC7F53">
                              <w:rPr>
                                <w:rFonts w:ascii="Century Gothic" w:hAnsi="Century Gothic"/>
                                <w:i/>
                                <w:iCs/>
                                <w:color w:val="343433"/>
                                <w:sz w:val="16"/>
                                <w:szCs w:val="22"/>
                              </w:rPr>
                              <w:t>та</w:t>
                            </w:r>
                            <w:r w:rsidRPr="00BC7F53">
                              <w:rPr>
                                <w:rFonts w:ascii="Century Gothic" w:hAnsi="Century Gothic"/>
                                <w:color w:val="343433"/>
                                <w:sz w:val="16"/>
                                <w:szCs w:val="22"/>
                              </w:rPr>
                              <w:t xml:space="preserve"> дорослі, які проходять обстеження на ТБ легень, без ризику ВІЛ </w:t>
                            </w:r>
                            <w:r w:rsidRPr="00BC7F53">
                              <w:rPr>
                                <w:rFonts w:ascii="Century Gothic" w:hAnsi="Century Gothic"/>
                                <w:i/>
                                <w:iCs/>
                                <w:color w:val="343433"/>
                                <w:sz w:val="16"/>
                                <w:szCs w:val="22"/>
                              </w:rPr>
                              <w:t>та</w:t>
                            </w:r>
                            <w:r w:rsidRPr="00BC7F53">
                              <w:rPr>
                                <w:rFonts w:ascii="Century Gothic" w:hAnsi="Century Gothic"/>
                                <w:color w:val="343433"/>
                                <w:sz w:val="16"/>
                                <w:szCs w:val="22"/>
                              </w:rPr>
                              <w:t xml:space="preserve"> без наявності в анамнезі ТБ </w:t>
                            </w:r>
                            <w:r w:rsidRPr="00BC7F53">
                              <w:rPr>
                                <w:rFonts w:ascii="Century Gothic" w:hAnsi="Century Gothic"/>
                                <w:i/>
                                <w:iCs/>
                                <w:color w:val="343433"/>
                                <w:sz w:val="16"/>
                                <w:szCs w:val="22"/>
                              </w:rPr>
                              <w:t>або</w:t>
                            </w:r>
                            <w:r w:rsidRPr="00BC7F53">
                              <w:rPr>
                                <w:rFonts w:ascii="Century Gothic" w:hAnsi="Century Gothic"/>
                                <w:color w:val="343433"/>
                                <w:sz w:val="16"/>
                                <w:szCs w:val="22"/>
                              </w:rPr>
                              <w:t xml:space="preserve"> лікування ТБ протягом останніх 5 років</w:t>
                            </w:r>
                          </w:p>
                        </w:txbxContent>
                      </v:textbox>
                    </v:rect>
                  </w:pict>
                </mc:Fallback>
              </mc:AlternateContent>
            </w:r>
            <w:r>
              <w:rPr>
                <w:noProof/>
              </w:rPr>
              <mc:AlternateContent>
                <mc:Choice Requires="wps">
                  <w:drawing>
                    <wp:anchor distT="0" distB="0" distL="114300" distR="114300" simplePos="0" relativeHeight="251725824" behindDoc="0" locked="0" layoutInCell="1" allowOverlap="1" wp14:anchorId="353F4B22" wp14:editId="4C3A4D0F">
                      <wp:simplePos x="0" y="0"/>
                      <wp:positionH relativeFrom="column">
                        <wp:posOffset>1445895</wp:posOffset>
                      </wp:positionH>
                      <wp:positionV relativeFrom="paragraph">
                        <wp:posOffset>1483269</wp:posOffset>
                      </wp:positionV>
                      <wp:extent cx="173355" cy="115570"/>
                      <wp:effectExtent l="0" t="0" r="0" b="0"/>
                      <wp:wrapNone/>
                      <wp:docPr id="1827079428" name="Прямокутник 5"/>
                      <wp:cNvGraphicFramePr/>
                      <a:graphic xmlns:a="http://schemas.openxmlformats.org/drawingml/2006/main">
                        <a:graphicData uri="http://schemas.microsoft.com/office/word/2010/wordprocessingShape">
                          <wps:wsp>
                            <wps:cNvSpPr/>
                            <wps:spPr>
                              <a:xfrm>
                                <a:off x="0" y="0"/>
                                <a:ext cx="173355" cy="115570"/>
                              </a:xfrm>
                              <a:prstGeom prst="rect">
                                <a:avLst/>
                              </a:prstGeom>
                              <a:solidFill>
                                <a:srgbClr val="535453"/>
                              </a:solidFill>
                            </wps:spPr>
                            <wps:txbx>
                              <w:txbxContent>
                                <w:p w14:paraId="6ED05452" w14:textId="77777777" w:rsidR="009D0C1D" w:rsidRPr="00BC7F53" w:rsidRDefault="009D0C1D" w:rsidP="00CF0462">
                                  <w:pPr>
                                    <w:rPr>
                                      <w:rFonts w:ascii="Century Gothic" w:eastAsia="+mn-ea" w:hAnsi="Century Gothic" w:cs="+mn-cs"/>
                                      <w:b/>
                                      <w:bCs/>
                                      <w:color w:val="FFFFFF"/>
                                      <w:kern w:val="24"/>
                                      <w:sz w:val="16"/>
                                      <w:szCs w:val="16"/>
                                    </w:rPr>
                                  </w:pPr>
                                  <w:r w:rsidRPr="00BC7F53">
                                    <w:rPr>
                                      <w:rFonts w:ascii="Century Gothic" w:hAnsi="Century Gothic"/>
                                      <w:b/>
                                      <w:color w:val="FFFFFF"/>
                                      <w:sz w:val="16"/>
                                      <w:szCs w:val="22"/>
                                    </w:rPr>
                                    <w:t>RIF</w:t>
                                  </w:r>
                                </w:p>
                              </w:txbxContent>
                            </wps:txbx>
                            <wps:bodyPr wrap="none" lIns="0" tIns="0" rIns="0" bIns="0">
                              <a:noAutofit/>
                            </wps:bodyPr>
                          </wps:wsp>
                        </a:graphicData>
                      </a:graphic>
                    </wp:anchor>
                  </w:drawing>
                </mc:Choice>
                <mc:Fallback>
                  <w:pict>
                    <v:rect w14:anchorId="353F4B22" id="_x0000_s1387" style="position:absolute;margin-left:113.85pt;margin-top:116.8pt;width:13.65pt;height:9.1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" fillcolor="#535453" stroked="f">
                      <v:textbox inset="0,0,0,0">
                        <w:txbxContent>
                          <w:p w14:paraId="6ED05452" w14:textId="77777777" w:rsidR="009D0C1D" w:rsidRPr="00BC7F53" w:rsidRDefault="009D0C1D" w:rsidP="00CF0462">
                            <w:pPr>
                              <w:rPr>
                                <w:rFonts w:ascii="Century Gothic" w:eastAsia="+mn-ea" w:hAnsi="Century Gothic" w:cs="+mn-cs"/>
                                <w:b/>
                                <w:bCs/>
                                <w:color w:val="FFFFFF"/>
                                <w:kern w:val="24"/>
                                <w:sz w:val="16"/>
                                <w:szCs w:val="16"/>
                              </w:rPr>
                            </w:pPr>
                            <w:r w:rsidRPr="00BC7F53">
                              <w:rPr>
                                <w:rFonts w:ascii="Century Gothic" w:hAnsi="Century Gothic"/>
                                <w:b/>
                                <w:color w:val="FFFFFF"/>
                                <w:sz w:val="16"/>
                                <w:szCs w:val="22"/>
                              </w:rPr>
                              <w:t>RIF</w:t>
                            </w:r>
                          </w:p>
                        </w:txbxContent>
                      </v:textbox>
                    </v:rect>
                  </w:pict>
                </mc:Fallback>
              </mc:AlternateContent>
            </w:r>
            <w:r>
              <w:rPr>
                <w:noProof/>
              </w:rPr>
              <mc:AlternateContent>
                <mc:Choice Requires="wps">
                  <w:drawing>
                    <wp:anchor distT="0" distB="0" distL="114300" distR="114300" simplePos="0" relativeHeight="251726848" behindDoc="0" locked="0" layoutInCell="1" allowOverlap="1" wp14:anchorId="18CC9405" wp14:editId="6652D846">
                      <wp:simplePos x="0" y="0"/>
                      <wp:positionH relativeFrom="column">
                        <wp:posOffset>2388144</wp:posOffset>
                      </wp:positionH>
                      <wp:positionV relativeFrom="paragraph">
                        <wp:posOffset>1559379</wp:posOffset>
                      </wp:positionV>
                      <wp:extent cx="1017905" cy="239485"/>
                      <wp:effectExtent l="0" t="0" r="0" b="8255"/>
                      <wp:wrapNone/>
                      <wp:docPr id="670264674" name="Прямокутник 6"/>
                      <wp:cNvGraphicFramePr/>
                      <a:graphic xmlns:a="http://schemas.openxmlformats.org/drawingml/2006/main">
                        <a:graphicData uri="http://schemas.microsoft.com/office/word/2010/wordprocessingShape">
                          <wps:wsp>
                            <wps:cNvSpPr/>
                            <wps:spPr>
                              <a:xfrm>
                                <a:off x="0" y="0"/>
                                <a:ext cx="1017905" cy="239485"/>
                              </a:xfrm>
                              <a:prstGeom prst="rect">
                                <a:avLst/>
                              </a:prstGeom>
                              <a:solidFill>
                                <a:srgbClr val="B79CBB"/>
                              </a:solidFill>
                            </wps:spPr>
                            <wps:txbx>
                              <w:txbxContent>
                                <w:p w14:paraId="2F66DFAD" w14:textId="77777777" w:rsidR="009D0C1D" w:rsidRPr="00BC7F53" w:rsidRDefault="009D0C1D" w:rsidP="00CF0462">
                                  <w:pPr>
                                    <w:rPr>
                                      <w:rFonts w:ascii="Century Gothic" w:eastAsia="+mn-ea" w:hAnsi="Century Gothic" w:cs="+mn-cs"/>
                                      <w:b/>
                                      <w:bCs/>
                                      <w:color w:val="343433"/>
                                      <w:kern w:val="24"/>
                                      <w:sz w:val="14"/>
                                      <w:szCs w:val="14"/>
                                    </w:rPr>
                                  </w:pPr>
                                  <w:r w:rsidRPr="00BC7F53">
                                    <w:rPr>
                                      <w:rFonts w:ascii="Century Gothic" w:hAnsi="Century Gothic"/>
                                      <w:b/>
                                      <w:color w:val="343433"/>
                                      <w:sz w:val="14"/>
                                      <w:szCs w:val="20"/>
                                    </w:rPr>
                                    <w:t>Результат резистентності до RIF невизначений</w:t>
                                  </w:r>
                                </w:p>
                              </w:txbxContent>
                            </wps:txbx>
                            <wps:bodyPr wrap="none" lIns="0" tIns="0" rIns="0" bIns="0">
                              <a:noAutofit/>
                            </wps:bodyPr>
                          </wps:wsp>
                        </a:graphicData>
                      </a:graphic>
                      <wp14:sizeRelV relativeFrom="margin">
                        <wp14:pctHeight>0</wp14:pctHeight>
                      </wp14:sizeRelV>
                    </wp:anchor>
                  </w:drawing>
                </mc:Choice>
                <mc:Fallback>
                  <w:pict>
                    <v:rect w14:anchorId="18CC9405" id="_x0000_s1388" style="position:absolute;margin-left:188.05pt;margin-top:122.8pt;width:80.15pt;height:18.85pt;z-index:251726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" fillcolor="#b79cbb" stroked="f">
                      <v:textbox inset="0,0,0,0">
                        <w:txbxContent>
                          <w:p w14:paraId="2F66DFAD" w14:textId="77777777" w:rsidR="009D0C1D" w:rsidRPr="00BC7F53" w:rsidRDefault="009D0C1D" w:rsidP="00CF0462">
                            <w:pPr>
                              <w:rPr>
                                <w:rFonts w:ascii="Century Gothic" w:eastAsia="+mn-ea" w:hAnsi="Century Gothic" w:cs="+mn-cs"/>
                                <w:b/>
                                <w:bCs/>
                                <w:color w:val="343433"/>
                                <w:kern w:val="24"/>
                                <w:sz w:val="14"/>
                                <w:szCs w:val="14"/>
                              </w:rPr>
                            </w:pPr>
                            <w:r w:rsidRPr="00BC7F53">
                              <w:rPr>
                                <w:rFonts w:ascii="Century Gothic" w:hAnsi="Century Gothic"/>
                                <w:b/>
                                <w:color w:val="343433"/>
                                <w:sz w:val="14"/>
                                <w:szCs w:val="20"/>
                              </w:rPr>
                              <w:t>Результат резистентності до RIF невизначений</w:t>
                            </w:r>
                          </w:p>
                        </w:txbxContent>
                      </v:textbox>
                    </v:rect>
                  </w:pict>
                </mc:Fallback>
              </mc:AlternateContent>
            </w:r>
            <w:r>
              <w:rPr>
                <w:noProof/>
              </w:rPr>
              <mc:AlternateContent>
                <mc:Choice Requires="wps">
                  <w:drawing>
                    <wp:anchor distT="0" distB="0" distL="114300" distR="114300" simplePos="0" relativeHeight="251724800" behindDoc="0" locked="0" layoutInCell="1" allowOverlap="1" wp14:anchorId="3536EB8F" wp14:editId="701568E6">
                      <wp:simplePos x="0" y="0"/>
                      <wp:positionH relativeFrom="column">
                        <wp:posOffset>1974487</wp:posOffset>
                      </wp:positionH>
                      <wp:positionV relativeFrom="paragraph">
                        <wp:posOffset>938892</wp:posOffset>
                      </wp:positionV>
                      <wp:extent cx="1828800" cy="212271"/>
                      <wp:effectExtent l="0" t="0" r="0" b="0"/>
                      <wp:wrapNone/>
                      <wp:docPr id="1560815167" name="Прямокутник 4"/>
                      <wp:cNvGraphicFramePr/>
                      <a:graphic xmlns:a="http://schemas.openxmlformats.org/drawingml/2006/main">
                        <a:graphicData uri="http://schemas.microsoft.com/office/word/2010/wordprocessingShape">
                          <wps:wsp>
                            <wps:cNvSpPr/>
                            <wps:spPr>
                              <a:xfrm>
                                <a:off x="0" y="0"/>
                                <a:ext cx="1828800" cy="212271"/>
                              </a:xfrm>
                              <a:prstGeom prst="rect">
                                <a:avLst/>
                              </a:prstGeom>
                              <a:solidFill>
                                <a:srgbClr val="B79CBB"/>
                              </a:solidFill>
                            </wps:spPr>
                            <wps:txbx>
                              <w:txbxContent>
                                <w:p w14:paraId="67D40B50" w14:textId="77777777" w:rsidR="009D0C1D" w:rsidRPr="00BC7F53" w:rsidRDefault="009D0C1D" w:rsidP="00CF0462">
                                  <w:pPr>
                                    <w:rPr>
                                      <w:rFonts w:ascii="Century Gothic" w:eastAsia="+mn-ea" w:hAnsi="Century Gothic" w:cs="+mn-cs"/>
                                      <w:b/>
                                      <w:bCs/>
                                      <w:color w:val="343433"/>
                                      <w:kern w:val="24"/>
                                      <w:sz w:val="16"/>
                                      <w:szCs w:val="16"/>
                                    </w:rPr>
                                  </w:pPr>
                                  <w:r w:rsidRPr="00BC7F53">
                                    <w:rPr>
                                      <w:rFonts w:ascii="Century Gothic" w:hAnsi="Century Gothic"/>
                                      <w:b/>
                                      <w:color w:val="343433"/>
                                      <w:sz w:val="16"/>
                                      <w:szCs w:val="22"/>
                                    </w:rPr>
                                    <w:t>MTBC виявлено зі слідовим результатом Ultra</w:t>
                                  </w:r>
                                  <w:r w:rsidRPr="00BC7F53">
                                    <w:rPr>
                                      <w:rFonts w:ascii="Century Gothic" w:hAnsi="Century Gothic"/>
                                      <w:b/>
                                      <w:color w:val="0099D6"/>
                                      <w:sz w:val="16"/>
                                      <w:szCs w:val="22"/>
                                      <w:vertAlign w:val="superscript"/>
                                    </w:rPr>
                                    <w:t>j</w:t>
                                  </w:r>
                                </w:p>
                              </w:txbxContent>
                            </wps:txbx>
                            <wps:bodyPr wrap="none" lIns="0" tIns="0" rIns="0" bIns="0">
                              <a:noAutofit/>
                            </wps:bodyPr>
                          </wps:wsp>
                        </a:graphicData>
                      </a:graphic>
                      <wp14:sizeRelV relativeFrom="margin">
                        <wp14:pctHeight>0</wp14:pctHeight>
                      </wp14:sizeRelV>
                    </wp:anchor>
                  </w:drawing>
                </mc:Choice>
                <mc:Fallback>
                  <w:pict>
                    <v:rect w14:anchorId="3536EB8F" id="_x0000_s1389" style="position:absolute;margin-left:155.45pt;margin-top:73.95pt;width:2in;height:16.7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" fillcolor="#b79cbb" stroked="f">
                      <v:textbox inset="0,0,0,0">
                        <w:txbxContent>
                          <w:p w14:paraId="67D40B50" w14:textId="77777777" w:rsidR="009D0C1D" w:rsidRPr="00BC7F53" w:rsidRDefault="009D0C1D" w:rsidP="00CF0462">
                            <w:pPr>
                              <w:rPr>
                                <w:rFonts w:ascii="Century Gothic" w:eastAsia="+mn-ea" w:hAnsi="Century Gothic" w:cs="+mn-cs"/>
                                <w:b/>
                                <w:bCs/>
                                <w:color w:val="343433"/>
                                <w:kern w:val="24"/>
                                <w:sz w:val="16"/>
                                <w:szCs w:val="16"/>
                              </w:rPr>
                            </w:pPr>
                            <w:r w:rsidRPr="00BC7F53">
                              <w:rPr>
                                <w:rFonts w:ascii="Century Gothic" w:hAnsi="Century Gothic"/>
                                <w:b/>
                                <w:color w:val="343433"/>
                                <w:sz w:val="16"/>
                                <w:szCs w:val="22"/>
                              </w:rPr>
                              <w:t>MTBC виявлено зі слідовим результатом Ultra</w:t>
                            </w:r>
                            <w:r w:rsidRPr="00BC7F53">
                              <w:rPr>
                                <w:rFonts w:ascii="Century Gothic" w:hAnsi="Century Gothic"/>
                                <w:b/>
                                <w:color w:val="0099D6"/>
                                <w:sz w:val="16"/>
                                <w:szCs w:val="22"/>
                                <w:vertAlign w:val="superscript"/>
                              </w:rPr>
                              <w:t>j</w:t>
                            </w:r>
                          </w:p>
                        </w:txbxContent>
                      </v:textbox>
                    </v:rect>
                  </w:pict>
                </mc:Fallback>
              </mc:AlternateContent>
            </w:r>
            <w:r w:rsidR="00CF0462">
              <w:rPr>
                <w:noProof/>
              </w:rPr>
              <mc:AlternateContent>
                <mc:Choice Requires="wps">
                  <w:drawing>
                    <wp:anchor distT="0" distB="0" distL="114300" distR="114300" simplePos="0" relativeHeight="251723776" behindDoc="0" locked="0" layoutInCell="1" allowOverlap="1" wp14:anchorId="358DC299" wp14:editId="24AA4781">
                      <wp:simplePos x="0" y="0"/>
                      <wp:positionH relativeFrom="column">
                        <wp:posOffset>57150</wp:posOffset>
                      </wp:positionH>
                      <wp:positionV relativeFrom="paragraph">
                        <wp:posOffset>732790</wp:posOffset>
                      </wp:positionV>
                      <wp:extent cx="495300" cy="259080"/>
                      <wp:effectExtent l="0" t="0" r="0" b="7620"/>
                      <wp:wrapNone/>
                      <wp:docPr id="1649892363" name="Прямокутник 3"/>
                      <wp:cNvGraphicFramePr/>
                      <a:graphic xmlns:a="http://schemas.openxmlformats.org/drawingml/2006/main">
                        <a:graphicData uri="http://schemas.microsoft.com/office/word/2010/wordprocessingShape">
                          <wps:wsp>
                            <wps:cNvSpPr/>
                            <wps:spPr>
                              <a:xfrm>
                                <a:off x="0" y="0"/>
                                <a:ext cx="495300" cy="259080"/>
                              </a:xfrm>
                              <a:prstGeom prst="rect">
                                <a:avLst/>
                              </a:prstGeom>
                              <a:solidFill>
                                <a:srgbClr val="D4D9ED"/>
                              </a:solidFill>
                            </wps:spPr>
                            <wps:txbx>
                              <w:txbxContent>
                                <w:p w14:paraId="1B302AC1" w14:textId="77777777" w:rsidR="009D0C1D" w:rsidRPr="00BC7F53" w:rsidRDefault="009D0C1D" w:rsidP="00CF0462">
                                  <w:pPr>
                                    <w:spacing w:line="288" w:lineRule="auto"/>
                                    <w:jc w:val="both"/>
                                    <w:rPr>
                                      <w:rFonts w:eastAsia="+mn-ea" w:cs="+mn-cs"/>
                                      <w:kern w:val="24"/>
                                      <w:sz w:val="11"/>
                                      <w:szCs w:val="11"/>
                                    </w:rPr>
                                  </w:pPr>
                                  <w:r w:rsidRPr="00BC7F53">
                                    <w:rPr>
                                      <w:sz w:val="11"/>
                                      <w:szCs w:val="20"/>
                                    </w:rPr>
                                    <w:t>Повернутись до алгоритму</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58DC299" id="_x0000_s1390" style="position:absolute;margin-left:4.5pt;margin-top:57.7pt;width:39pt;height:20.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" fillcolor="#d4d9ed" stroked="f">
                      <v:textbox inset="0,0,0,0">
                        <w:txbxContent>
                          <w:p w14:paraId="1B302AC1" w14:textId="77777777" w:rsidR="009D0C1D" w:rsidRPr="00BC7F53" w:rsidRDefault="009D0C1D" w:rsidP="00CF0462">
                            <w:pPr>
                              <w:spacing w:line="288" w:lineRule="auto"/>
                              <w:jc w:val="both"/>
                              <w:rPr>
                                <w:rFonts w:eastAsia="+mn-ea" w:cs="+mn-cs"/>
                                <w:kern w:val="24"/>
                                <w:sz w:val="11"/>
                                <w:szCs w:val="11"/>
                              </w:rPr>
                            </w:pPr>
                            <w:r w:rsidRPr="00BC7F53">
                              <w:rPr>
                                <w:sz w:val="11"/>
                                <w:szCs w:val="20"/>
                              </w:rPr>
                              <w:t>Повернутись до алгоритму</w:t>
                            </w:r>
                          </w:p>
                        </w:txbxContent>
                      </v:textbox>
                    </v:rect>
                  </w:pict>
                </mc:Fallback>
              </mc:AlternateContent>
            </w:r>
            <w:r w:rsidR="00CF0462">
              <w:rPr>
                <w:noProof/>
              </w:rPr>
              <w:drawing>
                <wp:inline distT="0" distB="0" distL="0" distR="0" wp14:anchorId="421F3908" wp14:editId="300F2569">
                  <wp:extent cx="5843270" cy="635508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34"/>
                          <a:stretch/>
                        </pic:blipFill>
                        <pic:spPr>
                          <a:xfrm>
                            <a:off x="0" y="0"/>
                            <a:ext cx="5843270" cy="6355080"/>
                          </a:xfrm>
                          <a:prstGeom prst="rect">
                            <a:avLst/>
                          </a:prstGeom>
                        </pic:spPr>
                      </pic:pic>
                    </a:graphicData>
                  </a:graphic>
                </wp:inline>
              </w:drawing>
            </w:r>
          </w:p>
        </w:tc>
      </w:tr>
      <w:tr w:rsidR="00366CB9" w14:paraId="1EEFBED4" w14:textId="77777777" w:rsidTr="00BC7F53">
        <w:trPr>
          <w:trHeight w:hRule="exact" w:val="1474"/>
        </w:trPr>
        <w:tc>
          <w:tcPr>
            <w:tcW w:w="9202" w:type="dxa"/>
            <w:shd w:val="clear" w:color="auto" w:fill="FFFFFF"/>
            <w:vAlign w:val="bottom"/>
          </w:tcPr>
          <w:p w14:paraId="43A3CF19" w14:textId="77777777" w:rsidR="00366CB9" w:rsidRDefault="009D0C1D" w:rsidP="00515F9C">
            <w:pPr>
              <w:pStyle w:val="a6"/>
              <w:shd w:val="clear" w:color="auto" w:fill="auto"/>
              <w:spacing w:after="40" w:line="266" w:lineRule="auto"/>
              <w:rPr>
                <w:sz w:val="17"/>
                <w:szCs w:val="17"/>
              </w:rPr>
            </w:pPr>
            <w:r>
              <w:rPr>
                <w:b w:val="0"/>
                <w:color w:val="000000"/>
                <w:sz w:val="17"/>
              </w:rPr>
              <w:t xml:space="preserve">ТМЧ: тестування медикаментозної чутливості; ВІЛ: вірус імунодефіциту людини; MTB: </w:t>
            </w:r>
            <w:r>
              <w:rPr>
                <w:b w:val="0"/>
                <w:i/>
                <w:color w:val="000000"/>
                <w:sz w:val="17"/>
              </w:rPr>
              <w:t>Mycobacterium tuberculosis</w:t>
            </w:r>
            <w:r>
              <w:rPr>
                <w:b w:val="0"/>
                <w:color w:val="000000"/>
                <w:sz w:val="17"/>
              </w:rPr>
              <w:t>; mWRD: молекулярний експрес-тест для діагностики туберкульозу, рекомендований ВООЗ; ЛЖВІЛ: люди, які живуть з ВІЛ; ТБ: туберкульоз; ВООЗ: Всесвітня організація охорони здоров’я; WRD: експрес-тест для діагностики туберкульозу, рекомендований ВООЗ.</w:t>
            </w:r>
          </w:p>
          <w:p w14:paraId="7E4CD1B0" w14:textId="77777777" w:rsidR="00366CB9" w:rsidRDefault="009D0C1D" w:rsidP="00515F9C">
            <w:pPr>
              <w:pStyle w:val="a6"/>
              <w:shd w:val="clear" w:color="auto" w:fill="auto"/>
              <w:spacing w:after="40" w:line="266" w:lineRule="auto"/>
              <w:rPr>
                <w:sz w:val="17"/>
                <w:szCs w:val="17"/>
              </w:rPr>
            </w:pPr>
            <w:r>
              <w:rPr>
                <w:b w:val="0"/>
                <w:color w:val="000000"/>
                <w:sz w:val="17"/>
              </w:rPr>
              <w:t>Лікарський засіб: RIF: рифампіцин.</w:t>
            </w:r>
          </w:p>
          <w:p w14:paraId="64154472" w14:textId="77777777" w:rsidR="00366CB9" w:rsidRDefault="009D0C1D" w:rsidP="00515F9C">
            <w:pPr>
              <w:pStyle w:val="a6"/>
              <w:shd w:val="clear" w:color="auto" w:fill="auto"/>
              <w:spacing w:after="40" w:line="266" w:lineRule="auto"/>
              <w:rPr>
                <w:sz w:val="17"/>
                <w:szCs w:val="17"/>
              </w:rPr>
            </w:pPr>
            <w:r>
              <w:rPr>
                <w:b w:val="0"/>
                <w:color w:val="000000"/>
                <w:sz w:val="17"/>
              </w:rPr>
              <w:t>Примітки до рисунків див. на стор. 112.</w:t>
            </w:r>
          </w:p>
        </w:tc>
      </w:tr>
    </w:tbl>
    <w:p w14:paraId="6E7896B1" w14:textId="139496A2" w:rsidR="00366CB9" w:rsidRPr="00BC7F53" w:rsidRDefault="009D0C1D" w:rsidP="00515F9C">
      <w:pPr>
        <w:pStyle w:val="1"/>
        <w:numPr>
          <w:ilvl w:val="0"/>
          <w:numId w:val="15"/>
        </w:numPr>
        <w:shd w:val="clear" w:color="auto" w:fill="auto"/>
        <w:tabs>
          <w:tab w:val="left" w:pos="318"/>
        </w:tabs>
        <w:spacing w:before="360" w:after="100" w:line="295" w:lineRule="auto"/>
        <w:ind w:left="300" w:hanging="300"/>
        <w:rPr>
          <w:sz w:val="18"/>
          <w:szCs w:val="18"/>
        </w:rPr>
      </w:pPr>
      <w:r w:rsidRPr="00BC7F53">
        <w:rPr>
          <w:sz w:val="18"/>
          <w:szCs w:val="18"/>
        </w:rPr>
        <w:t>Якщо результат тесту Xpert Ultra – «сліди MTBC виявлено», необхідно враховувати додаткові міркування. Якщо проводиться супутнє тестування з LF-LAM, а тест LF-LAM дає позитивний результат (тобто для людей, які живуть з ВІЛ, дітей та дітей, які живуть з ВІЛ), результат Xpert Ultra «сліди MTBC виявлено» вважається позитивним, а особі необхідно призначити лікування препаратами першої лінії відповідно до рекомендацій ВООЗ та національних керівних принципів.</w:t>
      </w:r>
    </w:p>
    <w:p w14:paraId="2339EFAD" w14:textId="77777777" w:rsidR="00366CB9" w:rsidRPr="00BC7F53" w:rsidRDefault="009D0C1D" w:rsidP="00515F9C">
      <w:pPr>
        <w:pStyle w:val="1"/>
        <w:numPr>
          <w:ilvl w:val="0"/>
          <w:numId w:val="15"/>
        </w:numPr>
        <w:shd w:val="clear" w:color="auto" w:fill="auto"/>
        <w:tabs>
          <w:tab w:val="left" w:pos="318"/>
        </w:tabs>
        <w:spacing w:line="322" w:lineRule="auto"/>
        <w:ind w:left="300" w:hanging="300"/>
        <w:rPr>
          <w:sz w:val="18"/>
          <w:szCs w:val="18"/>
        </w:rPr>
      </w:pPr>
      <w:r w:rsidRPr="00BC7F53">
        <w:rPr>
          <w:sz w:val="18"/>
          <w:szCs w:val="18"/>
        </w:rPr>
        <w:t>ВООЗ пропонує не повторювати тестування Xpert Ultra у дорослих з початковим слідовим результатом Xpert Ultra, щоб підтвердити результат.</w:t>
      </w:r>
    </w:p>
    <w:p w14:paraId="00AC7E91"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7480356C" w14:textId="77777777" w:rsidR="00366CB9" w:rsidRDefault="00366CB9" w:rsidP="00425523">
      <w:pPr>
        <w:spacing w:line="1" w:lineRule="exact"/>
      </w:pPr>
    </w:p>
    <w:p w14:paraId="758E6BA4" w14:textId="77777777" w:rsidR="00366CB9" w:rsidRPr="00BC7F53" w:rsidRDefault="009D0C1D" w:rsidP="00515F9C">
      <w:pPr>
        <w:pStyle w:val="1"/>
        <w:numPr>
          <w:ilvl w:val="0"/>
          <w:numId w:val="25"/>
        </w:numPr>
        <w:shd w:val="clear" w:color="auto" w:fill="auto"/>
        <w:tabs>
          <w:tab w:val="left" w:pos="608"/>
        </w:tabs>
        <w:spacing w:line="324" w:lineRule="auto"/>
        <w:ind w:left="560" w:hanging="260"/>
        <w:jc w:val="both"/>
        <w:rPr>
          <w:sz w:val="18"/>
          <w:szCs w:val="18"/>
        </w:rPr>
      </w:pPr>
      <w:r w:rsidRPr="00BC7F53">
        <w:rPr>
          <w:sz w:val="18"/>
          <w:szCs w:val="18"/>
        </w:rPr>
        <w:t>Клінічні характеристики особи необхідно переглянути з метою визначення віку, ВІЛ-статусу та наявності в анамнезі лікування ТБ, а також визначення походження зразків (легенева або позалегенева ділянка).</w:t>
      </w:r>
    </w:p>
    <w:p w14:paraId="73C45E3F" w14:textId="77777777" w:rsidR="00366CB9" w:rsidRPr="00BC7F53" w:rsidRDefault="009D0C1D" w:rsidP="00515F9C">
      <w:pPr>
        <w:pStyle w:val="1"/>
        <w:numPr>
          <w:ilvl w:val="0"/>
          <w:numId w:val="26"/>
        </w:numPr>
        <w:shd w:val="clear" w:color="auto" w:fill="auto"/>
        <w:tabs>
          <w:tab w:val="left" w:pos="826"/>
        </w:tabs>
        <w:spacing w:line="324" w:lineRule="auto"/>
        <w:ind w:left="820" w:hanging="240"/>
        <w:jc w:val="both"/>
        <w:rPr>
          <w:sz w:val="18"/>
          <w:szCs w:val="18"/>
        </w:rPr>
      </w:pPr>
      <w:r w:rsidRPr="00BC7F53">
        <w:rPr>
          <w:sz w:val="18"/>
          <w:szCs w:val="18"/>
        </w:rPr>
        <w:t>Особи можуть вважатись ВІЛ-позитивними у разі позитивного результату тесту на ВІЛ-інфекцію або невідомого ВІЛ-статусу, але за наявності клінічних доказів ВІЛ-інфекції, якщо вони проживають у регіонах з високим тягарем епідемії ВІЛ або входять до групи ризику ВІЛ. Для всіх осіб з невідомим ВІЛ-статусом тестування на виявлення ВІЛ необхідно проводити відповідно до національних керівних принципів.</w:t>
      </w:r>
    </w:p>
    <w:p w14:paraId="4F6097D6" w14:textId="77777777" w:rsidR="00366CB9" w:rsidRPr="00BC7F53" w:rsidRDefault="009D0C1D" w:rsidP="00515F9C">
      <w:pPr>
        <w:pStyle w:val="1"/>
        <w:numPr>
          <w:ilvl w:val="0"/>
          <w:numId w:val="26"/>
        </w:numPr>
        <w:shd w:val="clear" w:color="auto" w:fill="auto"/>
        <w:tabs>
          <w:tab w:val="left" w:pos="878"/>
        </w:tabs>
        <w:spacing w:line="324" w:lineRule="auto"/>
        <w:ind w:left="820" w:hanging="240"/>
        <w:jc w:val="both"/>
        <w:rPr>
          <w:sz w:val="18"/>
          <w:szCs w:val="18"/>
        </w:rPr>
      </w:pPr>
      <w:r w:rsidRPr="00BC7F53">
        <w:rPr>
          <w:sz w:val="18"/>
          <w:szCs w:val="18"/>
        </w:rPr>
        <w:t>Особи, які пройшли недавнє лікування ТБ, включають тих, хто успішно пройшов курс терапії протягом останніх 5 років. Ризик хибнопозитивного результату mWRD є найвищим одразу після завершення лікування та поступово знижується з часом (</w:t>
      </w:r>
      <w:hyperlink w:anchor="bookmark200" w:tooltip="Поточний документ">
        <w:r w:rsidR="00366CB9" w:rsidRPr="00BC7F53">
          <w:rPr>
            <w:sz w:val="18"/>
            <w:szCs w:val="18"/>
          </w:rPr>
          <w:t>89, 90</w:t>
        </w:r>
      </w:hyperlink>
      <w:r w:rsidRPr="00BC7F53">
        <w:rPr>
          <w:sz w:val="18"/>
          <w:szCs w:val="18"/>
        </w:rPr>
        <w:t>). У осіб, які розпочали, але не завершили терапію, та осіб, у кого терапія була неефективною, високий ризик МЛС-ТБ; у таких випадках потрібна ретельна клінічна оцінка.</w:t>
      </w:r>
    </w:p>
    <w:p w14:paraId="47ADDDCF" w14:textId="77777777" w:rsidR="00366CB9" w:rsidRPr="00BC7F53" w:rsidRDefault="009D0C1D" w:rsidP="00515F9C">
      <w:pPr>
        <w:pStyle w:val="1"/>
        <w:numPr>
          <w:ilvl w:val="0"/>
          <w:numId w:val="26"/>
        </w:numPr>
        <w:shd w:val="clear" w:color="auto" w:fill="auto"/>
        <w:tabs>
          <w:tab w:val="left" w:pos="931"/>
        </w:tabs>
        <w:spacing w:line="324" w:lineRule="auto"/>
        <w:ind w:left="820" w:hanging="240"/>
        <w:jc w:val="both"/>
        <w:rPr>
          <w:sz w:val="18"/>
          <w:szCs w:val="18"/>
        </w:rPr>
      </w:pPr>
      <w:r w:rsidRPr="00BC7F53">
        <w:rPr>
          <w:sz w:val="18"/>
          <w:szCs w:val="18"/>
        </w:rPr>
        <w:t>Слідовий позитивний результат у зразку з позалегеневої ділянки вважається істинно позитивним та повинен призводити до лікування препаратами першої лінії.</w:t>
      </w:r>
    </w:p>
    <w:p w14:paraId="74232BB5" w14:textId="77777777" w:rsidR="00366CB9" w:rsidRPr="00BC7F53" w:rsidRDefault="009D0C1D" w:rsidP="00515F9C">
      <w:pPr>
        <w:pStyle w:val="1"/>
        <w:numPr>
          <w:ilvl w:val="0"/>
          <w:numId w:val="26"/>
        </w:numPr>
        <w:shd w:val="clear" w:color="auto" w:fill="auto"/>
        <w:tabs>
          <w:tab w:val="left" w:pos="931"/>
        </w:tabs>
        <w:spacing w:line="324" w:lineRule="auto"/>
        <w:ind w:left="820" w:hanging="240"/>
        <w:jc w:val="both"/>
        <w:rPr>
          <w:sz w:val="18"/>
          <w:szCs w:val="18"/>
        </w:rPr>
      </w:pPr>
      <w:r w:rsidRPr="00BC7F53">
        <w:rPr>
          <w:sz w:val="18"/>
          <w:szCs w:val="18"/>
        </w:rPr>
        <w:t>Фахівці у сфері охорони здоров’я повинні збирати достовірний анамнез лікування ТБ, усвідомлюючи, що деякі особи можуть не повідомляти про лікування через стигму або, у випадку мігрантів, занепокоєння щодо правового статусу.</w:t>
      </w:r>
    </w:p>
    <w:p w14:paraId="0450B2F9" w14:textId="77777777" w:rsidR="00366CB9" w:rsidRPr="00BC7F53" w:rsidRDefault="009D0C1D" w:rsidP="00515F9C">
      <w:pPr>
        <w:pStyle w:val="1"/>
        <w:numPr>
          <w:ilvl w:val="0"/>
          <w:numId w:val="25"/>
        </w:numPr>
        <w:shd w:val="clear" w:color="auto" w:fill="auto"/>
        <w:tabs>
          <w:tab w:val="left" w:pos="622"/>
        </w:tabs>
        <w:spacing w:line="324" w:lineRule="auto"/>
        <w:ind w:left="560" w:hanging="260"/>
        <w:jc w:val="both"/>
        <w:rPr>
          <w:sz w:val="18"/>
          <w:szCs w:val="18"/>
        </w:rPr>
      </w:pPr>
      <w:r w:rsidRPr="00BC7F53">
        <w:rPr>
          <w:sz w:val="18"/>
          <w:szCs w:val="18"/>
        </w:rPr>
        <w:t>Для певних популяцій (наприклад, людей, які живуть з ВІЛ, та дітей, які проходять обстеження на ТБ легень; осіб, які проходять обстеження на позалегеневий ТБ за допомогою зразків СМР, лімфатичних вузлів та тканин; та дорослих, які проходять обстеження на ТБ легень без ризику ВІЛ та без наявності в анамнезі лікування ТБ протягом останніх 5 років) необхідно вжити таких заходів:</w:t>
      </w:r>
    </w:p>
    <w:p w14:paraId="26EEA372" w14:textId="6C18E272" w:rsidR="00366CB9" w:rsidRPr="00BC7F53" w:rsidRDefault="009D0C1D" w:rsidP="00515F9C">
      <w:pPr>
        <w:pStyle w:val="1"/>
        <w:shd w:val="clear" w:color="auto" w:fill="auto"/>
        <w:spacing w:line="324" w:lineRule="auto"/>
        <w:ind w:left="820" w:hanging="240"/>
        <w:jc w:val="both"/>
        <w:rPr>
          <w:sz w:val="18"/>
          <w:szCs w:val="18"/>
        </w:rPr>
      </w:pPr>
      <w:r w:rsidRPr="00BC7F53">
        <w:rPr>
          <w:sz w:val="18"/>
          <w:szCs w:val="18"/>
        </w:rPr>
        <w:t xml:space="preserve">i. </w:t>
      </w:r>
      <w:r w:rsidR="00BC7F53">
        <w:tab/>
      </w:r>
      <w:r w:rsidRPr="00BC7F53">
        <w:rPr>
          <w:sz w:val="18"/>
          <w:szCs w:val="18"/>
        </w:rPr>
        <w:t>Слідовий результат виявленого MTBC, отриманий з першого зразка, необхідно розглядати як бактеріологічне підтвердження ТБ (тобто істинно позитивний результат) та використовувати для прийняття клінічних рішень.</w:t>
      </w:r>
    </w:p>
    <w:p w14:paraId="2C010D9A" w14:textId="77777777" w:rsidR="00366CB9" w:rsidRPr="00BC7F53" w:rsidRDefault="009D0C1D" w:rsidP="00515F9C">
      <w:pPr>
        <w:pStyle w:val="1"/>
        <w:numPr>
          <w:ilvl w:val="0"/>
          <w:numId w:val="20"/>
        </w:numPr>
        <w:shd w:val="clear" w:color="auto" w:fill="auto"/>
        <w:tabs>
          <w:tab w:val="left" w:pos="878"/>
        </w:tabs>
        <w:spacing w:line="324" w:lineRule="auto"/>
        <w:ind w:left="820" w:hanging="240"/>
        <w:jc w:val="both"/>
        <w:rPr>
          <w:sz w:val="18"/>
          <w:szCs w:val="18"/>
        </w:rPr>
      </w:pPr>
      <w:r w:rsidRPr="00BC7F53">
        <w:rPr>
          <w:sz w:val="18"/>
          <w:szCs w:val="18"/>
        </w:rPr>
        <w:t>Особі необхідно призначати відповідну схему лікування протитуберкульозними препаратами першої лінії відповідно до національних керівних принципів за відсутності високого ризику МЛС-ТБ (у такому випадку особі необхідно призначати відповідну схему лікування МЛС-ТБ).</w:t>
      </w:r>
    </w:p>
    <w:p w14:paraId="3F73A7D5" w14:textId="77777777" w:rsidR="00366CB9" w:rsidRPr="00BC7F53" w:rsidRDefault="009D0C1D" w:rsidP="00515F9C">
      <w:pPr>
        <w:pStyle w:val="1"/>
        <w:numPr>
          <w:ilvl w:val="0"/>
          <w:numId w:val="20"/>
        </w:numPr>
        <w:shd w:val="clear" w:color="auto" w:fill="auto"/>
        <w:tabs>
          <w:tab w:val="left" w:pos="931"/>
        </w:tabs>
        <w:spacing w:line="324" w:lineRule="auto"/>
        <w:ind w:left="820" w:hanging="240"/>
        <w:jc w:val="both"/>
        <w:rPr>
          <w:sz w:val="18"/>
          <w:szCs w:val="18"/>
        </w:rPr>
      </w:pPr>
      <w:r w:rsidRPr="00BC7F53">
        <w:rPr>
          <w:sz w:val="18"/>
          <w:szCs w:val="18"/>
        </w:rPr>
        <w:t>Для підтвердження або виключення резистентності до RIF потрібні додаткові обстеження (наприклад, посів та ТМЧ).</w:t>
      </w:r>
    </w:p>
    <w:p w14:paraId="52FA7CE1" w14:textId="77777777" w:rsidR="00366CB9" w:rsidRPr="00BC7F53" w:rsidRDefault="009D0C1D" w:rsidP="00515F9C">
      <w:pPr>
        <w:pStyle w:val="1"/>
        <w:numPr>
          <w:ilvl w:val="0"/>
          <w:numId w:val="25"/>
        </w:numPr>
        <w:shd w:val="clear" w:color="auto" w:fill="auto"/>
        <w:tabs>
          <w:tab w:val="left" w:pos="589"/>
        </w:tabs>
        <w:spacing w:line="324" w:lineRule="auto"/>
        <w:ind w:left="300"/>
        <w:jc w:val="both"/>
        <w:rPr>
          <w:sz w:val="18"/>
          <w:szCs w:val="18"/>
        </w:rPr>
      </w:pPr>
      <w:r w:rsidRPr="00BC7F53">
        <w:rPr>
          <w:sz w:val="18"/>
          <w:szCs w:val="18"/>
        </w:rPr>
        <w:t>Для дорослих, які проходять обстеження на ТБ легень, без ризику ВІЛ та у минулому отримували лікування ТБ протягом останніх 5 років, необхідно вжити таких заходів: i. Для дорослих з наявністю в анамнезі лікування ТБ або невідомим анамнезом необхідно враховувати можливість хибнопозитивного результату Xpert Ultra через можливу наявність нежиттєздатних бацил.</w:t>
      </w:r>
    </w:p>
    <w:p w14:paraId="6E95B028" w14:textId="0DDC63AD" w:rsidR="00366CB9" w:rsidRPr="00BC7F53" w:rsidRDefault="009D0C1D" w:rsidP="00515F9C">
      <w:pPr>
        <w:pStyle w:val="1"/>
        <w:shd w:val="clear" w:color="auto" w:fill="auto"/>
        <w:spacing w:line="324" w:lineRule="auto"/>
        <w:ind w:left="820" w:hanging="240"/>
        <w:jc w:val="both"/>
        <w:rPr>
          <w:sz w:val="18"/>
          <w:szCs w:val="18"/>
        </w:rPr>
      </w:pPr>
      <w:r w:rsidRPr="00BC7F53">
        <w:rPr>
          <w:sz w:val="18"/>
          <w:szCs w:val="18"/>
        </w:rPr>
        <w:t xml:space="preserve">ii. </w:t>
      </w:r>
      <w:r w:rsidR="00BC7F53">
        <w:tab/>
      </w:r>
      <w:r w:rsidRPr="00BC7F53">
        <w:rPr>
          <w:sz w:val="18"/>
          <w:szCs w:val="18"/>
        </w:rPr>
        <w:t>Особу необхідно повторно обстежити та провести додаткові тести (включаючи рідкий посів) відповідно до національних керівних принципів. Необхідно враховувати можливість ТБ внаслідок реактивації, рецидиву або повторного зараження.</w:t>
      </w:r>
    </w:p>
    <w:p w14:paraId="7F93E85C" w14:textId="77777777" w:rsidR="00366CB9" w:rsidRPr="00BC7F53" w:rsidRDefault="009D0C1D" w:rsidP="00515F9C">
      <w:pPr>
        <w:pStyle w:val="1"/>
        <w:numPr>
          <w:ilvl w:val="0"/>
          <w:numId w:val="17"/>
        </w:numPr>
        <w:shd w:val="clear" w:color="auto" w:fill="auto"/>
        <w:tabs>
          <w:tab w:val="left" w:pos="931"/>
        </w:tabs>
        <w:spacing w:line="324" w:lineRule="auto"/>
        <w:ind w:left="820" w:hanging="240"/>
        <w:jc w:val="both"/>
        <w:rPr>
          <w:sz w:val="18"/>
          <w:szCs w:val="18"/>
        </w:rPr>
      </w:pPr>
      <w:r w:rsidRPr="00BC7F53">
        <w:rPr>
          <w:sz w:val="18"/>
          <w:szCs w:val="18"/>
        </w:rPr>
        <w:t>На початку лікування необхідно враховувати клінічну картину та контекст особи, а клінічні рішення необхідно приймати на основі всієї доступної інформації та клінічного судження.</w:t>
      </w:r>
    </w:p>
    <w:p w14:paraId="68461F1C"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65246197" w14:textId="77777777" w:rsidR="00366CB9" w:rsidRDefault="00366CB9" w:rsidP="00425523">
      <w:pPr>
        <w:spacing w:line="1" w:lineRule="exact"/>
      </w:pPr>
    </w:p>
    <w:p w14:paraId="3FC0D7B0" w14:textId="77777777" w:rsidR="00366CB9" w:rsidRPr="00BC7F53" w:rsidRDefault="009D0C1D" w:rsidP="00515F9C">
      <w:pPr>
        <w:pStyle w:val="1"/>
        <w:numPr>
          <w:ilvl w:val="0"/>
          <w:numId w:val="17"/>
        </w:numPr>
        <w:shd w:val="clear" w:color="auto" w:fill="auto"/>
        <w:tabs>
          <w:tab w:val="left" w:pos="911"/>
        </w:tabs>
        <w:spacing w:line="324" w:lineRule="auto"/>
        <w:ind w:left="820" w:hanging="260"/>
        <w:jc w:val="both"/>
        <w:rPr>
          <w:sz w:val="18"/>
          <w:szCs w:val="18"/>
        </w:rPr>
      </w:pPr>
      <w:r w:rsidRPr="00BC7F53">
        <w:rPr>
          <w:sz w:val="18"/>
          <w:szCs w:val="18"/>
        </w:rPr>
        <w:t>Подальші обстеження на ТБ можуть включати РОГК, додаткові клінічні оцінки та клінічну відповідь після лікування антимікробними препаратами широкого спектру дії (FQ не застосовуються).</w:t>
      </w:r>
    </w:p>
    <w:p w14:paraId="641F621D" w14:textId="6FDDC241" w:rsidR="00366CB9" w:rsidRPr="00BC7F53" w:rsidRDefault="00FE22F4" w:rsidP="00515F9C">
      <w:pPr>
        <w:pStyle w:val="1"/>
        <w:shd w:val="clear" w:color="auto" w:fill="auto"/>
        <w:spacing w:line="324" w:lineRule="auto"/>
        <w:ind w:left="1080" w:hanging="240"/>
        <w:jc w:val="both"/>
        <w:rPr>
          <w:sz w:val="18"/>
          <w:szCs w:val="18"/>
        </w:rPr>
      </w:pPr>
      <w:r w:rsidRPr="00BC7F53">
        <w:rPr>
          <w:color w:val="019648"/>
          <w:sz w:val="18"/>
          <w:szCs w:val="18"/>
        </w:rPr>
        <w:sym w:font="Wingdings" w:char="F09F"/>
      </w:r>
      <w:r w:rsidRPr="00BC7F53">
        <w:rPr>
          <w:color w:val="019648"/>
          <w:sz w:val="18"/>
          <w:szCs w:val="18"/>
        </w:rPr>
        <w:t xml:space="preserve"> </w:t>
      </w:r>
      <w:r w:rsidR="00BC7F53" w:rsidRPr="00BC7F53">
        <w:rPr>
          <w:sz w:val="18"/>
          <w:szCs w:val="18"/>
        </w:rPr>
        <w:tab/>
      </w:r>
      <w:r w:rsidRPr="00BC7F53">
        <w:rPr>
          <w:sz w:val="18"/>
          <w:szCs w:val="18"/>
        </w:rPr>
        <w:t>Повторне тестування Xpert Ultra має невизначену користь. Нещодавня ГРК ВООЗ рекомендувала не повторювати тестування Xpert Ultra особам з початковим слідовим результатом Xpert Ultra для виявлення MTBC.</w:t>
      </w:r>
    </w:p>
    <w:p w14:paraId="2303D0F2" w14:textId="46E2D380" w:rsidR="00366CB9" w:rsidRPr="00BC7F53" w:rsidRDefault="00FE22F4" w:rsidP="00515F9C">
      <w:pPr>
        <w:pStyle w:val="1"/>
        <w:shd w:val="clear" w:color="auto" w:fill="auto"/>
        <w:spacing w:line="324" w:lineRule="auto"/>
        <w:ind w:left="1080" w:hanging="240"/>
        <w:jc w:val="both"/>
        <w:rPr>
          <w:sz w:val="18"/>
          <w:szCs w:val="18"/>
        </w:rPr>
      </w:pPr>
      <w:r w:rsidRPr="00BC7F53">
        <w:rPr>
          <w:color w:val="019648"/>
          <w:sz w:val="18"/>
          <w:szCs w:val="18"/>
        </w:rPr>
        <w:sym w:font="Wingdings" w:char="F09F"/>
      </w:r>
      <w:r w:rsidRPr="00BC7F53">
        <w:rPr>
          <w:color w:val="019648"/>
          <w:sz w:val="18"/>
          <w:szCs w:val="18"/>
        </w:rPr>
        <w:t xml:space="preserve"> </w:t>
      </w:r>
      <w:r w:rsidR="00BC7F53" w:rsidRPr="00BC7F53">
        <w:rPr>
          <w:sz w:val="18"/>
          <w:szCs w:val="18"/>
        </w:rPr>
        <w:tab/>
      </w:r>
      <w:r w:rsidRPr="00BC7F53">
        <w:rPr>
          <w:sz w:val="18"/>
          <w:szCs w:val="18"/>
        </w:rPr>
        <w:t>Культуральне та фенотипове ТМЧ можуть бути корисними для виявлення ТБ та медикаментозної резистентності. Слідовий результат не дає інформації про резистентність до RIF.</w:t>
      </w:r>
    </w:p>
    <w:p w14:paraId="6473A8A8" w14:textId="7F6B9321" w:rsidR="00366CB9" w:rsidRPr="00BC7F53" w:rsidRDefault="00FE22F4" w:rsidP="00515F9C">
      <w:pPr>
        <w:pStyle w:val="1"/>
        <w:shd w:val="clear" w:color="auto" w:fill="auto"/>
        <w:spacing w:line="324" w:lineRule="auto"/>
        <w:ind w:left="1080" w:hanging="240"/>
        <w:jc w:val="both"/>
        <w:rPr>
          <w:sz w:val="18"/>
          <w:szCs w:val="18"/>
        </w:rPr>
      </w:pPr>
      <w:r w:rsidRPr="00BC7F53">
        <w:rPr>
          <w:color w:val="019648"/>
          <w:sz w:val="18"/>
          <w:szCs w:val="18"/>
        </w:rPr>
        <w:sym w:font="Wingdings" w:char="F09F"/>
      </w:r>
      <w:r w:rsidRPr="00BC7F53">
        <w:rPr>
          <w:color w:val="019648"/>
          <w:sz w:val="18"/>
          <w:szCs w:val="18"/>
        </w:rPr>
        <w:t xml:space="preserve"> </w:t>
      </w:r>
      <w:r w:rsidR="00BC7F53" w:rsidRPr="00BC7F53">
        <w:rPr>
          <w:sz w:val="18"/>
          <w:szCs w:val="18"/>
        </w:rPr>
        <w:tab/>
      </w:r>
      <w:r w:rsidRPr="00BC7F53">
        <w:rPr>
          <w:sz w:val="18"/>
          <w:szCs w:val="18"/>
        </w:rPr>
        <w:t>Подальші обстеження на ТБ у дітей можуть включати рентгенографію органів грудної клітини та додаткові клінічні обстеження відповідно до рекомендацій ВООЗ щодо лікування ТБ у дітей (</w:t>
      </w:r>
      <w:hyperlink w:anchor="bookmark198" w:tooltip="Поточний документ">
        <w:r w:rsidRPr="00BC7F53">
          <w:rPr>
            <w:sz w:val="18"/>
            <w:szCs w:val="18"/>
          </w:rPr>
          <w:t>56</w:t>
        </w:r>
      </w:hyperlink>
      <w:r w:rsidRPr="00BC7F53">
        <w:rPr>
          <w:sz w:val="18"/>
          <w:szCs w:val="18"/>
        </w:rPr>
        <w:t>).</w:t>
      </w:r>
    </w:p>
    <w:p w14:paraId="441A1F94" w14:textId="6658D7E1" w:rsidR="00366CB9" w:rsidRPr="00BC7F53" w:rsidRDefault="009D0C1D" w:rsidP="00515F9C">
      <w:pPr>
        <w:pStyle w:val="1"/>
        <w:numPr>
          <w:ilvl w:val="0"/>
          <w:numId w:val="15"/>
        </w:numPr>
        <w:shd w:val="clear" w:color="auto" w:fill="auto"/>
        <w:tabs>
          <w:tab w:val="left" w:pos="318"/>
        </w:tabs>
        <w:spacing w:after="180" w:line="326" w:lineRule="auto"/>
        <w:ind w:left="300" w:hanging="300"/>
        <w:jc w:val="both"/>
        <w:rPr>
          <w:sz w:val="18"/>
          <w:szCs w:val="18"/>
        </w:rPr>
      </w:pPr>
      <w:r w:rsidRPr="00BC7F53">
        <w:rPr>
          <w:sz w:val="18"/>
          <w:szCs w:val="18"/>
        </w:rPr>
        <w:t xml:space="preserve">Якщо mWRD не дає результату </w:t>
      </w:r>
      <w:r w:rsidRPr="00BC7F53">
        <w:rPr>
          <w:rFonts w:ascii="Times New Roman" w:hAnsi="Times New Roman"/>
          <w:b/>
          <w:noProof/>
          <w:color w:val="343433"/>
          <w:sz w:val="28"/>
          <w:szCs w:val="18"/>
        </w:rPr>
        <w:drawing>
          <wp:inline distT="0" distB="0" distL="0" distR="0" wp14:anchorId="795EC1EE" wp14:editId="4342B694">
            <wp:extent cx="384048" cy="192024"/>
            <wp:effectExtent l="0" t="0" r="0" b="0"/>
            <wp:docPr id="144161150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29"/>
                    <a:stretch>
                      <a:fillRect/>
                    </a:stretch>
                  </pic:blipFill>
                  <pic:spPr>
                    <a:xfrm>
                      <a:off x="0" y="0"/>
                      <a:ext cx="384048" cy="192024"/>
                    </a:xfrm>
                    <a:prstGeom prst="rect">
                      <a:avLst/>
                    </a:prstGeom>
                  </pic:spPr>
                </pic:pic>
              </a:graphicData>
            </a:graphic>
          </wp:inline>
        </w:drawing>
      </w:r>
      <w:r w:rsidRPr="00BC7F53">
        <w:rPr>
          <w:b/>
          <w:color w:val="EBEBEB"/>
          <w:szCs w:val="18"/>
        </w:rPr>
        <w:t xml:space="preserve"> </w:t>
      </w:r>
      <w:r w:rsidRPr="00BC7F53">
        <w:rPr>
          <w:sz w:val="18"/>
          <w:szCs w:val="18"/>
        </w:rPr>
        <w:t>або дає «помилку» або «недійсний результат», mWRD необхідно повторити з другим зразком у тому ж центрі тестування.</w:t>
      </w:r>
    </w:p>
    <w:p w14:paraId="393A55D8" w14:textId="77777777" w:rsidR="00366CB9" w:rsidRPr="00E846A7" w:rsidRDefault="009D0C1D" w:rsidP="00515F9C">
      <w:pPr>
        <w:pStyle w:val="60"/>
        <w:shd w:val="clear" w:color="auto" w:fill="auto"/>
        <w:spacing w:after="180" w:line="269" w:lineRule="auto"/>
        <w:rPr>
          <w:i/>
          <w:iCs/>
        </w:rPr>
      </w:pPr>
      <w:r>
        <w:rPr>
          <w:i/>
          <w:color w:val="019648"/>
        </w:rPr>
        <w:t>Тлумачення невідповідних результатів</w:t>
      </w:r>
    </w:p>
    <w:p w14:paraId="0DFC1A96" w14:textId="77777777" w:rsidR="00366CB9" w:rsidRPr="00BC7F53" w:rsidRDefault="009D0C1D" w:rsidP="00515F9C">
      <w:pPr>
        <w:pStyle w:val="1"/>
        <w:shd w:val="clear" w:color="auto" w:fill="auto"/>
        <w:spacing w:after="180" w:line="324" w:lineRule="auto"/>
        <w:jc w:val="both"/>
        <w:rPr>
          <w:sz w:val="18"/>
          <w:szCs w:val="18"/>
        </w:rPr>
      </w:pPr>
      <w:r w:rsidRPr="00BC7F53">
        <w:rPr>
          <w:sz w:val="18"/>
          <w:szCs w:val="18"/>
        </w:rPr>
        <w:t>Цей алгоритм заснований на тестуванні зразка за допомогою mWRD (з LF-LAM або без нього) для виявлення MTBC та оцінки чутливості до RIF. Неузгодженість у резистентності до INH описана в Алгоритмі 3. Інколи рекомендується проведення подальшого тестування, щоб забезпечити добре інформування про клінічні рішення. Однак можливі невідповідні результати, як правило, під час порівняння результатів посіву з результатами молекулярного тестування. Кожен невідповідний результат потрібно буде досліджувати в кожному конкретному випадку. Загальні міркування викладені нижче.</w:t>
      </w:r>
    </w:p>
    <w:p w14:paraId="1B949B2D" w14:textId="77777777" w:rsidR="00366CB9" w:rsidRPr="00BC7F53" w:rsidRDefault="009D0C1D" w:rsidP="00515F9C">
      <w:pPr>
        <w:pStyle w:val="1"/>
        <w:shd w:val="clear" w:color="auto" w:fill="auto"/>
        <w:spacing w:line="322" w:lineRule="auto"/>
        <w:ind w:left="300" w:hanging="300"/>
        <w:jc w:val="both"/>
        <w:rPr>
          <w:sz w:val="18"/>
          <w:szCs w:val="18"/>
        </w:rPr>
      </w:pPr>
      <w:r w:rsidRPr="00BC7F53">
        <w:rPr>
          <w:sz w:val="18"/>
          <w:szCs w:val="18"/>
        </w:rPr>
        <w:t>1. Для результату mWRD «MTBC виявлено, крім слідів», негативний результат посіву (див. п. 5 щодо слідів):</w:t>
      </w:r>
    </w:p>
    <w:p w14:paraId="2F11C70B" w14:textId="77777777" w:rsidR="00366CB9" w:rsidRPr="00BC7F53" w:rsidRDefault="009D0C1D" w:rsidP="00515F9C">
      <w:pPr>
        <w:pStyle w:val="1"/>
        <w:numPr>
          <w:ilvl w:val="0"/>
          <w:numId w:val="27"/>
        </w:numPr>
        <w:shd w:val="clear" w:color="auto" w:fill="auto"/>
        <w:tabs>
          <w:tab w:val="left" w:pos="608"/>
        </w:tabs>
        <w:spacing w:line="324" w:lineRule="auto"/>
        <w:ind w:left="560" w:hanging="260"/>
        <w:jc w:val="both"/>
        <w:rPr>
          <w:sz w:val="18"/>
          <w:szCs w:val="18"/>
        </w:rPr>
      </w:pPr>
      <w:r w:rsidRPr="00BC7F53">
        <w:rPr>
          <w:sz w:val="18"/>
          <w:szCs w:val="18"/>
        </w:rPr>
        <w:t>Результат mWRD та клінічне судження необхідно використовувати для прийняття рішення щодо лікування в очікуванні додаткового тестування.</w:t>
      </w:r>
    </w:p>
    <w:p w14:paraId="580DC597" w14:textId="77777777" w:rsidR="00366CB9" w:rsidRPr="00BC7F53" w:rsidRDefault="009D0C1D" w:rsidP="00515F9C">
      <w:pPr>
        <w:pStyle w:val="1"/>
        <w:numPr>
          <w:ilvl w:val="0"/>
          <w:numId w:val="27"/>
        </w:numPr>
        <w:shd w:val="clear" w:color="auto" w:fill="auto"/>
        <w:tabs>
          <w:tab w:val="left" w:pos="622"/>
        </w:tabs>
        <w:spacing w:line="324" w:lineRule="auto"/>
        <w:ind w:left="560" w:hanging="260"/>
        <w:jc w:val="both"/>
        <w:rPr>
          <w:sz w:val="18"/>
          <w:szCs w:val="18"/>
        </w:rPr>
      </w:pPr>
      <w:r w:rsidRPr="00BC7F53">
        <w:rPr>
          <w:sz w:val="18"/>
          <w:szCs w:val="18"/>
        </w:rPr>
        <w:t>Результат mWRD необхідно розглядати як бактеріологічне підтвердження ТБ, якщо зразок було взято у особи, яка нещодавно не отримувала лікування протитуберкульозними препаратами. Посів від осіб з ТБ легень може дати негативний результат з кількох причин, зокрема через те, що особа отримує лікування ТБ (ефективне лікування швидко робить MTBC нежиттєздатним), інактивації туберкульозних бацил під час перевезення або обробки зразків, посіви були втрачені через забруднення, обсяг тестування був недостатнім або сталась лабораторна або канцелярська помилка.</w:t>
      </w:r>
    </w:p>
    <w:p w14:paraId="23620E78" w14:textId="77777777" w:rsidR="00366CB9" w:rsidRPr="00BC7F53" w:rsidRDefault="009D0C1D" w:rsidP="00515F9C">
      <w:pPr>
        <w:pStyle w:val="1"/>
        <w:numPr>
          <w:ilvl w:val="0"/>
          <w:numId w:val="27"/>
        </w:numPr>
        <w:shd w:val="clear" w:color="auto" w:fill="auto"/>
        <w:tabs>
          <w:tab w:val="left" w:pos="589"/>
        </w:tabs>
        <w:spacing w:line="324" w:lineRule="auto"/>
        <w:ind w:left="560" w:hanging="260"/>
        <w:jc w:val="both"/>
        <w:rPr>
          <w:sz w:val="18"/>
          <w:szCs w:val="18"/>
        </w:rPr>
      </w:pPr>
      <w:r w:rsidRPr="00BC7F53">
        <w:rPr>
          <w:sz w:val="18"/>
          <w:szCs w:val="18"/>
        </w:rPr>
        <w:t>Подальші дії можуть включати повторну оцінку особи на ТБ, повторну оцінку можливості попереднього або поточного лікування протитуберкульозними препаратами (включаючи FQ), оцінку відповіді на терапію та оцінку можливості лабораторної або канцелярської помилки.</w:t>
      </w:r>
    </w:p>
    <w:p w14:paraId="03D1D88E" w14:textId="77777777" w:rsidR="00366CB9" w:rsidRPr="00BC7F53" w:rsidRDefault="009D0C1D" w:rsidP="00515F9C">
      <w:pPr>
        <w:pStyle w:val="1"/>
        <w:numPr>
          <w:ilvl w:val="0"/>
          <w:numId w:val="28"/>
        </w:numPr>
        <w:shd w:val="clear" w:color="auto" w:fill="auto"/>
        <w:tabs>
          <w:tab w:val="left" w:pos="318"/>
        </w:tabs>
        <w:spacing w:line="324" w:lineRule="auto"/>
        <w:rPr>
          <w:sz w:val="18"/>
          <w:szCs w:val="18"/>
        </w:rPr>
      </w:pPr>
      <w:r w:rsidRPr="00BC7F53">
        <w:rPr>
          <w:sz w:val="18"/>
          <w:szCs w:val="18"/>
        </w:rPr>
        <w:t>Результат mWRD «MTB не виявлено», позитивний результат посіву:</w:t>
      </w:r>
    </w:p>
    <w:p w14:paraId="246D7397" w14:textId="77777777" w:rsidR="00366CB9" w:rsidRPr="00BC7F53" w:rsidRDefault="009D0C1D" w:rsidP="00515F9C">
      <w:pPr>
        <w:pStyle w:val="1"/>
        <w:numPr>
          <w:ilvl w:val="0"/>
          <w:numId w:val="29"/>
        </w:numPr>
        <w:shd w:val="clear" w:color="auto" w:fill="auto"/>
        <w:tabs>
          <w:tab w:val="left" w:pos="608"/>
        </w:tabs>
        <w:spacing w:line="324" w:lineRule="auto"/>
        <w:ind w:left="560" w:hanging="260"/>
        <w:jc w:val="both"/>
        <w:rPr>
          <w:sz w:val="18"/>
          <w:szCs w:val="18"/>
        </w:rPr>
      </w:pPr>
      <w:r w:rsidRPr="00BC7F53">
        <w:rPr>
          <w:sz w:val="18"/>
          <w:szCs w:val="18"/>
        </w:rPr>
        <w:t>Рішення щодо лікування має бути засновано на результаті посіву. Якщо особа розпочала лікування на основі клінічної оцінки, лікування необхідно продовжувати, та вважати, що у особи бактеріологічно підтверджений ТБ.</w:t>
      </w:r>
    </w:p>
    <w:p w14:paraId="15F81D95" w14:textId="77777777" w:rsidR="00366CB9" w:rsidRPr="00BC7F53" w:rsidRDefault="009D0C1D" w:rsidP="00515F9C">
      <w:pPr>
        <w:pStyle w:val="1"/>
        <w:numPr>
          <w:ilvl w:val="0"/>
          <w:numId w:val="29"/>
        </w:numPr>
        <w:shd w:val="clear" w:color="auto" w:fill="auto"/>
        <w:tabs>
          <w:tab w:val="left" w:pos="622"/>
        </w:tabs>
        <w:spacing w:line="324" w:lineRule="auto"/>
        <w:ind w:left="560" w:hanging="260"/>
        <w:jc w:val="both"/>
        <w:rPr>
          <w:sz w:val="18"/>
          <w:szCs w:val="18"/>
        </w:rPr>
      </w:pPr>
      <w:r w:rsidRPr="00BC7F53">
        <w:rPr>
          <w:sz w:val="18"/>
          <w:szCs w:val="18"/>
        </w:rPr>
        <w:t>Позитивний результат посіву необхідно розглядати як бактеріологічне підтвердження ТБ, оскільки посів є сучасним золотим стандартом для лабораторного підтвердження ТБ. За допомогою зразка мокротиння WRD мають загальну чутливість 83-90 % для виявлення ТБ легень порівняно з посівом (</w:t>
      </w:r>
      <w:hyperlink w:anchor="bookmark200" w:tooltip="Поточний документ">
        <w:r w:rsidR="00366CB9" w:rsidRPr="00BC7F53">
          <w:rPr>
            <w:sz w:val="18"/>
            <w:szCs w:val="18"/>
          </w:rPr>
          <w:t>91</w:t>
        </w:r>
      </w:hyperlink>
      <w:r w:rsidRPr="00BC7F53">
        <w:rPr>
          <w:sz w:val="18"/>
          <w:szCs w:val="18"/>
        </w:rPr>
        <w:t>). Їхня чутливість є нижчою у людей, які живуть з ВІЛ, дітей та інших типів зразків, таких як СМР.</w:t>
      </w:r>
    </w:p>
    <w:p w14:paraId="6A9399AB"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3B7B2C55" w14:textId="77777777" w:rsidR="00366CB9" w:rsidRDefault="00366CB9" w:rsidP="00425523">
      <w:pPr>
        <w:spacing w:line="1" w:lineRule="exact"/>
      </w:pPr>
    </w:p>
    <w:p w14:paraId="7F609257" w14:textId="77777777" w:rsidR="00366CB9" w:rsidRPr="00BC7F53" w:rsidRDefault="009D0C1D" w:rsidP="00515F9C">
      <w:pPr>
        <w:pStyle w:val="1"/>
        <w:numPr>
          <w:ilvl w:val="0"/>
          <w:numId w:val="29"/>
        </w:numPr>
        <w:shd w:val="clear" w:color="auto" w:fill="auto"/>
        <w:tabs>
          <w:tab w:val="left" w:pos="596"/>
        </w:tabs>
        <w:spacing w:line="324" w:lineRule="auto"/>
        <w:ind w:left="560" w:hanging="260"/>
        <w:jc w:val="both"/>
        <w:rPr>
          <w:sz w:val="18"/>
          <w:szCs w:val="18"/>
        </w:rPr>
      </w:pPr>
      <w:r w:rsidRPr="00BC7F53">
        <w:rPr>
          <w:sz w:val="18"/>
          <w:szCs w:val="18"/>
        </w:rPr>
        <w:t>Хибнопозитивні результати посіву виникають з різних причин, таких як перехресне забруднення в лабораторії (наприклад, через неправильну обробку зразків) або проблеми з маркуванням зразків. У лабораторіях з належним оснащенням такі помилки є рідкісними.</w:t>
      </w:r>
    </w:p>
    <w:p w14:paraId="36DB0F2A" w14:textId="77777777" w:rsidR="00366CB9" w:rsidRPr="00BC7F53" w:rsidRDefault="009D0C1D" w:rsidP="00515F9C">
      <w:pPr>
        <w:pStyle w:val="1"/>
        <w:numPr>
          <w:ilvl w:val="0"/>
          <w:numId w:val="29"/>
        </w:numPr>
        <w:shd w:val="clear" w:color="auto" w:fill="auto"/>
        <w:tabs>
          <w:tab w:val="left" w:pos="629"/>
        </w:tabs>
        <w:spacing w:line="324" w:lineRule="auto"/>
        <w:ind w:left="560" w:hanging="260"/>
        <w:jc w:val="both"/>
        <w:rPr>
          <w:sz w:val="18"/>
          <w:szCs w:val="18"/>
        </w:rPr>
      </w:pPr>
      <w:r w:rsidRPr="00BC7F53">
        <w:rPr>
          <w:sz w:val="18"/>
          <w:szCs w:val="18"/>
        </w:rPr>
        <w:t>Подальші дії можуть включати повторну оцінку особи на ТБ, додаткове тестування за допомогою mWRD, посів додаткових зразків та оцінку можливості лабораторної або канцелярської помилки. Якщо особі було призначено протитуберкульозні препарати на основі клінічної оцінки, необхідно оцінити відповідь на терапію.</w:t>
      </w:r>
    </w:p>
    <w:p w14:paraId="0CE185F8" w14:textId="77777777" w:rsidR="00366CB9" w:rsidRPr="00BC7F53" w:rsidRDefault="009D0C1D" w:rsidP="00515F9C">
      <w:pPr>
        <w:pStyle w:val="1"/>
        <w:numPr>
          <w:ilvl w:val="0"/>
          <w:numId w:val="28"/>
        </w:numPr>
        <w:shd w:val="clear" w:color="auto" w:fill="auto"/>
        <w:tabs>
          <w:tab w:val="left" w:pos="324"/>
        </w:tabs>
        <w:spacing w:line="331" w:lineRule="auto"/>
        <w:jc w:val="both"/>
        <w:rPr>
          <w:sz w:val="18"/>
          <w:szCs w:val="18"/>
        </w:rPr>
      </w:pPr>
      <w:r w:rsidRPr="00BC7F53">
        <w:rPr>
          <w:sz w:val="18"/>
          <w:szCs w:val="18"/>
        </w:rPr>
        <w:t>Результат mWRD «MTBC виявлено, резистентність до RIF виявлено»; чутливість до RIF за фенотиповим ТМЧ:</w:t>
      </w:r>
    </w:p>
    <w:p w14:paraId="42DD280D" w14:textId="77777777" w:rsidR="00366CB9" w:rsidRPr="00BC7F53" w:rsidRDefault="009D0C1D" w:rsidP="00515F9C">
      <w:pPr>
        <w:pStyle w:val="1"/>
        <w:numPr>
          <w:ilvl w:val="0"/>
          <w:numId w:val="30"/>
        </w:numPr>
        <w:shd w:val="clear" w:color="auto" w:fill="auto"/>
        <w:tabs>
          <w:tab w:val="left" w:pos="615"/>
        </w:tabs>
        <w:spacing w:line="331" w:lineRule="auto"/>
        <w:ind w:firstLine="300"/>
        <w:jc w:val="both"/>
        <w:rPr>
          <w:sz w:val="18"/>
          <w:szCs w:val="18"/>
        </w:rPr>
      </w:pPr>
      <w:r w:rsidRPr="00BC7F53">
        <w:rPr>
          <w:sz w:val="18"/>
          <w:szCs w:val="18"/>
        </w:rPr>
        <w:t>Результат mWRD необхідно використовувати для прийняття рішень щодо лікування в очікуванні додаткового тестування.</w:t>
      </w:r>
    </w:p>
    <w:p w14:paraId="395653F7" w14:textId="77777777" w:rsidR="00366CB9" w:rsidRPr="00BC7F53" w:rsidRDefault="009D0C1D" w:rsidP="00515F9C">
      <w:pPr>
        <w:pStyle w:val="1"/>
        <w:numPr>
          <w:ilvl w:val="0"/>
          <w:numId w:val="30"/>
        </w:numPr>
        <w:shd w:val="clear" w:color="auto" w:fill="auto"/>
        <w:tabs>
          <w:tab w:val="left" w:pos="629"/>
        </w:tabs>
        <w:spacing w:line="331" w:lineRule="auto"/>
        <w:ind w:left="560" w:hanging="260"/>
        <w:jc w:val="both"/>
        <w:rPr>
          <w:sz w:val="18"/>
          <w:szCs w:val="18"/>
        </w:rPr>
      </w:pPr>
      <w:r w:rsidRPr="00BC7F53">
        <w:rPr>
          <w:sz w:val="18"/>
          <w:szCs w:val="18"/>
        </w:rPr>
        <w:t>Високочутливі та резистентні мутації призводять до цього невідповідного результату, особливо в системі BACTEC MGIT (тобто хибночутливий фенотиповий результат). У осіб зі штамами, що несуть ці мутації, схеми лікування препаратами першої лінії на основі RIF часто є неефективними (</w:t>
      </w:r>
      <w:hyperlink w:anchor="bookmark200" w:tooltip="Поточний документ">
        <w:r w:rsidR="00366CB9" w:rsidRPr="00BC7F53">
          <w:rPr>
            <w:sz w:val="18"/>
            <w:szCs w:val="18"/>
          </w:rPr>
          <w:t>83</w:t>
        </w:r>
      </w:hyperlink>
      <w:r w:rsidRPr="00BC7F53">
        <w:rPr>
          <w:sz w:val="18"/>
          <w:szCs w:val="18"/>
        </w:rPr>
        <w:t>).</w:t>
      </w:r>
    </w:p>
    <w:p w14:paraId="3FDFEB05" w14:textId="77777777" w:rsidR="00366CB9" w:rsidRPr="00BC7F53" w:rsidRDefault="009D0C1D" w:rsidP="00515F9C">
      <w:pPr>
        <w:pStyle w:val="1"/>
        <w:numPr>
          <w:ilvl w:val="0"/>
          <w:numId w:val="30"/>
        </w:numPr>
        <w:shd w:val="clear" w:color="auto" w:fill="auto"/>
        <w:tabs>
          <w:tab w:val="left" w:pos="596"/>
        </w:tabs>
        <w:spacing w:line="331" w:lineRule="auto"/>
        <w:ind w:left="560" w:hanging="260"/>
        <w:jc w:val="both"/>
        <w:rPr>
          <w:sz w:val="18"/>
          <w:szCs w:val="18"/>
        </w:rPr>
      </w:pPr>
      <w:r w:rsidRPr="00BC7F53">
        <w:rPr>
          <w:sz w:val="18"/>
          <w:szCs w:val="18"/>
        </w:rPr>
        <w:t>У деяких регіонах з низьким тягарем епідемії МЛС-ТБ спостерігались «мовчазні» мутації, що призводять до хибнорезистентного результату mWRD, але вони є рідкісними.</w:t>
      </w:r>
    </w:p>
    <w:p w14:paraId="0C47F2D1" w14:textId="77777777" w:rsidR="00366CB9" w:rsidRPr="00BC7F53" w:rsidRDefault="009D0C1D" w:rsidP="00515F9C">
      <w:pPr>
        <w:pStyle w:val="1"/>
        <w:numPr>
          <w:ilvl w:val="0"/>
          <w:numId w:val="30"/>
        </w:numPr>
        <w:shd w:val="clear" w:color="auto" w:fill="auto"/>
        <w:tabs>
          <w:tab w:val="left" w:pos="629"/>
        </w:tabs>
        <w:spacing w:line="331" w:lineRule="auto"/>
        <w:ind w:left="560" w:hanging="260"/>
        <w:jc w:val="both"/>
        <w:rPr>
          <w:sz w:val="18"/>
          <w:szCs w:val="18"/>
        </w:rPr>
      </w:pPr>
      <w:r w:rsidRPr="00BC7F53">
        <w:rPr>
          <w:sz w:val="18"/>
          <w:szCs w:val="18"/>
        </w:rPr>
        <w:t>Огляд температур плавлення зонда, за наявності (</w:t>
      </w:r>
      <w:hyperlink w:anchor="bookmark200" w:tooltip="Поточний документ">
        <w:r w:rsidR="00366CB9" w:rsidRPr="00BC7F53">
          <w:rPr>
            <w:sz w:val="18"/>
            <w:szCs w:val="18"/>
          </w:rPr>
          <w:t>92</w:t>
        </w:r>
      </w:hyperlink>
      <w:r w:rsidRPr="00BC7F53">
        <w:rPr>
          <w:sz w:val="18"/>
          <w:szCs w:val="18"/>
        </w:rPr>
        <w:t>), або характеру смугастості на FL-LPA може допомогти у визначенні конкретної мутації (наприклад, високочутливої та резистентної або «мовчазної»).</w:t>
      </w:r>
    </w:p>
    <w:p w14:paraId="3F3AE0CA" w14:textId="77777777" w:rsidR="00366CB9" w:rsidRPr="00BC7F53" w:rsidRDefault="009D0C1D" w:rsidP="00515F9C">
      <w:pPr>
        <w:pStyle w:val="1"/>
        <w:numPr>
          <w:ilvl w:val="0"/>
          <w:numId w:val="30"/>
        </w:numPr>
        <w:shd w:val="clear" w:color="auto" w:fill="auto"/>
        <w:tabs>
          <w:tab w:val="left" w:pos="615"/>
        </w:tabs>
        <w:spacing w:line="331" w:lineRule="auto"/>
        <w:ind w:left="560" w:hanging="260"/>
        <w:jc w:val="both"/>
        <w:rPr>
          <w:sz w:val="18"/>
          <w:szCs w:val="18"/>
        </w:rPr>
      </w:pPr>
      <w:r w:rsidRPr="00BC7F53">
        <w:rPr>
          <w:sz w:val="18"/>
          <w:szCs w:val="18"/>
        </w:rPr>
        <w:t>Подальші дії можуть включати секвенування ДНК, підтверджувальне тестування на іншій платформі для тестування mWRD, фенотипове ТМЧ з використанням твердих середовищ та оцінку можливості лабораторної або канцелярської помилки.</w:t>
      </w:r>
    </w:p>
    <w:p w14:paraId="50CE8D4F" w14:textId="77777777" w:rsidR="00366CB9" w:rsidRPr="00BC7F53" w:rsidRDefault="009D0C1D" w:rsidP="00515F9C">
      <w:pPr>
        <w:pStyle w:val="1"/>
        <w:numPr>
          <w:ilvl w:val="0"/>
          <w:numId w:val="28"/>
        </w:numPr>
        <w:shd w:val="clear" w:color="auto" w:fill="auto"/>
        <w:tabs>
          <w:tab w:val="left" w:pos="324"/>
        </w:tabs>
        <w:spacing w:line="331" w:lineRule="auto"/>
        <w:jc w:val="both"/>
        <w:rPr>
          <w:sz w:val="18"/>
          <w:szCs w:val="18"/>
        </w:rPr>
      </w:pPr>
      <w:r w:rsidRPr="00BC7F53">
        <w:rPr>
          <w:sz w:val="18"/>
          <w:szCs w:val="18"/>
        </w:rPr>
        <w:t>Результат mWRD «MTBC виявлено, резистентність до RIF не виявлено»; резистентність до RIF за допомогою фенотипового ТМЧ:</w:t>
      </w:r>
    </w:p>
    <w:p w14:paraId="1F0FE711" w14:textId="77777777" w:rsidR="00366CB9" w:rsidRPr="00BC7F53" w:rsidRDefault="009D0C1D" w:rsidP="00515F9C">
      <w:pPr>
        <w:pStyle w:val="1"/>
        <w:numPr>
          <w:ilvl w:val="0"/>
          <w:numId w:val="31"/>
        </w:numPr>
        <w:shd w:val="clear" w:color="auto" w:fill="auto"/>
        <w:tabs>
          <w:tab w:val="left" w:pos="615"/>
        </w:tabs>
        <w:spacing w:line="331" w:lineRule="auto"/>
        <w:ind w:firstLine="300"/>
        <w:jc w:val="both"/>
        <w:rPr>
          <w:sz w:val="18"/>
          <w:szCs w:val="18"/>
        </w:rPr>
      </w:pPr>
      <w:r w:rsidRPr="00BC7F53">
        <w:rPr>
          <w:sz w:val="18"/>
          <w:szCs w:val="18"/>
        </w:rPr>
        <w:t>Схему лікування необхідно коригувати на основі результатів фенотипового ТМЧ.</w:t>
      </w:r>
    </w:p>
    <w:p w14:paraId="40204913" w14:textId="77777777" w:rsidR="00366CB9" w:rsidRPr="00BC7F53" w:rsidRDefault="009D0C1D" w:rsidP="00515F9C">
      <w:pPr>
        <w:pStyle w:val="1"/>
        <w:numPr>
          <w:ilvl w:val="0"/>
          <w:numId w:val="31"/>
        </w:numPr>
        <w:shd w:val="clear" w:color="auto" w:fill="auto"/>
        <w:tabs>
          <w:tab w:val="left" w:pos="629"/>
        </w:tabs>
        <w:spacing w:line="331" w:lineRule="auto"/>
        <w:ind w:left="560" w:hanging="260"/>
        <w:jc w:val="both"/>
        <w:rPr>
          <w:sz w:val="18"/>
          <w:szCs w:val="18"/>
        </w:rPr>
      </w:pPr>
      <w:r w:rsidRPr="00BC7F53">
        <w:rPr>
          <w:sz w:val="18"/>
          <w:szCs w:val="18"/>
        </w:rPr>
        <w:t xml:space="preserve">Хибні результати mWRD, чутливі до RIF, є рідкісними, але спостерігались у 1-5 % випадків рифампіцин-резистентного ТБ, протестованих за допомогою тесту Ultra у різних епідеміологічних ситуаціях. Мутації у RRDR гена </w:t>
      </w:r>
      <w:r w:rsidRPr="00BC7F53">
        <w:rPr>
          <w:i/>
          <w:iCs/>
          <w:sz w:val="18"/>
          <w:szCs w:val="18"/>
        </w:rPr>
        <w:t>rpoB</w:t>
      </w:r>
      <w:r w:rsidRPr="00BC7F53">
        <w:rPr>
          <w:sz w:val="18"/>
          <w:szCs w:val="18"/>
        </w:rPr>
        <w:t xml:space="preserve"> пояснюють 95-99 % резистентності до RIF. Решта резистентності до RIF спостерігається через мутації поза межами RRDR, що призводять до результату Xpert MTB/RIF «Резистентність до RIF не виявлено». У разі поширеного клону, що містить мутацію поза межами RRDR – наприклад, Есватіні (</w:t>
      </w:r>
      <w:hyperlink w:anchor="bookmark200" w:tooltip="Поточний документ">
        <w:r w:rsidR="00366CB9" w:rsidRPr="00BC7F53">
          <w:rPr>
            <w:sz w:val="18"/>
            <w:szCs w:val="18"/>
          </w:rPr>
          <w:t>93</w:t>
        </w:r>
      </w:hyperlink>
      <w:r w:rsidRPr="00BC7F53">
        <w:rPr>
          <w:sz w:val="18"/>
          <w:szCs w:val="18"/>
        </w:rPr>
        <w:t>) – це спостерігається частіше; однак, це не було визначено серйозною проблемою в інших умовах (</w:t>
      </w:r>
      <w:hyperlink w:anchor="bookmark201" w:tooltip="Поточний документ">
        <w:r w:rsidR="00366CB9" w:rsidRPr="00BC7F53">
          <w:rPr>
            <w:sz w:val="18"/>
            <w:szCs w:val="18"/>
          </w:rPr>
          <w:t>94</w:t>
        </w:r>
      </w:hyperlink>
      <w:r w:rsidRPr="00BC7F53">
        <w:rPr>
          <w:sz w:val="18"/>
          <w:szCs w:val="18"/>
        </w:rPr>
        <w:t>). Необхідно розглянути можливість епідеміологічного нагляду за появою таких клонів з часом.</w:t>
      </w:r>
    </w:p>
    <w:p w14:paraId="31A025D6" w14:textId="56ED6521" w:rsidR="00366CB9" w:rsidRPr="00BC7F53" w:rsidRDefault="009D0C1D" w:rsidP="00515F9C">
      <w:pPr>
        <w:pStyle w:val="1"/>
        <w:numPr>
          <w:ilvl w:val="0"/>
          <w:numId w:val="31"/>
        </w:numPr>
        <w:shd w:val="clear" w:color="auto" w:fill="auto"/>
        <w:tabs>
          <w:tab w:val="left" w:pos="596"/>
        </w:tabs>
        <w:spacing w:line="331" w:lineRule="auto"/>
        <w:ind w:left="560" w:hanging="260"/>
        <w:jc w:val="both"/>
        <w:rPr>
          <w:sz w:val="18"/>
          <w:szCs w:val="18"/>
        </w:rPr>
      </w:pPr>
      <w:r w:rsidRPr="00BC7F53">
        <w:rPr>
          <w:sz w:val="18"/>
          <w:szCs w:val="18"/>
        </w:rPr>
        <w:t>Подальші дії можуть включати секвенування ДНК, повторення фенотипового ТМЧ та оцінку можливості лабораторної або канцелярської помилки.</w:t>
      </w:r>
    </w:p>
    <w:p w14:paraId="67D8449A" w14:textId="77777777" w:rsidR="00366CB9" w:rsidRPr="00BC7F53" w:rsidRDefault="009D0C1D" w:rsidP="00515F9C">
      <w:pPr>
        <w:pStyle w:val="1"/>
        <w:numPr>
          <w:ilvl w:val="0"/>
          <w:numId w:val="28"/>
        </w:numPr>
        <w:shd w:val="clear" w:color="auto" w:fill="auto"/>
        <w:tabs>
          <w:tab w:val="left" w:pos="324"/>
        </w:tabs>
        <w:spacing w:line="324" w:lineRule="auto"/>
        <w:ind w:left="300" w:hanging="300"/>
        <w:jc w:val="both"/>
        <w:rPr>
          <w:sz w:val="18"/>
          <w:szCs w:val="18"/>
        </w:rPr>
      </w:pPr>
      <w:r w:rsidRPr="00BC7F53">
        <w:rPr>
          <w:sz w:val="18"/>
          <w:szCs w:val="18"/>
        </w:rPr>
        <w:t>Xpert Ultra «Сліди MTBC виявлено», негативний результат посіву – під час тлумачення цього результату необхідно враховувати характеристики особи, тип зразка та наявність в анамнезі лікування ТБ.</w:t>
      </w:r>
    </w:p>
    <w:p w14:paraId="6ECCBB2F" w14:textId="6C4D884A" w:rsidR="00366CB9" w:rsidRPr="00BC7F53" w:rsidRDefault="00FE22F4" w:rsidP="00515F9C">
      <w:pPr>
        <w:pStyle w:val="1"/>
        <w:shd w:val="clear" w:color="auto" w:fill="auto"/>
        <w:spacing w:line="324" w:lineRule="auto"/>
        <w:ind w:left="820" w:hanging="260"/>
        <w:jc w:val="both"/>
        <w:rPr>
          <w:sz w:val="18"/>
          <w:szCs w:val="18"/>
        </w:rPr>
      </w:pPr>
      <w:r w:rsidRPr="00BC7F53">
        <w:rPr>
          <w:color w:val="019648"/>
          <w:sz w:val="18"/>
          <w:szCs w:val="18"/>
        </w:rPr>
        <w:sym w:font="Wingdings" w:char="F09F"/>
      </w:r>
      <w:r w:rsidRPr="00BC7F53">
        <w:rPr>
          <w:color w:val="019648"/>
          <w:sz w:val="18"/>
          <w:szCs w:val="18"/>
        </w:rPr>
        <w:t xml:space="preserve"> </w:t>
      </w:r>
      <w:r w:rsidR="00BC7F53">
        <w:tab/>
      </w:r>
      <w:r w:rsidRPr="00BC7F53">
        <w:rPr>
          <w:sz w:val="18"/>
          <w:szCs w:val="18"/>
        </w:rPr>
        <w:t>Результати посівів можуть бути негативними з кількох причин, зокрема у разі лікування ТБ або застосування FQ, інактивації туберкульозних бацил під час перевезення або обробки зразків, забруднення посіву або недостатнього об’єму тестування, а також лабораторної або канцелярської помилки.</w:t>
      </w:r>
    </w:p>
    <w:p w14:paraId="3F35E1DA" w14:textId="6DCF82DF" w:rsidR="00366CB9" w:rsidRPr="00BC7F53" w:rsidRDefault="00FE22F4" w:rsidP="00515F9C">
      <w:pPr>
        <w:pStyle w:val="1"/>
        <w:shd w:val="clear" w:color="auto" w:fill="auto"/>
        <w:spacing w:line="324" w:lineRule="auto"/>
        <w:ind w:left="820" w:hanging="260"/>
        <w:jc w:val="both"/>
        <w:rPr>
          <w:sz w:val="18"/>
          <w:szCs w:val="18"/>
        </w:rPr>
      </w:pPr>
      <w:r w:rsidRPr="00BC7F53">
        <w:rPr>
          <w:color w:val="019648"/>
          <w:sz w:val="18"/>
          <w:szCs w:val="18"/>
        </w:rPr>
        <w:sym w:font="Wingdings" w:char="F09F"/>
      </w:r>
      <w:r w:rsidRPr="00BC7F53">
        <w:rPr>
          <w:color w:val="019648"/>
          <w:sz w:val="18"/>
          <w:szCs w:val="18"/>
        </w:rPr>
        <w:t xml:space="preserve"> </w:t>
      </w:r>
      <w:r w:rsidR="00BC7F53">
        <w:tab/>
      </w:r>
      <w:r w:rsidRPr="00BC7F53">
        <w:rPr>
          <w:sz w:val="18"/>
          <w:szCs w:val="18"/>
        </w:rPr>
        <w:t>Невелике число бацил у зразку, що призводить до результату «Сліди MTBC виявлено», може бути пов’язаним з активною формою ТБ, перехресним забрудненням у лабораторії, нещодавнім контактом з (або зараженням) туберкульозними бацилами (тобто початкова стадія ТБ) та наявністю в анамнезі лікування ТБ.</w:t>
      </w:r>
    </w:p>
    <w:p w14:paraId="112631B4"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014D8123" w14:textId="77777777" w:rsidR="00366CB9" w:rsidRDefault="00366CB9" w:rsidP="00425523">
      <w:pPr>
        <w:spacing w:line="1" w:lineRule="exact"/>
      </w:pPr>
    </w:p>
    <w:p w14:paraId="155FDEC7" w14:textId="1D2DFD94" w:rsidR="00366CB9" w:rsidRPr="00BC7F53" w:rsidRDefault="00FE22F4" w:rsidP="00515F9C">
      <w:pPr>
        <w:pStyle w:val="1"/>
        <w:shd w:val="clear" w:color="auto" w:fill="auto"/>
        <w:spacing w:line="324" w:lineRule="auto"/>
        <w:ind w:left="820" w:hanging="240"/>
        <w:jc w:val="both"/>
        <w:rPr>
          <w:sz w:val="18"/>
          <w:szCs w:val="18"/>
        </w:rPr>
      </w:pPr>
      <w:r>
        <w:rPr>
          <w:color w:val="019648"/>
        </w:rPr>
        <w:sym w:font="Wingdings" w:char="F09F"/>
      </w:r>
      <w:r>
        <w:rPr>
          <w:color w:val="019648"/>
        </w:rPr>
        <w:t xml:space="preserve"> </w:t>
      </w:r>
      <w:r w:rsidR="00BC7F53">
        <w:tab/>
      </w:r>
      <w:r w:rsidRPr="00BC7F53">
        <w:rPr>
          <w:sz w:val="18"/>
          <w:szCs w:val="18"/>
        </w:rPr>
        <w:t>Багатоцентрове дослідження FIND продемонструвало, що багато зразків, що дали результати «Сліди MTBC виявлено» та негативний результат посіву, було отримано від осіб, які завершили терапію протягом останніх 4-5 років через можливе невелике число нежиттєздатних або інактивованих бацил. Таким чином, результати «Сліди MTBC виявлено» необхідно тлумачити в контексті попереднього лікування.</w:t>
      </w:r>
    </w:p>
    <w:p w14:paraId="19F24194" w14:textId="034BB362" w:rsidR="00366CB9" w:rsidRPr="00BC7F53" w:rsidRDefault="009D0C1D" w:rsidP="00515F9C">
      <w:pPr>
        <w:pStyle w:val="1"/>
        <w:shd w:val="clear" w:color="auto" w:fill="auto"/>
        <w:spacing w:line="324" w:lineRule="auto"/>
        <w:ind w:left="300" w:hanging="300"/>
        <w:jc w:val="both"/>
        <w:rPr>
          <w:sz w:val="18"/>
          <w:szCs w:val="18"/>
        </w:rPr>
      </w:pPr>
      <w:r w:rsidRPr="00BC7F53">
        <w:rPr>
          <w:sz w:val="18"/>
          <w:szCs w:val="18"/>
        </w:rPr>
        <w:t xml:space="preserve">a. </w:t>
      </w:r>
      <w:r w:rsidR="00BC7F53">
        <w:tab/>
      </w:r>
      <w:r w:rsidRPr="00BC7F53">
        <w:rPr>
          <w:sz w:val="18"/>
          <w:szCs w:val="18"/>
        </w:rPr>
        <w:t>Для людей, які живуть з ВІЛ, та дітей, які проходять обстеження на ТБ легень, або при тестуванні зразків з позалегеневої ділянки, переваги підвищеної чутливості для виявлення MTBC (тобто істинно позитивні результати) переважають потенційну шкоду від зниженої специфічності (тобто хибнопозитивні результати).</w:t>
      </w:r>
    </w:p>
    <w:p w14:paraId="7DCA7C1A" w14:textId="32A9E270" w:rsidR="00366CB9" w:rsidRPr="00BC7F53" w:rsidRDefault="009D0C1D" w:rsidP="00515F9C">
      <w:pPr>
        <w:pStyle w:val="1"/>
        <w:shd w:val="clear" w:color="auto" w:fill="auto"/>
        <w:spacing w:line="324" w:lineRule="auto"/>
        <w:ind w:left="560" w:hanging="240"/>
        <w:jc w:val="both"/>
        <w:rPr>
          <w:sz w:val="18"/>
          <w:szCs w:val="18"/>
        </w:rPr>
      </w:pPr>
      <w:r w:rsidRPr="00BC7F53">
        <w:rPr>
          <w:sz w:val="18"/>
          <w:szCs w:val="18"/>
        </w:rPr>
        <w:t xml:space="preserve">i. </w:t>
      </w:r>
      <w:r w:rsidR="00BC7F53">
        <w:tab/>
      </w:r>
      <w:r w:rsidRPr="00BC7F53">
        <w:rPr>
          <w:sz w:val="18"/>
          <w:szCs w:val="18"/>
        </w:rPr>
        <w:t>Результат «Сліди MTBC виявлено» вважається бактеріологічним підтвердженням ТБ (тобто істинно позитивними результатами), і таким особам необхідно призначати терапію на основі результату Xpert Ultra. Необхідно враховувати можливість хибнонегативного результату посіву.</w:t>
      </w:r>
    </w:p>
    <w:p w14:paraId="5C07F5E1" w14:textId="78402AD3" w:rsidR="00366CB9" w:rsidRPr="00BC7F53" w:rsidRDefault="009D0C1D" w:rsidP="00515F9C">
      <w:pPr>
        <w:pStyle w:val="1"/>
        <w:shd w:val="clear" w:color="auto" w:fill="auto"/>
        <w:spacing w:line="324" w:lineRule="auto"/>
        <w:ind w:left="560" w:hanging="240"/>
        <w:jc w:val="both"/>
        <w:rPr>
          <w:sz w:val="18"/>
          <w:szCs w:val="18"/>
        </w:rPr>
      </w:pPr>
      <w:r w:rsidRPr="00BC7F53">
        <w:rPr>
          <w:sz w:val="18"/>
          <w:szCs w:val="18"/>
        </w:rPr>
        <w:t xml:space="preserve">ii. </w:t>
      </w:r>
      <w:r w:rsidR="00BC7F53">
        <w:tab/>
      </w:r>
      <w:r w:rsidRPr="00BC7F53">
        <w:rPr>
          <w:sz w:val="18"/>
          <w:szCs w:val="18"/>
        </w:rPr>
        <w:t>Подальші дії можуть включати оцінку результату лікування ТБ (результати посіву часто не доступні протягом тижнів після збору зразків), переоцінку можливості попереднього або поточного лікування протитуберкульозними препаратами (включаючи застосування FQ) та оцінку можливості лабораторної чи службової помилки.</w:t>
      </w:r>
    </w:p>
    <w:p w14:paraId="3870A7B5" w14:textId="46D4C26B" w:rsidR="00366CB9" w:rsidRPr="00BC7F53" w:rsidRDefault="009D0C1D" w:rsidP="00515F9C">
      <w:pPr>
        <w:pStyle w:val="1"/>
        <w:shd w:val="clear" w:color="auto" w:fill="auto"/>
        <w:spacing w:line="324" w:lineRule="auto"/>
        <w:ind w:left="300" w:hanging="300"/>
        <w:jc w:val="both"/>
        <w:rPr>
          <w:sz w:val="18"/>
          <w:szCs w:val="18"/>
        </w:rPr>
      </w:pPr>
      <w:r w:rsidRPr="00BC7F53">
        <w:rPr>
          <w:sz w:val="18"/>
          <w:szCs w:val="18"/>
        </w:rPr>
        <w:t xml:space="preserve">b. </w:t>
      </w:r>
      <w:r w:rsidR="00BC7F53">
        <w:tab/>
      </w:r>
      <w:r w:rsidRPr="00BC7F53">
        <w:rPr>
          <w:sz w:val="18"/>
          <w:szCs w:val="18"/>
        </w:rPr>
        <w:t>Для дорослих, які проходять обстеження на ТБ легень, без ризику ВІЛ, співвідношення користь/ризик залежить від попереднього лікування ТБ через знижену специфічність (тобто хибнопозитивні результати).</w:t>
      </w:r>
    </w:p>
    <w:p w14:paraId="54DEA4F7" w14:textId="5362B914" w:rsidR="00366CB9" w:rsidRPr="00BC7F53" w:rsidRDefault="009D0C1D" w:rsidP="00515F9C">
      <w:pPr>
        <w:pStyle w:val="1"/>
        <w:shd w:val="clear" w:color="auto" w:fill="auto"/>
        <w:spacing w:line="324" w:lineRule="auto"/>
        <w:ind w:left="560" w:hanging="240"/>
        <w:jc w:val="both"/>
        <w:rPr>
          <w:sz w:val="18"/>
          <w:szCs w:val="18"/>
        </w:rPr>
      </w:pPr>
      <w:r w:rsidRPr="00BC7F53">
        <w:rPr>
          <w:sz w:val="18"/>
          <w:szCs w:val="18"/>
        </w:rPr>
        <w:t xml:space="preserve">i. </w:t>
      </w:r>
      <w:r w:rsidR="00BC7F53">
        <w:tab/>
      </w:r>
      <w:r w:rsidRPr="00BC7F53">
        <w:rPr>
          <w:sz w:val="18"/>
          <w:szCs w:val="18"/>
        </w:rPr>
        <w:t>Для осіб, у яких можна достовірно виключити наявність в анамнезі поточного або попереднього лікування ТБ:</w:t>
      </w:r>
    </w:p>
    <w:p w14:paraId="7C6B8C3E" w14:textId="4CAFD48A" w:rsidR="00366CB9" w:rsidRPr="00BC7F53" w:rsidRDefault="009D0C1D" w:rsidP="00515F9C">
      <w:pPr>
        <w:pStyle w:val="1"/>
        <w:shd w:val="clear" w:color="auto" w:fill="auto"/>
        <w:spacing w:line="324" w:lineRule="auto"/>
        <w:ind w:left="820" w:hanging="240"/>
        <w:jc w:val="both"/>
        <w:rPr>
          <w:sz w:val="18"/>
          <w:szCs w:val="18"/>
        </w:rPr>
      </w:pPr>
      <w:r w:rsidRPr="00BC7F53">
        <w:rPr>
          <w:sz w:val="18"/>
          <w:szCs w:val="18"/>
        </w:rPr>
        <w:t xml:space="preserve">1. </w:t>
      </w:r>
      <w:r w:rsidR="00BC7F53">
        <w:tab/>
      </w:r>
      <w:r w:rsidRPr="00BC7F53">
        <w:rPr>
          <w:sz w:val="18"/>
          <w:szCs w:val="18"/>
        </w:rPr>
        <w:t>Не дивлячись на те, що результати «Сліди MTBC виявлено» необхідно розглядати як бактеріологічне підтвердження ТБ (тобто істинно позитивні результати), будь-яке клінічне рішення (наприклад, щодо лікування ТБ) необхідно приймати на основі лабораторних, клінічних та радіологічних результатів, а також клінічного судження.</w:t>
      </w:r>
    </w:p>
    <w:p w14:paraId="44F011AC" w14:textId="5CCBFDB3" w:rsidR="00366CB9" w:rsidRPr="00BC7F53" w:rsidRDefault="009D0C1D" w:rsidP="00515F9C">
      <w:pPr>
        <w:pStyle w:val="1"/>
        <w:shd w:val="clear" w:color="auto" w:fill="auto"/>
        <w:spacing w:line="324" w:lineRule="auto"/>
        <w:ind w:left="820" w:hanging="240"/>
        <w:jc w:val="both"/>
        <w:rPr>
          <w:sz w:val="18"/>
          <w:szCs w:val="18"/>
        </w:rPr>
      </w:pPr>
      <w:r w:rsidRPr="00BC7F53">
        <w:rPr>
          <w:sz w:val="18"/>
          <w:szCs w:val="18"/>
        </w:rPr>
        <w:t xml:space="preserve">2. </w:t>
      </w:r>
      <w:r w:rsidR="00BC7F53">
        <w:tab/>
      </w:r>
      <w:r w:rsidRPr="00BC7F53">
        <w:rPr>
          <w:sz w:val="18"/>
          <w:szCs w:val="18"/>
        </w:rPr>
        <w:t>Необхідно враховувати ризик хибнонегативних результатів посіву, якщо зразки було взято у особи, яка не отримувала протитуберкульозних препаратів, через олігобацилярний характер зразка. Подальші дії для осіб, яким було призначено протитуберкульозні препарати, можуть включати повторну оцінку особи на ТБ, оцінку відповіді на терапію, повторну оцінку можливості попереднього або поточного лікування протитуберкульозними препаратами (включаючи застосування FQ), повторне тестування Xpert Ultra, оцінку можливості лабораторної або канцелярської помилки та повторний посів (бажано з рідкою культурою).</w:t>
      </w:r>
    </w:p>
    <w:p w14:paraId="48E2C3BB" w14:textId="64201386" w:rsidR="00366CB9" w:rsidRPr="00BC7F53" w:rsidRDefault="009D0C1D" w:rsidP="00515F9C">
      <w:pPr>
        <w:pStyle w:val="1"/>
        <w:shd w:val="clear" w:color="auto" w:fill="auto"/>
        <w:spacing w:line="324" w:lineRule="auto"/>
        <w:ind w:firstLine="300"/>
        <w:rPr>
          <w:sz w:val="18"/>
          <w:szCs w:val="18"/>
        </w:rPr>
      </w:pPr>
      <w:r w:rsidRPr="00BC7F53">
        <w:rPr>
          <w:sz w:val="18"/>
          <w:szCs w:val="18"/>
        </w:rPr>
        <w:t xml:space="preserve">ii. </w:t>
      </w:r>
      <w:r w:rsidR="00BC7F53">
        <w:tab/>
      </w:r>
      <w:r w:rsidRPr="00BC7F53">
        <w:rPr>
          <w:sz w:val="18"/>
          <w:szCs w:val="18"/>
        </w:rPr>
        <w:t>Для дорослих, які недавно пройшли лікування туберкульозу:</w:t>
      </w:r>
    </w:p>
    <w:p w14:paraId="3E7BCB61" w14:textId="499021AC" w:rsidR="00366CB9" w:rsidRPr="00BC7F53" w:rsidRDefault="009D0C1D" w:rsidP="00515F9C">
      <w:pPr>
        <w:pStyle w:val="1"/>
        <w:shd w:val="clear" w:color="auto" w:fill="auto"/>
        <w:spacing w:line="324" w:lineRule="auto"/>
        <w:ind w:left="820" w:hanging="240"/>
        <w:jc w:val="both"/>
        <w:rPr>
          <w:sz w:val="18"/>
          <w:szCs w:val="18"/>
        </w:rPr>
      </w:pPr>
      <w:r w:rsidRPr="00BC7F53">
        <w:rPr>
          <w:sz w:val="18"/>
          <w:szCs w:val="18"/>
        </w:rPr>
        <w:t xml:space="preserve">1. </w:t>
      </w:r>
      <w:r w:rsidR="00BC7F53">
        <w:tab/>
      </w:r>
      <w:r w:rsidRPr="00BC7F53">
        <w:rPr>
          <w:sz w:val="18"/>
          <w:szCs w:val="18"/>
        </w:rPr>
        <w:t>Необхідно враховувати можливість хибнонегативний результат Xpert Ultra «Сліди MTBC виявлено» через наявність нежиттєздатних бактерій. Негативний результат посіву узгоджується з цією можливістю.</w:t>
      </w:r>
    </w:p>
    <w:p w14:paraId="2E36180A" w14:textId="38A90F85" w:rsidR="00366CB9" w:rsidRPr="00BC7F53" w:rsidRDefault="009D0C1D" w:rsidP="00515F9C">
      <w:pPr>
        <w:pStyle w:val="1"/>
        <w:shd w:val="clear" w:color="auto" w:fill="auto"/>
        <w:spacing w:line="324" w:lineRule="auto"/>
        <w:ind w:left="820" w:hanging="240"/>
        <w:jc w:val="both"/>
        <w:rPr>
          <w:sz w:val="18"/>
          <w:szCs w:val="18"/>
        </w:rPr>
      </w:pPr>
      <w:r w:rsidRPr="00BC7F53">
        <w:rPr>
          <w:sz w:val="18"/>
          <w:szCs w:val="18"/>
        </w:rPr>
        <w:t xml:space="preserve">2. </w:t>
      </w:r>
      <w:r w:rsidR="00BC7F53">
        <w:tab/>
      </w:r>
      <w:r w:rsidRPr="00BC7F53">
        <w:rPr>
          <w:sz w:val="18"/>
          <w:szCs w:val="18"/>
        </w:rPr>
        <w:t>Якщо таким дорослим було призначено протитуберкульозні препарати на основі клінічного судження, подальші дії можуть включати оцінку відповіді на терапію, проведення додаткового тестування відповідно до національних керівних принципів, повторний посів (бажано з рідкою культурою) та оцінку можливості лабораторної або канцелярської помилки.</w:t>
      </w:r>
    </w:p>
    <w:p w14:paraId="6C44FC44"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2D8EA53B" w14:textId="77777777" w:rsidR="00366CB9" w:rsidRDefault="00366CB9" w:rsidP="00425523">
      <w:pPr>
        <w:spacing w:line="1" w:lineRule="exact"/>
      </w:pPr>
    </w:p>
    <w:p w14:paraId="54658AE5" w14:textId="77777777" w:rsidR="00366CB9" w:rsidRPr="00BC7F53" w:rsidRDefault="009D0C1D" w:rsidP="00515F9C">
      <w:pPr>
        <w:pStyle w:val="1"/>
        <w:numPr>
          <w:ilvl w:val="0"/>
          <w:numId w:val="28"/>
        </w:numPr>
        <w:shd w:val="clear" w:color="auto" w:fill="auto"/>
        <w:tabs>
          <w:tab w:val="left" w:pos="318"/>
        </w:tabs>
        <w:spacing w:line="324" w:lineRule="auto"/>
        <w:jc w:val="both"/>
        <w:rPr>
          <w:sz w:val="18"/>
          <w:szCs w:val="18"/>
        </w:rPr>
      </w:pPr>
      <w:bookmarkStart w:id="170" w:name="bookmark167"/>
      <w:r w:rsidRPr="00BC7F53">
        <w:rPr>
          <w:sz w:val="18"/>
          <w:szCs w:val="18"/>
        </w:rPr>
        <w:t>Позитивний результат mWRD, негативний результат LF-LAM сечі:</w:t>
      </w:r>
      <w:bookmarkEnd w:id="170"/>
    </w:p>
    <w:p w14:paraId="568E5173" w14:textId="7EBCFC43" w:rsidR="00366CB9" w:rsidRPr="00BC7F53" w:rsidRDefault="009D0C1D" w:rsidP="00515F9C">
      <w:pPr>
        <w:pStyle w:val="1"/>
        <w:shd w:val="clear" w:color="auto" w:fill="auto"/>
        <w:spacing w:line="324" w:lineRule="auto"/>
        <w:ind w:left="580" w:hanging="260"/>
        <w:jc w:val="both"/>
        <w:rPr>
          <w:sz w:val="18"/>
          <w:szCs w:val="18"/>
        </w:rPr>
      </w:pPr>
      <w:r w:rsidRPr="00BC7F53">
        <w:rPr>
          <w:sz w:val="18"/>
          <w:szCs w:val="18"/>
        </w:rPr>
        <w:t xml:space="preserve">a. </w:t>
      </w:r>
      <w:r w:rsidR="00BC7F53">
        <w:tab/>
      </w:r>
      <w:r w:rsidRPr="00BC7F53">
        <w:rPr>
          <w:sz w:val="18"/>
          <w:szCs w:val="18"/>
        </w:rPr>
        <w:t>mWRD може давати результат, відмінний від результату LF-LAM сечі, оскільки тести демонструють різну чутливість та вимірюють різні аналіти.</w:t>
      </w:r>
    </w:p>
    <w:p w14:paraId="2CD795F3" w14:textId="40C3688D" w:rsidR="00366CB9" w:rsidRPr="00BC7F53" w:rsidRDefault="009D0C1D" w:rsidP="00515F9C">
      <w:pPr>
        <w:pStyle w:val="1"/>
        <w:shd w:val="clear" w:color="auto" w:fill="auto"/>
        <w:spacing w:line="324" w:lineRule="auto"/>
        <w:ind w:left="580" w:hanging="260"/>
        <w:jc w:val="both"/>
        <w:rPr>
          <w:sz w:val="18"/>
          <w:szCs w:val="18"/>
        </w:rPr>
      </w:pPr>
      <w:r w:rsidRPr="00BC7F53">
        <w:rPr>
          <w:sz w:val="18"/>
          <w:szCs w:val="18"/>
        </w:rPr>
        <w:t xml:space="preserve">b. </w:t>
      </w:r>
      <w:r w:rsidR="00BC7F53">
        <w:tab/>
      </w:r>
      <w:r w:rsidRPr="00BC7F53">
        <w:rPr>
          <w:sz w:val="18"/>
          <w:szCs w:val="18"/>
        </w:rPr>
        <w:t>Результати mWRD «MTBC виявлено» вважається бактеріологічним підтвердженням ТБ. Рішення щодо лікування можна приймати відповідно до алгоритму «Схеми прийняття рішень 1B-1E».</w:t>
      </w:r>
    </w:p>
    <w:p w14:paraId="65A057B4" w14:textId="77777777" w:rsidR="00366CB9" w:rsidRPr="00BC7F53" w:rsidRDefault="009D0C1D" w:rsidP="00515F9C">
      <w:pPr>
        <w:pStyle w:val="1"/>
        <w:numPr>
          <w:ilvl w:val="0"/>
          <w:numId w:val="28"/>
        </w:numPr>
        <w:shd w:val="clear" w:color="auto" w:fill="auto"/>
        <w:tabs>
          <w:tab w:val="left" w:pos="318"/>
        </w:tabs>
        <w:spacing w:line="324" w:lineRule="auto"/>
        <w:jc w:val="both"/>
        <w:rPr>
          <w:sz w:val="18"/>
          <w:szCs w:val="18"/>
        </w:rPr>
      </w:pPr>
      <w:r w:rsidRPr="00BC7F53">
        <w:rPr>
          <w:sz w:val="18"/>
          <w:szCs w:val="18"/>
        </w:rPr>
        <w:t>Позитивний результат LF-LAM сечі, негативний результат mWRD:</w:t>
      </w:r>
    </w:p>
    <w:p w14:paraId="535178B8" w14:textId="18460047" w:rsidR="00366CB9" w:rsidRPr="00BC7F53" w:rsidRDefault="009D0C1D" w:rsidP="00515F9C">
      <w:pPr>
        <w:pStyle w:val="1"/>
        <w:shd w:val="clear" w:color="auto" w:fill="auto"/>
        <w:spacing w:line="324" w:lineRule="auto"/>
        <w:ind w:left="580" w:hanging="260"/>
        <w:jc w:val="both"/>
        <w:rPr>
          <w:sz w:val="18"/>
          <w:szCs w:val="18"/>
        </w:rPr>
      </w:pPr>
      <w:r w:rsidRPr="00BC7F53">
        <w:rPr>
          <w:sz w:val="18"/>
          <w:szCs w:val="18"/>
        </w:rPr>
        <w:t xml:space="preserve">a. </w:t>
      </w:r>
      <w:r w:rsidR="00BC7F53">
        <w:tab/>
      </w:r>
      <w:r w:rsidRPr="00BC7F53">
        <w:rPr>
          <w:sz w:val="18"/>
          <w:szCs w:val="18"/>
        </w:rPr>
        <w:t>Тест LF-LAM може давати результат, відмінний від результату mWRD або посіву. Це не є несподіваним, оскільки тести мають різну чутливість і вимірюють різні аналіти.</w:t>
      </w:r>
    </w:p>
    <w:p w14:paraId="77910CFF" w14:textId="01FEAB49" w:rsidR="00366CB9" w:rsidRPr="00BC7F53" w:rsidRDefault="009D0C1D" w:rsidP="00515F9C">
      <w:pPr>
        <w:pStyle w:val="1"/>
        <w:shd w:val="clear" w:color="auto" w:fill="auto"/>
        <w:spacing w:line="324" w:lineRule="auto"/>
        <w:ind w:left="580" w:hanging="260"/>
        <w:jc w:val="both"/>
        <w:rPr>
          <w:sz w:val="18"/>
          <w:szCs w:val="18"/>
        </w:rPr>
      </w:pPr>
      <w:r w:rsidRPr="00BC7F53">
        <w:rPr>
          <w:sz w:val="18"/>
          <w:szCs w:val="18"/>
        </w:rPr>
        <w:t xml:space="preserve">b. </w:t>
      </w:r>
      <w:r w:rsidR="00BC7F53">
        <w:tab/>
      </w:r>
      <w:r w:rsidRPr="00BC7F53">
        <w:rPr>
          <w:sz w:val="18"/>
          <w:szCs w:val="18"/>
        </w:rPr>
        <w:t>Позитивний результат LF-LAM вважається бактеріологічним підтвердженням ТБ. Рішення щодо лікування повинні бути засновані на клінічному судженні та всій доступній інформації, включаючи (зокрема) результати РОГК (за наявності) та будь-які інші доступні бактеріологічні результати.</w:t>
      </w:r>
    </w:p>
    <w:p w14:paraId="12AC90E5" w14:textId="77777777" w:rsidR="00366CB9" w:rsidRPr="00BC7F53" w:rsidRDefault="009D0C1D" w:rsidP="00515F9C">
      <w:pPr>
        <w:pStyle w:val="1"/>
        <w:numPr>
          <w:ilvl w:val="0"/>
          <w:numId w:val="23"/>
        </w:numPr>
        <w:shd w:val="clear" w:color="auto" w:fill="auto"/>
        <w:tabs>
          <w:tab w:val="left" w:pos="611"/>
        </w:tabs>
        <w:spacing w:after="240" w:line="324" w:lineRule="auto"/>
        <w:ind w:left="580" w:hanging="260"/>
        <w:jc w:val="both"/>
        <w:rPr>
          <w:sz w:val="18"/>
          <w:szCs w:val="18"/>
        </w:rPr>
      </w:pPr>
      <w:r w:rsidRPr="00BC7F53">
        <w:rPr>
          <w:sz w:val="18"/>
          <w:szCs w:val="18"/>
        </w:rPr>
        <w:t>Коли результати LF-LAM є стійко позитивними, без позитивних результатів LC-aNAAT, для розуміння відмінностей необхідно оцінити якість тестування та місцеву епідеміологію нетуберкульозних мікобактерій та позалегеневого ТБ у досліджуваній популяції.</w:t>
      </w:r>
    </w:p>
    <w:p w14:paraId="013F5738" w14:textId="77777777" w:rsidR="00366CB9" w:rsidRDefault="009D0C1D" w:rsidP="00515F9C">
      <w:pPr>
        <w:pStyle w:val="22"/>
        <w:numPr>
          <w:ilvl w:val="0"/>
          <w:numId w:val="32"/>
        </w:numPr>
        <w:shd w:val="clear" w:color="auto" w:fill="auto"/>
        <w:tabs>
          <w:tab w:val="left" w:pos="692"/>
        </w:tabs>
        <w:spacing w:after="140" w:line="264" w:lineRule="auto"/>
      </w:pPr>
      <w:bookmarkStart w:id="171" w:name="bookmark169"/>
      <w:bookmarkStart w:id="172" w:name="bookmark170"/>
      <w:bookmarkStart w:id="173" w:name="bookmark168"/>
      <w:r>
        <w:t>Алгоритм 2 – ТМЧ для препаратів другої лінії для осіб з МЛС/Риф-ТБ</w:t>
      </w:r>
      <w:bookmarkEnd w:id="171"/>
      <w:bookmarkEnd w:id="172"/>
      <w:bookmarkEnd w:id="173"/>
    </w:p>
    <w:p w14:paraId="7601B165" w14:textId="77777777" w:rsidR="00366CB9" w:rsidRPr="00BC7F53" w:rsidRDefault="009D0C1D" w:rsidP="00515F9C">
      <w:pPr>
        <w:pStyle w:val="1"/>
        <w:shd w:val="clear" w:color="auto" w:fill="auto"/>
        <w:spacing w:line="324" w:lineRule="auto"/>
        <w:jc w:val="both"/>
        <w:rPr>
          <w:sz w:val="18"/>
          <w:szCs w:val="18"/>
        </w:rPr>
      </w:pPr>
      <w:r w:rsidRPr="00BC7F53">
        <w:rPr>
          <w:sz w:val="18"/>
          <w:szCs w:val="18"/>
        </w:rPr>
        <w:t>Алгоритми 2a та 2b використовуються для подальшої оцінки осіб з МЛС/Риф-ТБ. В актуальних рекомендаціях (</w:t>
      </w:r>
      <w:hyperlink w:anchor="bookmark193" w:tooltip="Поточний документ">
        <w:r w:rsidR="00366CB9" w:rsidRPr="00BC7F53">
          <w:rPr>
            <w:sz w:val="18"/>
            <w:szCs w:val="18"/>
          </w:rPr>
          <w:t>7</w:t>
        </w:r>
      </w:hyperlink>
      <w:r w:rsidRPr="00BC7F53">
        <w:rPr>
          <w:sz w:val="18"/>
          <w:szCs w:val="18"/>
        </w:rPr>
        <w:t>) ВООЗ наполегливо рекомендує проводити ТМЧ у осіб з МЛС/Риф-ТБ, хоча це не повинно затримувати початок лікування. ТМЧ необхідно проводити якомога швидше, і навіть якщо результати на початку обраної схеми (бажано BPaLM або BDLLfxC) не представлені, ці результати необхідно використовувати для її коригування. Двома ключовими лікарськими засобами в рамках цих схем є BDQ та FQ. Два молекулярні тести, рекомендовані ВООЗ, для виявлення мутацій, пов’язаних з резистентністю до BDQ, належать до класу рішень в рамках цільового СНП (Deeplex® Myc-TB від компанії GenoScreen та AmPORE-TB від компанії Oxford Nanopore Diagnostics). Алгоритм 2a заснований на тестуванні з використанням тесту цільового СНП для виявлення мутацій, пов’язаних з резистентністю до BDQ, FQ, LZD та інших лікарських засобів в рамках рекомендованих схем. Через поточну обмежену доступність тестів цільового СНП включено другий алгоритм (Алгоритм 2b), що заснований на виявленні мутацій, пов’язаних з резистентністю до FQ, за допомогою mWRD (LC-aNAAT та SL-LPA) та фенотипового ТМЧ для BDQ та інших лікарських засобів. ВООЗ наголошує на необхідності розширення лабораторних можливостей фенотипового ТМЧ для лікарських засобів, для яких представлені точні та відтворювані фенотипові методи, включаючи BDQ, LZD, Pa, CS, CFZ та DLM.</w:t>
      </w:r>
    </w:p>
    <w:p w14:paraId="39FF566C"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13A32D73" w14:textId="77777777" w:rsidR="00366CB9" w:rsidRDefault="00366CB9" w:rsidP="00425523">
      <w:pPr>
        <w:spacing w:line="1" w:lineRule="exact"/>
      </w:pPr>
    </w:p>
    <w:p w14:paraId="761361CD" w14:textId="77777777" w:rsidR="00366CB9" w:rsidRDefault="009D0C1D" w:rsidP="00515F9C">
      <w:pPr>
        <w:pStyle w:val="80"/>
        <w:numPr>
          <w:ilvl w:val="0"/>
          <w:numId w:val="33"/>
        </w:numPr>
        <w:shd w:val="clear" w:color="auto" w:fill="auto"/>
        <w:tabs>
          <w:tab w:val="left" w:pos="770"/>
        </w:tabs>
        <w:spacing w:after="220"/>
        <w:jc w:val="both"/>
      </w:pPr>
      <w:r>
        <w:t>Схема прийняття рішень для Алгоритму 2 – ТМЧ для препаратів другої лінії для осіб з МЛС/Риф-ТБ</w:t>
      </w:r>
    </w:p>
    <w:p w14:paraId="609BEB2F" w14:textId="77777777" w:rsidR="00366CB9" w:rsidRPr="00E846A7" w:rsidRDefault="009D0C1D" w:rsidP="00515F9C">
      <w:pPr>
        <w:pStyle w:val="60"/>
        <w:shd w:val="clear" w:color="auto" w:fill="auto"/>
        <w:spacing w:after="140" w:line="271" w:lineRule="auto"/>
        <w:jc w:val="both"/>
        <w:rPr>
          <w:i/>
          <w:iCs/>
        </w:rPr>
      </w:pPr>
      <w:r>
        <w:rPr>
          <w:i/>
          <w:color w:val="019648"/>
        </w:rPr>
        <w:t>Загальні міркування</w:t>
      </w:r>
    </w:p>
    <w:p w14:paraId="589A51B3" w14:textId="77777777" w:rsidR="00366CB9" w:rsidRPr="00BC7F53" w:rsidRDefault="009D0C1D" w:rsidP="00515F9C">
      <w:pPr>
        <w:pStyle w:val="1"/>
        <w:shd w:val="clear" w:color="auto" w:fill="auto"/>
        <w:spacing w:after="140" w:line="326" w:lineRule="auto"/>
        <w:jc w:val="both"/>
        <w:rPr>
          <w:sz w:val="18"/>
          <w:szCs w:val="18"/>
        </w:rPr>
      </w:pPr>
      <w:r w:rsidRPr="00BC7F53">
        <w:rPr>
          <w:sz w:val="18"/>
          <w:szCs w:val="18"/>
        </w:rPr>
        <w:t>Для лікування МЛС/Риф-ТБ рекомендовано сім 6- або 9-місячних схем лікування на основі BDQ (</w:t>
      </w:r>
      <w:hyperlink w:anchor="bookmark193" w:tooltip="Поточний документ">
        <w:r w:rsidR="00366CB9" w:rsidRPr="00BC7F53">
          <w:rPr>
            <w:sz w:val="18"/>
            <w:szCs w:val="18"/>
          </w:rPr>
          <w:t>7</w:t>
        </w:r>
      </w:hyperlink>
      <w:r w:rsidRPr="00BC7F53">
        <w:rPr>
          <w:sz w:val="18"/>
          <w:szCs w:val="18"/>
        </w:rPr>
        <w:t xml:space="preserve">, </w:t>
      </w:r>
      <w:hyperlink w:anchor="bookmark201" w:tooltip="Поточний документ">
        <w:r w:rsidR="00366CB9" w:rsidRPr="00BC7F53">
          <w:rPr>
            <w:sz w:val="18"/>
            <w:szCs w:val="18"/>
          </w:rPr>
          <w:t>95</w:t>
        </w:r>
      </w:hyperlink>
      <w:r w:rsidRPr="00BC7F53">
        <w:rPr>
          <w:sz w:val="18"/>
          <w:szCs w:val="18"/>
        </w:rPr>
        <w:t>):</w:t>
      </w:r>
    </w:p>
    <w:p w14:paraId="333D21E3" w14:textId="7285C224" w:rsidR="00366CB9" w:rsidRPr="00BC7F53" w:rsidRDefault="009D0C1D" w:rsidP="00515F9C">
      <w:pPr>
        <w:pStyle w:val="1"/>
        <w:shd w:val="clear" w:color="auto" w:fill="auto"/>
        <w:spacing w:line="324" w:lineRule="auto"/>
        <w:ind w:left="260" w:hanging="260"/>
        <w:jc w:val="both"/>
        <w:rPr>
          <w:sz w:val="18"/>
          <w:szCs w:val="18"/>
        </w:rPr>
      </w:pPr>
      <w:r w:rsidRPr="00BC7F53">
        <w:rPr>
          <w:color w:val="019648"/>
          <w:sz w:val="18"/>
          <w:szCs w:val="18"/>
        </w:rPr>
        <w:t xml:space="preserve">• </w:t>
      </w:r>
      <w:r w:rsidR="00BC7F53">
        <w:tab/>
      </w:r>
      <w:r w:rsidRPr="00BC7F53">
        <w:rPr>
          <w:sz w:val="18"/>
          <w:szCs w:val="18"/>
        </w:rPr>
        <w:t>Дві пероральні 6-місячні схеми: Схема BPaLM (для осіб у віці від 14 років) на основі BDQ, Pa та LZD, з MFX, що припиняється у разі виявлення резистентності до FQ; та BDLLfxC на основі BDQ, DLM, LZD, LFX та CFZ, для якої припиняється LFX у разі виявлення резистентності до FQ, CFZ припиняється, якщо підтверджено чутливість до FQ, та обидві схеми зберігаються, якщо неможливо визначити статус FQ. Ця остання схема підходить для дітей та вагітних та годуючих жінок, оскільки Pa наразі не рекомендується у цих групах.</w:t>
      </w:r>
    </w:p>
    <w:p w14:paraId="4B49BD7B" w14:textId="38BA5650" w:rsidR="00366CB9" w:rsidRPr="00BC7F53" w:rsidRDefault="009D0C1D" w:rsidP="00515F9C">
      <w:pPr>
        <w:pStyle w:val="1"/>
        <w:shd w:val="clear" w:color="auto" w:fill="auto"/>
        <w:spacing w:after="140" w:line="324" w:lineRule="auto"/>
        <w:ind w:left="260" w:hanging="260"/>
        <w:jc w:val="both"/>
        <w:rPr>
          <w:sz w:val="18"/>
          <w:szCs w:val="18"/>
        </w:rPr>
      </w:pPr>
      <w:r w:rsidRPr="00BC7F53">
        <w:rPr>
          <w:color w:val="019648"/>
          <w:sz w:val="18"/>
          <w:szCs w:val="18"/>
        </w:rPr>
        <w:t xml:space="preserve">• </w:t>
      </w:r>
      <w:r w:rsidR="00BC7F53">
        <w:tab/>
      </w:r>
      <w:r w:rsidRPr="00BC7F53">
        <w:rPr>
          <w:sz w:val="18"/>
          <w:szCs w:val="18"/>
        </w:rPr>
        <w:t>П’ять 9-місячних пероральних схем, що включають різні комбінації BDQ, LFX або MFX, LZD, CFZ, DLM та PZA (BLfxEtoEHZC, BLfxLEHZC, BLMZ, BLLfxCZ та BDLLfxZ).</w:t>
      </w:r>
    </w:p>
    <w:p w14:paraId="66F7047A" w14:textId="77777777" w:rsidR="00366CB9" w:rsidRPr="00BC7F53" w:rsidRDefault="009D0C1D" w:rsidP="00515F9C">
      <w:pPr>
        <w:pStyle w:val="1"/>
        <w:shd w:val="clear" w:color="auto" w:fill="auto"/>
        <w:spacing w:after="140" w:line="324" w:lineRule="auto"/>
        <w:jc w:val="both"/>
        <w:rPr>
          <w:sz w:val="18"/>
          <w:szCs w:val="18"/>
        </w:rPr>
      </w:pPr>
      <w:r w:rsidRPr="00BC7F53">
        <w:rPr>
          <w:sz w:val="18"/>
          <w:szCs w:val="18"/>
        </w:rPr>
        <w:t>Індивідуальні пероральні довгострокові схеми лікування на основі лікарських засобів ВООЗ все ще можуть призначатись особам з МЛС/Риф-ТБ та резистентністю до FQ, які не відповідають критеріям відповідності для 6-місячних та 9-місячних схем.</w:t>
      </w:r>
    </w:p>
    <w:p w14:paraId="2D73B2A2" w14:textId="77777777" w:rsidR="00366CB9" w:rsidRPr="00BC7F53" w:rsidRDefault="00366CB9" w:rsidP="00515F9C">
      <w:pPr>
        <w:pStyle w:val="1"/>
        <w:shd w:val="clear" w:color="auto" w:fill="auto"/>
        <w:spacing w:line="324" w:lineRule="auto"/>
        <w:jc w:val="both"/>
        <w:rPr>
          <w:sz w:val="18"/>
          <w:szCs w:val="18"/>
        </w:rPr>
      </w:pPr>
      <w:r w:rsidRPr="00BC7F53">
        <w:rPr>
          <w:sz w:val="18"/>
          <w:szCs w:val="18"/>
        </w:rPr>
        <w:t xml:space="preserve">На </w:t>
      </w:r>
      <w:hyperlink w:anchor="bookmark171" w:tooltip="Поточний документ">
        <w:r w:rsidRPr="00BC7F53">
          <w:rPr>
            <w:b/>
            <w:sz w:val="18"/>
            <w:szCs w:val="18"/>
          </w:rPr>
          <w:t>рис. 6.3</w:t>
        </w:r>
      </w:hyperlink>
      <w:r w:rsidRPr="00BC7F53">
        <w:rPr>
          <w:sz w:val="18"/>
          <w:szCs w:val="18"/>
        </w:rPr>
        <w:t xml:space="preserve"> представлено огляд схем лікування, рекомендованих ВООЗ. При виборі схеми лікування важливими є фактори, що детально описано у керівних принципах ВООЗ (</w:t>
      </w:r>
      <w:hyperlink w:anchor="bookmark193" w:tooltip="Поточний документ">
        <w:r w:rsidRPr="00BC7F53">
          <w:rPr>
            <w:sz w:val="18"/>
            <w:szCs w:val="18"/>
          </w:rPr>
          <w:t>7</w:t>
        </w:r>
      </w:hyperlink>
      <w:r w:rsidRPr="00BC7F53">
        <w:rPr>
          <w:sz w:val="18"/>
          <w:szCs w:val="18"/>
        </w:rPr>
        <w:t xml:space="preserve">, </w:t>
      </w:r>
      <w:hyperlink w:anchor="bookmark201" w:tooltip="Поточний документ">
        <w:r w:rsidRPr="00BC7F53">
          <w:rPr>
            <w:sz w:val="18"/>
            <w:szCs w:val="18"/>
          </w:rPr>
          <w:t>95</w:t>
        </w:r>
      </w:hyperlink>
      <w:r w:rsidRPr="00BC7F53">
        <w:rPr>
          <w:sz w:val="18"/>
          <w:szCs w:val="18"/>
        </w:rPr>
        <w:t>). Для усіх схем лікування МЛС/Риф-ТБ характерним є центральний лікарський засіб BDQ. Особу з підтвердженою резистентністю до BDQ необхідно перевести на індивідуальну схему, а лікарські засоби необхідно обирати на основі результатів цільового СНП та коригувати на основі результатів фенотипового ТМЧ.</w:t>
      </w:r>
    </w:p>
    <w:p w14:paraId="4A98C36C"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618DE684"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14:paraId="457C1564" w14:textId="77777777">
        <w:trPr>
          <w:trHeight w:hRule="exact" w:val="576"/>
        </w:trPr>
        <w:tc>
          <w:tcPr>
            <w:tcW w:w="9106" w:type="dxa"/>
            <w:shd w:val="clear" w:color="auto" w:fill="FFFFFF"/>
          </w:tcPr>
          <w:p w14:paraId="1BD13F74" w14:textId="77777777" w:rsidR="00366CB9" w:rsidRPr="00156AC1" w:rsidRDefault="009D0C1D" w:rsidP="00515F9C">
            <w:pPr>
              <w:pStyle w:val="a6"/>
              <w:shd w:val="clear" w:color="auto" w:fill="auto"/>
              <w:rPr>
                <w:sz w:val="24"/>
                <w:szCs w:val="24"/>
              </w:rPr>
            </w:pPr>
            <w:bookmarkStart w:id="174" w:name="bookmark171"/>
            <w:r>
              <w:rPr>
                <w:color w:val="636466"/>
                <w:sz w:val="24"/>
              </w:rPr>
              <w:t>Рис. 6.3. Огляд варіантів лікування</w:t>
            </w:r>
            <w:bookmarkEnd w:id="174"/>
          </w:p>
        </w:tc>
      </w:tr>
      <w:tr w:rsidR="00366CB9" w14:paraId="68383CF1" w14:textId="77777777">
        <w:trPr>
          <w:trHeight w:hRule="exact" w:val="11664"/>
        </w:trPr>
        <w:tc>
          <w:tcPr>
            <w:tcW w:w="9106" w:type="dxa"/>
            <w:shd w:val="clear" w:color="auto" w:fill="FFFFFF"/>
          </w:tcPr>
          <w:p w14:paraId="444D6569" w14:textId="02276FFB" w:rsidR="00366CB9" w:rsidRDefault="00BC7F53" w:rsidP="00515F9C">
            <w:pPr>
              <w:rPr>
                <w:sz w:val="2"/>
                <w:szCs w:val="2"/>
              </w:rPr>
            </w:pPr>
            <w:r>
              <w:rPr>
                <w:noProof/>
              </w:rPr>
              <mc:AlternateContent>
                <mc:Choice Requires="wps">
                  <w:drawing>
                    <wp:anchor distT="0" distB="0" distL="114300" distR="114300" simplePos="0" relativeHeight="251746304" behindDoc="0" locked="0" layoutInCell="1" allowOverlap="1" wp14:anchorId="361AEC23" wp14:editId="3C0B1849">
                      <wp:simplePos x="0" y="0"/>
                      <wp:positionH relativeFrom="column">
                        <wp:posOffset>2113280</wp:posOffset>
                      </wp:positionH>
                      <wp:positionV relativeFrom="paragraph">
                        <wp:posOffset>7127240</wp:posOffset>
                      </wp:positionV>
                      <wp:extent cx="412750" cy="124460"/>
                      <wp:effectExtent l="0" t="0" r="6350" b="8890"/>
                      <wp:wrapNone/>
                      <wp:docPr id="1857374968" name="Прямокутник 15"/>
                      <wp:cNvGraphicFramePr/>
                      <a:graphic xmlns:a="http://schemas.openxmlformats.org/drawingml/2006/main">
                        <a:graphicData uri="http://schemas.microsoft.com/office/word/2010/wordprocessingShape">
                          <wps:wsp>
                            <wps:cNvSpPr/>
                            <wps:spPr>
                              <a:xfrm>
                                <a:off x="0" y="0"/>
                                <a:ext cx="412750" cy="124460"/>
                              </a:xfrm>
                              <a:prstGeom prst="rect">
                                <a:avLst/>
                              </a:prstGeom>
                              <a:solidFill>
                                <a:srgbClr val="FFFFFF"/>
                              </a:solidFill>
                            </wps:spPr>
                            <wps:txbx>
                              <w:txbxContent>
                                <w:p w14:paraId="16012285" w14:textId="77777777" w:rsidR="009D0C1D" w:rsidRPr="00BC7F53" w:rsidRDefault="009D0C1D" w:rsidP="00CF0462">
                                  <w:pPr>
                                    <w:rPr>
                                      <w:rFonts w:eastAsia="+mn-ea" w:cs="+mn-cs"/>
                                      <w:kern w:val="24"/>
                                      <w:sz w:val="12"/>
                                      <w:szCs w:val="12"/>
                                    </w:rPr>
                                  </w:pPr>
                                  <w:r w:rsidRPr="00BC7F53">
                                    <w:rPr>
                                      <w:sz w:val="12"/>
                                      <w:szCs w:val="12"/>
                                    </w:rPr>
                                    <w:t>МЛС-ТБ</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61AEC23" id="_x0000_s1391" style="position:absolute;margin-left:166.4pt;margin-top:561.2pt;width:32.5pt;height:9.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" stroked="f">
                      <v:textbox inset="0,0,0,0">
                        <w:txbxContent>
                          <w:p w14:paraId="16012285" w14:textId="77777777" w:rsidR="009D0C1D" w:rsidRPr="00BC7F53" w:rsidRDefault="009D0C1D" w:rsidP="00CF0462">
                            <w:pPr>
                              <w:rPr>
                                <w:rFonts w:eastAsia="+mn-ea" w:cs="+mn-cs"/>
                                <w:kern w:val="24"/>
                                <w:sz w:val="12"/>
                                <w:szCs w:val="12"/>
                              </w:rPr>
                            </w:pPr>
                            <w:r w:rsidRPr="00BC7F53">
                              <w:rPr>
                                <w:sz w:val="12"/>
                                <w:szCs w:val="12"/>
                              </w:rPr>
                              <w:t>МЛС-ТБ</w:t>
                            </w:r>
                          </w:p>
                        </w:txbxContent>
                      </v:textbox>
                    </v:rect>
                  </w:pict>
                </mc:Fallback>
              </mc:AlternateContent>
            </w:r>
            <w:r>
              <w:rPr>
                <w:noProof/>
              </w:rPr>
              <mc:AlternateContent>
                <mc:Choice Requires="wps">
                  <w:drawing>
                    <wp:anchor distT="0" distB="0" distL="114300" distR="114300" simplePos="0" relativeHeight="251749376" behindDoc="0" locked="0" layoutInCell="1" allowOverlap="1" wp14:anchorId="59FEED0E" wp14:editId="089C255C">
                      <wp:simplePos x="0" y="0"/>
                      <wp:positionH relativeFrom="column">
                        <wp:posOffset>4062730</wp:posOffset>
                      </wp:positionH>
                      <wp:positionV relativeFrom="paragraph">
                        <wp:posOffset>7120890</wp:posOffset>
                      </wp:positionV>
                      <wp:extent cx="1123950" cy="130810"/>
                      <wp:effectExtent l="0" t="0" r="0" b="2540"/>
                      <wp:wrapNone/>
                      <wp:docPr id="1007315373" name="Прямокутник 18"/>
                      <wp:cNvGraphicFramePr/>
                      <a:graphic xmlns:a="http://schemas.openxmlformats.org/drawingml/2006/main">
                        <a:graphicData uri="http://schemas.microsoft.com/office/word/2010/wordprocessingShape">
                          <wps:wsp>
                            <wps:cNvSpPr/>
                            <wps:spPr>
                              <a:xfrm>
                                <a:off x="0" y="0"/>
                                <a:ext cx="1123950" cy="130810"/>
                              </a:xfrm>
                              <a:prstGeom prst="rect">
                                <a:avLst/>
                              </a:prstGeom>
                              <a:solidFill>
                                <a:srgbClr val="FFFFFF"/>
                              </a:solidFill>
                            </wps:spPr>
                            <wps:txbx>
                              <w:txbxContent>
                                <w:p w14:paraId="5BEE28EF" w14:textId="77777777" w:rsidR="009D0C1D" w:rsidRPr="00BC7F53" w:rsidRDefault="009D0C1D" w:rsidP="00CF0462">
                                  <w:pPr>
                                    <w:rPr>
                                      <w:rFonts w:eastAsia="+mn-ea" w:cs="+mn-cs"/>
                                      <w:kern w:val="24"/>
                                      <w:sz w:val="12"/>
                                      <w:szCs w:val="12"/>
                                    </w:rPr>
                                  </w:pPr>
                                  <w:r w:rsidRPr="00BC7F53">
                                    <w:rPr>
                                      <w:sz w:val="12"/>
                                      <w:szCs w:val="12"/>
                                    </w:rPr>
                                    <w:t>Індивідуальна схема</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9FEED0E" id="_x0000_s1392" style="position:absolute;margin-left:319.9pt;margin-top:560.7pt;width:88.5pt;height:10.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" stroked="f">
                      <v:textbox inset="0,0,0,0">
                        <w:txbxContent>
                          <w:p w14:paraId="5BEE28EF" w14:textId="77777777" w:rsidR="009D0C1D" w:rsidRPr="00BC7F53" w:rsidRDefault="009D0C1D" w:rsidP="00CF0462">
                            <w:pPr>
                              <w:rPr>
                                <w:rFonts w:eastAsia="+mn-ea" w:cs="+mn-cs"/>
                                <w:kern w:val="24"/>
                                <w:sz w:val="12"/>
                                <w:szCs w:val="12"/>
                              </w:rPr>
                            </w:pPr>
                            <w:r w:rsidRPr="00BC7F53">
                              <w:rPr>
                                <w:sz w:val="12"/>
                                <w:szCs w:val="12"/>
                              </w:rPr>
                              <w:t>Індивідуальна схема</w:t>
                            </w:r>
                          </w:p>
                        </w:txbxContent>
                      </v:textbox>
                    </v:rect>
                  </w:pict>
                </mc:Fallback>
              </mc:AlternateContent>
            </w:r>
            <w:r>
              <w:rPr>
                <w:noProof/>
              </w:rPr>
              <mc:AlternateContent>
                <mc:Choice Requires="wps">
                  <w:drawing>
                    <wp:anchor distT="0" distB="0" distL="114300" distR="114300" simplePos="0" relativeHeight="251747328" behindDoc="0" locked="0" layoutInCell="1" allowOverlap="1" wp14:anchorId="108A12EA" wp14:editId="6A657192">
                      <wp:simplePos x="0" y="0"/>
                      <wp:positionH relativeFrom="column">
                        <wp:posOffset>2748281</wp:posOffset>
                      </wp:positionH>
                      <wp:positionV relativeFrom="paragraph">
                        <wp:posOffset>7120890</wp:posOffset>
                      </wp:positionV>
                      <wp:extent cx="622300" cy="209550"/>
                      <wp:effectExtent l="0" t="0" r="6350" b="0"/>
                      <wp:wrapNone/>
                      <wp:docPr id="1940987865" name="Прямокутник 16"/>
                      <wp:cNvGraphicFramePr/>
                      <a:graphic xmlns:a="http://schemas.openxmlformats.org/drawingml/2006/main">
                        <a:graphicData uri="http://schemas.microsoft.com/office/word/2010/wordprocessingShape">
                          <wps:wsp>
                            <wps:cNvSpPr/>
                            <wps:spPr>
                              <a:xfrm>
                                <a:off x="0" y="0"/>
                                <a:ext cx="622300" cy="209550"/>
                              </a:xfrm>
                              <a:prstGeom prst="rect">
                                <a:avLst/>
                              </a:prstGeom>
                              <a:solidFill>
                                <a:srgbClr val="FFFFFF"/>
                              </a:solidFill>
                            </wps:spPr>
                            <wps:txbx>
                              <w:txbxContent>
                                <w:p w14:paraId="4C648454" w14:textId="77777777" w:rsidR="009D0C1D" w:rsidRPr="00BC7F53" w:rsidRDefault="009D0C1D" w:rsidP="00CF0462">
                                  <w:pPr>
                                    <w:rPr>
                                      <w:rFonts w:eastAsia="+mn-ea" w:cs="+mn-cs"/>
                                      <w:kern w:val="24"/>
                                      <w:sz w:val="12"/>
                                      <w:szCs w:val="12"/>
                                    </w:rPr>
                                  </w:pPr>
                                  <w:r w:rsidRPr="00BC7F53">
                                    <w:rPr>
                                      <w:sz w:val="12"/>
                                      <w:szCs w:val="12"/>
                                    </w:rPr>
                                    <w:t>Спеціальний випадок</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08A12EA" id="_x0000_s1393" style="position:absolute;margin-left:216.4pt;margin-top:560.7pt;width:49pt;height: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" stroked="f">
                      <v:textbox inset="0,0,0,0">
                        <w:txbxContent>
                          <w:p w14:paraId="4C648454" w14:textId="77777777" w:rsidR="009D0C1D" w:rsidRPr="00BC7F53" w:rsidRDefault="009D0C1D" w:rsidP="00CF0462">
                            <w:pPr>
                              <w:rPr>
                                <w:rFonts w:eastAsia="+mn-ea" w:cs="+mn-cs"/>
                                <w:kern w:val="24"/>
                                <w:sz w:val="12"/>
                                <w:szCs w:val="12"/>
                              </w:rPr>
                            </w:pPr>
                            <w:r w:rsidRPr="00BC7F53">
                              <w:rPr>
                                <w:sz w:val="12"/>
                                <w:szCs w:val="12"/>
                              </w:rPr>
                              <w:t>Спеціальний випадок</w:t>
                            </w:r>
                          </w:p>
                        </w:txbxContent>
                      </v:textbox>
                    </v:rect>
                  </w:pict>
                </mc:Fallback>
              </mc:AlternateContent>
            </w:r>
            <w:r>
              <w:rPr>
                <w:noProof/>
              </w:rPr>
              <mc:AlternateContent>
                <mc:Choice Requires="wps">
                  <w:drawing>
                    <wp:anchor distT="0" distB="0" distL="114300" distR="114300" simplePos="0" relativeHeight="251745280" behindDoc="0" locked="0" layoutInCell="1" allowOverlap="1" wp14:anchorId="557E8B48" wp14:editId="642BBE20">
                      <wp:simplePos x="0" y="0"/>
                      <wp:positionH relativeFrom="column">
                        <wp:posOffset>944881</wp:posOffset>
                      </wp:positionH>
                      <wp:positionV relativeFrom="paragraph">
                        <wp:posOffset>7127240</wp:posOffset>
                      </wp:positionV>
                      <wp:extent cx="920750" cy="124460"/>
                      <wp:effectExtent l="0" t="0" r="0" b="8890"/>
                      <wp:wrapNone/>
                      <wp:docPr id="441513358" name="Прямокутник 14"/>
                      <wp:cNvGraphicFramePr/>
                      <a:graphic xmlns:a="http://schemas.openxmlformats.org/drawingml/2006/main">
                        <a:graphicData uri="http://schemas.microsoft.com/office/word/2010/wordprocessingShape">
                          <wps:wsp>
                            <wps:cNvSpPr/>
                            <wps:spPr>
                              <a:xfrm>
                                <a:off x="0" y="0"/>
                                <a:ext cx="920750" cy="124460"/>
                              </a:xfrm>
                              <a:prstGeom prst="rect">
                                <a:avLst/>
                              </a:prstGeom>
                              <a:solidFill>
                                <a:srgbClr val="FFFFFF"/>
                              </a:solidFill>
                            </wps:spPr>
                            <wps:txbx>
                              <w:txbxContent>
                                <w:p w14:paraId="6A81DE47" w14:textId="77777777" w:rsidR="009D0C1D" w:rsidRPr="00BC7F53" w:rsidRDefault="009D0C1D" w:rsidP="00CF0462">
                                  <w:pPr>
                                    <w:rPr>
                                      <w:rFonts w:eastAsia="+mn-ea" w:cs="+mn-cs"/>
                                      <w:kern w:val="24"/>
                                      <w:sz w:val="12"/>
                                      <w:szCs w:val="12"/>
                                    </w:rPr>
                                  </w:pPr>
                                  <w:r w:rsidRPr="00BC7F53">
                                    <w:rPr>
                                      <w:sz w:val="12"/>
                                      <w:szCs w:val="12"/>
                                    </w:rPr>
                                    <w:t>Лікарсько-чутливий ТБ</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57E8B48" id="_x0000_s1394" style="position:absolute;margin-left:74.4pt;margin-top:561.2pt;width:72.5pt;height:9.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" stroked="f">
                      <v:textbox inset="0,0,0,0">
                        <w:txbxContent>
                          <w:p w14:paraId="6A81DE47" w14:textId="77777777" w:rsidR="009D0C1D" w:rsidRPr="00BC7F53" w:rsidRDefault="009D0C1D" w:rsidP="00CF0462">
                            <w:pPr>
                              <w:rPr>
                                <w:rFonts w:eastAsia="+mn-ea" w:cs="+mn-cs"/>
                                <w:kern w:val="24"/>
                                <w:sz w:val="12"/>
                                <w:szCs w:val="12"/>
                              </w:rPr>
                            </w:pPr>
                            <w:r w:rsidRPr="00BC7F53">
                              <w:rPr>
                                <w:sz w:val="12"/>
                                <w:szCs w:val="12"/>
                              </w:rPr>
                              <w:t>Лікарсько-чутливий ТБ</w:t>
                            </w:r>
                          </w:p>
                        </w:txbxContent>
                      </v:textbox>
                    </v:rect>
                  </w:pict>
                </mc:Fallback>
              </mc:AlternateContent>
            </w:r>
            <w:r>
              <w:rPr>
                <w:noProof/>
              </w:rPr>
              <mc:AlternateContent>
                <mc:Choice Requires="wps">
                  <w:drawing>
                    <wp:anchor distT="0" distB="0" distL="114300" distR="114300" simplePos="0" relativeHeight="251743232" behindDoc="0" locked="0" layoutInCell="1" allowOverlap="1" wp14:anchorId="07B6F24F" wp14:editId="537A1317">
                      <wp:simplePos x="0" y="0"/>
                      <wp:positionH relativeFrom="column">
                        <wp:posOffset>2767330</wp:posOffset>
                      </wp:positionH>
                      <wp:positionV relativeFrom="paragraph">
                        <wp:posOffset>6263640</wp:posOffset>
                      </wp:positionV>
                      <wp:extent cx="1294765" cy="203200"/>
                      <wp:effectExtent l="0" t="0" r="635" b="6350"/>
                      <wp:wrapNone/>
                      <wp:docPr id="1566763305" name="Прямокутник 12"/>
                      <wp:cNvGraphicFramePr/>
                      <a:graphic xmlns:a="http://schemas.openxmlformats.org/drawingml/2006/main">
                        <a:graphicData uri="http://schemas.microsoft.com/office/word/2010/wordprocessingShape">
                          <wps:wsp>
                            <wps:cNvSpPr/>
                            <wps:spPr>
                              <a:xfrm>
                                <a:off x="0" y="0"/>
                                <a:ext cx="1294765" cy="203200"/>
                              </a:xfrm>
                              <a:prstGeom prst="rect">
                                <a:avLst/>
                              </a:prstGeom>
                              <a:solidFill>
                                <a:srgbClr val="E1F5FF"/>
                              </a:solidFill>
                            </wps:spPr>
                            <wps:txbx>
                              <w:txbxContent>
                                <w:p w14:paraId="47704359" w14:textId="77777777" w:rsidR="009D0C1D" w:rsidRPr="00BC7F53" w:rsidRDefault="009D0C1D" w:rsidP="00CF0462">
                                  <w:pPr>
                                    <w:rPr>
                                      <w:rFonts w:eastAsia="+mn-ea" w:cs="+mn-cs"/>
                                      <w:kern w:val="24"/>
                                      <w:sz w:val="12"/>
                                      <w:szCs w:val="12"/>
                                    </w:rPr>
                                  </w:pPr>
                                  <w:r w:rsidRPr="00BC7F53">
                                    <w:rPr>
                                      <w:sz w:val="12"/>
                                      <w:szCs w:val="22"/>
                                    </w:rPr>
                                    <w:t>18-місячна індивідуальна схема</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7B6F24F" id="_x0000_s1395" style="position:absolute;margin-left:217.9pt;margin-top:493.2pt;width:101.95pt;height: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" fillcolor="#e1f5ff" stroked="f">
                      <v:textbox inset="0,0,0,0">
                        <w:txbxContent>
                          <w:p w14:paraId="47704359" w14:textId="77777777" w:rsidR="009D0C1D" w:rsidRPr="00BC7F53" w:rsidRDefault="009D0C1D" w:rsidP="00CF0462">
                            <w:pPr>
                              <w:rPr>
                                <w:rFonts w:eastAsia="+mn-ea" w:cs="+mn-cs"/>
                                <w:kern w:val="24"/>
                                <w:sz w:val="12"/>
                                <w:szCs w:val="12"/>
                              </w:rPr>
                            </w:pPr>
                            <w:r w:rsidRPr="00BC7F53">
                              <w:rPr>
                                <w:sz w:val="12"/>
                                <w:szCs w:val="22"/>
                              </w:rPr>
                              <w:t>18-місячна індивідуальна схема</w:t>
                            </w:r>
                          </w:p>
                        </w:txbxContent>
                      </v:textbox>
                    </v:rect>
                  </w:pict>
                </mc:Fallback>
              </mc:AlternateContent>
            </w:r>
            <w:r>
              <w:rPr>
                <w:noProof/>
              </w:rPr>
              <mc:AlternateContent>
                <mc:Choice Requires="wps">
                  <w:drawing>
                    <wp:anchor distT="0" distB="0" distL="114300" distR="114300" simplePos="0" relativeHeight="251755520" behindDoc="0" locked="0" layoutInCell="1" allowOverlap="1" wp14:anchorId="66A5421F" wp14:editId="5C2A3B26">
                      <wp:simplePos x="0" y="0"/>
                      <wp:positionH relativeFrom="column">
                        <wp:posOffset>4367530</wp:posOffset>
                      </wp:positionH>
                      <wp:positionV relativeFrom="paragraph">
                        <wp:posOffset>5603240</wp:posOffset>
                      </wp:positionV>
                      <wp:extent cx="1022350" cy="828675"/>
                      <wp:effectExtent l="0" t="0" r="6350" b="9525"/>
                      <wp:wrapNone/>
                      <wp:docPr id="16863083" name="Прямокутник 24"/>
                      <wp:cNvGraphicFramePr/>
                      <a:graphic xmlns:a="http://schemas.openxmlformats.org/drawingml/2006/main">
                        <a:graphicData uri="http://schemas.microsoft.com/office/word/2010/wordprocessingShape">
                          <wps:wsp>
                            <wps:cNvSpPr/>
                            <wps:spPr>
                              <a:xfrm>
                                <a:off x="0" y="0"/>
                                <a:ext cx="1022350" cy="828675"/>
                              </a:xfrm>
                              <a:prstGeom prst="rect">
                                <a:avLst/>
                              </a:prstGeom>
                              <a:solidFill>
                                <a:srgbClr val="E1F5FF"/>
                              </a:solidFill>
                            </wps:spPr>
                            <wps:txbx>
                              <w:txbxContent>
                                <w:p w14:paraId="7E897658" w14:textId="77777777" w:rsidR="009D0C1D" w:rsidRPr="00BC7F53" w:rsidRDefault="009D0C1D" w:rsidP="00CF0462">
                                  <w:pPr>
                                    <w:spacing w:line="283" w:lineRule="auto"/>
                                    <w:rPr>
                                      <w:rFonts w:eastAsia="+mn-ea" w:cs="+mn-cs"/>
                                      <w:kern w:val="24"/>
                                      <w:sz w:val="12"/>
                                      <w:szCs w:val="12"/>
                                    </w:rPr>
                                  </w:pPr>
                                  <w:r w:rsidRPr="00BC7F53">
                                    <w:rPr>
                                      <w:sz w:val="12"/>
                                      <w:szCs w:val="22"/>
                                    </w:rPr>
                                    <w:t>Низький ризик резистентності до BDQ</w:t>
                                  </w:r>
                                </w:p>
                                <w:p w14:paraId="7A8E162F" w14:textId="77777777" w:rsidR="009D0C1D" w:rsidRPr="00BC7F53" w:rsidRDefault="009D0C1D" w:rsidP="00CF0462">
                                  <w:pPr>
                                    <w:spacing w:line="283" w:lineRule="auto"/>
                                    <w:rPr>
                                      <w:rFonts w:eastAsia="+mn-ea" w:cs="+mn-cs"/>
                                      <w:kern w:val="24"/>
                                      <w:sz w:val="12"/>
                                      <w:szCs w:val="12"/>
                                    </w:rPr>
                                  </w:pPr>
                                  <w:r w:rsidRPr="00BC7F53">
                                    <w:rPr>
                                      <w:sz w:val="12"/>
                                      <w:szCs w:val="22"/>
                                    </w:rPr>
                                    <w:t>- BPaLM Повторити цСНП, обговорити з комітетом з лікування ЛС-ТБ, коригувати відповідно до остаточних результатів ТМЧ</w:t>
                                  </w:r>
                                </w:p>
                              </w:txbxContent>
                            </wps:txbx>
                            <wps:bodyPr wrap="square" lIns="0" tIns="0" rIns="0" bIns="0">
                              <a:noAutofit/>
                            </wps:bodyPr>
                          </wps:wsp>
                        </a:graphicData>
                      </a:graphic>
                      <wp14:sizeRelH relativeFrom="margin">
                        <wp14:pctWidth>0</wp14:pctWidth>
                      </wp14:sizeRelH>
                    </wp:anchor>
                  </w:drawing>
                </mc:Choice>
                <mc:Fallback>
                  <w:pict>
                    <v:rect w14:anchorId="66A5421F" id="_x0000_s1396" style="position:absolute;margin-left:343.9pt;margin-top:441.2pt;width:80.5pt;height:65.2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" fillcolor="#e1f5ff" stroked="f">
                      <v:textbox inset="0,0,0,0">
                        <w:txbxContent>
                          <w:p w14:paraId="7E897658" w14:textId="77777777" w:rsidR="009D0C1D" w:rsidRPr="00BC7F53" w:rsidRDefault="009D0C1D" w:rsidP="00CF0462">
                            <w:pPr>
                              <w:spacing w:line="283" w:lineRule="auto"/>
                              <w:rPr>
                                <w:rFonts w:eastAsia="+mn-ea" w:cs="+mn-cs"/>
                                <w:kern w:val="24"/>
                                <w:sz w:val="12"/>
                                <w:szCs w:val="12"/>
                              </w:rPr>
                            </w:pPr>
                            <w:r w:rsidRPr="00BC7F53">
                              <w:rPr>
                                <w:sz w:val="12"/>
                                <w:szCs w:val="22"/>
                              </w:rPr>
                              <w:t>Низький ризик резистентності до BDQ</w:t>
                            </w:r>
                          </w:p>
                          <w:p w14:paraId="7A8E162F" w14:textId="77777777" w:rsidR="009D0C1D" w:rsidRPr="00BC7F53" w:rsidRDefault="009D0C1D" w:rsidP="00CF0462">
                            <w:pPr>
                              <w:spacing w:line="283" w:lineRule="auto"/>
                              <w:rPr>
                                <w:rFonts w:eastAsia="+mn-ea" w:cs="+mn-cs"/>
                                <w:kern w:val="24"/>
                                <w:sz w:val="12"/>
                                <w:szCs w:val="12"/>
                              </w:rPr>
                            </w:pPr>
                            <w:r w:rsidRPr="00BC7F53">
                              <w:rPr>
                                <w:sz w:val="12"/>
                                <w:szCs w:val="22"/>
                              </w:rPr>
                              <w:t>- BPaLM Повторити цСНП, обговорити з комітетом з лікування ЛС-ТБ, коригувати відповідно до остаточних результатів ТМЧ</w:t>
                            </w:r>
                          </w:p>
                        </w:txbxContent>
                      </v:textbox>
                    </v:rect>
                  </w:pict>
                </mc:Fallback>
              </mc:AlternateContent>
            </w:r>
            <w:r>
              <w:rPr>
                <w:noProof/>
              </w:rPr>
              <mc:AlternateContent>
                <mc:Choice Requires="wps">
                  <w:drawing>
                    <wp:anchor distT="0" distB="0" distL="114300" distR="114300" simplePos="0" relativeHeight="251754496" behindDoc="0" locked="0" layoutInCell="1" allowOverlap="1" wp14:anchorId="44D946D9" wp14:editId="7948993E">
                      <wp:simplePos x="0" y="0"/>
                      <wp:positionH relativeFrom="column">
                        <wp:posOffset>4339590</wp:posOffset>
                      </wp:positionH>
                      <wp:positionV relativeFrom="paragraph">
                        <wp:posOffset>4625340</wp:posOffset>
                      </wp:positionV>
                      <wp:extent cx="1104900" cy="755650"/>
                      <wp:effectExtent l="0" t="0" r="0" b="6350"/>
                      <wp:wrapNone/>
                      <wp:docPr id="808024086" name="Прямокутник 23"/>
                      <wp:cNvGraphicFramePr/>
                      <a:graphic xmlns:a="http://schemas.openxmlformats.org/drawingml/2006/main">
                        <a:graphicData uri="http://schemas.microsoft.com/office/word/2010/wordprocessingShape">
                          <wps:wsp>
                            <wps:cNvSpPr/>
                            <wps:spPr>
                              <a:xfrm>
                                <a:off x="0" y="0"/>
                                <a:ext cx="1104900" cy="755650"/>
                              </a:xfrm>
                              <a:prstGeom prst="rect">
                                <a:avLst/>
                              </a:prstGeom>
                              <a:solidFill>
                                <a:srgbClr val="E1F5FF"/>
                              </a:solidFill>
                            </wps:spPr>
                            <wps:txbx>
                              <w:txbxContent>
                                <w:p w14:paraId="1ABC2BD8" w14:textId="77777777" w:rsidR="009D0C1D" w:rsidRPr="00BC7F53" w:rsidRDefault="009D0C1D" w:rsidP="00CF0462">
                                  <w:pPr>
                                    <w:spacing w:line="283" w:lineRule="auto"/>
                                    <w:rPr>
                                      <w:rFonts w:eastAsia="+mn-ea" w:cs="+mn-cs"/>
                                      <w:kern w:val="24"/>
                                      <w:sz w:val="12"/>
                                      <w:szCs w:val="12"/>
                                    </w:rPr>
                                  </w:pPr>
                                  <w:r w:rsidRPr="00BC7F53">
                                    <w:rPr>
                                      <w:sz w:val="12"/>
                                      <w:szCs w:val="22"/>
                                    </w:rPr>
                                    <w:t>Високий ризик резистентності до BDQ</w:t>
                                  </w:r>
                                </w:p>
                                <w:p w14:paraId="3FEAAD33" w14:textId="77777777" w:rsidR="009D0C1D" w:rsidRPr="00BC7F53" w:rsidRDefault="009D0C1D" w:rsidP="00CF0462">
                                  <w:pPr>
                                    <w:spacing w:line="283" w:lineRule="auto"/>
                                    <w:rPr>
                                      <w:rFonts w:eastAsia="+mn-ea" w:cs="+mn-cs"/>
                                      <w:kern w:val="24"/>
                                      <w:sz w:val="12"/>
                                      <w:szCs w:val="12"/>
                                    </w:rPr>
                                  </w:pPr>
                                  <w:r w:rsidRPr="00BC7F53">
                                    <w:rPr>
                                      <w:sz w:val="12"/>
                                      <w:szCs w:val="22"/>
                                    </w:rPr>
                                    <w:t>18-місячна індивідуальна схема, обговорити з комітетом з лікування ЛС-ТБ, коригувати відповідно до остаточних результатів фТМЧ</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4D946D9" id="_x0000_s1397" style="position:absolute;margin-left:341.7pt;margin-top:364.2pt;width:87pt;height:5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" fillcolor="#e1f5ff" stroked="f">
                      <v:textbox inset="0,0,0,0">
                        <w:txbxContent>
                          <w:p w14:paraId="1ABC2BD8" w14:textId="77777777" w:rsidR="009D0C1D" w:rsidRPr="00BC7F53" w:rsidRDefault="009D0C1D" w:rsidP="00CF0462">
                            <w:pPr>
                              <w:spacing w:line="283" w:lineRule="auto"/>
                              <w:rPr>
                                <w:rFonts w:eastAsia="+mn-ea" w:cs="+mn-cs"/>
                                <w:kern w:val="24"/>
                                <w:sz w:val="12"/>
                                <w:szCs w:val="12"/>
                              </w:rPr>
                            </w:pPr>
                            <w:r w:rsidRPr="00BC7F53">
                              <w:rPr>
                                <w:sz w:val="12"/>
                                <w:szCs w:val="22"/>
                              </w:rPr>
                              <w:t>Високий ризик резистентності до BDQ</w:t>
                            </w:r>
                          </w:p>
                          <w:p w14:paraId="3FEAAD33" w14:textId="77777777" w:rsidR="009D0C1D" w:rsidRPr="00BC7F53" w:rsidRDefault="009D0C1D" w:rsidP="00CF0462">
                            <w:pPr>
                              <w:spacing w:line="283" w:lineRule="auto"/>
                              <w:rPr>
                                <w:rFonts w:eastAsia="+mn-ea" w:cs="+mn-cs"/>
                                <w:kern w:val="24"/>
                                <w:sz w:val="12"/>
                                <w:szCs w:val="12"/>
                              </w:rPr>
                            </w:pPr>
                            <w:r w:rsidRPr="00BC7F53">
                              <w:rPr>
                                <w:sz w:val="12"/>
                                <w:szCs w:val="22"/>
                              </w:rPr>
                              <w:t>18-місячна індивідуальна схема, обговорити з комітетом з лікування ЛС-ТБ, коригувати відповідно до остаточних результатів фТМЧ</w:t>
                            </w:r>
                          </w:p>
                        </w:txbxContent>
                      </v:textbox>
                    </v:rect>
                  </w:pict>
                </mc:Fallback>
              </mc:AlternateContent>
            </w:r>
            <w:r>
              <w:rPr>
                <w:noProof/>
              </w:rPr>
              <mc:AlternateContent>
                <mc:Choice Requires="wps">
                  <w:drawing>
                    <wp:anchor distT="0" distB="0" distL="114300" distR="114300" simplePos="0" relativeHeight="251753472" behindDoc="0" locked="0" layoutInCell="1" allowOverlap="1" wp14:anchorId="01DBC69C" wp14:editId="3B827D4A">
                      <wp:simplePos x="0" y="0"/>
                      <wp:positionH relativeFrom="column">
                        <wp:posOffset>4354830</wp:posOffset>
                      </wp:positionH>
                      <wp:positionV relativeFrom="paragraph">
                        <wp:posOffset>4022090</wp:posOffset>
                      </wp:positionV>
                      <wp:extent cx="1035050" cy="359410"/>
                      <wp:effectExtent l="0" t="0" r="0" b="2540"/>
                      <wp:wrapNone/>
                      <wp:docPr id="1531208073" name="Прямокутник 22"/>
                      <wp:cNvGraphicFramePr/>
                      <a:graphic xmlns:a="http://schemas.openxmlformats.org/drawingml/2006/main">
                        <a:graphicData uri="http://schemas.microsoft.com/office/word/2010/wordprocessingShape">
                          <wps:wsp>
                            <wps:cNvSpPr/>
                            <wps:spPr>
                              <a:xfrm>
                                <a:off x="0" y="0"/>
                                <a:ext cx="1035050" cy="359410"/>
                              </a:xfrm>
                              <a:prstGeom prst="rect">
                                <a:avLst/>
                              </a:prstGeom>
                              <a:solidFill>
                                <a:srgbClr val="E1F5FF"/>
                              </a:solidFill>
                            </wps:spPr>
                            <wps:txbx>
                              <w:txbxContent>
                                <w:p w14:paraId="243FCEE5" w14:textId="77777777" w:rsidR="009D0C1D" w:rsidRPr="00BC7F53" w:rsidRDefault="009D0C1D" w:rsidP="00CF0462">
                                  <w:pPr>
                                    <w:spacing w:line="266" w:lineRule="auto"/>
                                    <w:rPr>
                                      <w:rFonts w:eastAsia="+mn-ea" w:cs="+mn-cs"/>
                                      <w:kern w:val="24"/>
                                      <w:sz w:val="13"/>
                                      <w:szCs w:val="13"/>
                                    </w:rPr>
                                  </w:pPr>
                                  <w:r w:rsidRPr="00BC7F53">
                                    <w:rPr>
                                      <w:sz w:val="13"/>
                                      <w:szCs w:val="22"/>
                                    </w:rPr>
                                    <w:t>ШЛС-ТБ:</w:t>
                                  </w:r>
                                </w:p>
                                <w:p w14:paraId="3EF0DC3E" w14:textId="77777777" w:rsidR="009D0C1D" w:rsidRPr="00BC7F53" w:rsidRDefault="009D0C1D" w:rsidP="00CF0462">
                                  <w:pPr>
                                    <w:spacing w:line="285" w:lineRule="auto"/>
                                    <w:rPr>
                                      <w:rFonts w:eastAsia="+mn-ea" w:cs="+mn-cs"/>
                                      <w:kern w:val="24"/>
                                      <w:sz w:val="12"/>
                                      <w:szCs w:val="12"/>
                                    </w:rPr>
                                  </w:pPr>
                                  <w:r w:rsidRPr="00BC7F53">
                                    <w:rPr>
                                      <w:sz w:val="12"/>
                                      <w:szCs w:val="22"/>
                                    </w:rPr>
                                    <w:t>18-місячна індивідуальна схема</w:t>
                                  </w:r>
                                </w:p>
                              </w:txbxContent>
                            </wps:txbx>
                            <wps:bodyPr wrap="square" lIns="0" tIns="0" rIns="0" bIns="0">
                              <a:noAutofit/>
                            </wps:bodyPr>
                          </wps:wsp>
                        </a:graphicData>
                      </a:graphic>
                      <wp14:sizeRelH relativeFrom="margin">
                        <wp14:pctWidth>0</wp14:pctWidth>
                      </wp14:sizeRelH>
                    </wp:anchor>
                  </w:drawing>
                </mc:Choice>
                <mc:Fallback>
                  <w:pict>
                    <v:rect w14:anchorId="01DBC69C" id="_x0000_s1398" style="position:absolute;margin-left:342.9pt;margin-top:316.7pt;width:81.5pt;height:28.3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" fillcolor="#e1f5ff" stroked="f">
                      <v:textbox inset="0,0,0,0">
                        <w:txbxContent>
                          <w:p w14:paraId="243FCEE5" w14:textId="77777777" w:rsidR="009D0C1D" w:rsidRPr="00BC7F53" w:rsidRDefault="009D0C1D" w:rsidP="00CF0462">
                            <w:pPr>
                              <w:spacing w:line="266" w:lineRule="auto"/>
                              <w:rPr>
                                <w:rFonts w:eastAsia="+mn-ea" w:cs="+mn-cs"/>
                                <w:kern w:val="24"/>
                                <w:sz w:val="13"/>
                                <w:szCs w:val="13"/>
                              </w:rPr>
                            </w:pPr>
                            <w:r w:rsidRPr="00BC7F53">
                              <w:rPr>
                                <w:sz w:val="13"/>
                                <w:szCs w:val="22"/>
                              </w:rPr>
                              <w:t>ШЛС-ТБ:</w:t>
                            </w:r>
                          </w:p>
                          <w:p w14:paraId="3EF0DC3E" w14:textId="77777777" w:rsidR="009D0C1D" w:rsidRPr="00BC7F53" w:rsidRDefault="009D0C1D" w:rsidP="00CF0462">
                            <w:pPr>
                              <w:spacing w:line="285" w:lineRule="auto"/>
                              <w:rPr>
                                <w:rFonts w:eastAsia="+mn-ea" w:cs="+mn-cs"/>
                                <w:kern w:val="24"/>
                                <w:sz w:val="12"/>
                                <w:szCs w:val="12"/>
                              </w:rPr>
                            </w:pPr>
                            <w:r w:rsidRPr="00BC7F53">
                              <w:rPr>
                                <w:sz w:val="12"/>
                                <w:szCs w:val="22"/>
                              </w:rPr>
                              <w:t>18-місячна індивідуальна схема</w:t>
                            </w:r>
                          </w:p>
                        </w:txbxContent>
                      </v:textbox>
                    </v:rect>
                  </w:pict>
                </mc:Fallback>
              </mc:AlternateContent>
            </w:r>
            <w:r>
              <w:rPr>
                <w:noProof/>
              </w:rPr>
              <mc:AlternateContent>
                <mc:Choice Requires="wps">
                  <w:drawing>
                    <wp:anchor distT="0" distB="0" distL="114300" distR="114300" simplePos="0" relativeHeight="251752448" behindDoc="0" locked="0" layoutInCell="1" allowOverlap="1" wp14:anchorId="7FCB16DD" wp14:editId="66F9C54D">
                      <wp:simplePos x="0" y="0"/>
                      <wp:positionH relativeFrom="column">
                        <wp:posOffset>4348480</wp:posOffset>
                      </wp:positionH>
                      <wp:positionV relativeFrom="paragraph">
                        <wp:posOffset>3539490</wp:posOffset>
                      </wp:positionV>
                      <wp:extent cx="1007110" cy="279400"/>
                      <wp:effectExtent l="0" t="0" r="2540" b="6350"/>
                      <wp:wrapNone/>
                      <wp:docPr id="2121315041" name="Прямокутник 21"/>
                      <wp:cNvGraphicFramePr/>
                      <a:graphic xmlns:a="http://schemas.openxmlformats.org/drawingml/2006/main">
                        <a:graphicData uri="http://schemas.microsoft.com/office/word/2010/wordprocessingShape">
                          <wps:wsp>
                            <wps:cNvSpPr/>
                            <wps:spPr>
                              <a:xfrm>
                                <a:off x="0" y="0"/>
                                <a:ext cx="1007110" cy="279400"/>
                              </a:xfrm>
                              <a:prstGeom prst="rect">
                                <a:avLst/>
                              </a:prstGeom>
                              <a:solidFill>
                                <a:srgbClr val="E9FBED"/>
                              </a:solidFill>
                            </wps:spPr>
                            <wps:txbx>
                              <w:txbxContent>
                                <w:p w14:paraId="0AD77318" w14:textId="77777777" w:rsidR="009D0C1D" w:rsidRPr="00BC7F53" w:rsidRDefault="009D0C1D" w:rsidP="00CF0462">
                                  <w:pPr>
                                    <w:rPr>
                                      <w:rFonts w:eastAsia="+mn-ea" w:cs="+mn-cs"/>
                                      <w:kern w:val="24"/>
                                      <w:sz w:val="13"/>
                                      <w:szCs w:val="13"/>
                                    </w:rPr>
                                  </w:pPr>
                                  <w:r w:rsidRPr="00BC7F53">
                                    <w:rPr>
                                      <w:sz w:val="13"/>
                                      <w:szCs w:val="22"/>
                                    </w:rPr>
                                    <w:t>Пре-ШЛС-ТБ:</w:t>
                                  </w:r>
                                </w:p>
                                <w:p w14:paraId="0667252E" w14:textId="77777777" w:rsidR="009D0C1D" w:rsidRPr="00BC7F53" w:rsidRDefault="009D0C1D" w:rsidP="00CF0462">
                                  <w:pPr>
                                    <w:rPr>
                                      <w:rFonts w:eastAsia="+mn-ea" w:cs="+mn-cs"/>
                                      <w:kern w:val="24"/>
                                      <w:sz w:val="12"/>
                                      <w:szCs w:val="12"/>
                                    </w:rPr>
                                  </w:pPr>
                                  <w:r w:rsidRPr="00BC7F53">
                                    <w:rPr>
                                      <w:sz w:val="12"/>
                                      <w:szCs w:val="22"/>
                                    </w:rPr>
                                    <w:t>6-місячна схема BPaL або BDLC</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FCB16DD" id="_x0000_s1399" style="position:absolute;margin-left:342.4pt;margin-top:278.7pt;width:79.3pt;height:2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" fillcolor="#e9fbed" stroked="f">
                      <v:textbox inset="0,0,0,0">
                        <w:txbxContent>
                          <w:p w14:paraId="0AD77318" w14:textId="77777777" w:rsidR="009D0C1D" w:rsidRPr="00BC7F53" w:rsidRDefault="009D0C1D" w:rsidP="00CF0462">
                            <w:pPr>
                              <w:rPr>
                                <w:rFonts w:eastAsia="+mn-ea" w:cs="+mn-cs"/>
                                <w:kern w:val="24"/>
                                <w:sz w:val="13"/>
                                <w:szCs w:val="13"/>
                              </w:rPr>
                            </w:pPr>
                            <w:r w:rsidRPr="00BC7F53">
                              <w:rPr>
                                <w:sz w:val="13"/>
                                <w:szCs w:val="22"/>
                              </w:rPr>
                              <w:t>Пре-ШЛС-ТБ:</w:t>
                            </w:r>
                          </w:p>
                          <w:p w14:paraId="0667252E" w14:textId="77777777" w:rsidR="009D0C1D" w:rsidRPr="00BC7F53" w:rsidRDefault="009D0C1D" w:rsidP="00CF0462">
                            <w:pPr>
                              <w:rPr>
                                <w:rFonts w:eastAsia="+mn-ea" w:cs="+mn-cs"/>
                                <w:kern w:val="24"/>
                                <w:sz w:val="12"/>
                                <w:szCs w:val="12"/>
                              </w:rPr>
                            </w:pPr>
                            <w:r w:rsidRPr="00BC7F53">
                              <w:rPr>
                                <w:sz w:val="12"/>
                                <w:szCs w:val="22"/>
                              </w:rPr>
                              <w:t>6-місячна схема BPaL або BDLC</w:t>
                            </w:r>
                          </w:p>
                        </w:txbxContent>
                      </v:textbox>
                    </v:rect>
                  </w:pict>
                </mc:Fallback>
              </mc:AlternateContent>
            </w:r>
            <w:r>
              <w:rPr>
                <w:noProof/>
              </w:rPr>
              <mc:AlternateContent>
                <mc:Choice Requires="wps">
                  <w:drawing>
                    <wp:anchor distT="0" distB="0" distL="114300" distR="114300" simplePos="0" relativeHeight="251751424" behindDoc="0" locked="0" layoutInCell="1" allowOverlap="1" wp14:anchorId="3D9774AF" wp14:editId="25C6F2C3">
                      <wp:simplePos x="0" y="0"/>
                      <wp:positionH relativeFrom="column">
                        <wp:posOffset>4348480</wp:posOffset>
                      </wp:positionH>
                      <wp:positionV relativeFrom="paragraph">
                        <wp:posOffset>2574290</wp:posOffset>
                      </wp:positionV>
                      <wp:extent cx="1073150" cy="718820"/>
                      <wp:effectExtent l="0" t="0" r="0" b="5080"/>
                      <wp:wrapNone/>
                      <wp:docPr id="1380220133" name="Прямокутник 20"/>
                      <wp:cNvGraphicFramePr/>
                      <a:graphic xmlns:a="http://schemas.openxmlformats.org/drawingml/2006/main">
                        <a:graphicData uri="http://schemas.microsoft.com/office/word/2010/wordprocessingShape">
                          <wps:wsp>
                            <wps:cNvSpPr/>
                            <wps:spPr>
                              <a:xfrm>
                                <a:off x="0" y="0"/>
                                <a:ext cx="1073150" cy="718820"/>
                              </a:xfrm>
                              <a:prstGeom prst="rect">
                                <a:avLst/>
                              </a:prstGeom>
                              <a:solidFill>
                                <a:srgbClr val="E9FBED"/>
                              </a:solidFill>
                            </wps:spPr>
                            <wps:txbx>
                              <w:txbxContent>
                                <w:p w14:paraId="62BC4B41" w14:textId="77777777" w:rsidR="009D0C1D" w:rsidRPr="00BC7F53" w:rsidRDefault="009D0C1D" w:rsidP="00CF0462">
                                  <w:pPr>
                                    <w:spacing w:line="266" w:lineRule="auto"/>
                                    <w:rPr>
                                      <w:rFonts w:eastAsia="+mn-ea" w:cs="+mn-cs"/>
                                      <w:kern w:val="24"/>
                                      <w:sz w:val="13"/>
                                      <w:szCs w:val="13"/>
                                    </w:rPr>
                                  </w:pPr>
                                  <w:r w:rsidRPr="00BC7F53">
                                    <w:rPr>
                                      <w:sz w:val="13"/>
                                      <w:szCs w:val="22"/>
                                    </w:rPr>
                                    <w:t>Риф-ТБ:</w:t>
                                  </w:r>
                                </w:p>
                                <w:p w14:paraId="6C9FEAE8" w14:textId="77777777" w:rsidR="009D0C1D" w:rsidRPr="00BC7F53" w:rsidRDefault="009D0C1D" w:rsidP="00CF0462">
                                  <w:pPr>
                                    <w:spacing w:line="283" w:lineRule="auto"/>
                                    <w:rPr>
                                      <w:rFonts w:eastAsia="+mn-ea" w:cs="+mn-cs"/>
                                      <w:kern w:val="24"/>
                                      <w:sz w:val="12"/>
                                      <w:szCs w:val="12"/>
                                    </w:rPr>
                                  </w:pPr>
                                  <w:r w:rsidRPr="00BC7F53">
                                    <w:rPr>
                                      <w:sz w:val="12"/>
                                      <w:szCs w:val="22"/>
                                    </w:rPr>
                                    <w:t>6-місячна схема BPaLM або BDLLfx/C</w:t>
                                  </w:r>
                                </w:p>
                                <w:p w14:paraId="4E03AE82" w14:textId="77777777" w:rsidR="009D0C1D" w:rsidRPr="00BC7F53" w:rsidRDefault="009D0C1D" w:rsidP="00CF0462">
                                  <w:pPr>
                                    <w:spacing w:line="283" w:lineRule="auto"/>
                                    <w:rPr>
                                      <w:rFonts w:eastAsia="+mn-ea" w:cs="+mn-cs"/>
                                      <w:kern w:val="24"/>
                                      <w:sz w:val="12"/>
                                      <w:szCs w:val="12"/>
                                    </w:rPr>
                                  </w:pPr>
                                  <w:r w:rsidRPr="00BC7F53">
                                    <w:rPr>
                                      <w:sz w:val="12"/>
                                      <w:szCs w:val="22"/>
                                    </w:rPr>
                                    <w:t>9-місячна схема BLMZ, BLLfxCZ, BDLLfxZ, BLfxEtoEHZC або BLfxLEHZC</w:t>
                                  </w:r>
                                </w:p>
                              </w:txbxContent>
                            </wps:txbx>
                            <wps:bodyPr wrap="square" lIns="0" tIns="0" rIns="0" bIns="0">
                              <a:noAutofit/>
                            </wps:bodyPr>
                          </wps:wsp>
                        </a:graphicData>
                      </a:graphic>
                      <wp14:sizeRelH relativeFrom="margin">
                        <wp14:pctWidth>0</wp14:pctWidth>
                      </wp14:sizeRelH>
                    </wp:anchor>
                  </w:drawing>
                </mc:Choice>
                <mc:Fallback>
                  <w:pict>
                    <v:rect w14:anchorId="3D9774AF" id="_x0000_s1400" style="position:absolute;margin-left:342.4pt;margin-top:202.7pt;width:84.5pt;height:56.6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" fillcolor="#e9fbed" stroked="f">
                      <v:textbox inset="0,0,0,0">
                        <w:txbxContent>
                          <w:p w14:paraId="62BC4B41" w14:textId="77777777" w:rsidR="009D0C1D" w:rsidRPr="00BC7F53" w:rsidRDefault="009D0C1D" w:rsidP="00CF0462">
                            <w:pPr>
                              <w:spacing w:line="266" w:lineRule="auto"/>
                              <w:rPr>
                                <w:rFonts w:eastAsia="+mn-ea" w:cs="+mn-cs"/>
                                <w:kern w:val="24"/>
                                <w:sz w:val="13"/>
                                <w:szCs w:val="13"/>
                              </w:rPr>
                            </w:pPr>
                            <w:r w:rsidRPr="00BC7F53">
                              <w:rPr>
                                <w:sz w:val="13"/>
                                <w:szCs w:val="22"/>
                              </w:rPr>
                              <w:t>Риф-ТБ:</w:t>
                            </w:r>
                          </w:p>
                          <w:p w14:paraId="6C9FEAE8" w14:textId="77777777" w:rsidR="009D0C1D" w:rsidRPr="00BC7F53" w:rsidRDefault="009D0C1D" w:rsidP="00CF0462">
                            <w:pPr>
                              <w:spacing w:line="283" w:lineRule="auto"/>
                              <w:rPr>
                                <w:rFonts w:eastAsia="+mn-ea" w:cs="+mn-cs"/>
                                <w:kern w:val="24"/>
                                <w:sz w:val="12"/>
                                <w:szCs w:val="12"/>
                              </w:rPr>
                            </w:pPr>
                            <w:r w:rsidRPr="00BC7F53">
                              <w:rPr>
                                <w:sz w:val="12"/>
                                <w:szCs w:val="22"/>
                              </w:rPr>
                              <w:t>6-місячна схема BPaLM або BDLLfx/C</w:t>
                            </w:r>
                          </w:p>
                          <w:p w14:paraId="4E03AE82" w14:textId="77777777" w:rsidR="009D0C1D" w:rsidRPr="00BC7F53" w:rsidRDefault="009D0C1D" w:rsidP="00CF0462">
                            <w:pPr>
                              <w:spacing w:line="283" w:lineRule="auto"/>
                              <w:rPr>
                                <w:rFonts w:eastAsia="+mn-ea" w:cs="+mn-cs"/>
                                <w:kern w:val="24"/>
                                <w:sz w:val="12"/>
                                <w:szCs w:val="12"/>
                              </w:rPr>
                            </w:pPr>
                            <w:r w:rsidRPr="00BC7F53">
                              <w:rPr>
                                <w:sz w:val="12"/>
                                <w:szCs w:val="22"/>
                              </w:rPr>
                              <w:t>9-місячна схема BLMZ, BLLfxCZ, BDLLfxZ, BLfxEtoEHZC або BLfxLEHZC</w:t>
                            </w:r>
                          </w:p>
                        </w:txbxContent>
                      </v:textbox>
                    </v:rect>
                  </w:pict>
                </mc:Fallback>
              </mc:AlternateContent>
            </w:r>
            <w:r>
              <w:rPr>
                <w:noProof/>
              </w:rPr>
              <mc:AlternateContent>
                <mc:Choice Requires="wps">
                  <w:drawing>
                    <wp:anchor distT="0" distB="0" distL="114300" distR="114300" simplePos="0" relativeHeight="251750400" behindDoc="0" locked="0" layoutInCell="1" allowOverlap="1" wp14:anchorId="5A3AEE42" wp14:editId="3ED3F082">
                      <wp:simplePos x="0" y="0"/>
                      <wp:positionH relativeFrom="column">
                        <wp:posOffset>4348480</wp:posOffset>
                      </wp:positionH>
                      <wp:positionV relativeFrom="paragraph">
                        <wp:posOffset>1621790</wp:posOffset>
                      </wp:positionV>
                      <wp:extent cx="1073150" cy="728345"/>
                      <wp:effectExtent l="0" t="0" r="0" b="0"/>
                      <wp:wrapNone/>
                      <wp:docPr id="726151281" name="Прямокутник 19"/>
                      <wp:cNvGraphicFramePr/>
                      <a:graphic xmlns:a="http://schemas.openxmlformats.org/drawingml/2006/main">
                        <a:graphicData uri="http://schemas.microsoft.com/office/word/2010/wordprocessingShape">
                          <wps:wsp>
                            <wps:cNvSpPr/>
                            <wps:spPr>
                              <a:xfrm>
                                <a:off x="0" y="0"/>
                                <a:ext cx="1073150" cy="728345"/>
                              </a:xfrm>
                              <a:prstGeom prst="rect">
                                <a:avLst/>
                              </a:prstGeom>
                              <a:solidFill>
                                <a:srgbClr val="E9FBED"/>
                              </a:solidFill>
                            </wps:spPr>
                            <wps:txbx>
                              <w:txbxContent>
                                <w:p w14:paraId="106CE039" w14:textId="77777777" w:rsidR="009D0C1D" w:rsidRPr="00BC7F53" w:rsidRDefault="009D0C1D" w:rsidP="00CF0462">
                                  <w:pPr>
                                    <w:spacing w:line="264" w:lineRule="auto"/>
                                    <w:rPr>
                                      <w:rFonts w:eastAsia="+mn-ea" w:cs="+mn-cs"/>
                                      <w:kern w:val="24"/>
                                      <w:sz w:val="13"/>
                                      <w:szCs w:val="13"/>
                                    </w:rPr>
                                  </w:pPr>
                                  <w:r w:rsidRPr="00BC7F53">
                                    <w:rPr>
                                      <w:sz w:val="13"/>
                                      <w:szCs w:val="22"/>
                                    </w:rPr>
                                    <w:t>МЛС-ТБ:</w:t>
                                  </w:r>
                                </w:p>
                                <w:p w14:paraId="3BE2AC6B" w14:textId="77777777" w:rsidR="009D0C1D" w:rsidRPr="00BC7F53" w:rsidRDefault="009D0C1D" w:rsidP="00CF0462">
                                  <w:pPr>
                                    <w:spacing w:line="283" w:lineRule="auto"/>
                                    <w:rPr>
                                      <w:rFonts w:eastAsia="+mn-ea" w:cs="+mn-cs"/>
                                      <w:kern w:val="24"/>
                                      <w:sz w:val="12"/>
                                      <w:szCs w:val="12"/>
                                    </w:rPr>
                                  </w:pPr>
                                  <w:r w:rsidRPr="00BC7F53">
                                    <w:rPr>
                                      <w:sz w:val="12"/>
                                      <w:szCs w:val="22"/>
                                    </w:rPr>
                                    <w:t>6-місячна схема BPaLM або</w:t>
                                  </w:r>
                                </w:p>
                                <w:p w14:paraId="01FD6A2E" w14:textId="77777777" w:rsidR="009D0C1D" w:rsidRPr="00BC7F53" w:rsidRDefault="009D0C1D" w:rsidP="00CF0462">
                                  <w:pPr>
                                    <w:spacing w:line="283" w:lineRule="auto"/>
                                    <w:rPr>
                                      <w:rFonts w:eastAsia="+mn-ea" w:cs="+mn-cs"/>
                                      <w:kern w:val="24"/>
                                      <w:sz w:val="12"/>
                                      <w:szCs w:val="12"/>
                                    </w:rPr>
                                  </w:pPr>
                                  <w:r w:rsidRPr="00BC7F53">
                                    <w:rPr>
                                      <w:sz w:val="12"/>
                                      <w:szCs w:val="22"/>
                                    </w:rPr>
                                    <w:t>BDLLfx/C</w:t>
                                  </w:r>
                                </w:p>
                                <w:p w14:paraId="71DF0A00" w14:textId="77777777" w:rsidR="009D0C1D" w:rsidRPr="00BC7F53" w:rsidRDefault="009D0C1D" w:rsidP="00CF0462">
                                  <w:pPr>
                                    <w:spacing w:line="283" w:lineRule="auto"/>
                                    <w:rPr>
                                      <w:rFonts w:eastAsia="+mn-ea" w:cs="+mn-cs"/>
                                      <w:kern w:val="24"/>
                                      <w:sz w:val="12"/>
                                      <w:szCs w:val="12"/>
                                    </w:rPr>
                                  </w:pPr>
                                  <w:r w:rsidRPr="00BC7F53">
                                    <w:rPr>
                                      <w:sz w:val="12"/>
                                      <w:szCs w:val="22"/>
                                    </w:rPr>
                                    <w:t>9-місячна схема BLMZ, BLLfxCZ, BDLLfxZ, BLfxEtoEHZC або BLfxLEHZC</w:t>
                                  </w:r>
                                </w:p>
                              </w:txbxContent>
                            </wps:txbx>
                            <wps:bodyPr wrap="square" lIns="0" tIns="0" rIns="0" bIns="0">
                              <a:noAutofit/>
                            </wps:bodyPr>
                          </wps:wsp>
                        </a:graphicData>
                      </a:graphic>
                      <wp14:sizeRelH relativeFrom="margin">
                        <wp14:pctWidth>0</wp14:pctWidth>
                      </wp14:sizeRelH>
                    </wp:anchor>
                  </w:drawing>
                </mc:Choice>
                <mc:Fallback>
                  <w:pict>
                    <v:rect w14:anchorId="5A3AEE42" id="_x0000_s1401" style="position:absolute;margin-left:342.4pt;margin-top:127.7pt;width:84.5pt;height:57.3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" fillcolor="#e9fbed" stroked="f">
                      <v:textbox inset="0,0,0,0">
                        <w:txbxContent>
                          <w:p w14:paraId="106CE039" w14:textId="77777777" w:rsidR="009D0C1D" w:rsidRPr="00BC7F53" w:rsidRDefault="009D0C1D" w:rsidP="00CF0462">
                            <w:pPr>
                              <w:spacing w:line="264" w:lineRule="auto"/>
                              <w:rPr>
                                <w:rFonts w:eastAsia="+mn-ea" w:cs="+mn-cs"/>
                                <w:kern w:val="24"/>
                                <w:sz w:val="13"/>
                                <w:szCs w:val="13"/>
                              </w:rPr>
                            </w:pPr>
                            <w:r w:rsidRPr="00BC7F53">
                              <w:rPr>
                                <w:sz w:val="13"/>
                                <w:szCs w:val="22"/>
                              </w:rPr>
                              <w:t>МЛС-ТБ:</w:t>
                            </w:r>
                          </w:p>
                          <w:p w14:paraId="3BE2AC6B" w14:textId="77777777" w:rsidR="009D0C1D" w:rsidRPr="00BC7F53" w:rsidRDefault="009D0C1D" w:rsidP="00CF0462">
                            <w:pPr>
                              <w:spacing w:line="283" w:lineRule="auto"/>
                              <w:rPr>
                                <w:rFonts w:eastAsia="+mn-ea" w:cs="+mn-cs"/>
                                <w:kern w:val="24"/>
                                <w:sz w:val="12"/>
                                <w:szCs w:val="12"/>
                              </w:rPr>
                            </w:pPr>
                            <w:r w:rsidRPr="00BC7F53">
                              <w:rPr>
                                <w:sz w:val="12"/>
                                <w:szCs w:val="22"/>
                              </w:rPr>
                              <w:t>6-місячна схема BPaLM або</w:t>
                            </w:r>
                          </w:p>
                          <w:p w14:paraId="01FD6A2E" w14:textId="77777777" w:rsidR="009D0C1D" w:rsidRPr="00BC7F53" w:rsidRDefault="009D0C1D" w:rsidP="00CF0462">
                            <w:pPr>
                              <w:spacing w:line="283" w:lineRule="auto"/>
                              <w:rPr>
                                <w:rFonts w:eastAsia="+mn-ea" w:cs="+mn-cs"/>
                                <w:kern w:val="24"/>
                                <w:sz w:val="12"/>
                                <w:szCs w:val="12"/>
                              </w:rPr>
                            </w:pPr>
                            <w:r w:rsidRPr="00BC7F53">
                              <w:rPr>
                                <w:sz w:val="12"/>
                                <w:szCs w:val="22"/>
                              </w:rPr>
                              <w:t>BDLLfx/C</w:t>
                            </w:r>
                          </w:p>
                          <w:p w14:paraId="71DF0A00" w14:textId="77777777" w:rsidR="009D0C1D" w:rsidRPr="00BC7F53" w:rsidRDefault="009D0C1D" w:rsidP="00CF0462">
                            <w:pPr>
                              <w:spacing w:line="283" w:lineRule="auto"/>
                              <w:rPr>
                                <w:rFonts w:eastAsia="+mn-ea" w:cs="+mn-cs"/>
                                <w:kern w:val="24"/>
                                <w:sz w:val="12"/>
                                <w:szCs w:val="12"/>
                              </w:rPr>
                            </w:pPr>
                            <w:r w:rsidRPr="00BC7F53">
                              <w:rPr>
                                <w:sz w:val="12"/>
                                <w:szCs w:val="22"/>
                              </w:rPr>
                              <w:t>9-місячна схема BLMZ, BLLfxCZ, BDLLfxZ, BLfxEtoEHZC або BLfxLEHZC</w:t>
                            </w:r>
                          </w:p>
                        </w:txbxContent>
                      </v:textbox>
                    </v:rect>
                  </w:pict>
                </mc:Fallback>
              </mc:AlternateContent>
            </w:r>
            <w:r>
              <w:rPr>
                <w:noProof/>
              </w:rPr>
              <mc:AlternateContent>
                <mc:Choice Requires="wps">
                  <w:drawing>
                    <wp:anchor distT="0" distB="0" distL="114300" distR="114300" simplePos="0" relativeHeight="251734016" behindDoc="0" locked="0" layoutInCell="1" allowOverlap="1" wp14:anchorId="46811969" wp14:editId="5362C8DE">
                      <wp:simplePos x="0" y="0"/>
                      <wp:positionH relativeFrom="column">
                        <wp:posOffset>3402330</wp:posOffset>
                      </wp:positionH>
                      <wp:positionV relativeFrom="paragraph">
                        <wp:posOffset>1615440</wp:posOffset>
                      </wp:positionV>
                      <wp:extent cx="657860" cy="304800"/>
                      <wp:effectExtent l="0" t="0" r="8890" b="0"/>
                      <wp:wrapNone/>
                      <wp:docPr id="459376273" name="Прямокутник 3"/>
                      <wp:cNvGraphicFramePr/>
                      <a:graphic xmlns:a="http://schemas.openxmlformats.org/drawingml/2006/main">
                        <a:graphicData uri="http://schemas.microsoft.com/office/word/2010/wordprocessingShape">
                          <wps:wsp>
                            <wps:cNvSpPr/>
                            <wps:spPr>
                              <a:xfrm>
                                <a:off x="0" y="0"/>
                                <a:ext cx="657860" cy="304800"/>
                              </a:xfrm>
                              <a:prstGeom prst="rect">
                                <a:avLst/>
                              </a:prstGeom>
                              <a:solidFill>
                                <a:srgbClr val="F3CDB8"/>
                              </a:solidFill>
                            </wps:spPr>
                            <wps:txbx>
                              <w:txbxContent>
                                <w:p w14:paraId="6E32F1D6" w14:textId="77777777" w:rsidR="009D0C1D" w:rsidRPr="00BC7F53" w:rsidRDefault="009D0C1D" w:rsidP="00CF0462">
                                  <w:pPr>
                                    <w:rPr>
                                      <w:rFonts w:eastAsia="+mn-ea" w:cs="+mn-cs"/>
                                      <w:kern w:val="24"/>
                                      <w:sz w:val="13"/>
                                      <w:szCs w:val="13"/>
                                    </w:rPr>
                                  </w:pPr>
                                  <w:r w:rsidRPr="00BC7F53">
                                    <w:rPr>
                                      <w:sz w:val="13"/>
                                      <w:szCs w:val="22"/>
                                    </w:rPr>
                                    <w:t>Нрез-ТБ:</w:t>
                                  </w:r>
                                </w:p>
                                <w:p w14:paraId="33748698" w14:textId="77777777" w:rsidR="009D0C1D" w:rsidRPr="00BC7F53" w:rsidRDefault="009D0C1D" w:rsidP="00CF0462">
                                  <w:pPr>
                                    <w:rPr>
                                      <w:rFonts w:eastAsia="+mn-ea" w:cs="+mn-cs"/>
                                      <w:kern w:val="24"/>
                                      <w:sz w:val="12"/>
                                      <w:szCs w:val="12"/>
                                    </w:rPr>
                                  </w:pPr>
                                  <w:r w:rsidRPr="00BC7F53">
                                    <w:rPr>
                                      <w:sz w:val="12"/>
                                      <w:szCs w:val="22"/>
                                    </w:rPr>
                                    <w:t>6-місячна схема (H)RZELxf</w:t>
                                  </w:r>
                                </w:p>
                              </w:txbxContent>
                            </wps:txbx>
                            <wps:bodyPr lIns="0" tIns="0" rIns="0" bIns="0">
                              <a:noAutofit/>
                            </wps:bodyPr>
                          </wps:wsp>
                        </a:graphicData>
                      </a:graphic>
                      <wp14:sizeRelV relativeFrom="margin">
                        <wp14:pctHeight>0</wp14:pctHeight>
                      </wp14:sizeRelV>
                    </wp:anchor>
                  </w:drawing>
                </mc:Choice>
                <mc:Fallback>
                  <w:pict>
                    <v:rect w14:anchorId="46811969" id="_x0000_s1402" style="position:absolute;margin-left:267.9pt;margin-top:127.2pt;width:51.8pt;height:2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" fillcolor="#f3cdb8" stroked="f">
                      <v:textbox inset="0,0,0,0">
                        <w:txbxContent>
                          <w:p w14:paraId="6E32F1D6" w14:textId="77777777" w:rsidR="009D0C1D" w:rsidRPr="00BC7F53" w:rsidRDefault="009D0C1D" w:rsidP="00CF0462">
                            <w:pPr>
                              <w:rPr>
                                <w:rFonts w:eastAsia="+mn-ea" w:cs="+mn-cs"/>
                                <w:kern w:val="24"/>
                                <w:sz w:val="13"/>
                                <w:szCs w:val="13"/>
                              </w:rPr>
                            </w:pPr>
                            <w:r w:rsidRPr="00BC7F53">
                              <w:rPr>
                                <w:sz w:val="13"/>
                                <w:szCs w:val="22"/>
                              </w:rPr>
                              <w:t>Нрез-ТБ:</w:t>
                            </w:r>
                          </w:p>
                          <w:p w14:paraId="33748698" w14:textId="77777777" w:rsidR="009D0C1D" w:rsidRPr="00BC7F53" w:rsidRDefault="009D0C1D" w:rsidP="00CF0462">
                            <w:pPr>
                              <w:rPr>
                                <w:rFonts w:eastAsia="+mn-ea" w:cs="+mn-cs"/>
                                <w:kern w:val="24"/>
                                <w:sz w:val="12"/>
                                <w:szCs w:val="12"/>
                              </w:rPr>
                            </w:pPr>
                            <w:r w:rsidRPr="00BC7F53">
                              <w:rPr>
                                <w:sz w:val="12"/>
                                <w:szCs w:val="22"/>
                              </w:rPr>
                              <w:t>6-місячна схема (H)RZELxf</w:t>
                            </w:r>
                          </w:p>
                        </w:txbxContent>
                      </v:textbox>
                    </v:rect>
                  </w:pict>
                </mc:Fallback>
              </mc:AlternateContent>
            </w:r>
            <w:r>
              <w:rPr>
                <w:noProof/>
              </w:rPr>
              <mc:AlternateContent>
                <mc:Choice Requires="wps">
                  <w:drawing>
                    <wp:anchor distT="0" distB="0" distL="114300" distR="114300" simplePos="0" relativeHeight="251732992" behindDoc="0" locked="0" layoutInCell="1" allowOverlap="1" wp14:anchorId="31BF1BCF" wp14:editId="30452AB3">
                      <wp:simplePos x="0" y="0"/>
                      <wp:positionH relativeFrom="column">
                        <wp:posOffset>3408680</wp:posOffset>
                      </wp:positionH>
                      <wp:positionV relativeFrom="paragraph">
                        <wp:posOffset>815340</wp:posOffset>
                      </wp:positionV>
                      <wp:extent cx="1682750" cy="365760"/>
                      <wp:effectExtent l="0" t="0" r="0" b="0"/>
                      <wp:wrapNone/>
                      <wp:docPr id="806366972" name="Прямокутник 2"/>
                      <wp:cNvGraphicFramePr/>
                      <a:graphic xmlns:a="http://schemas.openxmlformats.org/drawingml/2006/main">
                        <a:graphicData uri="http://schemas.microsoft.com/office/word/2010/wordprocessingShape">
                          <wps:wsp>
                            <wps:cNvSpPr/>
                            <wps:spPr>
                              <a:xfrm>
                                <a:off x="0" y="0"/>
                                <a:ext cx="1682750" cy="365760"/>
                              </a:xfrm>
                              <a:prstGeom prst="rect">
                                <a:avLst/>
                              </a:prstGeom>
                              <a:solidFill>
                                <a:srgbClr val="FFECDD"/>
                              </a:solidFill>
                            </wps:spPr>
                            <wps:txbx>
                              <w:txbxContent>
                                <w:p w14:paraId="1060B5B1" w14:textId="77777777" w:rsidR="009D0C1D" w:rsidRPr="00BC7F53" w:rsidRDefault="009D0C1D" w:rsidP="00CF0462">
                                  <w:pPr>
                                    <w:rPr>
                                      <w:rFonts w:eastAsia="+mn-ea" w:cs="+mn-cs"/>
                                      <w:kern w:val="24"/>
                                      <w:sz w:val="13"/>
                                      <w:szCs w:val="13"/>
                                    </w:rPr>
                                  </w:pPr>
                                  <w:r w:rsidRPr="00BC7F53">
                                    <w:rPr>
                                      <w:sz w:val="13"/>
                                      <w:szCs w:val="22"/>
                                    </w:rPr>
                                    <w:t>ЛЧ-ТБ:</w:t>
                                  </w:r>
                                </w:p>
                                <w:p w14:paraId="692709AF" w14:textId="77777777" w:rsidR="009D0C1D" w:rsidRPr="00BC7F53" w:rsidRDefault="009D0C1D" w:rsidP="00CF0462">
                                  <w:pPr>
                                    <w:rPr>
                                      <w:rFonts w:eastAsia="+mn-ea" w:cs="+mn-cs"/>
                                      <w:kern w:val="24"/>
                                      <w:sz w:val="12"/>
                                      <w:szCs w:val="12"/>
                                    </w:rPr>
                                  </w:pPr>
                                  <w:r w:rsidRPr="00BC7F53">
                                    <w:rPr>
                                      <w:sz w:val="12"/>
                                      <w:szCs w:val="22"/>
                                    </w:rPr>
                                    <w:t>6-місячна схема 2HRZE/4HR</w:t>
                                  </w:r>
                                </w:p>
                                <w:p w14:paraId="19AB7C3B" w14:textId="77777777" w:rsidR="009D0C1D" w:rsidRPr="00BC7F53" w:rsidRDefault="009D0C1D" w:rsidP="00CF0462">
                                  <w:pPr>
                                    <w:rPr>
                                      <w:rFonts w:eastAsia="+mn-ea" w:cs="+mn-cs"/>
                                      <w:kern w:val="24"/>
                                      <w:sz w:val="12"/>
                                      <w:szCs w:val="12"/>
                                    </w:rPr>
                                  </w:pPr>
                                  <w:r w:rsidRPr="00BC7F53">
                                    <w:rPr>
                                      <w:sz w:val="12"/>
                                      <w:szCs w:val="22"/>
                                    </w:rPr>
                                    <w:t>4-місячна схема 2HPMZ/2HPM, 2HRZ(E)/2HR</w:t>
                                  </w:r>
                                </w:p>
                              </w:txbxContent>
                            </wps:txbx>
                            <wps:bodyPr wrap="square" lIns="0" tIns="0" rIns="0" bIns="0">
                              <a:noAutofit/>
                            </wps:bodyPr>
                          </wps:wsp>
                        </a:graphicData>
                      </a:graphic>
                      <wp14:sizeRelH relativeFrom="margin">
                        <wp14:pctWidth>0</wp14:pctWidth>
                      </wp14:sizeRelH>
                    </wp:anchor>
                  </w:drawing>
                </mc:Choice>
                <mc:Fallback>
                  <w:pict>
                    <v:rect w14:anchorId="31BF1BCF" id="_x0000_s1403" style="position:absolute;margin-left:268.4pt;margin-top:64.2pt;width:132.5pt;height:28.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" fillcolor="#ffecdd" stroked="f">
                      <v:textbox inset="0,0,0,0">
                        <w:txbxContent>
                          <w:p w14:paraId="1060B5B1" w14:textId="77777777" w:rsidR="009D0C1D" w:rsidRPr="00BC7F53" w:rsidRDefault="009D0C1D" w:rsidP="00CF0462">
                            <w:pPr>
                              <w:rPr>
                                <w:rFonts w:eastAsia="+mn-ea" w:cs="+mn-cs"/>
                                <w:kern w:val="24"/>
                                <w:sz w:val="13"/>
                                <w:szCs w:val="13"/>
                              </w:rPr>
                            </w:pPr>
                            <w:r w:rsidRPr="00BC7F53">
                              <w:rPr>
                                <w:sz w:val="13"/>
                                <w:szCs w:val="22"/>
                              </w:rPr>
                              <w:t>ЛЧ-ТБ:</w:t>
                            </w:r>
                          </w:p>
                          <w:p w14:paraId="692709AF" w14:textId="77777777" w:rsidR="009D0C1D" w:rsidRPr="00BC7F53" w:rsidRDefault="009D0C1D" w:rsidP="00CF0462">
                            <w:pPr>
                              <w:rPr>
                                <w:rFonts w:eastAsia="+mn-ea" w:cs="+mn-cs"/>
                                <w:kern w:val="24"/>
                                <w:sz w:val="12"/>
                                <w:szCs w:val="12"/>
                              </w:rPr>
                            </w:pPr>
                            <w:r w:rsidRPr="00BC7F53">
                              <w:rPr>
                                <w:sz w:val="12"/>
                                <w:szCs w:val="22"/>
                              </w:rPr>
                              <w:t>6-місячна схема 2HRZE/4HR</w:t>
                            </w:r>
                          </w:p>
                          <w:p w14:paraId="19AB7C3B" w14:textId="77777777" w:rsidR="009D0C1D" w:rsidRPr="00BC7F53" w:rsidRDefault="009D0C1D" w:rsidP="00CF0462">
                            <w:pPr>
                              <w:rPr>
                                <w:rFonts w:eastAsia="+mn-ea" w:cs="+mn-cs"/>
                                <w:kern w:val="24"/>
                                <w:sz w:val="12"/>
                                <w:szCs w:val="12"/>
                              </w:rPr>
                            </w:pPr>
                            <w:r w:rsidRPr="00BC7F53">
                              <w:rPr>
                                <w:sz w:val="12"/>
                                <w:szCs w:val="22"/>
                              </w:rPr>
                              <w:t>4-місячна схема 2HPMZ/2HPM, 2HRZ(E)/2HR</w:t>
                            </w:r>
                          </w:p>
                        </w:txbxContent>
                      </v:textbox>
                    </v:rect>
                  </w:pict>
                </mc:Fallback>
              </mc:AlternateContent>
            </w:r>
            <w:r>
              <w:rPr>
                <w:noProof/>
              </w:rPr>
              <mc:AlternateContent>
                <mc:Choice Requires="wps">
                  <w:drawing>
                    <wp:anchor distT="0" distB="0" distL="114300" distR="114300" simplePos="0" relativeHeight="251740160" behindDoc="0" locked="0" layoutInCell="1" allowOverlap="1" wp14:anchorId="3D02DA6B" wp14:editId="6FA4578A">
                      <wp:simplePos x="0" y="0"/>
                      <wp:positionH relativeFrom="column">
                        <wp:posOffset>2678430</wp:posOffset>
                      </wp:positionH>
                      <wp:positionV relativeFrom="paragraph">
                        <wp:posOffset>4390390</wp:posOffset>
                      </wp:positionV>
                      <wp:extent cx="923290" cy="387350"/>
                      <wp:effectExtent l="0" t="0" r="0" b="0"/>
                      <wp:wrapNone/>
                      <wp:docPr id="1583276970" name="Прямокутник 9"/>
                      <wp:cNvGraphicFramePr/>
                      <a:graphic xmlns:a="http://schemas.openxmlformats.org/drawingml/2006/main">
                        <a:graphicData uri="http://schemas.microsoft.com/office/word/2010/wordprocessingShape">
                          <wps:wsp>
                            <wps:cNvSpPr/>
                            <wps:spPr>
                              <a:xfrm>
                                <a:off x="0" y="0"/>
                                <a:ext cx="923290" cy="387350"/>
                              </a:xfrm>
                              <a:prstGeom prst="rect">
                                <a:avLst/>
                              </a:prstGeom>
                              <a:solidFill>
                                <a:srgbClr val="37A0CF"/>
                              </a:solidFill>
                            </wps:spPr>
                            <wps:txbx>
                              <w:txbxContent>
                                <w:p w14:paraId="10DB0A2E" w14:textId="77777777" w:rsidR="009D0C1D" w:rsidRPr="00BC7F53" w:rsidRDefault="009D0C1D" w:rsidP="00CF0462">
                                  <w:pPr>
                                    <w:rPr>
                                      <w:rFonts w:eastAsia="+mn-ea" w:cs="+mn-cs"/>
                                      <w:b/>
                                      <w:bCs/>
                                      <w:color w:val="FFFFFF"/>
                                      <w:kern w:val="24"/>
                                      <w:sz w:val="18"/>
                                      <w:szCs w:val="18"/>
                                    </w:rPr>
                                  </w:pPr>
                                  <w:r w:rsidRPr="00BC7F53">
                                    <w:rPr>
                                      <w:b/>
                                      <w:color w:val="FFFFFF"/>
                                      <w:sz w:val="18"/>
                                      <w:szCs w:val="20"/>
                                    </w:rPr>
                                    <w:t>Резистентність до BDQ/</w:t>
                                  </w:r>
                                </w:p>
                                <w:p w14:paraId="3E2249C6" w14:textId="77777777" w:rsidR="009D0C1D" w:rsidRPr="00BC7F53" w:rsidRDefault="009D0C1D" w:rsidP="00CF0462">
                                  <w:pPr>
                                    <w:rPr>
                                      <w:rFonts w:eastAsia="+mn-ea" w:cs="+mn-cs"/>
                                      <w:b/>
                                      <w:bCs/>
                                      <w:color w:val="FFFFFF"/>
                                      <w:kern w:val="24"/>
                                      <w:sz w:val="18"/>
                                      <w:szCs w:val="18"/>
                                    </w:rPr>
                                  </w:pPr>
                                  <w:r w:rsidRPr="00BC7F53">
                                    <w:rPr>
                                      <w:b/>
                                      <w:color w:val="FFFFFF"/>
                                      <w:sz w:val="18"/>
                                      <w:szCs w:val="20"/>
                                    </w:rPr>
                                    <w:t>CFZ</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D02DA6B" id="_x0000_s1404" style="position:absolute;margin-left:210.9pt;margin-top:345.7pt;width:72.7pt;height:3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" fillcolor="#37a0cf" stroked="f">
                      <v:textbox inset="0,0,0,0">
                        <w:txbxContent>
                          <w:p w14:paraId="10DB0A2E" w14:textId="77777777" w:rsidR="009D0C1D" w:rsidRPr="00BC7F53" w:rsidRDefault="009D0C1D" w:rsidP="00CF0462">
                            <w:pPr>
                              <w:rPr>
                                <w:rFonts w:eastAsia="+mn-ea" w:cs="+mn-cs"/>
                                <w:b/>
                                <w:bCs/>
                                <w:color w:val="FFFFFF"/>
                                <w:kern w:val="24"/>
                                <w:sz w:val="18"/>
                                <w:szCs w:val="18"/>
                              </w:rPr>
                            </w:pPr>
                            <w:r w:rsidRPr="00BC7F53">
                              <w:rPr>
                                <w:b/>
                                <w:color w:val="FFFFFF"/>
                                <w:sz w:val="18"/>
                                <w:szCs w:val="20"/>
                              </w:rPr>
                              <w:t>Резистентність до BDQ/</w:t>
                            </w:r>
                          </w:p>
                          <w:p w14:paraId="3E2249C6" w14:textId="77777777" w:rsidR="009D0C1D" w:rsidRPr="00BC7F53" w:rsidRDefault="009D0C1D" w:rsidP="00CF0462">
                            <w:pPr>
                              <w:rPr>
                                <w:rFonts w:eastAsia="+mn-ea" w:cs="+mn-cs"/>
                                <w:b/>
                                <w:bCs/>
                                <w:color w:val="FFFFFF"/>
                                <w:kern w:val="24"/>
                                <w:sz w:val="18"/>
                                <w:szCs w:val="18"/>
                              </w:rPr>
                            </w:pPr>
                            <w:r w:rsidRPr="00BC7F53">
                              <w:rPr>
                                <w:b/>
                                <w:color w:val="FFFFFF"/>
                                <w:sz w:val="18"/>
                                <w:szCs w:val="20"/>
                              </w:rPr>
                              <w:t>CFZ</w:t>
                            </w:r>
                          </w:p>
                        </w:txbxContent>
                      </v:textbox>
                    </v:rect>
                  </w:pict>
                </mc:Fallback>
              </mc:AlternateContent>
            </w:r>
            <w:r>
              <w:rPr>
                <w:noProof/>
              </w:rPr>
              <mc:AlternateContent>
                <mc:Choice Requires="wps">
                  <w:drawing>
                    <wp:anchor distT="0" distB="0" distL="114300" distR="114300" simplePos="0" relativeHeight="251739136" behindDoc="0" locked="0" layoutInCell="1" allowOverlap="1" wp14:anchorId="4A18DD6E" wp14:editId="1165950D">
                      <wp:simplePos x="0" y="0"/>
                      <wp:positionH relativeFrom="column">
                        <wp:posOffset>1687831</wp:posOffset>
                      </wp:positionH>
                      <wp:positionV relativeFrom="paragraph">
                        <wp:posOffset>4536440</wp:posOffset>
                      </wp:positionV>
                      <wp:extent cx="704850" cy="323850"/>
                      <wp:effectExtent l="0" t="0" r="0" b="0"/>
                      <wp:wrapNone/>
                      <wp:docPr id="756888489" name="Прямокутник 8"/>
                      <wp:cNvGraphicFramePr/>
                      <a:graphic xmlns:a="http://schemas.openxmlformats.org/drawingml/2006/main">
                        <a:graphicData uri="http://schemas.microsoft.com/office/word/2010/wordprocessingShape">
                          <wps:wsp>
                            <wps:cNvSpPr/>
                            <wps:spPr>
                              <a:xfrm>
                                <a:off x="0" y="0"/>
                                <a:ext cx="704850" cy="323850"/>
                              </a:xfrm>
                              <a:prstGeom prst="rect">
                                <a:avLst/>
                              </a:prstGeom>
                              <a:solidFill>
                                <a:srgbClr val="A84023"/>
                              </a:solidFill>
                            </wps:spPr>
                            <wps:txbx>
                              <w:txbxContent>
                                <w:p w14:paraId="0B8FCC0D" w14:textId="77777777" w:rsidR="009D0C1D" w:rsidRPr="00BC7F53" w:rsidRDefault="009D0C1D" w:rsidP="00CF0462">
                                  <w:pPr>
                                    <w:rPr>
                                      <w:rFonts w:eastAsia="+mn-ea" w:cs="+mn-cs"/>
                                      <w:b/>
                                      <w:bCs/>
                                      <w:color w:val="FFFFFF"/>
                                      <w:kern w:val="24"/>
                                      <w:sz w:val="18"/>
                                      <w:szCs w:val="18"/>
                                    </w:rPr>
                                  </w:pPr>
                                  <w:r w:rsidRPr="00BC7F53">
                                    <w:rPr>
                                      <w:b/>
                                      <w:color w:val="FFFFFF"/>
                                      <w:sz w:val="18"/>
                                      <w:szCs w:val="20"/>
                                    </w:rPr>
                                    <w:t>Резистентність до LZD</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A18DD6E" id="_x0000_s1405" style="position:absolute;margin-left:132.9pt;margin-top:357.2pt;width:55.5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" fillcolor="#a84023" stroked="f">
                      <v:textbox inset="0,0,0,0">
                        <w:txbxContent>
                          <w:p w14:paraId="0B8FCC0D" w14:textId="77777777" w:rsidR="009D0C1D" w:rsidRPr="00BC7F53" w:rsidRDefault="009D0C1D" w:rsidP="00CF0462">
                            <w:pPr>
                              <w:rPr>
                                <w:rFonts w:eastAsia="+mn-ea" w:cs="+mn-cs"/>
                                <w:b/>
                                <w:bCs/>
                                <w:color w:val="FFFFFF"/>
                                <w:kern w:val="24"/>
                                <w:sz w:val="18"/>
                                <w:szCs w:val="18"/>
                              </w:rPr>
                            </w:pPr>
                            <w:r w:rsidRPr="00BC7F53">
                              <w:rPr>
                                <w:b/>
                                <w:color w:val="FFFFFF"/>
                                <w:sz w:val="18"/>
                                <w:szCs w:val="20"/>
                              </w:rPr>
                              <w:t>Резистентність до LZD</w:t>
                            </w:r>
                          </w:p>
                        </w:txbxContent>
                      </v:textbox>
                    </v:rect>
                  </w:pict>
                </mc:Fallback>
              </mc:AlternateContent>
            </w:r>
            <w:r>
              <w:rPr>
                <w:noProof/>
              </w:rPr>
              <mc:AlternateContent>
                <mc:Choice Requires="wps">
                  <w:drawing>
                    <wp:anchor distT="0" distB="0" distL="114300" distR="114300" simplePos="0" relativeHeight="251737088" behindDoc="0" locked="0" layoutInCell="1" allowOverlap="1" wp14:anchorId="1BC8B8CF" wp14:editId="38417D5B">
                      <wp:simplePos x="0" y="0"/>
                      <wp:positionH relativeFrom="column">
                        <wp:posOffset>3172460</wp:posOffset>
                      </wp:positionH>
                      <wp:positionV relativeFrom="paragraph">
                        <wp:posOffset>2415540</wp:posOffset>
                      </wp:positionV>
                      <wp:extent cx="917575" cy="285750"/>
                      <wp:effectExtent l="0" t="0" r="0" b="0"/>
                      <wp:wrapNone/>
                      <wp:docPr id="1026329214" name="Прямокутник 6"/>
                      <wp:cNvGraphicFramePr/>
                      <a:graphic xmlns:a="http://schemas.openxmlformats.org/drawingml/2006/main">
                        <a:graphicData uri="http://schemas.microsoft.com/office/word/2010/wordprocessingShape">
                          <wps:wsp>
                            <wps:cNvSpPr/>
                            <wps:spPr>
                              <a:xfrm>
                                <a:off x="0" y="0"/>
                                <a:ext cx="917575" cy="285750"/>
                              </a:xfrm>
                              <a:prstGeom prst="rect">
                                <a:avLst/>
                              </a:prstGeom>
                              <a:solidFill>
                                <a:srgbClr val="4CBEBE"/>
                              </a:solidFill>
                            </wps:spPr>
                            <wps:txbx>
                              <w:txbxContent>
                                <w:p w14:paraId="2E89C17E" w14:textId="77777777" w:rsidR="009D0C1D" w:rsidRPr="00BC7F53" w:rsidRDefault="009D0C1D" w:rsidP="00CF0462">
                                  <w:pPr>
                                    <w:rPr>
                                      <w:rFonts w:eastAsia="+mn-ea" w:cs="+mn-cs"/>
                                      <w:b/>
                                      <w:bCs/>
                                      <w:color w:val="FFFFFF"/>
                                      <w:kern w:val="24"/>
                                      <w:sz w:val="18"/>
                                      <w:szCs w:val="18"/>
                                    </w:rPr>
                                  </w:pPr>
                                  <w:r w:rsidRPr="00BC7F53">
                                    <w:rPr>
                                      <w:b/>
                                      <w:color w:val="FFFFFF"/>
                                      <w:sz w:val="18"/>
                                      <w:szCs w:val="20"/>
                                    </w:rPr>
                                    <w:t>Резистентність до RIF</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BC8B8CF" id="_x0000_s1406" style="position:absolute;margin-left:249.8pt;margin-top:190.2pt;width:72.25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" fillcolor="#4cbebe" stroked="f">
                      <v:textbox inset="0,0,0,0">
                        <w:txbxContent>
                          <w:p w14:paraId="2E89C17E" w14:textId="77777777" w:rsidR="009D0C1D" w:rsidRPr="00BC7F53" w:rsidRDefault="009D0C1D" w:rsidP="00CF0462">
                            <w:pPr>
                              <w:rPr>
                                <w:rFonts w:eastAsia="+mn-ea" w:cs="+mn-cs"/>
                                <w:b/>
                                <w:bCs/>
                                <w:color w:val="FFFFFF"/>
                                <w:kern w:val="24"/>
                                <w:sz w:val="18"/>
                                <w:szCs w:val="18"/>
                              </w:rPr>
                            </w:pPr>
                            <w:r w:rsidRPr="00BC7F53">
                              <w:rPr>
                                <w:b/>
                                <w:color w:val="FFFFFF"/>
                                <w:sz w:val="18"/>
                                <w:szCs w:val="20"/>
                              </w:rPr>
                              <w:t>Резистентність до RIF</w:t>
                            </w:r>
                          </w:p>
                        </w:txbxContent>
                      </v:textbox>
                    </v:rect>
                  </w:pict>
                </mc:Fallback>
              </mc:AlternateContent>
            </w:r>
            <w:r>
              <w:rPr>
                <w:noProof/>
              </w:rPr>
              <mc:AlternateContent>
                <mc:Choice Requires="wps">
                  <w:drawing>
                    <wp:anchor distT="0" distB="0" distL="114300" distR="114300" simplePos="0" relativeHeight="251738112" behindDoc="0" locked="0" layoutInCell="1" allowOverlap="1" wp14:anchorId="4494774C" wp14:editId="6E6D4E06">
                      <wp:simplePos x="0" y="0"/>
                      <wp:positionH relativeFrom="column">
                        <wp:posOffset>1689735</wp:posOffset>
                      </wp:positionH>
                      <wp:positionV relativeFrom="paragraph">
                        <wp:posOffset>3294380</wp:posOffset>
                      </wp:positionV>
                      <wp:extent cx="548640" cy="289560"/>
                      <wp:effectExtent l="0" t="0" r="6350" b="0"/>
                      <wp:wrapNone/>
                      <wp:docPr id="2126444871" name="Прямокутник 7"/>
                      <wp:cNvGraphicFramePr/>
                      <a:graphic xmlns:a="http://schemas.openxmlformats.org/drawingml/2006/main">
                        <a:graphicData uri="http://schemas.microsoft.com/office/word/2010/wordprocessingShape">
                          <wps:wsp>
                            <wps:cNvSpPr/>
                            <wps:spPr>
                              <a:xfrm>
                                <a:off x="0" y="0"/>
                                <a:ext cx="548640" cy="289560"/>
                              </a:xfrm>
                              <a:prstGeom prst="rect">
                                <a:avLst/>
                              </a:prstGeom>
                              <a:solidFill>
                                <a:srgbClr val="814D97"/>
                              </a:solidFill>
                            </wps:spPr>
                            <wps:txbx>
                              <w:txbxContent>
                                <w:p w14:paraId="68D0882B" w14:textId="77777777" w:rsidR="009D0C1D" w:rsidRPr="00BC7F53" w:rsidRDefault="009D0C1D" w:rsidP="00CF0462">
                                  <w:pPr>
                                    <w:rPr>
                                      <w:rFonts w:eastAsia="+mn-ea" w:cs="+mn-cs"/>
                                      <w:b/>
                                      <w:bCs/>
                                      <w:color w:val="FFFFFF"/>
                                      <w:kern w:val="24"/>
                                      <w:sz w:val="28"/>
                                      <w:szCs w:val="32"/>
                                    </w:rPr>
                                  </w:pPr>
                                  <w:r w:rsidRPr="00BC7F53">
                                    <w:rPr>
                                      <w:b/>
                                      <w:color w:val="FFFFFF"/>
                                      <w:sz w:val="28"/>
                                      <w:szCs w:val="20"/>
                                    </w:rPr>
                                    <w:t>Резистентність до FQ</w:t>
                                  </w:r>
                                </w:p>
                              </w:txbxContent>
                            </wps:txbx>
                            <wps:bodyPr wrap="none" lIns="0" tIns="0" rIns="0" bIns="0">
                              <a:noAutofit/>
                            </wps:bodyPr>
                          </wps:wsp>
                        </a:graphicData>
                      </a:graphic>
                    </wp:anchor>
                  </w:drawing>
                </mc:Choice>
                <mc:Fallback>
                  <w:pict>
                    <v:rect w14:anchorId="4494774C" id="_x0000_s1407" style="position:absolute;margin-left:133.05pt;margin-top:259.4pt;width:43.2pt;height:22.8pt;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" fillcolor="#814d97" stroked="f">
                      <v:textbox inset="0,0,0,0">
                        <w:txbxContent>
                          <w:p w14:paraId="68D0882B" w14:textId="77777777" w:rsidR="009D0C1D" w:rsidRPr="00BC7F53" w:rsidRDefault="009D0C1D" w:rsidP="00CF0462">
                            <w:pPr>
                              <w:rPr>
                                <w:rFonts w:eastAsia="+mn-ea" w:cs="+mn-cs"/>
                                <w:b/>
                                <w:bCs/>
                                <w:color w:val="FFFFFF"/>
                                <w:kern w:val="24"/>
                                <w:sz w:val="28"/>
                                <w:szCs w:val="32"/>
                              </w:rPr>
                            </w:pPr>
                            <w:r w:rsidRPr="00BC7F53">
                              <w:rPr>
                                <w:b/>
                                <w:color w:val="FFFFFF"/>
                                <w:sz w:val="28"/>
                                <w:szCs w:val="20"/>
                              </w:rPr>
                              <w:t>Резистентність до FQ</w:t>
                            </w:r>
                          </w:p>
                        </w:txbxContent>
                      </v:textbox>
                    </v:rect>
                  </w:pict>
                </mc:Fallback>
              </mc:AlternateContent>
            </w:r>
            <w:r>
              <w:rPr>
                <w:noProof/>
              </w:rPr>
              <mc:AlternateContent>
                <mc:Choice Requires="wps">
                  <w:drawing>
                    <wp:anchor distT="0" distB="0" distL="114300" distR="114300" simplePos="0" relativeHeight="251736064" behindDoc="0" locked="0" layoutInCell="1" allowOverlap="1" wp14:anchorId="703DD55C" wp14:editId="0E9ABC7A">
                      <wp:simplePos x="0" y="0"/>
                      <wp:positionH relativeFrom="column">
                        <wp:posOffset>925830</wp:posOffset>
                      </wp:positionH>
                      <wp:positionV relativeFrom="paragraph">
                        <wp:posOffset>2294890</wp:posOffset>
                      </wp:positionV>
                      <wp:extent cx="1187450" cy="336550"/>
                      <wp:effectExtent l="0" t="0" r="0" b="6350"/>
                      <wp:wrapNone/>
                      <wp:docPr id="1557850930" name="Прямокутник 5"/>
                      <wp:cNvGraphicFramePr/>
                      <a:graphic xmlns:a="http://schemas.openxmlformats.org/drawingml/2006/main">
                        <a:graphicData uri="http://schemas.microsoft.com/office/word/2010/wordprocessingShape">
                          <wps:wsp>
                            <wps:cNvSpPr/>
                            <wps:spPr>
                              <a:xfrm>
                                <a:off x="0" y="0"/>
                                <a:ext cx="1187450" cy="336550"/>
                              </a:xfrm>
                              <a:prstGeom prst="rect">
                                <a:avLst/>
                              </a:prstGeom>
                              <a:solidFill>
                                <a:srgbClr val="70BD85"/>
                              </a:solidFill>
                            </wps:spPr>
                            <wps:txbx>
                              <w:txbxContent>
                                <w:p w14:paraId="3224A5C0" w14:textId="77777777" w:rsidR="009D0C1D" w:rsidRPr="00BC7F53" w:rsidRDefault="009D0C1D" w:rsidP="00CF0462">
                                  <w:pPr>
                                    <w:rPr>
                                      <w:rFonts w:eastAsia="+mn-ea" w:cs="+mn-cs"/>
                                      <w:b/>
                                      <w:bCs/>
                                      <w:color w:val="FFFFFF"/>
                                      <w:kern w:val="24"/>
                                      <w:szCs w:val="28"/>
                                    </w:rPr>
                                  </w:pPr>
                                  <w:r w:rsidRPr="00BC7F53">
                                    <w:rPr>
                                      <w:b/>
                                      <w:color w:val="FFFFFF"/>
                                      <w:szCs w:val="20"/>
                                    </w:rPr>
                                    <w:t>Резистентність до INH</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03DD55C" id="_x0000_s1408" style="position:absolute;margin-left:72.9pt;margin-top:180.7pt;width:93.5pt;height:2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" fillcolor="#70bd85" stroked="f">
                      <v:textbox inset="0,0,0,0">
                        <w:txbxContent>
                          <w:p w14:paraId="3224A5C0" w14:textId="77777777" w:rsidR="009D0C1D" w:rsidRPr="00BC7F53" w:rsidRDefault="009D0C1D" w:rsidP="00CF0462">
                            <w:pPr>
                              <w:rPr>
                                <w:rFonts w:eastAsia="+mn-ea" w:cs="+mn-cs"/>
                                <w:b/>
                                <w:bCs/>
                                <w:color w:val="FFFFFF"/>
                                <w:kern w:val="24"/>
                                <w:szCs w:val="28"/>
                              </w:rPr>
                            </w:pPr>
                            <w:r w:rsidRPr="00BC7F53">
                              <w:rPr>
                                <w:b/>
                                <w:color w:val="FFFFFF"/>
                                <w:szCs w:val="20"/>
                              </w:rPr>
                              <w:t>Резистентність до INH</w:t>
                            </w:r>
                          </w:p>
                        </w:txbxContent>
                      </v:textbox>
                    </v:rect>
                  </w:pict>
                </mc:Fallback>
              </mc:AlternateContent>
            </w:r>
            <w:r>
              <w:rPr>
                <w:noProof/>
              </w:rPr>
              <mc:AlternateContent>
                <mc:Choice Requires="wps">
                  <w:drawing>
                    <wp:anchor distT="0" distB="0" distL="114300" distR="114300" simplePos="0" relativeHeight="251735040" behindDoc="0" locked="0" layoutInCell="1" allowOverlap="1" wp14:anchorId="04AC9569" wp14:editId="5D84367D">
                      <wp:simplePos x="0" y="0"/>
                      <wp:positionH relativeFrom="column">
                        <wp:posOffset>1211580</wp:posOffset>
                      </wp:positionH>
                      <wp:positionV relativeFrom="paragraph">
                        <wp:posOffset>1177290</wp:posOffset>
                      </wp:positionV>
                      <wp:extent cx="1536700" cy="323850"/>
                      <wp:effectExtent l="0" t="0" r="6350" b="0"/>
                      <wp:wrapNone/>
                      <wp:docPr id="1091220349" name="Прямокутник 4"/>
                      <wp:cNvGraphicFramePr/>
                      <a:graphic xmlns:a="http://schemas.openxmlformats.org/drawingml/2006/main">
                        <a:graphicData uri="http://schemas.microsoft.com/office/word/2010/wordprocessingShape">
                          <wps:wsp>
                            <wps:cNvSpPr/>
                            <wps:spPr>
                              <a:xfrm>
                                <a:off x="0" y="0"/>
                                <a:ext cx="1536700" cy="323850"/>
                              </a:xfrm>
                              <a:prstGeom prst="rect">
                                <a:avLst/>
                              </a:prstGeom>
                              <a:solidFill>
                                <a:srgbClr val="FFDCC6"/>
                              </a:solidFill>
                            </wps:spPr>
                            <wps:txbx>
                              <w:txbxContent>
                                <w:p w14:paraId="26ED5429" w14:textId="77777777" w:rsidR="009D0C1D" w:rsidRPr="00BC7F53" w:rsidRDefault="009D0C1D" w:rsidP="00CF0462">
                                  <w:pPr>
                                    <w:rPr>
                                      <w:rFonts w:eastAsia="+mn-ea" w:cs="+mn-cs"/>
                                      <w:b/>
                                      <w:bCs/>
                                      <w:kern w:val="24"/>
                                      <w:sz w:val="16"/>
                                      <w:szCs w:val="16"/>
                                    </w:rPr>
                                  </w:pPr>
                                  <w:r w:rsidRPr="00BC7F53">
                                    <w:rPr>
                                      <w:b/>
                                      <w:sz w:val="16"/>
                                      <w:szCs w:val="20"/>
                                    </w:rPr>
                                    <w:t>Відсутність медикаментозної резистентності</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4AC9569" id="_x0000_s1409" style="position:absolute;margin-left:95.4pt;margin-top:92.7pt;width:121pt;height: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" fillcolor="#ffdcc6" stroked="f">
                      <v:textbox inset="0,0,0,0">
                        <w:txbxContent>
                          <w:p w14:paraId="26ED5429" w14:textId="77777777" w:rsidR="009D0C1D" w:rsidRPr="00BC7F53" w:rsidRDefault="009D0C1D" w:rsidP="00CF0462">
                            <w:pPr>
                              <w:rPr>
                                <w:rFonts w:eastAsia="+mn-ea" w:cs="+mn-cs"/>
                                <w:b/>
                                <w:bCs/>
                                <w:kern w:val="24"/>
                                <w:sz w:val="16"/>
                                <w:szCs w:val="16"/>
                              </w:rPr>
                            </w:pPr>
                            <w:r w:rsidRPr="00BC7F53">
                              <w:rPr>
                                <w:b/>
                                <w:sz w:val="16"/>
                                <w:szCs w:val="20"/>
                              </w:rPr>
                              <w:t>Відсутність медикаментозної резистентності</w:t>
                            </w:r>
                          </w:p>
                        </w:txbxContent>
                      </v:textbox>
                    </v:rect>
                  </w:pict>
                </mc:Fallback>
              </mc:AlternateContent>
            </w:r>
            <w:r w:rsidR="00156AC1">
              <w:rPr>
                <w:noProof/>
              </w:rPr>
              <mc:AlternateContent>
                <mc:Choice Requires="wps">
                  <w:drawing>
                    <wp:anchor distT="0" distB="0" distL="114300" distR="114300" simplePos="0" relativeHeight="251744256" behindDoc="0" locked="0" layoutInCell="1" allowOverlap="1" wp14:anchorId="4329C6A4" wp14:editId="67692B60">
                      <wp:simplePos x="0" y="0"/>
                      <wp:positionH relativeFrom="column">
                        <wp:posOffset>798830</wp:posOffset>
                      </wp:positionH>
                      <wp:positionV relativeFrom="paragraph">
                        <wp:posOffset>6911340</wp:posOffset>
                      </wp:positionV>
                      <wp:extent cx="1524000" cy="118745"/>
                      <wp:effectExtent l="0" t="0" r="0" b="0"/>
                      <wp:wrapNone/>
                      <wp:docPr id="30668156" name="Прямокутник 13"/>
                      <wp:cNvGraphicFramePr/>
                      <a:graphic xmlns:a="http://schemas.openxmlformats.org/drawingml/2006/main">
                        <a:graphicData uri="http://schemas.microsoft.com/office/word/2010/wordprocessingShape">
                          <wps:wsp>
                            <wps:cNvSpPr/>
                            <wps:spPr>
                              <a:xfrm>
                                <a:off x="0" y="0"/>
                                <a:ext cx="1524000" cy="118745"/>
                              </a:xfrm>
                              <a:prstGeom prst="rect">
                                <a:avLst/>
                              </a:prstGeom>
                              <a:solidFill>
                                <a:srgbClr val="FFFFFF"/>
                              </a:solidFill>
                            </wps:spPr>
                            <wps:txbx>
                              <w:txbxContent>
                                <w:p w14:paraId="4E076100" w14:textId="77777777" w:rsidR="009D0C1D" w:rsidRPr="00156AC1" w:rsidRDefault="009D0C1D" w:rsidP="00CF0462">
                                  <w:pPr>
                                    <w:rPr>
                                      <w:rFonts w:eastAsia="+mn-ea" w:cs="+mn-cs"/>
                                      <w:b/>
                                      <w:bCs/>
                                      <w:kern w:val="24"/>
                                      <w:sz w:val="15"/>
                                      <w:szCs w:val="15"/>
                                    </w:rPr>
                                  </w:pPr>
                                  <w:r>
                                    <w:rPr>
                                      <w:b/>
                                      <w:sz w:val="15"/>
                                    </w:rPr>
                                    <w:t>Типи схем лікування</w:t>
                                  </w:r>
                                </w:p>
                              </w:txbxContent>
                            </wps:txbx>
                            <wps:bodyPr wrap="square" lIns="0" tIns="0" rIns="0" bIns="0">
                              <a:noAutofit/>
                            </wps:bodyPr>
                          </wps:wsp>
                        </a:graphicData>
                      </a:graphic>
                      <wp14:sizeRelH relativeFrom="margin">
                        <wp14:pctWidth>0</wp14:pctWidth>
                      </wp14:sizeRelH>
                    </wp:anchor>
                  </w:drawing>
                </mc:Choice>
                <mc:Fallback>
                  <w:pict>
                    <v:rect w14:anchorId="4329C6A4" id="_x0000_s1410" style="position:absolute;margin-left:62.9pt;margin-top:544.2pt;width:120pt;height:9.3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" stroked="f">
                      <v:textbox inset="0,0,0,0">
                        <w:txbxContent>
                          <w:p w14:paraId="4E076100" w14:textId="77777777" w:rsidR="009D0C1D" w:rsidRPr="00156AC1" w:rsidRDefault="009D0C1D" w:rsidP="00CF0462">
                            <w:pPr>
                              <w:rPr>
                                <w:rFonts w:eastAsia="+mn-ea" w:cs="+mn-cs"/>
                                <w:b/>
                                <w:bCs/>
                                <w:kern w:val="24"/>
                                <w:sz w:val="15"/>
                                <w:szCs w:val="15"/>
                              </w:rPr>
                            </w:pPr>
                            <w:r>
                              <w:rPr>
                                <w:b/>
                                <w:sz w:val="15"/>
                              </w:rPr>
                              <w:t>Типи схем лікування</w:t>
                            </w:r>
                          </w:p>
                        </w:txbxContent>
                      </v:textbox>
                    </v:rect>
                  </w:pict>
                </mc:Fallback>
              </mc:AlternateContent>
            </w:r>
            <w:r w:rsidR="00156AC1">
              <w:rPr>
                <w:noProof/>
              </w:rPr>
              <mc:AlternateContent>
                <mc:Choice Requires="wps">
                  <w:drawing>
                    <wp:anchor distT="0" distB="0" distL="114300" distR="114300" simplePos="0" relativeHeight="251748352" behindDoc="0" locked="0" layoutInCell="1" allowOverlap="1" wp14:anchorId="6E886298" wp14:editId="13CC02B6">
                      <wp:simplePos x="0" y="0"/>
                      <wp:positionH relativeFrom="column">
                        <wp:posOffset>3540760</wp:posOffset>
                      </wp:positionH>
                      <wp:positionV relativeFrom="paragraph">
                        <wp:posOffset>7127240</wp:posOffset>
                      </wp:positionV>
                      <wp:extent cx="274320" cy="97155"/>
                      <wp:effectExtent l="0" t="0" r="0" b="0"/>
                      <wp:wrapNone/>
                      <wp:docPr id="292354406" name="Прямокутник 17"/>
                      <wp:cNvGraphicFramePr/>
                      <a:graphic xmlns:a="http://schemas.openxmlformats.org/drawingml/2006/main">
                        <a:graphicData uri="http://schemas.microsoft.com/office/word/2010/wordprocessingShape">
                          <wps:wsp>
                            <wps:cNvSpPr/>
                            <wps:spPr>
                              <a:xfrm>
                                <a:off x="0" y="0"/>
                                <a:ext cx="274320" cy="97155"/>
                              </a:xfrm>
                              <a:prstGeom prst="rect">
                                <a:avLst/>
                              </a:prstGeom>
                              <a:solidFill>
                                <a:srgbClr val="FFFFFF"/>
                              </a:solidFill>
                            </wps:spPr>
                            <wps:txbx>
                              <w:txbxContent>
                                <w:p w14:paraId="648BDD6C" w14:textId="77777777" w:rsidR="009D0C1D" w:rsidRPr="00BC7F53" w:rsidRDefault="009D0C1D" w:rsidP="00CF0462">
                                  <w:pPr>
                                    <w:rPr>
                                      <w:rFonts w:eastAsia="+mn-ea" w:cs="+mn-cs"/>
                                      <w:kern w:val="24"/>
                                      <w:sz w:val="12"/>
                                      <w:szCs w:val="12"/>
                                    </w:rPr>
                                  </w:pPr>
                                  <w:r w:rsidRPr="00BC7F53">
                                    <w:rPr>
                                      <w:sz w:val="12"/>
                                      <w:szCs w:val="12"/>
                                    </w:rPr>
                                    <w:t>Нрез-ТБ</w:t>
                                  </w:r>
                                </w:p>
                              </w:txbxContent>
                            </wps:txbx>
                            <wps:bodyPr wrap="none" lIns="0" tIns="0" rIns="0" bIns="0">
                              <a:noAutofit/>
                            </wps:bodyPr>
                          </wps:wsp>
                        </a:graphicData>
                      </a:graphic>
                    </wp:anchor>
                  </w:drawing>
                </mc:Choice>
                <mc:Fallback>
                  <w:pict>
                    <v:rect w14:anchorId="6E886298" id="_x0000_s1411" style="position:absolute;margin-left:278.8pt;margin-top:561.2pt;width:21.6pt;height:7.65pt;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" stroked="f">
                      <v:textbox inset="0,0,0,0">
                        <w:txbxContent>
                          <w:p w14:paraId="648BDD6C" w14:textId="77777777" w:rsidR="009D0C1D" w:rsidRPr="00BC7F53" w:rsidRDefault="009D0C1D" w:rsidP="00CF0462">
                            <w:pPr>
                              <w:rPr>
                                <w:rFonts w:eastAsia="+mn-ea" w:cs="+mn-cs"/>
                                <w:kern w:val="24"/>
                                <w:sz w:val="12"/>
                                <w:szCs w:val="12"/>
                              </w:rPr>
                            </w:pPr>
                            <w:r w:rsidRPr="00BC7F53">
                              <w:rPr>
                                <w:sz w:val="12"/>
                                <w:szCs w:val="12"/>
                              </w:rPr>
                              <w:t>Нрез-ТБ</w:t>
                            </w:r>
                          </w:p>
                        </w:txbxContent>
                      </v:textbox>
                    </v:rect>
                  </w:pict>
                </mc:Fallback>
              </mc:AlternateContent>
            </w:r>
            <w:r w:rsidR="00156AC1">
              <w:rPr>
                <w:noProof/>
              </w:rPr>
              <mc:AlternateContent>
                <mc:Choice Requires="wps">
                  <w:drawing>
                    <wp:anchor distT="0" distB="0" distL="114300" distR="114300" simplePos="0" relativeHeight="251742208" behindDoc="0" locked="0" layoutInCell="1" allowOverlap="1" wp14:anchorId="24F66D13" wp14:editId="3D25E87E">
                      <wp:simplePos x="0" y="0"/>
                      <wp:positionH relativeFrom="column">
                        <wp:posOffset>882650</wp:posOffset>
                      </wp:positionH>
                      <wp:positionV relativeFrom="paragraph">
                        <wp:posOffset>6276340</wp:posOffset>
                      </wp:positionV>
                      <wp:extent cx="1459865" cy="381000"/>
                      <wp:effectExtent l="0" t="0" r="6985" b="0"/>
                      <wp:wrapNone/>
                      <wp:docPr id="1351843755" name="Прямокутник 11"/>
                      <wp:cNvGraphicFramePr/>
                      <a:graphic xmlns:a="http://schemas.openxmlformats.org/drawingml/2006/main">
                        <a:graphicData uri="http://schemas.microsoft.com/office/word/2010/wordprocessingShape">
                          <wps:wsp>
                            <wps:cNvSpPr/>
                            <wps:spPr>
                              <a:xfrm>
                                <a:off x="0" y="0"/>
                                <a:ext cx="1459865" cy="381000"/>
                              </a:xfrm>
                              <a:prstGeom prst="rect">
                                <a:avLst/>
                              </a:prstGeom>
                              <a:solidFill>
                                <a:srgbClr val="E7E0F0"/>
                              </a:solidFill>
                            </wps:spPr>
                            <wps:txbx>
                              <w:txbxContent>
                                <w:p w14:paraId="605E1CA3" w14:textId="77777777" w:rsidR="009D0C1D" w:rsidRPr="00BC7F53" w:rsidRDefault="009D0C1D" w:rsidP="00CF0462">
                                  <w:pPr>
                                    <w:spacing w:line="261" w:lineRule="auto"/>
                                    <w:rPr>
                                      <w:rFonts w:eastAsia="+mn-ea" w:cs="+mn-cs"/>
                                      <w:color w:val="6C3B87"/>
                                      <w:kern w:val="24"/>
                                      <w:sz w:val="13"/>
                                      <w:szCs w:val="13"/>
                                    </w:rPr>
                                  </w:pPr>
                                  <w:r w:rsidRPr="00BC7F53">
                                    <w:rPr>
                                      <w:color w:val="6C3B87"/>
                                      <w:sz w:val="13"/>
                                      <w:szCs w:val="22"/>
                                    </w:rPr>
                                    <w:t>9-місячна схема BLfxEtoEHZC</w:t>
                                  </w:r>
                                </w:p>
                                <w:p w14:paraId="157D6FFC" w14:textId="77777777" w:rsidR="009D0C1D" w:rsidRPr="00BC7F53" w:rsidRDefault="009D0C1D" w:rsidP="00CF0462">
                                  <w:pPr>
                                    <w:spacing w:line="276" w:lineRule="auto"/>
                                    <w:rPr>
                                      <w:rFonts w:eastAsia="+mn-ea" w:cs="+mn-cs"/>
                                      <w:kern w:val="24"/>
                                      <w:sz w:val="12"/>
                                      <w:szCs w:val="12"/>
                                    </w:rPr>
                                  </w:pPr>
                                  <w:r w:rsidRPr="00BC7F53">
                                    <w:rPr>
                                      <w:sz w:val="12"/>
                                      <w:szCs w:val="22"/>
                                    </w:rPr>
                                    <w:t>18-місячна індивідуальна схема, якщо 9-місячна схема недоступна</w:t>
                                  </w:r>
                                </w:p>
                              </w:txbxContent>
                            </wps:txbx>
                            <wps:bodyPr lIns="0" tIns="0" rIns="0" bIns="0">
                              <a:noAutofit/>
                            </wps:bodyPr>
                          </wps:wsp>
                        </a:graphicData>
                      </a:graphic>
                    </wp:anchor>
                  </w:drawing>
                </mc:Choice>
                <mc:Fallback>
                  <w:pict>
                    <v:rect w14:anchorId="24F66D13" id="_x0000_s1412" style="position:absolute;margin-left:69.5pt;margin-top:494.2pt;width:114.95pt;height:30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" fillcolor="#e7e0f0" stroked="f">
                      <v:textbox inset="0,0,0,0">
                        <w:txbxContent>
                          <w:p w14:paraId="605E1CA3" w14:textId="77777777" w:rsidR="009D0C1D" w:rsidRPr="00BC7F53" w:rsidRDefault="009D0C1D" w:rsidP="00CF0462">
                            <w:pPr>
                              <w:spacing w:line="261" w:lineRule="auto"/>
                              <w:rPr>
                                <w:rFonts w:eastAsia="+mn-ea" w:cs="+mn-cs"/>
                                <w:color w:val="6C3B87"/>
                                <w:kern w:val="24"/>
                                <w:sz w:val="13"/>
                                <w:szCs w:val="13"/>
                              </w:rPr>
                            </w:pPr>
                            <w:r w:rsidRPr="00BC7F53">
                              <w:rPr>
                                <w:color w:val="6C3B87"/>
                                <w:sz w:val="13"/>
                                <w:szCs w:val="22"/>
                              </w:rPr>
                              <w:t>9-місячна схема BLfxEtoEHZC</w:t>
                            </w:r>
                          </w:p>
                          <w:p w14:paraId="157D6FFC" w14:textId="77777777" w:rsidR="009D0C1D" w:rsidRPr="00BC7F53" w:rsidRDefault="009D0C1D" w:rsidP="00CF0462">
                            <w:pPr>
                              <w:spacing w:line="276" w:lineRule="auto"/>
                              <w:rPr>
                                <w:rFonts w:eastAsia="+mn-ea" w:cs="+mn-cs"/>
                                <w:kern w:val="24"/>
                                <w:sz w:val="12"/>
                                <w:szCs w:val="12"/>
                              </w:rPr>
                            </w:pPr>
                            <w:r w:rsidRPr="00BC7F53">
                              <w:rPr>
                                <w:sz w:val="12"/>
                                <w:szCs w:val="22"/>
                              </w:rPr>
                              <w:t>18-місячна індивідуальна схема, якщо 9-місячна схема недоступна</w:t>
                            </w:r>
                          </w:p>
                        </w:txbxContent>
                      </v:textbox>
                    </v:rect>
                  </w:pict>
                </mc:Fallback>
              </mc:AlternateContent>
            </w:r>
            <w:r w:rsidR="00156AC1">
              <w:rPr>
                <w:noProof/>
              </w:rPr>
              <mc:AlternateContent>
                <mc:Choice Requires="wps">
                  <w:drawing>
                    <wp:anchor distT="0" distB="0" distL="114300" distR="114300" simplePos="0" relativeHeight="251741184" behindDoc="0" locked="0" layoutInCell="1" allowOverlap="1" wp14:anchorId="660B1FAB" wp14:editId="4770E9A1">
                      <wp:simplePos x="0" y="0"/>
                      <wp:positionH relativeFrom="column">
                        <wp:posOffset>590550</wp:posOffset>
                      </wp:positionH>
                      <wp:positionV relativeFrom="paragraph">
                        <wp:posOffset>5651500</wp:posOffset>
                      </wp:positionV>
                      <wp:extent cx="1490345" cy="362585"/>
                      <wp:effectExtent l="0" t="0" r="0" b="0"/>
                      <wp:wrapNone/>
                      <wp:docPr id="1864961850" name="Прямокутник 10"/>
                      <wp:cNvGraphicFramePr/>
                      <a:graphic xmlns:a="http://schemas.openxmlformats.org/drawingml/2006/main">
                        <a:graphicData uri="http://schemas.microsoft.com/office/word/2010/wordprocessingShape">
                          <wps:wsp>
                            <wps:cNvSpPr/>
                            <wps:spPr>
                              <a:xfrm>
                                <a:off x="0" y="0"/>
                                <a:ext cx="1490345" cy="362585"/>
                              </a:xfrm>
                              <a:prstGeom prst="rect">
                                <a:avLst/>
                              </a:prstGeom>
                              <a:solidFill>
                                <a:srgbClr val="E1F5FF"/>
                              </a:solidFill>
                            </wps:spPr>
                            <wps:txbx>
                              <w:txbxContent>
                                <w:p w14:paraId="56AFB5D1" w14:textId="77777777" w:rsidR="009D0C1D" w:rsidRPr="00BC7F53" w:rsidRDefault="009D0C1D" w:rsidP="00CF0462">
                                  <w:pPr>
                                    <w:spacing w:line="283" w:lineRule="auto"/>
                                    <w:rPr>
                                      <w:rFonts w:eastAsia="+mn-ea" w:cs="+mn-cs"/>
                                      <w:kern w:val="24"/>
                                      <w:sz w:val="14"/>
                                      <w:szCs w:val="14"/>
                                    </w:rPr>
                                  </w:pPr>
                                  <w:r w:rsidRPr="00BC7F53">
                                    <w:rPr>
                                      <w:sz w:val="14"/>
                                    </w:rPr>
                                    <w:t xml:space="preserve">18-місячна індивідуальна схема, мутації </w:t>
                                  </w:r>
                                  <w:r w:rsidRPr="00BC7F53">
                                    <w:rPr>
                                      <w:i/>
                                      <w:sz w:val="14"/>
                                    </w:rPr>
                                    <w:t>inhA</w:t>
                                  </w:r>
                                  <w:r w:rsidRPr="00BC7F53">
                                    <w:rPr>
                                      <w:sz w:val="14"/>
                                    </w:rPr>
                                    <w:t xml:space="preserve"> ведуть до перехресної резистентності між INH та ETO</w:t>
                                  </w:r>
                                </w:p>
                              </w:txbxContent>
                            </wps:txbx>
                            <wps:bodyPr lIns="0" tIns="0" rIns="0" bIns="0">
                              <a:noAutofit/>
                            </wps:bodyPr>
                          </wps:wsp>
                        </a:graphicData>
                      </a:graphic>
                    </wp:anchor>
                  </w:drawing>
                </mc:Choice>
                <mc:Fallback>
                  <w:pict>
                    <v:rect w14:anchorId="660B1FAB" id="_x0000_s1413" style="position:absolute;margin-left:46.5pt;margin-top:445pt;width:117.35pt;height:28.5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" fillcolor="#e1f5ff" stroked="f">
                      <v:textbox inset="0,0,0,0">
                        <w:txbxContent>
                          <w:p w14:paraId="56AFB5D1" w14:textId="77777777" w:rsidR="009D0C1D" w:rsidRPr="00BC7F53" w:rsidRDefault="009D0C1D" w:rsidP="00CF0462">
                            <w:pPr>
                              <w:spacing w:line="283" w:lineRule="auto"/>
                              <w:rPr>
                                <w:rFonts w:eastAsia="+mn-ea" w:cs="+mn-cs"/>
                                <w:kern w:val="24"/>
                                <w:sz w:val="14"/>
                                <w:szCs w:val="14"/>
                              </w:rPr>
                            </w:pPr>
                            <w:r w:rsidRPr="00BC7F53">
                              <w:rPr>
                                <w:sz w:val="14"/>
                              </w:rPr>
                              <w:t xml:space="preserve">18-місячна індивідуальна схема, мутації </w:t>
                            </w:r>
                            <w:r w:rsidRPr="00BC7F53">
                              <w:rPr>
                                <w:i/>
                                <w:sz w:val="14"/>
                              </w:rPr>
                              <w:t>inhA</w:t>
                            </w:r>
                            <w:r w:rsidRPr="00BC7F53">
                              <w:rPr>
                                <w:sz w:val="14"/>
                              </w:rPr>
                              <w:t xml:space="preserve"> ведуть до перехресної резистентності між INH та ETO</w:t>
                            </w:r>
                          </w:p>
                        </w:txbxContent>
                      </v:textbox>
                    </v:rect>
                  </w:pict>
                </mc:Fallback>
              </mc:AlternateContent>
            </w:r>
            <w:r w:rsidR="00156AC1">
              <w:rPr>
                <w:noProof/>
              </w:rPr>
              <w:drawing>
                <wp:inline distT="0" distB="0" distL="0" distR="0" wp14:anchorId="02937A59" wp14:editId="59A74334">
                  <wp:extent cx="5782310" cy="740664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35"/>
                          <a:stretch/>
                        </pic:blipFill>
                        <pic:spPr>
                          <a:xfrm>
                            <a:off x="0" y="0"/>
                            <a:ext cx="5782310" cy="7406640"/>
                          </a:xfrm>
                          <a:prstGeom prst="rect">
                            <a:avLst/>
                          </a:prstGeom>
                        </pic:spPr>
                      </pic:pic>
                    </a:graphicData>
                  </a:graphic>
                </wp:inline>
              </w:drawing>
            </w:r>
          </w:p>
        </w:tc>
      </w:tr>
      <w:tr w:rsidR="00366CB9" w14:paraId="6E7D8359" w14:textId="77777777" w:rsidTr="00BC7F53">
        <w:trPr>
          <w:trHeight w:hRule="exact" w:val="2072"/>
        </w:trPr>
        <w:tc>
          <w:tcPr>
            <w:tcW w:w="9106" w:type="dxa"/>
            <w:shd w:val="clear" w:color="auto" w:fill="FFFFFF"/>
            <w:vAlign w:val="bottom"/>
          </w:tcPr>
          <w:p w14:paraId="5086D48C" w14:textId="0206AD85" w:rsidR="00366CB9" w:rsidRDefault="009D0C1D" w:rsidP="00515F9C">
            <w:pPr>
              <w:pStyle w:val="a6"/>
              <w:shd w:val="clear" w:color="auto" w:fill="auto"/>
              <w:spacing w:after="40" w:line="266" w:lineRule="auto"/>
              <w:jc w:val="both"/>
              <w:rPr>
                <w:sz w:val="17"/>
                <w:szCs w:val="17"/>
              </w:rPr>
            </w:pPr>
            <w:r>
              <w:rPr>
                <w:b w:val="0"/>
                <w:color w:val="000000"/>
                <w:sz w:val="17"/>
              </w:rPr>
              <w:t>ЛС-ТБ: лікарсько-стійкий туберкульоз; ЛЧ-ТБ: лікарсько-чутливий туберкульоз;</w:t>
            </w:r>
            <w:r>
              <w:t xml:space="preserve"> </w:t>
            </w:r>
            <w:r>
              <w:rPr>
                <w:b w:val="0"/>
                <w:color w:val="000000"/>
                <w:sz w:val="17"/>
              </w:rPr>
              <w:t>ТМЧ: тестування медикаментозної чутливості; Нрез-ТБ: чутливий до рифампіцину, резистентний до ізоніазиду туберкульоз; МЛС-ТБ: туберкульоз із множинною лікарською стійкістю; фТМЧ: фенотипове тестування медикаментозної чутливості; Риф-ТБ: рифампіцин-резистентний туберкульоз; ТБ: туберкульоз; цСНП: цільове секвенування наступного покоління.</w:t>
            </w:r>
          </w:p>
          <w:p w14:paraId="5F94E762" w14:textId="77777777" w:rsidR="00366CB9" w:rsidRDefault="009D0C1D" w:rsidP="00515F9C">
            <w:pPr>
              <w:pStyle w:val="a6"/>
              <w:shd w:val="clear" w:color="auto" w:fill="auto"/>
              <w:spacing w:line="266" w:lineRule="auto"/>
              <w:jc w:val="both"/>
              <w:rPr>
                <w:sz w:val="17"/>
                <w:szCs w:val="17"/>
              </w:rPr>
            </w:pPr>
            <w:r>
              <w:rPr>
                <w:b w:val="0"/>
                <w:color w:val="000000"/>
                <w:sz w:val="17"/>
              </w:rPr>
              <w:t>Лікарські засоби та схеми: BDLC: бедаквілін (B), деламанід (D), лінезолід (L) та клофазимін (C); BDQ: бедаквілін; BPaL: бедаквілін (B), претоманід (Pa) та лінезолід (L); CFZ: клофазимін; ETO: етіонамід; FQ: фторхінолон; HPM: ізоніазид (H), рифапентин (P) та моксифлоксацин (M); HPMZ: ізоніазид (H), рифапентин (P), моксифлоксацин (M) та піразинамід (Z); HR: ізоніазид (H) та рифампіцин (R); HRZE: ізоніазид (H), рифампіцин (R), піразинамід (Z) та етамбутол (E); INH: ізоніазид; Lfx: левофлоксацин; LZD: лінезолід.</w:t>
            </w:r>
          </w:p>
        </w:tc>
      </w:tr>
    </w:tbl>
    <w:p w14:paraId="6024EAFC"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0357B6EB" w14:textId="77777777" w:rsidR="00366CB9" w:rsidRDefault="00366CB9" w:rsidP="00425523">
      <w:pPr>
        <w:spacing w:line="1" w:lineRule="exact"/>
      </w:pPr>
    </w:p>
    <w:p w14:paraId="57110207" w14:textId="1EBA90A2" w:rsidR="00366CB9" w:rsidRPr="00BC7F53" w:rsidRDefault="009D0C1D" w:rsidP="00515F9C">
      <w:pPr>
        <w:pStyle w:val="1"/>
        <w:shd w:val="clear" w:color="auto" w:fill="auto"/>
        <w:spacing w:line="324" w:lineRule="auto"/>
        <w:ind w:left="260" w:hanging="260"/>
        <w:jc w:val="both"/>
        <w:rPr>
          <w:sz w:val="18"/>
          <w:szCs w:val="18"/>
        </w:rPr>
      </w:pPr>
      <w:r w:rsidRPr="00BC7F53">
        <w:rPr>
          <w:color w:val="019648"/>
          <w:sz w:val="18"/>
          <w:szCs w:val="18"/>
        </w:rPr>
        <w:t xml:space="preserve">• </w:t>
      </w:r>
      <w:r w:rsidR="00BC7F53">
        <w:tab/>
      </w:r>
      <w:r w:rsidRPr="00BC7F53">
        <w:rPr>
          <w:sz w:val="18"/>
          <w:szCs w:val="18"/>
        </w:rPr>
        <w:t>У керівних принципах ВООЗ наголошується на важливості ТМЧ, особливо для лікарських засобів, для яких доступні молекулярні тести; однак важливо не відкладати початок лікування в очікуванні результатів ТМЧ. За необхідності, обрану схему лікування необхідно коригувати на основі результатів ТМЧ, що можуть стати доступними після початку лікування.</w:t>
      </w:r>
    </w:p>
    <w:p w14:paraId="4287AA46" w14:textId="4EB2398D" w:rsidR="00366CB9" w:rsidRPr="00BC7F53" w:rsidRDefault="009D0C1D" w:rsidP="00515F9C">
      <w:pPr>
        <w:pStyle w:val="1"/>
        <w:shd w:val="clear" w:color="auto" w:fill="auto"/>
        <w:spacing w:line="324" w:lineRule="auto"/>
        <w:ind w:left="520" w:hanging="260"/>
        <w:jc w:val="both"/>
        <w:rPr>
          <w:sz w:val="18"/>
          <w:szCs w:val="18"/>
        </w:rPr>
      </w:pPr>
      <w:r w:rsidRPr="00BC7F53">
        <w:rPr>
          <w:color w:val="019648"/>
          <w:sz w:val="18"/>
          <w:szCs w:val="18"/>
        </w:rPr>
        <w:t xml:space="preserve">– </w:t>
      </w:r>
      <w:r w:rsidR="00BC7F53">
        <w:tab/>
      </w:r>
      <w:r w:rsidRPr="00BC7F53">
        <w:rPr>
          <w:sz w:val="18"/>
          <w:szCs w:val="18"/>
        </w:rPr>
        <w:t>ВООЗ рекомендує молекулярні тести для виявлення мутацій, пов’язаних з резистентністю до FQ (LC-aNAAT, SL-LPA та тести цільового СНП) та мутацій, пов’язаних з резистентністю до BDQ (тести цільового СНП). Тести цільового СНП також можуть виявляти мутації, пов’язані з резистентністю до деяких інших лікарських засобів в рамках схем лікування МЛС-ТБ (наприклад, LZD, CFZ та PZA).</w:t>
      </w:r>
    </w:p>
    <w:p w14:paraId="699C1033" w14:textId="0E105DEA" w:rsidR="00366CB9" w:rsidRPr="00BC7F53" w:rsidRDefault="009D0C1D" w:rsidP="00515F9C">
      <w:pPr>
        <w:pStyle w:val="1"/>
        <w:shd w:val="clear" w:color="auto" w:fill="auto"/>
        <w:spacing w:line="324" w:lineRule="auto"/>
        <w:ind w:left="520" w:hanging="260"/>
        <w:jc w:val="both"/>
        <w:rPr>
          <w:sz w:val="18"/>
          <w:szCs w:val="18"/>
        </w:rPr>
      </w:pPr>
      <w:r w:rsidRPr="00BC7F53">
        <w:rPr>
          <w:color w:val="019648"/>
          <w:sz w:val="18"/>
          <w:szCs w:val="18"/>
        </w:rPr>
        <w:t xml:space="preserve">– </w:t>
      </w:r>
      <w:r w:rsidR="00BC7F53">
        <w:tab/>
      </w:r>
      <w:r w:rsidRPr="00BC7F53">
        <w:rPr>
          <w:sz w:val="18"/>
          <w:szCs w:val="18"/>
        </w:rPr>
        <w:t xml:space="preserve">ВООЗ рекомендує молекулярний тест для виявлення резистентності до PZA, що належить до класу «HC-rNAAT». Його застосування обмежене ізолятами культури. Також можна проводити секвенування </w:t>
      </w:r>
      <w:r w:rsidRPr="00BC7F53">
        <w:rPr>
          <w:i/>
          <w:sz w:val="18"/>
          <w:szCs w:val="18"/>
        </w:rPr>
        <w:t>pncA</w:t>
      </w:r>
      <w:r w:rsidRPr="00BC7F53">
        <w:rPr>
          <w:sz w:val="18"/>
          <w:szCs w:val="18"/>
        </w:rPr>
        <w:t>, за можливості.</w:t>
      </w:r>
    </w:p>
    <w:p w14:paraId="23266D64" w14:textId="4CB2D3CC" w:rsidR="00366CB9" w:rsidRPr="00BC7F53" w:rsidRDefault="009D0C1D" w:rsidP="00BC7F53">
      <w:pPr>
        <w:pStyle w:val="1"/>
        <w:shd w:val="clear" w:color="auto" w:fill="auto"/>
        <w:tabs>
          <w:tab w:val="left" w:pos="284"/>
        </w:tabs>
        <w:spacing w:line="324" w:lineRule="auto"/>
        <w:rPr>
          <w:sz w:val="18"/>
          <w:szCs w:val="18"/>
        </w:rPr>
      </w:pPr>
      <w:r w:rsidRPr="00BC7F53">
        <w:rPr>
          <w:color w:val="019648"/>
          <w:sz w:val="18"/>
          <w:szCs w:val="18"/>
        </w:rPr>
        <w:t xml:space="preserve">• </w:t>
      </w:r>
      <w:r w:rsidR="00BC7F53">
        <w:tab/>
      </w:r>
      <w:r w:rsidRPr="00BC7F53">
        <w:rPr>
          <w:sz w:val="18"/>
          <w:szCs w:val="18"/>
        </w:rPr>
        <w:t>За відсутності цільового СНП слід застосовувати фенотипове ТМЧ.</w:t>
      </w:r>
    </w:p>
    <w:p w14:paraId="143F4848" w14:textId="242EC652" w:rsidR="00366CB9" w:rsidRPr="00BC7F53" w:rsidRDefault="009D0C1D" w:rsidP="00515F9C">
      <w:pPr>
        <w:pStyle w:val="1"/>
        <w:shd w:val="clear" w:color="auto" w:fill="auto"/>
        <w:spacing w:line="324" w:lineRule="auto"/>
        <w:ind w:left="520" w:hanging="260"/>
        <w:jc w:val="both"/>
        <w:rPr>
          <w:sz w:val="18"/>
          <w:szCs w:val="18"/>
        </w:rPr>
      </w:pPr>
      <w:r w:rsidRPr="00BC7F53">
        <w:rPr>
          <w:color w:val="019648"/>
          <w:sz w:val="18"/>
          <w:szCs w:val="18"/>
        </w:rPr>
        <w:t xml:space="preserve">– </w:t>
      </w:r>
      <w:r w:rsidR="0075377E">
        <w:tab/>
      </w:r>
      <w:r w:rsidRPr="00BC7F53">
        <w:rPr>
          <w:sz w:val="18"/>
          <w:szCs w:val="18"/>
        </w:rPr>
        <w:t>У лабораторії із забезпеченням якості, з увагою до підготовки інокулята, результат чутливого фенотипового ТМЧ, отриманий за допомогою MGIT для PZA, можна використовувати для включення PZA до схеми лікування ЛС-ТБ (</w:t>
      </w:r>
      <w:hyperlink r:id="rId136" w:history="1">
        <w:r w:rsidR="00366CB9" w:rsidRPr="00BC7F53">
          <w:rPr>
            <w:b/>
            <w:sz w:val="18"/>
            <w:szCs w:val="18"/>
          </w:rPr>
          <w:t>Вебдодаток C</w:t>
        </w:r>
      </w:hyperlink>
      <w:r w:rsidRPr="00BC7F53">
        <w:rPr>
          <w:sz w:val="18"/>
          <w:szCs w:val="18"/>
        </w:rPr>
        <w:t>).</w:t>
      </w:r>
    </w:p>
    <w:p w14:paraId="5AC4B969" w14:textId="60062C1E" w:rsidR="00366CB9" w:rsidRPr="00BC7F53" w:rsidRDefault="009D0C1D" w:rsidP="00515F9C">
      <w:pPr>
        <w:pStyle w:val="1"/>
        <w:shd w:val="clear" w:color="auto" w:fill="auto"/>
        <w:spacing w:line="324" w:lineRule="auto"/>
        <w:ind w:left="520" w:hanging="260"/>
        <w:jc w:val="both"/>
        <w:rPr>
          <w:sz w:val="18"/>
          <w:szCs w:val="18"/>
        </w:rPr>
      </w:pPr>
      <w:r w:rsidRPr="00BC7F53">
        <w:rPr>
          <w:color w:val="019648"/>
          <w:sz w:val="18"/>
          <w:szCs w:val="18"/>
        </w:rPr>
        <w:t xml:space="preserve">– </w:t>
      </w:r>
      <w:r w:rsidR="0075377E">
        <w:tab/>
      </w:r>
      <w:r w:rsidRPr="00BC7F53">
        <w:rPr>
          <w:sz w:val="18"/>
          <w:szCs w:val="18"/>
        </w:rPr>
        <w:t>Для RIF, INH, FQ, BDQ, CFZ, Pa, CS, LZD, AMK та DLM представлені надійні методи фенотипового ТМЧ. Алгоритми тестування на основі культурального та фенотипового ТМЧ описані у відповідній нормативній базі ВООЗ (</w:t>
      </w:r>
      <w:hyperlink w:anchor="bookmark201" w:tooltip="Поточний документ">
        <w:r w:rsidR="00366CB9" w:rsidRPr="00BC7F53">
          <w:rPr>
            <w:sz w:val="18"/>
            <w:szCs w:val="18"/>
          </w:rPr>
          <w:t>96</w:t>
        </w:r>
      </w:hyperlink>
      <w:r w:rsidRPr="00BC7F53">
        <w:rPr>
          <w:sz w:val="18"/>
          <w:szCs w:val="18"/>
        </w:rPr>
        <w:t>) та методологічному керівництві (</w:t>
      </w:r>
      <w:hyperlink r:id="rId137" w:history="1">
        <w:r w:rsidR="00366CB9" w:rsidRPr="00BC7F53">
          <w:rPr>
            <w:b/>
            <w:sz w:val="18"/>
            <w:szCs w:val="18"/>
          </w:rPr>
          <w:t>Вебдодаток C</w:t>
        </w:r>
      </w:hyperlink>
      <w:r w:rsidRPr="00BC7F53">
        <w:rPr>
          <w:sz w:val="18"/>
          <w:szCs w:val="18"/>
        </w:rPr>
        <w:t>). У державах-членах необхідно забезпечити ТМЧ для лікарських засобів, що застосовуються для лікування, та для яких представлені надійні методи тестування.</w:t>
      </w:r>
    </w:p>
    <w:p w14:paraId="4809E762" w14:textId="09D7CBCF" w:rsidR="00366CB9" w:rsidRPr="00BC7F53" w:rsidRDefault="009D0C1D" w:rsidP="00515F9C">
      <w:pPr>
        <w:pStyle w:val="1"/>
        <w:shd w:val="clear" w:color="auto" w:fill="auto"/>
        <w:spacing w:line="324" w:lineRule="auto"/>
        <w:ind w:left="520" w:hanging="260"/>
        <w:jc w:val="both"/>
        <w:rPr>
          <w:sz w:val="18"/>
          <w:szCs w:val="18"/>
        </w:rPr>
      </w:pPr>
      <w:r w:rsidRPr="00BC7F53">
        <w:rPr>
          <w:color w:val="019648"/>
          <w:sz w:val="18"/>
          <w:szCs w:val="18"/>
        </w:rPr>
        <w:t xml:space="preserve">– </w:t>
      </w:r>
      <w:r w:rsidR="0075377E">
        <w:tab/>
      </w:r>
      <w:r w:rsidRPr="00BC7F53">
        <w:rPr>
          <w:sz w:val="18"/>
          <w:szCs w:val="18"/>
        </w:rPr>
        <w:t>Для EMB, ETO/протіонаміду або іміпенем-циластатину/MPM відсутні надійні методи фенотипового ТМЧ; отже, результати не можна використовувати для прийняття клінічних рішень.</w:t>
      </w:r>
    </w:p>
    <w:p w14:paraId="3EFE6634" w14:textId="3FD0CCCF" w:rsidR="00366CB9" w:rsidRPr="00BC7F53" w:rsidRDefault="009D0C1D" w:rsidP="00515F9C">
      <w:pPr>
        <w:pStyle w:val="1"/>
        <w:shd w:val="clear" w:color="auto" w:fill="auto"/>
        <w:spacing w:line="324" w:lineRule="auto"/>
        <w:ind w:left="520" w:hanging="260"/>
        <w:jc w:val="both"/>
        <w:rPr>
          <w:sz w:val="18"/>
          <w:szCs w:val="18"/>
        </w:rPr>
      </w:pPr>
      <w:r w:rsidRPr="00BC7F53">
        <w:rPr>
          <w:color w:val="019648"/>
          <w:sz w:val="18"/>
          <w:szCs w:val="18"/>
        </w:rPr>
        <w:t xml:space="preserve">– </w:t>
      </w:r>
      <w:r w:rsidR="0075377E">
        <w:tab/>
      </w:r>
      <w:r w:rsidRPr="00BC7F53">
        <w:rPr>
          <w:sz w:val="18"/>
          <w:szCs w:val="18"/>
        </w:rPr>
        <w:t>Якщо фенотипове ТМЧ для препаратів другої лінії не представлено у країні, зразки або ізоляти можна відправлені до зовнішньої лабораторії з тестування (наприклад, до наднаціональної референс-лабораторії ВООЗ [НРЛ]). Можуть знадобитись угоди про передачу матеріалів та дозволи на імпорт або експорт.</w:t>
      </w:r>
    </w:p>
    <w:p w14:paraId="40A3BD4B" w14:textId="629E8BA4" w:rsidR="00366CB9" w:rsidRDefault="009D0C1D" w:rsidP="00515F9C">
      <w:pPr>
        <w:pStyle w:val="1"/>
        <w:shd w:val="clear" w:color="auto" w:fill="auto"/>
        <w:spacing w:line="324" w:lineRule="auto"/>
        <w:ind w:left="520" w:hanging="260"/>
        <w:jc w:val="both"/>
      </w:pPr>
      <w:r w:rsidRPr="00BC7F53">
        <w:rPr>
          <w:color w:val="019648"/>
          <w:sz w:val="18"/>
          <w:szCs w:val="18"/>
        </w:rPr>
        <w:t xml:space="preserve">– </w:t>
      </w:r>
      <w:r w:rsidR="0075377E">
        <w:tab/>
      </w:r>
      <w:r w:rsidRPr="00BC7F53">
        <w:rPr>
          <w:sz w:val="18"/>
          <w:szCs w:val="18"/>
        </w:rPr>
        <w:t>Наразі доступність фенотипового ТМЧ для BDQ та LZD обмежена в багатьох регіонах, а рівень резистентності може бути низьким. Однак з’являється все більше доказів того, що резистентність до BDQ розвивається навіть у осіб, які не зазнали впливу, на рівні 1,4-3,4 % (</w:t>
      </w:r>
      <w:hyperlink w:anchor="bookmark201" w:tooltip="Поточний документ">
        <w:r w:rsidR="00366CB9" w:rsidRPr="00BC7F53">
          <w:rPr>
            <w:sz w:val="18"/>
            <w:szCs w:val="18"/>
          </w:rPr>
          <w:t>97</w:t>
        </w:r>
      </w:hyperlink>
      <w:r w:rsidRPr="00BC7F53">
        <w:rPr>
          <w:sz w:val="18"/>
          <w:szCs w:val="18"/>
        </w:rPr>
        <w:t>). BDQ є основним лікарським засобом для лікування ЛС-ТБ, що включено до переглянутого визначення ШЛС-ТБ. Таким чином, важливо створити можливості тестування для цього та інших лікарських засобів, що застосовуються для лікування (наприклад, LZD, Pa, CS, CFZ та DLM). У разі підозри на резистентність під час лікування та відсутності ТМЧ штами необхідно перенаправити до НРЛ з діагностики ТБ для подальшого тестування</w:t>
      </w:r>
      <w:r>
        <w:t>.</w:t>
      </w:r>
    </w:p>
    <w:p w14:paraId="64A1CF5E"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2E9D4348"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4050"/>
      </w:tblGrid>
      <w:tr w:rsidR="00366CB9" w14:paraId="26591565" w14:textId="77777777" w:rsidTr="00CF0462">
        <w:trPr>
          <w:trHeight w:hRule="exact" w:val="552"/>
        </w:trPr>
        <w:tc>
          <w:tcPr>
            <w:tcW w:w="14050" w:type="dxa"/>
            <w:shd w:val="clear" w:color="auto" w:fill="FFFFFF"/>
          </w:tcPr>
          <w:p w14:paraId="622AFDD7" w14:textId="2CF82221" w:rsidR="00366CB9" w:rsidRPr="00156AC1" w:rsidRDefault="009D0C1D" w:rsidP="00515F9C">
            <w:pPr>
              <w:pStyle w:val="a6"/>
              <w:shd w:val="clear" w:color="auto" w:fill="auto"/>
              <w:rPr>
                <w:sz w:val="24"/>
                <w:szCs w:val="24"/>
              </w:rPr>
            </w:pPr>
            <w:r>
              <w:rPr>
                <w:color w:val="636466"/>
                <w:sz w:val="24"/>
              </w:rPr>
              <w:t>Рис. 6.4. Алгоритм 2a: ТМЧ для МЛС/Риф-ТБ за допомогою цільового СНП</w:t>
            </w:r>
          </w:p>
        </w:tc>
      </w:tr>
      <w:tr w:rsidR="00366CB9" w14:paraId="269C424A" w14:textId="77777777" w:rsidTr="00CF0462">
        <w:trPr>
          <w:trHeight w:hRule="exact" w:val="9456"/>
        </w:trPr>
        <w:tc>
          <w:tcPr>
            <w:tcW w:w="14050" w:type="dxa"/>
            <w:shd w:val="clear" w:color="auto" w:fill="FFFFFF"/>
          </w:tcPr>
          <w:p w14:paraId="429699EF" w14:textId="01C19940" w:rsidR="00366CB9" w:rsidRDefault="00D77994" w:rsidP="00515F9C">
            <w:pPr>
              <w:rPr>
                <w:sz w:val="2"/>
                <w:szCs w:val="2"/>
              </w:rPr>
            </w:pPr>
            <w:r>
              <w:rPr>
                <w:noProof/>
              </w:rPr>
              <mc:AlternateContent>
                <mc:Choice Requires="wps">
                  <w:drawing>
                    <wp:anchor distT="0" distB="0" distL="114300" distR="114300" simplePos="0" relativeHeight="251763712" behindDoc="0" locked="0" layoutInCell="1" allowOverlap="1" wp14:anchorId="3E702822" wp14:editId="222032CB">
                      <wp:simplePos x="0" y="0"/>
                      <wp:positionH relativeFrom="column">
                        <wp:posOffset>630238</wp:posOffset>
                      </wp:positionH>
                      <wp:positionV relativeFrom="paragraph">
                        <wp:posOffset>3887788</wp:posOffset>
                      </wp:positionV>
                      <wp:extent cx="1557338" cy="152400"/>
                      <wp:effectExtent l="0" t="0" r="5080" b="0"/>
                      <wp:wrapNone/>
                      <wp:docPr id="470062061" name="Прямокутник 10"/>
                      <wp:cNvGraphicFramePr/>
                      <a:graphic xmlns:a="http://schemas.openxmlformats.org/drawingml/2006/main">
                        <a:graphicData uri="http://schemas.microsoft.com/office/word/2010/wordprocessingShape">
                          <wps:wsp>
                            <wps:cNvSpPr/>
                            <wps:spPr>
                              <a:xfrm>
                                <a:off x="0" y="0"/>
                                <a:ext cx="1557338" cy="152400"/>
                              </a:xfrm>
                              <a:prstGeom prst="rect">
                                <a:avLst/>
                              </a:prstGeom>
                              <a:solidFill>
                                <a:srgbClr val="FCDFDE"/>
                              </a:solidFill>
                            </wps:spPr>
                            <wps:txbx>
                              <w:txbxContent>
                                <w:p w14:paraId="17048347" w14:textId="77777777" w:rsidR="009D0C1D" w:rsidRPr="00D77994" w:rsidRDefault="009D0C1D" w:rsidP="00CF0462">
                                  <w:pPr>
                                    <w:rPr>
                                      <w:rFonts w:cstheme="minorHAnsi"/>
                                      <w:b/>
                                      <w:bCs/>
                                      <w:color w:val="000000" w:themeColor="text1"/>
                                      <w:kern w:val="24"/>
                                      <w:sz w:val="11"/>
                                      <w:szCs w:val="11"/>
                                    </w:rPr>
                                  </w:pPr>
                                  <w:r w:rsidRPr="00D77994">
                                    <w:rPr>
                                      <w:b/>
                                      <w:color w:val="000000" w:themeColor="text1"/>
                                      <w:sz w:val="11"/>
                                      <w:szCs w:val="22"/>
                                    </w:rPr>
                                    <w:t>Низький ризик</w:t>
                                  </w:r>
                                  <w:r w:rsidRPr="00D77994">
                                    <w:rPr>
                                      <w:b/>
                                      <w:color w:val="0099D6"/>
                                      <w:sz w:val="11"/>
                                      <w:szCs w:val="22"/>
                                      <w:vertAlign w:val="superscript"/>
                                    </w:rPr>
                                    <w:t>f</w:t>
                                  </w:r>
                                  <w:r w:rsidRPr="00D77994">
                                    <w:rPr>
                                      <w:b/>
                                      <w:color w:val="0099D6"/>
                                      <w:sz w:val="11"/>
                                      <w:szCs w:val="22"/>
                                    </w:rPr>
                                    <w:t xml:space="preserve"> </w:t>
                                  </w:r>
                                  <w:r w:rsidRPr="00D77994">
                                    <w:rPr>
                                      <w:b/>
                                      <w:color w:val="000000" w:themeColor="text1"/>
                                      <w:sz w:val="11"/>
                                      <w:szCs w:val="22"/>
                                    </w:rPr>
                                    <w:t>резистентності до BDQ/CFZ</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E702822" id="_x0000_s1414" style="position:absolute;margin-left:49.65pt;margin-top:306.15pt;width:122.65pt;height: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" fillcolor="#fcdfde" stroked="f">
                      <v:textbox inset="0,0,0,0">
                        <w:txbxContent>
                          <w:p w14:paraId="17048347" w14:textId="77777777" w:rsidR="009D0C1D" w:rsidRPr="00D77994" w:rsidRDefault="009D0C1D" w:rsidP="00CF0462">
                            <w:pPr>
                              <w:rPr>
                                <w:rFonts w:cstheme="minorHAnsi"/>
                                <w:b/>
                                <w:bCs/>
                                <w:color w:val="000000" w:themeColor="text1"/>
                                <w:kern w:val="24"/>
                                <w:sz w:val="11"/>
                                <w:szCs w:val="11"/>
                              </w:rPr>
                            </w:pPr>
                            <w:r w:rsidRPr="00D77994">
                              <w:rPr>
                                <w:b/>
                                <w:color w:val="000000" w:themeColor="text1"/>
                                <w:sz w:val="11"/>
                                <w:szCs w:val="22"/>
                              </w:rPr>
                              <w:t>Низький ризик</w:t>
                            </w:r>
                            <w:r w:rsidRPr="00D77994">
                              <w:rPr>
                                <w:b/>
                                <w:color w:val="0099D6"/>
                                <w:sz w:val="11"/>
                                <w:szCs w:val="22"/>
                                <w:vertAlign w:val="superscript"/>
                              </w:rPr>
                              <w:t>f</w:t>
                            </w:r>
                            <w:r w:rsidRPr="00D77994">
                              <w:rPr>
                                <w:b/>
                                <w:color w:val="0099D6"/>
                                <w:sz w:val="11"/>
                                <w:szCs w:val="22"/>
                              </w:rPr>
                              <w:t xml:space="preserve"> </w:t>
                            </w:r>
                            <w:r w:rsidRPr="00D77994">
                              <w:rPr>
                                <w:b/>
                                <w:color w:val="000000" w:themeColor="text1"/>
                                <w:sz w:val="11"/>
                                <w:szCs w:val="22"/>
                              </w:rPr>
                              <w:t>резистентності до BDQ/CFZ</w:t>
                            </w:r>
                          </w:p>
                        </w:txbxContent>
                      </v:textbox>
                    </v:rect>
                  </w:pict>
                </mc:Fallback>
              </mc:AlternateContent>
            </w:r>
            <w:r>
              <w:rPr>
                <w:noProof/>
              </w:rPr>
              <mc:AlternateContent>
                <mc:Choice Requires="wps">
                  <w:drawing>
                    <wp:anchor distT="0" distB="0" distL="114300" distR="114300" simplePos="0" relativeHeight="251764736" behindDoc="0" locked="0" layoutInCell="1" allowOverlap="1" wp14:anchorId="4516E73E" wp14:editId="4E0AA1EB">
                      <wp:simplePos x="0" y="0"/>
                      <wp:positionH relativeFrom="column">
                        <wp:posOffset>2727643</wp:posOffset>
                      </wp:positionH>
                      <wp:positionV relativeFrom="paragraph">
                        <wp:posOffset>3902393</wp:posOffset>
                      </wp:positionV>
                      <wp:extent cx="1539240" cy="128587"/>
                      <wp:effectExtent l="0" t="0" r="3810" b="5080"/>
                      <wp:wrapNone/>
                      <wp:docPr id="659858036" name="Прямокутник 11"/>
                      <wp:cNvGraphicFramePr/>
                      <a:graphic xmlns:a="http://schemas.openxmlformats.org/drawingml/2006/main">
                        <a:graphicData uri="http://schemas.microsoft.com/office/word/2010/wordprocessingShape">
                          <wps:wsp>
                            <wps:cNvSpPr/>
                            <wps:spPr>
                              <a:xfrm>
                                <a:off x="0" y="0"/>
                                <a:ext cx="1539240" cy="128587"/>
                              </a:xfrm>
                              <a:prstGeom prst="rect">
                                <a:avLst/>
                              </a:prstGeom>
                              <a:solidFill>
                                <a:srgbClr val="F8A8A9"/>
                              </a:solidFill>
                            </wps:spPr>
                            <wps:txbx>
                              <w:txbxContent>
                                <w:p w14:paraId="232CE953" w14:textId="77777777" w:rsidR="009D0C1D" w:rsidRPr="00D77994" w:rsidRDefault="009D0C1D" w:rsidP="00CF0462">
                                  <w:pPr>
                                    <w:rPr>
                                      <w:rFonts w:cstheme="minorHAnsi"/>
                                      <w:b/>
                                      <w:bCs/>
                                      <w:color w:val="000000" w:themeColor="text1"/>
                                      <w:kern w:val="24"/>
                                      <w:sz w:val="11"/>
                                      <w:szCs w:val="11"/>
                                    </w:rPr>
                                  </w:pPr>
                                  <w:r w:rsidRPr="00D77994">
                                    <w:rPr>
                                      <w:b/>
                                      <w:color w:val="000000" w:themeColor="text1"/>
                                      <w:sz w:val="11"/>
                                      <w:szCs w:val="22"/>
                                    </w:rPr>
                                    <w:t>Високий ризик</w:t>
                                  </w:r>
                                  <w:r w:rsidRPr="00D77994">
                                    <w:rPr>
                                      <w:b/>
                                      <w:color w:val="0099D6"/>
                                      <w:sz w:val="11"/>
                                      <w:szCs w:val="22"/>
                                      <w:vertAlign w:val="superscript"/>
                                    </w:rPr>
                                    <w:t>f</w:t>
                                  </w:r>
                                  <w:r w:rsidRPr="00D77994">
                                    <w:rPr>
                                      <w:b/>
                                      <w:color w:val="0099D6"/>
                                      <w:sz w:val="11"/>
                                      <w:szCs w:val="22"/>
                                    </w:rPr>
                                    <w:t xml:space="preserve"> </w:t>
                                  </w:r>
                                  <w:r w:rsidRPr="00D77994">
                                    <w:rPr>
                                      <w:b/>
                                      <w:color w:val="000000" w:themeColor="text1"/>
                                      <w:sz w:val="11"/>
                                      <w:szCs w:val="22"/>
                                    </w:rPr>
                                    <w:t>резистентності до BDQ/CFZ</w:t>
                                  </w:r>
                                </w:p>
                              </w:txbxContent>
                            </wps:txbx>
                            <wps:bodyPr wrap="square" lIns="0" tIns="0" rIns="0" bIns="0">
                              <a:noAutofit/>
                            </wps:bodyPr>
                          </wps:wsp>
                        </a:graphicData>
                      </a:graphic>
                      <wp14:sizeRelV relativeFrom="margin">
                        <wp14:pctHeight>0</wp14:pctHeight>
                      </wp14:sizeRelV>
                    </wp:anchor>
                  </w:drawing>
                </mc:Choice>
                <mc:Fallback>
                  <w:pict>
                    <v:rect w14:anchorId="4516E73E" id="_x0000_s1415" style="position:absolute;margin-left:214.8pt;margin-top:307.3pt;width:121.2pt;height:10.1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" fillcolor="#f8a8a9" stroked="f">
                      <v:textbox inset="0,0,0,0">
                        <w:txbxContent>
                          <w:p w14:paraId="232CE953" w14:textId="77777777" w:rsidR="009D0C1D" w:rsidRPr="00D77994" w:rsidRDefault="009D0C1D" w:rsidP="00CF0462">
                            <w:pPr>
                              <w:rPr>
                                <w:rFonts w:cstheme="minorHAnsi"/>
                                <w:b/>
                                <w:bCs/>
                                <w:color w:val="000000" w:themeColor="text1"/>
                                <w:kern w:val="24"/>
                                <w:sz w:val="11"/>
                                <w:szCs w:val="11"/>
                              </w:rPr>
                            </w:pPr>
                            <w:r w:rsidRPr="00D77994">
                              <w:rPr>
                                <w:b/>
                                <w:color w:val="000000" w:themeColor="text1"/>
                                <w:sz w:val="11"/>
                                <w:szCs w:val="22"/>
                              </w:rPr>
                              <w:t>Високий ризик</w:t>
                            </w:r>
                            <w:r w:rsidRPr="00D77994">
                              <w:rPr>
                                <w:b/>
                                <w:color w:val="0099D6"/>
                                <w:sz w:val="11"/>
                                <w:szCs w:val="22"/>
                                <w:vertAlign w:val="superscript"/>
                              </w:rPr>
                              <w:t>f</w:t>
                            </w:r>
                            <w:r w:rsidRPr="00D77994">
                              <w:rPr>
                                <w:b/>
                                <w:color w:val="0099D6"/>
                                <w:sz w:val="11"/>
                                <w:szCs w:val="22"/>
                              </w:rPr>
                              <w:t xml:space="preserve"> </w:t>
                            </w:r>
                            <w:r w:rsidRPr="00D77994">
                              <w:rPr>
                                <w:b/>
                                <w:color w:val="000000" w:themeColor="text1"/>
                                <w:sz w:val="11"/>
                                <w:szCs w:val="22"/>
                              </w:rPr>
                              <w:t>резистентності до BDQ/CFZ</w:t>
                            </w:r>
                          </w:p>
                        </w:txbxContent>
                      </v:textbox>
                    </v:rect>
                  </w:pict>
                </mc:Fallback>
              </mc:AlternateContent>
            </w:r>
            <w:r>
              <w:rPr>
                <w:noProof/>
              </w:rPr>
              <mc:AlternateContent>
                <mc:Choice Requires="wps">
                  <w:drawing>
                    <wp:anchor distT="0" distB="0" distL="114300" distR="114300" simplePos="0" relativeHeight="251765760" behindDoc="0" locked="0" layoutInCell="1" allowOverlap="1" wp14:anchorId="3AAB43FA" wp14:editId="42BBF9CA">
                      <wp:simplePos x="0" y="0"/>
                      <wp:positionH relativeFrom="column">
                        <wp:posOffset>367030</wp:posOffset>
                      </wp:positionH>
                      <wp:positionV relativeFrom="paragraph">
                        <wp:posOffset>4425950</wp:posOffset>
                      </wp:positionV>
                      <wp:extent cx="264795" cy="209550"/>
                      <wp:effectExtent l="0" t="0" r="1905" b="0"/>
                      <wp:wrapNone/>
                      <wp:docPr id="996819639" name="Прямокутник 12"/>
                      <wp:cNvGraphicFramePr/>
                      <a:graphic xmlns:a="http://schemas.openxmlformats.org/drawingml/2006/main">
                        <a:graphicData uri="http://schemas.microsoft.com/office/word/2010/wordprocessingShape">
                          <wps:wsp>
                            <wps:cNvSpPr/>
                            <wps:spPr>
                              <a:xfrm>
                                <a:off x="0" y="0"/>
                                <a:ext cx="264795" cy="209550"/>
                              </a:xfrm>
                              <a:prstGeom prst="rect">
                                <a:avLst/>
                              </a:prstGeom>
                              <a:solidFill>
                                <a:srgbClr val="FDEAEC"/>
                              </a:solidFill>
                            </wps:spPr>
                            <wps:txbx>
                              <w:txbxContent>
                                <w:p w14:paraId="0CFFE747" w14:textId="77777777" w:rsidR="009D0C1D" w:rsidRPr="00D77994" w:rsidRDefault="009D0C1D" w:rsidP="00CF0462">
                                  <w:pPr>
                                    <w:spacing w:line="261" w:lineRule="auto"/>
                                    <w:jc w:val="center"/>
                                    <w:rPr>
                                      <w:rFonts w:cstheme="minorHAnsi"/>
                                      <w:b/>
                                      <w:bCs/>
                                      <w:color w:val="343433"/>
                                      <w:kern w:val="24"/>
                                      <w:sz w:val="11"/>
                                      <w:szCs w:val="11"/>
                                    </w:rPr>
                                  </w:pPr>
                                  <w:r w:rsidRPr="00D77994">
                                    <w:rPr>
                                      <w:b/>
                                      <w:color w:val="343433"/>
                                      <w:sz w:val="11"/>
                                      <w:szCs w:val="22"/>
                                    </w:rPr>
                                    <w:t xml:space="preserve">BDQ </w:t>
                                  </w:r>
                                  <w:r w:rsidRPr="00D77994">
                                    <w:rPr>
                                      <w:b/>
                                      <w:color w:val="0C8140"/>
                                      <w:sz w:val="11"/>
                                      <w:szCs w:val="22"/>
                                    </w:rPr>
                                    <w:t xml:space="preserve">S </w:t>
                                  </w:r>
                                  <w:r w:rsidRPr="00D77994">
                                    <w:rPr>
                                      <w:b/>
                                      <w:color w:val="343433"/>
                                      <w:sz w:val="11"/>
                                      <w:szCs w:val="22"/>
                                    </w:rPr>
                                    <w:t xml:space="preserve">FQ </w:t>
                                  </w:r>
                                  <w:r w:rsidRPr="00D77994">
                                    <w:rPr>
                                      <w:b/>
                                      <w:color w:val="0C8140"/>
                                      <w:sz w:val="11"/>
                                      <w:szCs w:val="22"/>
                                    </w:rPr>
                                    <w:t>S</w:t>
                                  </w:r>
                                </w:p>
                              </w:txbxContent>
                            </wps:txbx>
                            <wps:bodyPr wrap="square" lIns="0" tIns="0" rIns="0" bIns="0">
                              <a:noAutofit/>
                            </wps:bodyPr>
                          </wps:wsp>
                        </a:graphicData>
                      </a:graphic>
                    </wp:anchor>
                  </w:drawing>
                </mc:Choice>
                <mc:Fallback>
                  <w:pict>
                    <v:rect w14:anchorId="3AAB43FA" id="_x0000_s1416" style="position:absolute;margin-left:28.9pt;margin-top:348.5pt;width:20.85pt;height:16.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" fillcolor="#fdeaec" stroked="f">
                      <v:textbox inset="0,0,0,0">
                        <w:txbxContent>
                          <w:p w14:paraId="0CFFE747" w14:textId="77777777" w:rsidR="009D0C1D" w:rsidRPr="00D77994" w:rsidRDefault="009D0C1D" w:rsidP="00CF0462">
                            <w:pPr>
                              <w:spacing w:line="261" w:lineRule="auto"/>
                              <w:jc w:val="center"/>
                              <w:rPr>
                                <w:rFonts w:cstheme="minorHAnsi"/>
                                <w:b/>
                                <w:bCs/>
                                <w:color w:val="343433"/>
                                <w:kern w:val="24"/>
                                <w:sz w:val="11"/>
                                <w:szCs w:val="11"/>
                              </w:rPr>
                            </w:pPr>
                            <w:r w:rsidRPr="00D77994">
                              <w:rPr>
                                <w:b/>
                                <w:color w:val="343433"/>
                                <w:sz w:val="11"/>
                                <w:szCs w:val="22"/>
                              </w:rPr>
                              <w:t xml:space="preserve">BDQ </w:t>
                            </w:r>
                            <w:r w:rsidRPr="00D77994">
                              <w:rPr>
                                <w:b/>
                                <w:color w:val="0C8140"/>
                                <w:sz w:val="11"/>
                                <w:szCs w:val="22"/>
                              </w:rPr>
                              <w:t xml:space="preserve">S </w:t>
                            </w:r>
                            <w:r w:rsidRPr="00D77994">
                              <w:rPr>
                                <w:b/>
                                <w:color w:val="343433"/>
                                <w:sz w:val="11"/>
                                <w:szCs w:val="22"/>
                              </w:rPr>
                              <w:t xml:space="preserve">FQ </w:t>
                            </w:r>
                            <w:r w:rsidRPr="00D77994">
                              <w:rPr>
                                <w:b/>
                                <w:color w:val="0C8140"/>
                                <w:sz w:val="11"/>
                                <w:szCs w:val="22"/>
                              </w:rPr>
                              <w:t>S</w:t>
                            </w:r>
                          </w:p>
                        </w:txbxContent>
                      </v:textbox>
                    </v:rect>
                  </w:pict>
                </mc:Fallback>
              </mc:AlternateContent>
            </w:r>
            <w:r>
              <w:rPr>
                <w:noProof/>
              </w:rPr>
              <mc:AlternateContent>
                <mc:Choice Requires="wps">
                  <w:drawing>
                    <wp:anchor distT="0" distB="0" distL="114300" distR="114300" simplePos="0" relativeHeight="251772928" behindDoc="0" locked="0" layoutInCell="1" allowOverlap="1" wp14:anchorId="316AD9A1" wp14:editId="63260EBD">
                      <wp:simplePos x="0" y="0"/>
                      <wp:positionH relativeFrom="column">
                        <wp:posOffset>2165350</wp:posOffset>
                      </wp:positionH>
                      <wp:positionV relativeFrom="paragraph">
                        <wp:posOffset>5012055</wp:posOffset>
                      </wp:positionV>
                      <wp:extent cx="843915" cy="685800"/>
                      <wp:effectExtent l="0" t="0" r="0" b="0"/>
                      <wp:wrapNone/>
                      <wp:docPr id="1973508627" name="Прямокутник 19"/>
                      <wp:cNvGraphicFramePr/>
                      <a:graphic xmlns:a="http://schemas.openxmlformats.org/drawingml/2006/main">
                        <a:graphicData uri="http://schemas.microsoft.com/office/word/2010/wordprocessingShape">
                          <wps:wsp>
                            <wps:cNvSpPr/>
                            <wps:spPr>
                              <a:xfrm>
                                <a:off x="0" y="0"/>
                                <a:ext cx="843915" cy="685800"/>
                              </a:xfrm>
                              <a:prstGeom prst="rect">
                                <a:avLst/>
                              </a:prstGeom>
                              <a:solidFill>
                                <a:srgbClr val="CEBDD0"/>
                              </a:solidFill>
                            </wps:spPr>
                            <wps:txbx>
                              <w:txbxContent>
                                <w:p w14:paraId="1793ED11" w14:textId="77777777" w:rsidR="009D0C1D" w:rsidRPr="00D77994" w:rsidRDefault="009D0C1D" w:rsidP="00CF0462">
                                  <w:pPr>
                                    <w:spacing w:line="290" w:lineRule="auto"/>
                                    <w:jc w:val="center"/>
                                    <w:rPr>
                                      <w:rFonts w:cstheme="minorHAnsi"/>
                                      <w:b/>
                                      <w:bCs/>
                                      <w:color w:val="343433"/>
                                      <w:kern w:val="24"/>
                                      <w:sz w:val="10"/>
                                      <w:szCs w:val="10"/>
                                    </w:rPr>
                                  </w:pPr>
                                  <w:r w:rsidRPr="00D77994">
                                    <w:rPr>
                                      <w:b/>
                                      <w:color w:val="343433"/>
                                      <w:sz w:val="10"/>
                                      <w:szCs w:val="22"/>
                                    </w:rPr>
                                    <w:t>Повторити цСНП, обговорити лікування з місцевим комітетом з лікування ЛС-ТБ. Провести фТМЧ та скоригувати його відповідним чином.</w:t>
                                  </w:r>
                                </w:p>
                              </w:txbxContent>
                            </wps:txbx>
                            <wps:bodyPr wrap="square" lIns="0" tIns="0" rIns="0" bIns="0">
                              <a:noAutofit/>
                            </wps:bodyPr>
                          </wps:wsp>
                        </a:graphicData>
                      </a:graphic>
                      <wp14:sizeRelV relativeFrom="margin">
                        <wp14:pctHeight>0</wp14:pctHeight>
                      </wp14:sizeRelV>
                    </wp:anchor>
                  </w:drawing>
                </mc:Choice>
                <mc:Fallback>
                  <w:pict>
                    <v:rect w14:anchorId="316AD9A1" id="_x0000_s1417" style="position:absolute;margin-left:170.5pt;margin-top:394.65pt;width:66.45pt;height:54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" fillcolor="#cebdd0" stroked="f">
                      <v:textbox inset="0,0,0,0">
                        <w:txbxContent>
                          <w:p w14:paraId="1793ED11" w14:textId="77777777" w:rsidR="009D0C1D" w:rsidRPr="00D77994" w:rsidRDefault="009D0C1D" w:rsidP="00CF0462">
                            <w:pPr>
                              <w:spacing w:line="290" w:lineRule="auto"/>
                              <w:jc w:val="center"/>
                              <w:rPr>
                                <w:rFonts w:cstheme="minorHAnsi"/>
                                <w:b/>
                                <w:bCs/>
                                <w:color w:val="343433"/>
                                <w:kern w:val="24"/>
                                <w:sz w:val="10"/>
                                <w:szCs w:val="10"/>
                              </w:rPr>
                            </w:pPr>
                            <w:r w:rsidRPr="00D77994">
                              <w:rPr>
                                <w:b/>
                                <w:color w:val="343433"/>
                                <w:sz w:val="10"/>
                                <w:szCs w:val="22"/>
                              </w:rPr>
                              <w:t>Повторити цСНП, обговорити лікування з місцевим комітетом з лікування ЛС-ТБ. Провести фТМЧ та скоригувати його відповідним чином.</w:t>
                            </w:r>
                          </w:p>
                        </w:txbxContent>
                      </v:textbox>
                    </v:rect>
                  </w:pict>
                </mc:Fallback>
              </mc:AlternateContent>
            </w:r>
            <w:r>
              <w:rPr>
                <w:noProof/>
              </w:rPr>
              <mc:AlternateContent>
                <mc:Choice Requires="wps">
                  <w:drawing>
                    <wp:anchor distT="0" distB="0" distL="114300" distR="114300" simplePos="0" relativeHeight="251770880" behindDoc="0" locked="0" layoutInCell="1" allowOverlap="1" wp14:anchorId="2E89739D" wp14:editId="5C896FD9">
                      <wp:simplePos x="0" y="0"/>
                      <wp:positionH relativeFrom="column">
                        <wp:posOffset>217804</wp:posOffset>
                      </wp:positionH>
                      <wp:positionV relativeFrom="paragraph">
                        <wp:posOffset>5173980</wp:posOffset>
                      </wp:positionV>
                      <wp:extent cx="595313" cy="438785"/>
                      <wp:effectExtent l="0" t="0" r="0" b="0"/>
                      <wp:wrapNone/>
                      <wp:docPr id="1874606438" name="Прямокутник 17"/>
                      <wp:cNvGraphicFramePr/>
                      <a:graphic xmlns:a="http://schemas.openxmlformats.org/drawingml/2006/main">
                        <a:graphicData uri="http://schemas.microsoft.com/office/word/2010/wordprocessingShape">
                          <wps:wsp>
                            <wps:cNvSpPr/>
                            <wps:spPr>
                              <a:xfrm>
                                <a:off x="0" y="0"/>
                                <a:ext cx="595313" cy="438785"/>
                              </a:xfrm>
                              <a:prstGeom prst="rect">
                                <a:avLst/>
                              </a:prstGeom>
                              <a:solidFill>
                                <a:srgbClr val="CEBDD0"/>
                              </a:solidFill>
                            </wps:spPr>
                            <wps:txbx>
                              <w:txbxContent>
                                <w:p w14:paraId="274DD2CB" w14:textId="77777777" w:rsidR="009D0C1D" w:rsidRPr="00D77994" w:rsidRDefault="009D0C1D" w:rsidP="00CF0462">
                                  <w:pPr>
                                    <w:spacing w:line="292" w:lineRule="auto"/>
                                    <w:jc w:val="center"/>
                                    <w:rPr>
                                      <w:rFonts w:cstheme="minorHAnsi"/>
                                      <w:b/>
                                      <w:bCs/>
                                      <w:color w:val="343433"/>
                                      <w:kern w:val="24"/>
                                      <w:sz w:val="10"/>
                                      <w:szCs w:val="10"/>
                                    </w:rPr>
                                  </w:pPr>
                                  <w:r w:rsidRPr="00D77994">
                                    <w:rPr>
                                      <w:b/>
                                      <w:color w:val="343433"/>
                                      <w:sz w:val="10"/>
                                      <w:szCs w:val="22"/>
                                    </w:rPr>
                                    <w:t>Обрати 6- або 9-місячну схему</w:t>
                                  </w:r>
                                </w:p>
                              </w:txbxContent>
                            </wps:txbx>
                            <wps:bodyPr wrap="square" lIns="0" tIns="0" rIns="0" bIns="0">
                              <a:noAutofit/>
                            </wps:bodyPr>
                          </wps:wsp>
                        </a:graphicData>
                      </a:graphic>
                      <wp14:sizeRelH relativeFrom="margin">
                        <wp14:pctWidth>0</wp14:pctWidth>
                      </wp14:sizeRelH>
                    </wp:anchor>
                  </w:drawing>
                </mc:Choice>
                <mc:Fallback>
                  <w:pict>
                    <v:rect w14:anchorId="2E89739D" id="_x0000_s1418" style="position:absolute;margin-left:17.15pt;margin-top:407.4pt;width:46.9pt;height:34.5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" fillcolor="#cebdd0" stroked="f">
                      <v:textbox inset="0,0,0,0">
                        <w:txbxContent>
                          <w:p w14:paraId="274DD2CB" w14:textId="77777777" w:rsidR="009D0C1D" w:rsidRPr="00D77994" w:rsidRDefault="009D0C1D" w:rsidP="00CF0462">
                            <w:pPr>
                              <w:spacing w:line="292" w:lineRule="auto"/>
                              <w:jc w:val="center"/>
                              <w:rPr>
                                <w:rFonts w:cstheme="minorHAnsi"/>
                                <w:b/>
                                <w:bCs/>
                                <w:color w:val="343433"/>
                                <w:kern w:val="24"/>
                                <w:sz w:val="10"/>
                                <w:szCs w:val="10"/>
                              </w:rPr>
                            </w:pPr>
                            <w:r w:rsidRPr="00D77994">
                              <w:rPr>
                                <w:b/>
                                <w:color w:val="343433"/>
                                <w:sz w:val="10"/>
                                <w:szCs w:val="22"/>
                              </w:rPr>
                              <w:t>Обрати 6- або 9-місячну схему</w:t>
                            </w:r>
                          </w:p>
                        </w:txbxContent>
                      </v:textbox>
                    </v:rect>
                  </w:pict>
                </mc:Fallback>
              </mc:AlternateContent>
            </w:r>
            <w:r>
              <w:rPr>
                <w:noProof/>
              </w:rPr>
              <mc:AlternateContent>
                <mc:Choice Requires="wps">
                  <w:drawing>
                    <wp:anchor distT="0" distB="0" distL="114300" distR="114300" simplePos="0" relativeHeight="251771904" behindDoc="0" locked="0" layoutInCell="1" allowOverlap="1" wp14:anchorId="2D103E37" wp14:editId="357B863A">
                      <wp:simplePos x="0" y="0"/>
                      <wp:positionH relativeFrom="column">
                        <wp:posOffset>1051243</wp:posOffset>
                      </wp:positionH>
                      <wp:positionV relativeFrom="paragraph">
                        <wp:posOffset>5012055</wp:posOffset>
                      </wp:positionV>
                      <wp:extent cx="731520" cy="719138"/>
                      <wp:effectExtent l="0" t="0" r="0" b="5080"/>
                      <wp:wrapNone/>
                      <wp:docPr id="964110326" name="Прямокутник 18"/>
                      <wp:cNvGraphicFramePr/>
                      <a:graphic xmlns:a="http://schemas.openxmlformats.org/drawingml/2006/main">
                        <a:graphicData uri="http://schemas.microsoft.com/office/word/2010/wordprocessingShape">
                          <wps:wsp>
                            <wps:cNvSpPr/>
                            <wps:spPr>
                              <a:xfrm>
                                <a:off x="0" y="0"/>
                                <a:ext cx="731520" cy="719138"/>
                              </a:xfrm>
                              <a:prstGeom prst="rect">
                                <a:avLst/>
                              </a:prstGeom>
                              <a:solidFill>
                                <a:srgbClr val="CEBDD0"/>
                              </a:solidFill>
                            </wps:spPr>
                            <wps:txbx>
                              <w:txbxContent>
                                <w:p w14:paraId="6F9C6F23" w14:textId="77777777" w:rsidR="009D0C1D" w:rsidRPr="00D77994" w:rsidRDefault="009D0C1D" w:rsidP="00CF0462">
                                  <w:pPr>
                                    <w:spacing w:line="292" w:lineRule="auto"/>
                                    <w:jc w:val="center"/>
                                    <w:rPr>
                                      <w:rFonts w:cstheme="minorHAnsi"/>
                                      <w:b/>
                                      <w:bCs/>
                                      <w:color w:val="343433"/>
                                      <w:kern w:val="24"/>
                                      <w:sz w:val="10"/>
                                      <w:szCs w:val="10"/>
                                    </w:rPr>
                                  </w:pPr>
                                  <w:r w:rsidRPr="00D77994">
                                    <w:rPr>
                                      <w:b/>
                                      <w:color w:val="343433"/>
                                      <w:sz w:val="10"/>
                                      <w:szCs w:val="22"/>
                                    </w:rPr>
                                    <w:t>Ввести 6-місячну схему: BPaL або</w:t>
                                  </w:r>
                                </w:p>
                                <w:p w14:paraId="5F609729" w14:textId="77777777" w:rsidR="009D0C1D" w:rsidRPr="00D77994" w:rsidRDefault="009D0C1D" w:rsidP="00CF0462">
                                  <w:pPr>
                                    <w:spacing w:line="292" w:lineRule="auto"/>
                                    <w:jc w:val="center"/>
                                    <w:rPr>
                                      <w:rFonts w:cstheme="minorHAnsi"/>
                                      <w:b/>
                                      <w:bCs/>
                                      <w:color w:val="343433"/>
                                      <w:kern w:val="24"/>
                                      <w:sz w:val="10"/>
                                      <w:szCs w:val="10"/>
                                    </w:rPr>
                                  </w:pPr>
                                  <w:r w:rsidRPr="00D77994">
                                    <w:rPr>
                                      <w:b/>
                                      <w:color w:val="343433"/>
                                      <w:sz w:val="10"/>
                                      <w:szCs w:val="22"/>
                                    </w:rPr>
                                    <w:t>BDLC у разі чутливості до LZD Не вводьте 9-місячні схеми</w:t>
                                  </w:r>
                                </w:p>
                              </w:txbxContent>
                            </wps:txbx>
                            <wps:bodyPr wrap="square" lIns="0" tIns="0" rIns="0" bIns="0">
                              <a:noAutofit/>
                            </wps:bodyPr>
                          </wps:wsp>
                        </a:graphicData>
                      </a:graphic>
                      <wp14:sizeRelV relativeFrom="margin">
                        <wp14:pctHeight>0</wp14:pctHeight>
                      </wp14:sizeRelV>
                    </wp:anchor>
                  </w:drawing>
                </mc:Choice>
                <mc:Fallback>
                  <w:pict>
                    <v:rect w14:anchorId="2D103E37" id="_x0000_s1419" style="position:absolute;margin-left:82.8pt;margin-top:394.65pt;width:57.6pt;height:56.6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" fillcolor="#cebdd0" stroked="f">
                      <v:textbox inset="0,0,0,0">
                        <w:txbxContent>
                          <w:p w14:paraId="6F9C6F23" w14:textId="77777777" w:rsidR="009D0C1D" w:rsidRPr="00D77994" w:rsidRDefault="009D0C1D" w:rsidP="00CF0462">
                            <w:pPr>
                              <w:spacing w:line="292" w:lineRule="auto"/>
                              <w:jc w:val="center"/>
                              <w:rPr>
                                <w:rFonts w:cstheme="minorHAnsi"/>
                                <w:b/>
                                <w:bCs/>
                                <w:color w:val="343433"/>
                                <w:kern w:val="24"/>
                                <w:sz w:val="10"/>
                                <w:szCs w:val="10"/>
                              </w:rPr>
                            </w:pPr>
                            <w:r w:rsidRPr="00D77994">
                              <w:rPr>
                                <w:b/>
                                <w:color w:val="343433"/>
                                <w:sz w:val="10"/>
                                <w:szCs w:val="22"/>
                              </w:rPr>
                              <w:t>Ввести 6-місячну схему: BPaL або</w:t>
                            </w:r>
                          </w:p>
                          <w:p w14:paraId="5F609729" w14:textId="77777777" w:rsidR="009D0C1D" w:rsidRPr="00D77994" w:rsidRDefault="009D0C1D" w:rsidP="00CF0462">
                            <w:pPr>
                              <w:spacing w:line="292" w:lineRule="auto"/>
                              <w:jc w:val="center"/>
                              <w:rPr>
                                <w:rFonts w:cstheme="minorHAnsi"/>
                                <w:b/>
                                <w:bCs/>
                                <w:color w:val="343433"/>
                                <w:kern w:val="24"/>
                                <w:sz w:val="10"/>
                                <w:szCs w:val="10"/>
                              </w:rPr>
                            </w:pPr>
                            <w:r w:rsidRPr="00D77994">
                              <w:rPr>
                                <w:b/>
                                <w:color w:val="343433"/>
                                <w:sz w:val="10"/>
                                <w:szCs w:val="22"/>
                              </w:rPr>
                              <w:t>BDLC у разі чутливості до LZD Не вводьте 9-місячні схеми</w:t>
                            </w:r>
                          </w:p>
                        </w:txbxContent>
                      </v:textbox>
                    </v:rect>
                  </w:pict>
                </mc:Fallback>
              </mc:AlternateContent>
            </w:r>
            <w:r>
              <w:rPr>
                <w:noProof/>
              </w:rPr>
              <mc:AlternateContent>
                <mc:Choice Requires="wps">
                  <w:drawing>
                    <wp:anchor distT="0" distB="0" distL="114300" distR="114300" simplePos="0" relativeHeight="251773952" behindDoc="0" locked="0" layoutInCell="1" allowOverlap="1" wp14:anchorId="0B5BB414" wp14:editId="162CB88E">
                      <wp:simplePos x="0" y="0"/>
                      <wp:positionH relativeFrom="column">
                        <wp:posOffset>3408679</wp:posOffset>
                      </wp:positionH>
                      <wp:positionV relativeFrom="paragraph">
                        <wp:posOffset>5012055</wp:posOffset>
                      </wp:positionV>
                      <wp:extent cx="942975" cy="781050"/>
                      <wp:effectExtent l="0" t="0" r="9525" b="0"/>
                      <wp:wrapNone/>
                      <wp:docPr id="316310268" name="Прямокутник 20"/>
                      <wp:cNvGraphicFramePr/>
                      <a:graphic xmlns:a="http://schemas.openxmlformats.org/drawingml/2006/main">
                        <a:graphicData uri="http://schemas.microsoft.com/office/word/2010/wordprocessingShape">
                          <wps:wsp>
                            <wps:cNvSpPr/>
                            <wps:spPr>
                              <a:xfrm>
                                <a:off x="0" y="0"/>
                                <a:ext cx="942975" cy="781050"/>
                              </a:xfrm>
                              <a:prstGeom prst="rect">
                                <a:avLst/>
                              </a:prstGeom>
                              <a:solidFill>
                                <a:srgbClr val="CEBDD0"/>
                              </a:solidFill>
                            </wps:spPr>
                            <wps:txbx>
                              <w:txbxContent>
                                <w:p w14:paraId="42E50546" w14:textId="77777777" w:rsidR="009D0C1D" w:rsidRPr="00D77994" w:rsidRDefault="009D0C1D" w:rsidP="00CF0462">
                                  <w:pPr>
                                    <w:spacing w:line="290" w:lineRule="auto"/>
                                    <w:jc w:val="center"/>
                                    <w:rPr>
                                      <w:rFonts w:cstheme="minorHAnsi"/>
                                      <w:b/>
                                      <w:bCs/>
                                      <w:color w:val="343433"/>
                                      <w:kern w:val="24"/>
                                      <w:sz w:val="10"/>
                                      <w:szCs w:val="10"/>
                                    </w:rPr>
                                  </w:pPr>
                                  <w:r w:rsidRPr="00D77994">
                                    <w:rPr>
                                      <w:b/>
                                      <w:color w:val="343433"/>
                                      <w:sz w:val="10"/>
                                      <w:szCs w:val="22"/>
                                    </w:rPr>
                                    <w:t>Перевести особу на індивідуальну схему Використовувати результати цСНП для повідомлення про вибір лікарського засобу. За необхідності, скоригувати схему відповідно до результатів фТМЧ</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B5BB414" id="_x0000_s1420" style="position:absolute;margin-left:268.4pt;margin-top:394.65pt;width:74.25pt;height:6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" fillcolor="#cebdd0" stroked="f">
                      <v:textbox inset="0,0,0,0">
                        <w:txbxContent>
                          <w:p w14:paraId="42E50546" w14:textId="77777777" w:rsidR="009D0C1D" w:rsidRPr="00D77994" w:rsidRDefault="009D0C1D" w:rsidP="00CF0462">
                            <w:pPr>
                              <w:spacing w:line="290" w:lineRule="auto"/>
                              <w:jc w:val="center"/>
                              <w:rPr>
                                <w:rFonts w:cstheme="minorHAnsi"/>
                                <w:b/>
                                <w:bCs/>
                                <w:color w:val="343433"/>
                                <w:kern w:val="24"/>
                                <w:sz w:val="10"/>
                                <w:szCs w:val="10"/>
                              </w:rPr>
                            </w:pPr>
                            <w:r w:rsidRPr="00D77994">
                              <w:rPr>
                                <w:b/>
                                <w:color w:val="343433"/>
                                <w:sz w:val="10"/>
                                <w:szCs w:val="22"/>
                              </w:rPr>
                              <w:t>Перевести особу на індивідуальну схему Використовувати результати цСНП для повідомлення про вибір лікарського засобу. За необхідності, скоригувати схему відповідно до результатів фТМЧ</w:t>
                            </w:r>
                          </w:p>
                        </w:txbxContent>
                      </v:textbox>
                    </v:rect>
                  </w:pict>
                </mc:Fallback>
              </mc:AlternateContent>
            </w:r>
            <w:r>
              <w:rPr>
                <w:noProof/>
              </w:rPr>
              <mc:AlternateContent>
                <mc:Choice Requires="wps">
                  <w:drawing>
                    <wp:anchor distT="0" distB="0" distL="114300" distR="114300" simplePos="0" relativeHeight="251781120" behindDoc="0" locked="0" layoutInCell="1" allowOverlap="1" wp14:anchorId="29CE2C6A" wp14:editId="13DC29DB">
                      <wp:simplePos x="0" y="0"/>
                      <wp:positionH relativeFrom="column">
                        <wp:posOffset>4651693</wp:posOffset>
                      </wp:positionH>
                      <wp:positionV relativeFrom="paragraph">
                        <wp:posOffset>5531168</wp:posOffset>
                      </wp:positionV>
                      <wp:extent cx="2767330" cy="371475"/>
                      <wp:effectExtent l="0" t="0" r="0" b="9525"/>
                      <wp:wrapNone/>
                      <wp:docPr id="2099806761" name="Прямокутник 27"/>
                      <wp:cNvGraphicFramePr/>
                      <a:graphic xmlns:a="http://schemas.openxmlformats.org/drawingml/2006/main">
                        <a:graphicData uri="http://schemas.microsoft.com/office/word/2010/wordprocessingShape">
                          <wps:wsp>
                            <wps:cNvSpPr/>
                            <wps:spPr>
                              <a:xfrm>
                                <a:off x="0" y="0"/>
                                <a:ext cx="2767330" cy="371475"/>
                              </a:xfrm>
                              <a:prstGeom prst="rect">
                                <a:avLst/>
                              </a:prstGeom>
                              <a:solidFill>
                                <a:srgbClr val="C0A9C3"/>
                              </a:solidFill>
                            </wps:spPr>
                            <wps:txbx>
                              <w:txbxContent>
                                <w:p w14:paraId="10B4CC97" w14:textId="77777777" w:rsidR="009D0C1D" w:rsidRPr="00D77994" w:rsidRDefault="009D0C1D" w:rsidP="00CF0462">
                                  <w:pPr>
                                    <w:spacing w:line="285" w:lineRule="auto"/>
                                    <w:jc w:val="center"/>
                                    <w:rPr>
                                      <w:rFonts w:cstheme="minorHAnsi"/>
                                      <w:b/>
                                      <w:bCs/>
                                      <w:color w:val="343433"/>
                                      <w:kern w:val="24"/>
                                      <w:sz w:val="11"/>
                                      <w:szCs w:val="11"/>
                                    </w:rPr>
                                  </w:pPr>
                                  <w:r w:rsidRPr="00D77994">
                                    <w:rPr>
                                      <w:b/>
                                      <w:color w:val="343433"/>
                                      <w:sz w:val="11"/>
                                      <w:szCs w:val="22"/>
                                    </w:rPr>
                                    <w:t>Провести додаткове фенотипове та генотипове ТМЧ, включаючи ПГС, відповідно до національних керівних принципів Переглянути схему лікування на основі додаткових результатів ТМЧ</w:t>
                                  </w:r>
                                </w:p>
                              </w:txbxContent>
                            </wps:txbx>
                            <wps:bodyPr wrap="square" lIns="0" tIns="0" rIns="0" bIns="0">
                              <a:noAutofit/>
                            </wps:bodyPr>
                          </wps:wsp>
                        </a:graphicData>
                      </a:graphic>
                      <wp14:sizeRelV relativeFrom="margin">
                        <wp14:pctHeight>0</wp14:pctHeight>
                      </wp14:sizeRelV>
                    </wp:anchor>
                  </w:drawing>
                </mc:Choice>
                <mc:Fallback>
                  <w:pict>
                    <v:rect w14:anchorId="29CE2C6A" id="_x0000_s1421" style="position:absolute;margin-left:366.3pt;margin-top:435.55pt;width:217.9pt;height:29.2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" fillcolor="#c0a9c3" stroked="f">
                      <v:textbox inset="0,0,0,0">
                        <w:txbxContent>
                          <w:p w14:paraId="10B4CC97" w14:textId="77777777" w:rsidR="009D0C1D" w:rsidRPr="00D77994" w:rsidRDefault="009D0C1D" w:rsidP="00CF0462">
                            <w:pPr>
                              <w:spacing w:line="285" w:lineRule="auto"/>
                              <w:jc w:val="center"/>
                              <w:rPr>
                                <w:rFonts w:cstheme="minorHAnsi"/>
                                <w:b/>
                                <w:bCs/>
                                <w:color w:val="343433"/>
                                <w:kern w:val="24"/>
                                <w:sz w:val="11"/>
                                <w:szCs w:val="11"/>
                              </w:rPr>
                            </w:pPr>
                            <w:r w:rsidRPr="00D77994">
                              <w:rPr>
                                <w:b/>
                                <w:color w:val="343433"/>
                                <w:sz w:val="11"/>
                                <w:szCs w:val="22"/>
                              </w:rPr>
                              <w:t>Провести додаткове фенотипове та генотипове ТМЧ, включаючи ПГС, відповідно до національних керівних принципів Переглянути схему лікування на основі додаткових результатів ТМЧ</w:t>
                            </w:r>
                          </w:p>
                        </w:txbxContent>
                      </v:textbox>
                    </v:rect>
                  </w:pict>
                </mc:Fallback>
              </mc:AlternateContent>
            </w:r>
            <w:r>
              <w:rPr>
                <w:noProof/>
              </w:rPr>
              <mc:AlternateContent>
                <mc:Choice Requires="wps">
                  <w:drawing>
                    <wp:anchor distT="0" distB="0" distL="114300" distR="114300" simplePos="0" relativeHeight="251777024" behindDoc="0" locked="0" layoutInCell="1" allowOverlap="1" wp14:anchorId="304784FA" wp14:editId="1013A68C">
                      <wp:simplePos x="0" y="0"/>
                      <wp:positionH relativeFrom="column">
                        <wp:posOffset>6251893</wp:posOffset>
                      </wp:positionH>
                      <wp:positionV relativeFrom="paragraph">
                        <wp:posOffset>1945005</wp:posOffset>
                      </wp:positionV>
                      <wp:extent cx="1376997" cy="226695"/>
                      <wp:effectExtent l="0" t="0" r="0" b="1905"/>
                      <wp:wrapNone/>
                      <wp:docPr id="1520855489" name="Прямокутник 23"/>
                      <wp:cNvGraphicFramePr/>
                      <a:graphic xmlns:a="http://schemas.openxmlformats.org/drawingml/2006/main">
                        <a:graphicData uri="http://schemas.microsoft.com/office/word/2010/wordprocessingShape">
                          <wps:wsp>
                            <wps:cNvSpPr/>
                            <wps:spPr>
                              <a:xfrm>
                                <a:off x="0" y="0"/>
                                <a:ext cx="1376997" cy="226695"/>
                              </a:xfrm>
                              <a:prstGeom prst="rect">
                                <a:avLst/>
                              </a:prstGeom>
                              <a:solidFill>
                                <a:srgbClr val="8FAFD8"/>
                              </a:solidFill>
                            </wps:spPr>
                            <wps:txbx>
                              <w:txbxContent>
                                <w:p w14:paraId="05BBCB5F" w14:textId="77777777" w:rsidR="009D0C1D" w:rsidRPr="00D77994" w:rsidRDefault="009D0C1D" w:rsidP="00CF0462">
                                  <w:pPr>
                                    <w:spacing w:line="285" w:lineRule="auto"/>
                                    <w:jc w:val="center"/>
                                    <w:rPr>
                                      <w:rFonts w:cstheme="minorHAnsi"/>
                                      <w:b/>
                                      <w:bCs/>
                                      <w:color w:val="343433"/>
                                      <w:kern w:val="24"/>
                                      <w:sz w:val="9"/>
                                      <w:szCs w:val="9"/>
                                    </w:rPr>
                                  </w:pPr>
                                  <w:r w:rsidRPr="00D77994">
                                    <w:rPr>
                                      <w:b/>
                                      <w:color w:val="343433"/>
                                      <w:sz w:val="9"/>
                                      <w:szCs w:val="20"/>
                                    </w:rPr>
                                    <w:t>Провести фенотипове ТМЧ на основі результатів цільового СНП</w:t>
                                  </w:r>
                                </w:p>
                              </w:txbxContent>
                            </wps:txbx>
                            <wps:bodyPr wrap="square" lIns="0" tIns="0" rIns="0" bIns="0">
                              <a:noAutofit/>
                            </wps:bodyPr>
                          </wps:wsp>
                        </a:graphicData>
                      </a:graphic>
                      <wp14:sizeRelH relativeFrom="margin">
                        <wp14:pctWidth>0</wp14:pctWidth>
                      </wp14:sizeRelH>
                    </wp:anchor>
                  </w:drawing>
                </mc:Choice>
                <mc:Fallback>
                  <w:pict>
                    <v:rect w14:anchorId="304784FA" id="_x0000_s1422" style="position:absolute;margin-left:492.3pt;margin-top:153.15pt;width:108.4pt;height:17.8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" fillcolor="#8fafd8" stroked="f">
                      <v:textbox inset="0,0,0,0">
                        <w:txbxContent>
                          <w:p w14:paraId="05BBCB5F" w14:textId="77777777" w:rsidR="009D0C1D" w:rsidRPr="00D77994" w:rsidRDefault="009D0C1D" w:rsidP="00CF0462">
                            <w:pPr>
                              <w:spacing w:line="285" w:lineRule="auto"/>
                              <w:jc w:val="center"/>
                              <w:rPr>
                                <w:rFonts w:cstheme="minorHAnsi"/>
                                <w:b/>
                                <w:bCs/>
                                <w:color w:val="343433"/>
                                <w:kern w:val="24"/>
                                <w:sz w:val="9"/>
                                <w:szCs w:val="9"/>
                              </w:rPr>
                            </w:pPr>
                            <w:r w:rsidRPr="00D77994">
                              <w:rPr>
                                <w:b/>
                                <w:color w:val="343433"/>
                                <w:sz w:val="9"/>
                                <w:szCs w:val="20"/>
                              </w:rPr>
                              <w:t>Провести фенотипове ТМЧ на основі результатів цільового СНП</w:t>
                            </w:r>
                          </w:p>
                        </w:txbxContent>
                      </v:textbox>
                    </v:rect>
                  </w:pict>
                </mc:Fallback>
              </mc:AlternateContent>
            </w:r>
            <w:r>
              <w:rPr>
                <w:noProof/>
              </w:rPr>
              <mc:AlternateContent>
                <mc:Choice Requires="wps">
                  <w:drawing>
                    <wp:anchor distT="0" distB="0" distL="114300" distR="114300" simplePos="0" relativeHeight="251757568" behindDoc="0" locked="0" layoutInCell="1" allowOverlap="1" wp14:anchorId="045D338B" wp14:editId="01970184">
                      <wp:simplePos x="0" y="0"/>
                      <wp:positionH relativeFrom="column">
                        <wp:posOffset>7604443</wp:posOffset>
                      </wp:positionH>
                      <wp:positionV relativeFrom="paragraph">
                        <wp:posOffset>68580</wp:posOffset>
                      </wp:positionV>
                      <wp:extent cx="571500" cy="114935"/>
                      <wp:effectExtent l="0" t="0" r="0" b="0"/>
                      <wp:wrapNone/>
                      <wp:docPr id="1749903012" name="Прямокутник 4"/>
                      <wp:cNvGraphicFramePr/>
                      <a:graphic xmlns:a="http://schemas.openxmlformats.org/drawingml/2006/main">
                        <a:graphicData uri="http://schemas.microsoft.com/office/word/2010/wordprocessingShape">
                          <wps:wsp>
                            <wps:cNvSpPr/>
                            <wps:spPr>
                              <a:xfrm>
                                <a:off x="0" y="0"/>
                                <a:ext cx="571500" cy="114935"/>
                              </a:xfrm>
                              <a:prstGeom prst="rect">
                                <a:avLst/>
                              </a:prstGeom>
                              <a:solidFill>
                                <a:srgbClr val="CB2434"/>
                              </a:solidFill>
                            </wps:spPr>
                            <wps:txbx>
                              <w:txbxContent>
                                <w:p w14:paraId="1E89F0AE" w14:textId="77777777" w:rsidR="009D0C1D" w:rsidRPr="00D77994" w:rsidRDefault="009D0C1D" w:rsidP="00CF0462">
                                  <w:pPr>
                                    <w:rPr>
                                      <w:rFonts w:cstheme="minorHAnsi"/>
                                      <w:b/>
                                      <w:bCs/>
                                      <w:color w:val="FFFFFF" w:themeColor="background1"/>
                                      <w:kern w:val="24"/>
                                      <w:sz w:val="11"/>
                                      <w:szCs w:val="11"/>
                                    </w:rPr>
                                  </w:pPr>
                                  <w:r w:rsidRPr="00D77994">
                                    <w:rPr>
                                      <w:b/>
                                      <w:color w:val="FFFFFF" w:themeColor="background1"/>
                                      <w:sz w:val="11"/>
                                      <w:szCs w:val="20"/>
                                    </w:rPr>
                                    <w:t>МЛС/Риф-ТБ</w:t>
                                  </w:r>
                                </w:p>
                              </w:txbxContent>
                            </wps:txbx>
                            <wps:bodyPr wrap="square" lIns="0" tIns="0" rIns="0" bIns="0">
                              <a:noAutofit/>
                            </wps:bodyPr>
                          </wps:wsp>
                        </a:graphicData>
                      </a:graphic>
                    </wp:anchor>
                  </w:drawing>
                </mc:Choice>
                <mc:Fallback>
                  <w:pict>
                    <v:rect w14:anchorId="045D338B" id="_x0000_s1423" style="position:absolute;margin-left:598.8pt;margin-top:5.4pt;width:45pt;height:9.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" fillcolor="#cb2434" stroked="f">
                      <v:textbox inset="0,0,0,0">
                        <w:txbxContent>
                          <w:p w14:paraId="1E89F0AE" w14:textId="77777777" w:rsidR="009D0C1D" w:rsidRPr="00D77994" w:rsidRDefault="009D0C1D" w:rsidP="00CF0462">
                            <w:pPr>
                              <w:rPr>
                                <w:rFonts w:cstheme="minorHAnsi"/>
                                <w:b/>
                                <w:bCs/>
                                <w:color w:val="FFFFFF" w:themeColor="background1"/>
                                <w:kern w:val="24"/>
                                <w:sz w:val="11"/>
                                <w:szCs w:val="11"/>
                              </w:rPr>
                            </w:pPr>
                            <w:r w:rsidRPr="00D77994">
                              <w:rPr>
                                <w:b/>
                                <w:color w:val="FFFFFF" w:themeColor="background1"/>
                                <w:sz w:val="11"/>
                                <w:szCs w:val="20"/>
                              </w:rPr>
                              <w:t>МЛС/Риф-ТБ</w:t>
                            </w:r>
                          </w:p>
                        </w:txbxContent>
                      </v:textbox>
                    </v:rect>
                  </w:pict>
                </mc:Fallback>
              </mc:AlternateContent>
            </w:r>
            <w:r>
              <w:rPr>
                <w:noProof/>
              </w:rPr>
              <mc:AlternateContent>
                <mc:Choice Requires="wps">
                  <w:drawing>
                    <wp:anchor distT="0" distB="0" distL="114300" distR="114300" simplePos="0" relativeHeight="251774976" behindDoc="0" locked="0" layoutInCell="1" allowOverlap="1" wp14:anchorId="2FA60344" wp14:editId="7E9B14EB">
                      <wp:simplePos x="0" y="0"/>
                      <wp:positionH relativeFrom="column">
                        <wp:posOffset>6475730</wp:posOffset>
                      </wp:positionH>
                      <wp:positionV relativeFrom="paragraph">
                        <wp:posOffset>1416367</wp:posOffset>
                      </wp:positionV>
                      <wp:extent cx="1066800" cy="156845"/>
                      <wp:effectExtent l="0" t="0" r="0" b="0"/>
                      <wp:wrapNone/>
                      <wp:docPr id="455541818" name="Прямокутник 21"/>
                      <wp:cNvGraphicFramePr/>
                      <a:graphic xmlns:a="http://schemas.openxmlformats.org/drawingml/2006/main">
                        <a:graphicData uri="http://schemas.microsoft.com/office/word/2010/wordprocessingShape">
                          <wps:wsp>
                            <wps:cNvSpPr/>
                            <wps:spPr>
                              <a:xfrm>
                                <a:off x="0" y="0"/>
                                <a:ext cx="1066800" cy="156845"/>
                              </a:xfrm>
                              <a:prstGeom prst="rect">
                                <a:avLst/>
                              </a:prstGeom>
                              <a:solidFill>
                                <a:srgbClr val="8FAFD8"/>
                              </a:solidFill>
                            </wps:spPr>
                            <wps:txbx>
                              <w:txbxContent>
                                <w:p w14:paraId="403CC262" w14:textId="77777777" w:rsidR="009D0C1D" w:rsidRPr="00D77994" w:rsidRDefault="009D0C1D" w:rsidP="00CF0462">
                                  <w:pPr>
                                    <w:rPr>
                                      <w:rFonts w:cstheme="minorHAnsi"/>
                                      <w:b/>
                                      <w:bCs/>
                                      <w:color w:val="343433"/>
                                      <w:kern w:val="24"/>
                                      <w:sz w:val="11"/>
                                      <w:szCs w:val="11"/>
                                    </w:rPr>
                                  </w:pPr>
                                  <w:r w:rsidRPr="00D77994">
                                    <w:rPr>
                                      <w:b/>
                                      <w:color w:val="343433"/>
                                      <w:sz w:val="11"/>
                                      <w:szCs w:val="22"/>
                                    </w:rPr>
                                    <w:t>Посів мокротиння на туберкульоз</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FA60344" id="_x0000_s1424" style="position:absolute;margin-left:509.9pt;margin-top:111.5pt;width:84pt;height:12.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" fillcolor="#8fafd8" stroked="f">
                      <v:textbox inset="0,0,0,0">
                        <w:txbxContent>
                          <w:p w14:paraId="403CC262" w14:textId="77777777" w:rsidR="009D0C1D" w:rsidRPr="00D77994" w:rsidRDefault="009D0C1D" w:rsidP="00CF0462">
                            <w:pPr>
                              <w:rPr>
                                <w:rFonts w:cstheme="minorHAnsi"/>
                                <w:b/>
                                <w:bCs/>
                                <w:color w:val="343433"/>
                                <w:kern w:val="24"/>
                                <w:sz w:val="11"/>
                                <w:szCs w:val="11"/>
                              </w:rPr>
                            </w:pPr>
                            <w:r w:rsidRPr="00D77994">
                              <w:rPr>
                                <w:b/>
                                <w:color w:val="343433"/>
                                <w:sz w:val="11"/>
                                <w:szCs w:val="22"/>
                              </w:rPr>
                              <w:t>Посів мокротиння на туберкульоз</w:t>
                            </w:r>
                          </w:p>
                        </w:txbxContent>
                      </v:textbox>
                    </v:rect>
                  </w:pict>
                </mc:Fallback>
              </mc:AlternateContent>
            </w:r>
            <w:r>
              <w:rPr>
                <w:noProof/>
              </w:rPr>
              <mc:AlternateContent>
                <mc:Choice Requires="wps">
                  <w:drawing>
                    <wp:anchor distT="0" distB="0" distL="114300" distR="114300" simplePos="0" relativeHeight="251778048" behindDoc="0" locked="0" layoutInCell="1" allowOverlap="1" wp14:anchorId="20810BC4" wp14:editId="78C22D0D">
                      <wp:simplePos x="0" y="0"/>
                      <wp:positionH relativeFrom="column">
                        <wp:posOffset>4318318</wp:posOffset>
                      </wp:positionH>
                      <wp:positionV relativeFrom="paragraph">
                        <wp:posOffset>2421255</wp:posOffset>
                      </wp:positionV>
                      <wp:extent cx="1593850" cy="1046480"/>
                      <wp:effectExtent l="0" t="0" r="6350" b="1270"/>
                      <wp:wrapNone/>
                      <wp:docPr id="1904855883" name="Прямокутник 24"/>
                      <wp:cNvGraphicFramePr/>
                      <a:graphic xmlns:a="http://schemas.openxmlformats.org/drawingml/2006/main">
                        <a:graphicData uri="http://schemas.microsoft.com/office/word/2010/wordprocessingShape">
                          <wps:wsp>
                            <wps:cNvSpPr/>
                            <wps:spPr>
                              <a:xfrm>
                                <a:off x="0" y="0"/>
                                <a:ext cx="1593850" cy="1046480"/>
                              </a:xfrm>
                              <a:prstGeom prst="rect">
                                <a:avLst/>
                              </a:prstGeom>
                              <a:solidFill>
                                <a:srgbClr val="FDDFE1"/>
                              </a:solidFill>
                            </wps:spPr>
                            <wps:txbx>
                              <w:txbxContent>
                                <w:p w14:paraId="10A110BD" w14:textId="77777777" w:rsidR="009D0C1D" w:rsidRPr="00D77994" w:rsidRDefault="009D0C1D" w:rsidP="00CF0462">
                                  <w:pPr>
                                    <w:spacing w:after="70" w:line="285" w:lineRule="auto"/>
                                    <w:jc w:val="center"/>
                                    <w:rPr>
                                      <w:rFonts w:cstheme="minorHAnsi"/>
                                      <w:color w:val="343433"/>
                                      <w:kern w:val="24"/>
                                      <w:sz w:val="11"/>
                                      <w:szCs w:val="11"/>
                                    </w:rPr>
                                  </w:pPr>
                                  <w:r w:rsidRPr="00D77994">
                                    <w:rPr>
                                      <w:color w:val="343433"/>
                                      <w:sz w:val="11"/>
                                      <w:szCs w:val="22"/>
                                    </w:rPr>
                                    <w:t>Продовжити схему лікування</w:t>
                                  </w:r>
                                </w:p>
                                <w:p w14:paraId="0E0BCAC0" w14:textId="77777777" w:rsidR="009D0C1D" w:rsidRPr="00D77994" w:rsidRDefault="009D0C1D" w:rsidP="00CF0462">
                                  <w:pPr>
                                    <w:spacing w:after="70" w:line="285" w:lineRule="auto"/>
                                    <w:jc w:val="center"/>
                                    <w:rPr>
                                      <w:rFonts w:cstheme="minorHAnsi"/>
                                      <w:color w:val="343433"/>
                                      <w:kern w:val="24"/>
                                      <w:sz w:val="11"/>
                                      <w:szCs w:val="11"/>
                                    </w:rPr>
                                  </w:pPr>
                                  <w:r w:rsidRPr="00D77994">
                                    <w:rPr>
                                      <w:color w:val="343433"/>
                                      <w:sz w:val="11"/>
                                      <w:szCs w:val="22"/>
                                    </w:rPr>
                                    <w:t>Розглянути повторне ТМЧ на основі цільового СНП</w:t>
                                  </w:r>
                                </w:p>
                                <w:p w14:paraId="756DE20B" w14:textId="77777777" w:rsidR="009D0C1D" w:rsidRPr="00D77994" w:rsidRDefault="009D0C1D" w:rsidP="00CF0462">
                                  <w:pPr>
                                    <w:spacing w:after="70" w:line="285" w:lineRule="auto"/>
                                    <w:jc w:val="center"/>
                                    <w:rPr>
                                      <w:rFonts w:cstheme="minorHAnsi"/>
                                      <w:color w:val="343433"/>
                                      <w:kern w:val="24"/>
                                      <w:sz w:val="11"/>
                                      <w:szCs w:val="11"/>
                                    </w:rPr>
                                  </w:pPr>
                                  <w:r w:rsidRPr="00D77994">
                                    <w:rPr>
                                      <w:color w:val="343433"/>
                                      <w:sz w:val="11"/>
                                      <w:szCs w:val="22"/>
                                    </w:rPr>
                                    <w:t>Провести додаткове ТМЧ відповідно до національних керівних принципів</w:t>
                                  </w:r>
                                  <w:r w:rsidRPr="00D77994">
                                    <w:rPr>
                                      <w:b/>
                                      <w:color w:val="0099D6"/>
                                      <w:sz w:val="11"/>
                                      <w:szCs w:val="22"/>
                                      <w:vertAlign w:val="superscript"/>
                                    </w:rPr>
                                    <w:t>f</w:t>
                                  </w:r>
                                </w:p>
                                <w:p w14:paraId="1385A5FA" w14:textId="77777777" w:rsidR="009D0C1D" w:rsidRPr="00D77994" w:rsidRDefault="009D0C1D" w:rsidP="00CF0462">
                                  <w:pPr>
                                    <w:spacing w:line="285" w:lineRule="auto"/>
                                    <w:jc w:val="center"/>
                                    <w:rPr>
                                      <w:rFonts w:cstheme="minorHAnsi"/>
                                      <w:color w:val="343433"/>
                                      <w:kern w:val="24"/>
                                      <w:sz w:val="11"/>
                                      <w:szCs w:val="11"/>
                                    </w:rPr>
                                  </w:pPr>
                                  <w:r w:rsidRPr="00D77994">
                                    <w:rPr>
                                      <w:color w:val="343433"/>
                                      <w:sz w:val="11"/>
                                      <w:szCs w:val="22"/>
                                    </w:rPr>
                                    <w:t>Переглянути схему лікування на основі додаткових результатів ТМЧ</w:t>
                                  </w:r>
                                </w:p>
                              </w:txbxContent>
                            </wps:txbx>
                            <wps:bodyPr wrap="square" lIns="0" tIns="0" rIns="0" bIns="0">
                              <a:noAutofit/>
                            </wps:bodyPr>
                          </wps:wsp>
                        </a:graphicData>
                      </a:graphic>
                      <wp14:sizeRelV relativeFrom="margin">
                        <wp14:pctHeight>0</wp14:pctHeight>
                      </wp14:sizeRelV>
                    </wp:anchor>
                  </w:drawing>
                </mc:Choice>
                <mc:Fallback>
                  <w:pict>
                    <v:rect w14:anchorId="20810BC4" id="_x0000_s1425" style="position:absolute;margin-left:340.05pt;margin-top:190.65pt;width:125.5pt;height:82.4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" fillcolor="#fddfe1" stroked="f">
                      <v:textbox inset="0,0,0,0">
                        <w:txbxContent>
                          <w:p w14:paraId="10A110BD" w14:textId="77777777" w:rsidR="009D0C1D" w:rsidRPr="00D77994" w:rsidRDefault="009D0C1D" w:rsidP="00CF0462">
                            <w:pPr>
                              <w:spacing w:after="70" w:line="285" w:lineRule="auto"/>
                              <w:jc w:val="center"/>
                              <w:rPr>
                                <w:rFonts w:cstheme="minorHAnsi"/>
                                <w:color w:val="343433"/>
                                <w:kern w:val="24"/>
                                <w:sz w:val="11"/>
                                <w:szCs w:val="11"/>
                              </w:rPr>
                            </w:pPr>
                            <w:r w:rsidRPr="00D77994">
                              <w:rPr>
                                <w:color w:val="343433"/>
                                <w:sz w:val="11"/>
                                <w:szCs w:val="22"/>
                              </w:rPr>
                              <w:t>Продовжити схему лікування</w:t>
                            </w:r>
                          </w:p>
                          <w:p w14:paraId="0E0BCAC0" w14:textId="77777777" w:rsidR="009D0C1D" w:rsidRPr="00D77994" w:rsidRDefault="009D0C1D" w:rsidP="00CF0462">
                            <w:pPr>
                              <w:spacing w:after="70" w:line="285" w:lineRule="auto"/>
                              <w:jc w:val="center"/>
                              <w:rPr>
                                <w:rFonts w:cstheme="minorHAnsi"/>
                                <w:color w:val="343433"/>
                                <w:kern w:val="24"/>
                                <w:sz w:val="11"/>
                                <w:szCs w:val="11"/>
                              </w:rPr>
                            </w:pPr>
                            <w:r w:rsidRPr="00D77994">
                              <w:rPr>
                                <w:color w:val="343433"/>
                                <w:sz w:val="11"/>
                                <w:szCs w:val="22"/>
                              </w:rPr>
                              <w:t>Розглянути повторне ТМЧ на основі цільового СНП</w:t>
                            </w:r>
                          </w:p>
                          <w:p w14:paraId="756DE20B" w14:textId="77777777" w:rsidR="009D0C1D" w:rsidRPr="00D77994" w:rsidRDefault="009D0C1D" w:rsidP="00CF0462">
                            <w:pPr>
                              <w:spacing w:after="70" w:line="285" w:lineRule="auto"/>
                              <w:jc w:val="center"/>
                              <w:rPr>
                                <w:rFonts w:cstheme="minorHAnsi"/>
                                <w:color w:val="343433"/>
                                <w:kern w:val="24"/>
                                <w:sz w:val="11"/>
                                <w:szCs w:val="11"/>
                              </w:rPr>
                            </w:pPr>
                            <w:r w:rsidRPr="00D77994">
                              <w:rPr>
                                <w:color w:val="343433"/>
                                <w:sz w:val="11"/>
                                <w:szCs w:val="22"/>
                              </w:rPr>
                              <w:t>Провести додаткове ТМЧ відповідно до національних керівних принципів</w:t>
                            </w:r>
                            <w:r w:rsidRPr="00D77994">
                              <w:rPr>
                                <w:b/>
                                <w:color w:val="0099D6"/>
                                <w:sz w:val="11"/>
                                <w:szCs w:val="22"/>
                                <w:vertAlign w:val="superscript"/>
                              </w:rPr>
                              <w:t>f</w:t>
                            </w:r>
                          </w:p>
                          <w:p w14:paraId="1385A5FA" w14:textId="77777777" w:rsidR="009D0C1D" w:rsidRPr="00D77994" w:rsidRDefault="009D0C1D" w:rsidP="00CF0462">
                            <w:pPr>
                              <w:spacing w:line="285" w:lineRule="auto"/>
                              <w:jc w:val="center"/>
                              <w:rPr>
                                <w:rFonts w:cstheme="minorHAnsi"/>
                                <w:color w:val="343433"/>
                                <w:kern w:val="24"/>
                                <w:sz w:val="11"/>
                                <w:szCs w:val="11"/>
                              </w:rPr>
                            </w:pPr>
                            <w:r w:rsidRPr="00D77994">
                              <w:rPr>
                                <w:color w:val="343433"/>
                                <w:sz w:val="11"/>
                                <w:szCs w:val="22"/>
                              </w:rPr>
                              <w:t>Переглянути схему лікування на основі додаткових результатів ТМЧ</w:t>
                            </w:r>
                          </w:p>
                        </w:txbxContent>
                      </v:textbox>
                    </v:rect>
                  </w:pict>
                </mc:Fallback>
              </mc:AlternateContent>
            </w:r>
            <w:r>
              <w:rPr>
                <w:noProof/>
              </w:rPr>
              <mc:AlternateContent>
                <mc:Choice Requires="wps">
                  <w:drawing>
                    <wp:anchor distT="0" distB="0" distL="114300" distR="114300" simplePos="0" relativeHeight="251762688" behindDoc="0" locked="0" layoutInCell="1" allowOverlap="1" wp14:anchorId="6D1AA6D1" wp14:editId="69FEC8F9">
                      <wp:simplePos x="0" y="0"/>
                      <wp:positionH relativeFrom="column">
                        <wp:posOffset>1684655</wp:posOffset>
                      </wp:positionH>
                      <wp:positionV relativeFrom="paragraph">
                        <wp:posOffset>2421255</wp:posOffset>
                      </wp:positionV>
                      <wp:extent cx="1494790" cy="1046480"/>
                      <wp:effectExtent l="0" t="0" r="0" b="1270"/>
                      <wp:wrapNone/>
                      <wp:docPr id="2011525463" name="Прямокутник 9"/>
                      <wp:cNvGraphicFramePr/>
                      <a:graphic xmlns:a="http://schemas.openxmlformats.org/drawingml/2006/main">
                        <a:graphicData uri="http://schemas.microsoft.com/office/word/2010/wordprocessingShape">
                          <wps:wsp>
                            <wps:cNvSpPr/>
                            <wps:spPr>
                              <a:xfrm>
                                <a:off x="0" y="0"/>
                                <a:ext cx="1494790" cy="1046480"/>
                              </a:xfrm>
                              <a:prstGeom prst="rect">
                                <a:avLst/>
                              </a:prstGeom>
                              <a:solidFill>
                                <a:srgbClr val="FDDFE1"/>
                              </a:solidFill>
                            </wps:spPr>
                            <wps:txbx>
                              <w:txbxContent>
                                <w:p w14:paraId="7F17DEC2" w14:textId="77777777" w:rsidR="009D0C1D" w:rsidRPr="00D77994" w:rsidRDefault="009D0C1D" w:rsidP="00CF0462">
                                  <w:pPr>
                                    <w:spacing w:after="70" w:line="290" w:lineRule="auto"/>
                                    <w:jc w:val="center"/>
                                    <w:rPr>
                                      <w:rFonts w:cstheme="minorHAnsi"/>
                                      <w:color w:val="343433"/>
                                      <w:kern w:val="24"/>
                                      <w:sz w:val="11"/>
                                      <w:szCs w:val="11"/>
                                    </w:rPr>
                                  </w:pPr>
                                  <w:r w:rsidRPr="00D77994">
                                    <w:rPr>
                                      <w:color w:val="343433"/>
                                      <w:sz w:val="11"/>
                                      <w:szCs w:val="22"/>
                                    </w:rPr>
                                    <w:t>Переглянути схему лікування на основі результатів ТМЧ та скоригувати схему, як описано на рис. 6.3</w:t>
                                  </w:r>
                                  <w:r w:rsidRPr="00D77994">
                                    <w:rPr>
                                      <w:b/>
                                      <w:color w:val="0099D6"/>
                                      <w:sz w:val="11"/>
                                      <w:szCs w:val="22"/>
                                      <w:vertAlign w:val="superscript"/>
                                    </w:rPr>
                                    <w:t>e</w:t>
                                  </w:r>
                                </w:p>
                                <w:p w14:paraId="51C9AC51" w14:textId="77777777" w:rsidR="009D0C1D" w:rsidRPr="00D77994" w:rsidRDefault="009D0C1D" w:rsidP="00CF0462">
                                  <w:pPr>
                                    <w:spacing w:after="70" w:line="285" w:lineRule="auto"/>
                                    <w:jc w:val="center"/>
                                    <w:rPr>
                                      <w:rFonts w:cstheme="minorHAnsi"/>
                                      <w:color w:val="343433"/>
                                      <w:kern w:val="24"/>
                                      <w:sz w:val="11"/>
                                      <w:szCs w:val="11"/>
                                    </w:rPr>
                                  </w:pPr>
                                  <w:r w:rsidRPr="00D77994">
                                    <w:rPr>
                                      <w:color w:val="343433"/>
                                      <w:sz w:val="11"/>
                                      <w:szCs w:val="22"/>
                                    </w:rPr>
                                    <w:t>Провести додаткове ТМЧ відповідно до національних керівних принципів</w:t>
                                  </w:r>
                                  <w:r w:rsidRPr="00D77994">
                                    <w:rPr>
                                      <w:b/>
                                      <w:color w:val="0099D6"/>
                                      <w:sz w:val="11"/>
                                      <w:szCs w:val="22"/>
                                      <w:vertAlign w:val="superscript"/>
                                    </w:rPr>
                                    <w:t>f</w:t>
                                  </w:r>
                                </w:p>
                                <w:p w14:paraId="40E4725F" w14:textId="77777777" w:rsidR="009D0C1D" w:rsidRPr="00D77994" w:rsidRDefault="009D0C1D" w:rsidP="00CF0462">
                                  <w:pPr>
                                    <w:spacing w:line="285" w:lineRule="auto"/>
                                    <w:jc w:val="center"/>
                                    <w:rPr>
                                      <w:rFonts w:cstheme="minorHAnsi"/>
                                      <w:color w:val="343433"/>
                                      <w:kern w:val="24"/>
                                      <w:sz w:val="11"/>
                                      <w:szCs w:val="11"/>
                                    </w:rPr>
                                  </w:pPr>
                                  <w:r w:rsidRPr="00D77994">
                                    <w:rPr>
                                      <w:color w:val="343433"/>
                                      <w:sz w:val="11"/>
                                      <w:szCs w:val="22"/>
                                    </w:rPr>
                                    <w:t>Переглянути схему лікування на основі додаткових результатів ТМЧ</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D1AA6D1" id="_x0000_s1426" style="position:absolute;margin-left:132.65pt;margin-top:190.65pt;width:117.7pt;height:8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" fillcolor="#fddfe1" stroked="f">
                      <v:textbox inset="0,0,0,0">
                        <w:txbxContent>
                          <w:p w14:paraId="7F17DEC2" w14:textId="77777777" w:rsidR="009D0C1D" w:rsidRPr="00D77994" w:rsidRDefault="009D0C1D" w:rsidP="00CF0462">
                            <w:pPr>
                              <w:spacing w:after="70" w:line="290" w:lineRule="auto"/>
                              <w:jc w:val="center"/>
                              <w:rPr>
                                <w:rFonts w:cstheme="minorHAnsi"/>
                                <w:color w:val="343433"/>
                                <w:kern w:val="24"/>
                                <w:sz w:val="11"/>
                                <w:szCs w:val="11"/>
                              </w:rPr>
                            </w:pPr>
                            <w:r w:rsidRPr="00D77994">
                              <w:rPr>
                                <w:color w:val="343433"/>
                                <w:sz w:val="11"/>
                                <w:szCs w:val="22"/>
                              </w:rPr>
                              <w:t>Переглянути схему лікування на основі результатів ТМЧ та скоригувати схему, як описано на рис. 6.3</w:t>
                            </w:r>
                            <w:r w:rsidRPr="00D77994">
                              <w:rPr>
                                <w:b/>
                                <w:color w:val="0099D6"/>
                                <w:sz w:val="11"/>
                                <w:szCs w:val="22"/>
                                <w:vertAlign w:val="superscript"/>
                              </w:rPr>
                              <w:t>e</w:t>
                            </w:r>
                          </w:p>
                          <w:p w14:paraId="51C9AC51" w14:textId="77777777" w:rsidR="009D0C1D" w:rsidRPr="00D77994" w:rsidRDefault="009D0C1D" w:rsidP="00CF0462">
                            <w:pPr>
                              <w:spacing w:after="70" w:line="285" w:lineRule="auto"/>
                              <w:jc w:val="center"/>
                              <w:rPr>
                                <w:rFonts w:cstheme="minorHAnsi"/>
                                <w:color w:val="343433"/>
                                <w:kern w:val="24"/>
                                <w:sz w:val="11"/>
                                <w:szCs w:val="11"/>
                              </w:rPr>
                            </w:pPr>
                            <w:r w:rsidRPr="00D77994">
                              <w:rPr>
                                <w:color w:val="343433"/>
                                <w:sz w:val="11"/>
                                <w:szCs w:val="22"/>
                              </w:rPr>
                              <w:t>Провести додаткове ТМЧ відповідно до національних керівних принципів</w:t>
                            </w:r>
                            <w:r w:rsidRPr="00D77994">
                              <w:rPr>
                                <w:b/>
                                <w:color w:val="0099D6"/>
                                <w:sz w:val="11"/>
                                <w:szCs w:val="22"/>
                                <w:vertAlign w:val="superscript"/>
                              </w:rPr>
                              <w:t>f</w:t>
                            </w:r>
                          </w:p>
                          <w:p w14:paraId="40E4725F" w14:textId="77777777" w:rsidR="009D0C1D" w:rsidRPr="00D77994" w:rsidRDefault="009D0C1D" w:rsidP="00CF0462">
                            <w:pPr>
                              <w:spacing w:line="285" w:lineRule="auto"/>
                              <w:jc w:val="center"/>
                              <w:rPr>
                                <w:rFonts w:cstheme="minorHAnsi"/>
                                <w:color w:val="343433"/>
                                <w:kern w:val="24"/>
                                <w:sz w:val="11"/>
                                <w:szCs w:val="11"/>
                              </w:rPr>
                            </w:pPr>
                            <w:r w:rsidRPr="00D77994">
                              <w:rPr>
                                <w:color w:val="343433"/>
                                <w:sz w:val="11"/>
                                <w:szCs w:val="22"/>
                              </w:rPr>
                              <w:t>Переглянути схему лікування на основі додаткових результатів ТМЧ</w:t>
                            </w:r>
                          </w:p>
                        </w:txbxContent>
                      </v:textbox>
                    </v:rect>
                  </w:pict>
                </mc:Fallback>
              </mc:AlternateContent>
            </w:r>
            <w:r>
              <w:rPr>
                <w:noProof/>
              </w:rPr>
              <mc:AlternateContent>
                <mc:Choice Requires="wps">
                  <w:drawing>
                    <wp:anchor distT="0" distB="0" distL="114300" distR="114300" simplePos="0" relativeHeight="251776000" behindDoc="0" locked="0" layoutInCell="1" allowOverlap="1" wp14:anchorId="118945D5" wp14:editId="487AD0D1">
                      <wp:simplePos x="0" y="0"/>
                      <wp:positionH relativeFrom="column">
                        <wp:posOffset>4803775</wp:posOffset>
                      </wp:positionH>
                      <wp:positionV relativeFrom="paragraph">
                        <wp:posOffset>1991678</wp:posOffset>
                      </wp:positionV>
                      <wp:extent cx="591185" cy="99695"/>
                      <wp:effectExtent l="0" t="0" r="0" b="0"/>
                      <wp:wrapNone/>
                      <wp:docPr id="492226650" name="Прямокутник 22"/>
                      <wp:cNvGraphicFramePr/>
                      <a:graphic xmlns:a="http://schemas.openxmlformats.org/drawingml/2006/main">
                        <a:graphicData uri="http://schemas.microsoft.com/office/word/2010/wordprocessingShape">
                          <wps:wsp>
                            <wps:cNvSpPr/>
                            <wps:spPr>
                              <a:xfrm>
                                <a:off x="0" y="0"/>
                                <a:ext cx="591185" cy="99695"/>
                              </a:xfrm>
                              <a:prstGeom prst="rect">
                                <a:avLst/>
                              </a:prstGeom>
                              <a:solidFill>
                                <a:srgbClr val="FABEBD"/>
                              </a:solidFill>
                            </wps:spPr>
                            <wps:txbx>
                              <w:txbxContent>
                                <w:p w14:paraId="13C1B375" w14:textId="77777777" w:rsidR="009D0C1D" w:rsidRPr="00D77994" w:rsidRDefault="009D0C1D" w:rsidP="00CF0462">
                                  <w:pPr>
                                    <w:rPr>
                                      <w:rFonts w:cstheme="minorHAnsi"/>
                                      <w:b/>
                                      <w:bCs/>
                                      <w:color w:val="343433"/>
                                      <w:kern w:val="24"/>
                                      <w:sz w:val="11"/>
                                      <w:szCs w:val="11"/>
                                    </w:rPr>
                                  </w:pPr>
                                  <w:r w:rsidRPr="00D77994">
                                    <w:rPr>
                                      <w:b/>
                                      <w:color w:val="343433"/>
                                      <w:sz w:val="11"/>
                                      <w:szCs w:val="22"/>
                                    </w:rPr>
                                    <w:t>Невизначені</w:t>
                                  </w:r>
                                </w:p>
                              </w:txbxContent>
                            </wps:txbx>
                            <wps:bodyPr wrap="square" lIns="0" tIns="0" rIns="0" bIns="0">
                              <a:noAutofit/>
                            </wps:bodyPr>
                          </wps:wsp>
                        </a:graphicData>
                      </a:graphic>
                    </wp:anchor>
                  </w:drawing>
                </mc:Choice>
                <mc:Fallback>
                  <w:pict>
                    <v:rect w14:anchorId="118945D5" id="_x0000_s1427" style="position:absolute;margin-left:378.25pt;margin-top:156.85pt;width:46.55pt;height:7.8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" fillcolor="#fabebd" stroked="f">
                      <v:textbox inset="0,0,0,0">
                        <w:txbxContent>
                          <w:p w14:paraId="13C1B375" w14:textId="77777777" w:rsidR="009D0C1D" w:rsidRPr="00D77994" w:rsidRDefault="009D0C1D" w:rsidP="00CF0462">
                            <w:pPr>
                              <w:rPr>
                                <w:rFonts w:cstheme="minorHAnsi"/>
                                <w:b/>
                                <w:bCs/>
                                <w:color w:val="343433"/>
                                <w:kern w:val="24"/>
                                <w:sz w:val="11"/>
                                <w:szCs w:val="11"/>
                              </w:rPr>
                            </w:pPr>
                            <w:r w:rsidRPr="00D77994">
                              <w:rPr>
                                <w:b/>
                                <w:color w:val="343433"/>
                                <w:sz w:val="11"/>
                                <w:szCs w:val="22"/>
                              </w:rPr>
                              <w:t>Невизначені</w:t>
                            </w:r>
                          </w:p>
                        </w:txbxContent>
                      </v:textbox>
                    </v:rect>
                  </w:pict>
                </mc:Fallback>
              </mc:AlternateContent>
            </w:r>
            <w:r>
              <w:rPr>
                <w:noProof/>
              </w:rPr>
              <mc:AlternateContent>
                <mc:Choice Requires="wps">
                  <w:drawing>
                    <wp:anchor distT="0" distB="0" distL="114300" distR="114300" simplePos="0" relativeHeight="251761664" behindDoc="0" locked="0" layoutInCell="1" allowOverlap="1" wp14:anchorId="67AF3844" wp14:editId="015ACDE7">
                      <wp:simplePos x="0" y="0"/>
                      <wp:positionH relativeFrom="column">
                        <wp:posOffset>1586230</wp:posOffset>
                      </wp:positionH>
                      <wp:positionV relativeFrom="paragraph">
                        <wp:posOffset>1971040</wp:posOffset>
                      </wp:positionV>
                      <wp:extent cx="1651635" cy="200025"/>
                      <wp:effectExtent l="0" t="0" r="5715" b="9525"/>
                      <wp:wrapNone/>
                      <wp:docPr id="1670134603" name="Прямокутник 8"/>
                      <wp:cNvGraphicFramePr/>
                      <a:graphic xmlns:a="http://schemas.openxmlformats.org/drawingml/2006/main">
                        <a:graphicData uri="http://schemas.microsoft.com/office/word/2010/wordprocessingShape">
                          <wps:wsp>
                            <wps:cNvSpPr/>
                            <wps:spPr>
                              <a:xfrm>
                                <a:off x="0" y="0"/>
                                <a:ext cx="1651635" cy="200025"/>
                              </a:xfrm>
                              <a:prstGeom prst="rect">
                                <a:avLst/>
                              </a:prstGeom>
                              <a:solidFill>
                                <a:srgbClr val="FABEBD"/>
                              </a:solidFill>
                            </wps:spPr>
                            <wps:txbx>
                              <w:txbxContent>
                                <w:p w14:paraId="680ABD95" w14:textId="77777777" w:rsidR="009D0C1D" w:rsidRPr="00D77994" w:rsidRDefault="009D0C1D" w:rsidP="00CF0462">
                                  <w:pPr>
                                    <w:rPr>
                                      <w:rFonts w:cstheme="minorHAnsi"/>
                                      <w:b/>
                                      <w:bCs/>
                                      <w:color w:val="343433"/>
                                      <w:kern w:val="24"/>
                                      <w:sz w:val="11"/>
                                      <w:szCs w:val="11"/>
                                    </w:rPr>
                                  </w:pPr>
                                  <w:r w:rsidRPr="00D77994">
                                    <w:rPr>
                                      <w:b/>
                                      <w:color w:val="343433"/>
                                      <w:sz w:val="11"/>
                                      <w:szCs w:val="22"/>
                                    </w:rPr>
                                    <w:t>Результати для BDQ, FQ, LZD та інших лікарських засобів</w:t>
                                  </w:r>
                                </w:p>
                              </w:txbxContent>
                            </wps:txbx>
                            <wps:bodyPr wrap="square" lIns="0" tIns="0" rIns="0" bIns="0">
                              <a:noAutofit/>
                            </wps:bodyPr>
                          </wps:wsp>
                        </a:graphicData>
                      </a:graphic>
                    </wp:anchor>
                  </w:drawing>
                </mc:Choice>
                <mc:Fallback>
                  <w:pict>
                    <v:rect w14:anchorId="67AF3844" id="_x0000_s1428" style="position:absolute;margin-left:124.9pt;margin-top:155.2pt;width:130.05pt;height:15.7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" fillcolor="#fabebd" stroked="f">
                      <v:textbox inset="0,0,0,0">
                        <w:txbxContent>
                          <w:p w14:paraId="680ABD95" w14:textId="77777777" w:rsidR="009D0C1D" w:rsidRPr="00D77994" w:rsidRDefault="009D0C1D" w:rsidP="00CF0462">
                            <w:pPr>
                              <w:rPr>
                                <w:rFonts w:cstheme="minorHAnsi"/>
                                <w:b/>
                                <w:bCs/>
                                <w:color w:val="343433"/>
                                <w:kern w:val="24"/>
                                <w:sz w:val="11"/>
                                <w:szCs w:val="11"/>
                              </w:rPr>
                            </w:pPr>
                            <w:r w:rsidRPr="00D77994">
                              <w:rPr>
                                <w:b/>
                                <w:color w:val="343433"/>
                                <w:sz w:val="11"/>
                                <w:szCs w:val="22"/>
                              </w:rPr>
                              <w:t>Результати для BDQ, FQ, LZD та інших лікарських засобів</w:t>
                            </w:r>
                          </w:p>
                        </w:txbxContent>
                      </v:textbox>
                    </v:rect>
                  </w:pict>
                </mc:Fallback>
              </mc:AlternateContent>
            </w:r>
            <w:r>
              <w:rPr>
                <w:noProof/>
              </w:rPr>
              <mc:AlternateContent>
                <mc:Choice Requires="wps">
                  <w:drawing>
                    <wp:anchor distT="0" distB="0" distL="114300" distR="114300" simplePos="0" relativeHeight="251760640" behindDoc="0" locked="0" layoutInCell="1" allowOverlap="1" wp14:anchorId="1B022761" wp14:editId="4F2B42D0">
                      <wp:simplePos x="0" y="0"/>
                      <wp:positionH relativeFrom="column">
                        <wp:posOffset>3684905</wp:posOffset>
                      </wp:positionH>
                      <wp:positionV relativeFrom="paragraph">
                        <wp:posOffset>1435418</wp:posOffset>
                      </wp:positionV>
                      <wp:extent cx="1271588" cy="138112"/>
                      <wp:effectExtent l="0" t="0" r="5080" b="0"/>
                      <wp:wrapNone/>
                      <wp:docPr id="1232065387" name="Прямокутник 7"/>
                      <wp:cNvGraphicFramePr/>
                      <a:graphic xmlns:a="http://schemas.openxmlformats.org/drawingml/2006/main">
                        <a:graphicData uri="http://schemas.microsoft.com/office/word/2010/wordprocessingShape">
                          <wps:wsp>
                            <wps:cNvSpPr/>
                            <wps:spPr>
                              <a:xfrm>
                                <a:off x="0" y="0"/>
                                <a:ext cx="1271588" cy="138112"/>
                              </a:xfrm>
                              <a:prstGeom prst="rect">
                                <a:avLst/>
                              </a:prstGeom>
                              <a:solidFill>
                                <a:srgbClr val="F8A8A9"/>
                              </a:solidFill>
                            </wps:spPr>
                            <wps:txbx>
                              <w:txbxContent>
                                <w:p w14:paraId="627971AC" w14:textId="77777777" w:rsidR="009D0C1D" w:rsidRPr="00D77994" w:rsidRDefault="009D0C1D" w:rsidP="00CF0462">
                                  <w:pPr>
                                    <w:rPr>
                                      <w:rFonts w:cstheme="minorHAnsi"/>
                                      <w:b/>
                                      <w:bCs/>
                                      <w:color w:val="343433"/>
                                      <w:kern w:val="24"/>
                                      <w:sz w:val="11"/>
                                      <w:szCs w:val="11"/>
                                    </w:rPr>
                                  </w:pPr>
                                  <w:r w:rsidRPr="00D77994">
                                    <w:rPr>
                                      <w:b/>
                                      <w:color w:val="343433"/>
                                      <w:sz w:val="11"/>
                                      <w:szCs w:val="22"/>
                                    </w:rPr>
                                    <w:t>ТМЧ на основі цільового СНП</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B022761" id="_x0000_s1429" style="position:absolute;margin-left:290.15pt;margin-top:113.05pt;width:100.15pt;height:10.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" fillcolor="#f8a8a9" stroked="f">
                      <v:textbox inset="0,0,0,0">
                        <w:txbxContent>
                          <w:p w14:paraId="627971AC" w14:textId="77777777" w:rsidR="009D0C1D" w:rsidRPr="00D77994" w:rsidRDefault="009D0C1D" w:rsidP="00CF0462">
                            <w:pPr>
                              <w:rPr>
                                <w:rFonts w:cstheme="minorHAnsi"/>
                                <w:b/>
                                <w:bCs/>
                                <w:color w:val="343433"/>
                                <w:kern w:val="24"/>
                                <w:sz w:val="11"/>
                                <w:szCs w:val="11"/>
                              </w:rPr>
                            </w:pPr>
                            <w:r w:rsidRPr="00D77994">
                              <w:rPr>
                                <w:b/>
                                <w:color w:val="343433"/>
                                <w:sz w:val="11"/>
                                <w:szCs w:val="22"/>
                              </w:rPr>
                              <w:t>ТМЧ на основі цільового СНП</w:t>
                            </w:r>
                          </w:p>
                        </w:txbxContent>
                      </v:textbox>
                    </v:rect>
                  </w:pict>
                </mc:Fallback>
              </mc:AlternateContent>
            </w:r>
            <w:r>
              <w:rPr>
                <w:noProof/>
              </w:rPr>
              <mc:AlternateContent>
                <mc:Choice Requires="wps">
                  <w:drawing>
                    <wp:anchor distT="0" distB="0" distL="114300" distR="114300" simplePos="0" relativeHeight="251759616" behindDoc="0" locked="0" layoutInCell="1" allowOverlap="1" wp14:anchorId="35418DAC" wp14:editId="13DB77CD">
                      <wp:simplePos x="0" y="0"/>
                      <wp:positionH relativeFrom="column">
                        <wp:posOffset>3737293</wp:posOffset>
                      </wp:positionH>
                      <wp:positionV relativeFrom="paragraph">
                        <wp:posOffset>640080</wp:posOffset>
                      </wp:positionV>
                      <wp:extent cx="2471420" cy="390525"/>
                      <wp:effectExtent l="0" t="0" r="5080" b="9525"/>
                      <wp:wrapNone/>
                      <wp:docPr id="3455075" name="Прямокутник 6"/>
                      <wp:cNvGraphicFramePr/>
                      <a:graphic xmlns:a="http://schemas.openxmlformats.org/drawingml/2006/main">
                        <a:graphicData uri="http://schemas.microsoft.com/office/word/2010/wordprocessingShape">
                          <wps:wsp>
                            <wps:cNvSpPr/>
                            <wps:spPr>
                              <a:xfrm>
                                <a:off x="0" y="0"/>
                                <a:ext cx="2471420" cy="390525"/>
                              </a:xfrm>
                              <a:prstGeom prst="rect">
                                <a:avLst/>
                              </a:prstGeom>
                              <a:solidFill>
                                <a:srgbClr val="E3E3E3"/>
                              </a:solidFill>
                            </wps:spPr>
                            <wps:txbx>
                              <w:txbxContent>
                                <w:p w14:paraId="1EB91A97" w14:textId="77777777" w:rsidR="009D0C1D" w:rsidRPr="00D77994" w:rsidRDefault="009D0C1D" w:rsidP="00CF0462">
                                  <w:pPr>
                                    <w:jc w:val="center"/>
                                    <w:rPr>
                                      <w:rFonts w:cstheme="minorHAnsi"/>
                                      <w:b/>
                                      <w:bCs/>
                                      <w:color w:val="343433"/>
                                      <w:kern w:val="24"/>
                                      <w:sz w:val="11"/>
                                      <w:szCs w:val="11"/>
                                    </w:rPr>
                                  </w:pPr>
                                  <w:r w:rsidRPr="00D77994">
                                    <w:rPr>
                                      <w:b/>
                                      <w:color w:val="343433"/>
                                      <w:sz w:val="11"/>
                                      <w:szCs w:val="22"/>
                                    </w:rPr>
                                    <w:t>Забрати 1 або 2 зразка</w:t>
                                  </w:r>
                                  <w:r w:rsidRPr="00D77994">
                                    <w:rPr>
                                      <w:b/>
                                      <w:color w:val="0099D6"/>
                                      <w:sz w:val="11"/>
                                      <w:szCs w:val="22"/>
                                      <w:vertAlign w:val="superscript"/>
                                    </w:rPr>
                                    <w:t>b</w:t>
                                  </w:r>
                                </w:p>
                                <w:p w14:paraId="3E3DC43C" w14:textId="77777777" w:rsidR="009D0C1D" w:rsidRPr="00D77994" w:rsidRDefault="009D0C1D" w:rsidP="00CF0462">
                                  <w:pPr>
                                    <w:jc w:val="center"/>
                                    <w:rPr>
                                      <w:rFonts w:cstheme="minorHAnsi"/>
                                      <w:b/>
                                      <w:bCs/>
                                      <w:color w:val="343433"/>
                                      <w:kern w:val="24"/>
                                      <w:sz w:val="11"/>
                                      <w:szCs w:val="11"/>
                                    </w:rPr>
                                  </w:pPr>
                                  <w:r w:rsidRPr="00D77994">
                                    <w:rPr>
                                      <w:b/>
                                      <w:color w:val="343433"/>
                                      <w:sz w:val="11"/>
                                      <w:szCs w:val="22"/>
                                    </w:rPr>
                                    <w:t>Провести ТМЧ на основі цільового СНП</w:t>
                                  </w:r>
                                  <w:r w:rsidRPr="00D77994">
                                    <w:rPr>
                                      <w:b/>
                                      <w:color w:val="0099D6"/>
                                      <w:sz w:val="11"/>
                                      <w:szCs w:val="22"/>
                                      <w:vertAlign w:val="superscript"/>
                                    </w:rPr>
                                    <w:t>c</w:t>
                                  </w:r>
                                </w:p>
                                <w:p w14:paraId="629E002C" w14:textId="77777777" w:rsidR="009D0C1D" w:rsidRPr="00D77994" w:rsidRDefault="009D0C1D" w:rsidP="00CF0462">
                                  <w:pPr>
                                    <w:jc w:val="center"/>
                                    <w:rPr>
                                      <w:rFonts w:cstheme="minorHAnsi"/>
                                      <w:b/>
                                      <w:bCs/>
                                      <w:color w:val="343433"/>
                                      <w:kern w:val="24"/>
                                      <w:sz w:val="11"/>
                                      <w:szCs w:val="11"/>
                                    </w:rPr>
                                  </w:pPr>
                                  <w:r w:rsidRPr="00D77994">
                                    <w:rPr>
                                      <w:b/>
                                      <w:color w:val="343433"/>
                                      <w:sz w:val="11"/>
                                      <w:szCs w:val="22"/>
                                    </w:rPr>
                                    <w:t>Провести культуральне та фенотипове ТМЧ для препаратів другої лінії</w:t>
                                  </w:r>
                                  <w:r w:rsidRPr="00D77994">
                                    <w:rPr>
                                      <w:b/>
                                      <w:color w:val="0099D6"/>
                                      <w:sz w:val="11"/>
                                      <w:szCs w:val="22"/>
                                      <w:vertAlign w:val="superscript"/>
                                    </w:rPr>
                                    <w:t>d</w:t>
                                  </w:r>
                                </w:p>
                              </w:txbxContent>
                            </wps:txbx>
                            <wps:bodyPr wrap="square" lIns="0" tIns="0" rIns="0" bIns="0">
                              <a:noAutofit/>
                            </wps:bodyPr>
                          </wps:wsp>
                        </a:graphicData>
                      </a:graphic>
                      <wp14:sizeRelV relativeFrom="margin">
                        <wp14:pctHeight>0</wp14:pctHeight>
                      </wp14:sizeRelV>
                    </wp:anchor>
                  </w:drawing>
                </mc:Choice>
                <mc:Fallback>
                  <w:pict>
                    <v:rect w14:anchorId="35418DAC" id="_x0000_s1430" style="position:absolute;margin-left:294.3pt;margin-top:50.4pt;width:194.6pt;height:30.7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" fillcolor="#e3e3e3" stroked="f">
                      <v:textbox inset="0,0,0,0">
                        <w:txbxContent>
                          <w:p w14:paraId="1EB91A97" w14:textId="77777777" w:rsidR="009D0C1D" w:rsidRPr="00D77994" w:rsidRDefault="009D0C1D" w:rsidP="00CF0462">
                            <w:pPr>
                              <w:jc w:val="center"/>
                              <w:rPr>
                                <w:rFonts w:cstheme="minorHAnsi"/>
                                <w:b/>
                                <w:bCs/>
                                <w:color w:val="343433"/>
                                <w:kern w:val="24"/>
                                <w:sz w:val="11"/>
                                <w:szCs w:val="11"/>
                              </w:rPr>
                            </w:pPr>
                            <w:r w:rsidRPr="00D77994">
                              <w:rPr>
                                <w:b/>
                                <w:color w:val="343433"/>
                                <w:sz w:val="11"/>
                                <w:szCs w:val="22"/>
                              </w:rPr>
                              <w:t>Забрати 1 або 2 зразка</w:t>
                            </w:r>
                            <w:r w:rsidRPr="00D77994">
                              <w:rPr>
                                <w:b/>
                                <w:color w:val="0099D6"/>
                                <w:sz w:val="11"/>
                                <w:szCs w:val="22"/>
                                <w:vertAlign w:val="superscript"/>
                              </w:rPr>
                              <w:t>b</w:t>
                            </w:r>
                          </w:p>
                          <w:p w14:paraId="3E3DC43C" w14:textId="77777777" w:rsidR="009D0C1D" w:rsidRPr="00D77994" w:rsidRDefault="009D0C1D" w:rsidP="00CF0462">
                            <w:pPr>
                              <w:jc w:val="center"/>
                              <w:rPr>
                                <w:rFonts w:cstheme="minorHAnsi"/>
                                <w:b/>
                                <w:bCs/>
                                <w:color w:val="343433"/>
                                <w:kern w:val="24"/>
                                <w:sz w:val="11"/>
                                <w:szCs w:val="11"/>
                              </w:rPr>
                            </w:pPr>
                            <w:r w:rsidRPr="00D77994">
                              <w:rPr>
                                <w:b/>
                                <w:color w:val="343433"/>
                                <w:sz w:val="11"/>
                                <w:szCs w:val="22"/>
                              </w:rPr>
                              <w:t>Провести ТМЧ на основі цільового СНП</w:t>
                            </w:r>
                            <w:r w:rsidRPr="00D77994">
                              <w:rPr>
                                <w:b/>
                                <w:color w:val="0099D6"/>
                                <w:sz w:val="11"/>
                                <w:szCs w:val="22"/>
                                <w:vertAlign w:val="superscript"/>
                              </w:rPr>
                              <w:t>c</w:t>
                            </w:r>
                          </w:p>
                          <w:p w14:paraId="629E002C" w14:textId="77777777" w:rsidR="009D0C1D" w:rsidRPr="00D77994" w:rsidRDefault="009D0C1D" w:rsidP="00CF0462">
                            <w:pPr>
                              <w:jc w:val="center"/>
                              <w:rPr>
                                <w:rFonts w:cstheme="minorHAnsi"/>
                                <w:b/>
                                <w:bCs/>
                                <w:color w:val="343433"/>
                                <w:kern w:val="24"/>
                                <w:sz w:val="11"/>
                                <w:szCs w:val="11"/>
                              </w:rPr>
                            </w:pPr>
                            <w:r w:rsidRPr="00D77994">
                              <w:rPr>
                                <w:b/>
                                <w:color w:val="343433"/>
                                <w:sz w:val="11"/>
                                <w:szCs w:val="22"/>
                              </w:rPr>
                              <w:t>Провести культуральне та фенотипове ТМЧ для препаратів другої лінії</w:t>
                            </w:r>
                            <w:r w:rsidRPr="00D77994">
                              <w:rPr>
                                <w:b/>
                                <w:color w:val="0099D6"/>
                                <w:sz w:val="11"/>
                                <w:szCs w:val="22"/>
                                <w:vertAlign w:val="superscript"/>
                              </w:rPr>
                              <w:t>d</w:t>
                            </w:r>
                          </w:p>
                        </w:txbxContent>
                      </v:textbox>
                    </v:rect>
                  </w:pict>
                </mc:Fallback>
              </mc:AlternateContent>
            </w:r>
            <w:r>
              <w:rPr>
                <w:noProof/>
              </w:rPr>
              <mc:AlternateContent>
                <mc:Choice Requires="wps">
                  <w:drawing>
                    <wp:anchor distT="0" distB="0" distL="114300" distR="114300" simplePos="0" relativeHeight="251756544" behindDoc="0" locked="0" layoutInCell="1" allowOverlap="1" wp14:anchorId="7EF65FFE" wp14:editId="5F4E875B">
                      <wp:simplePos x="0" y="0"/>
                      <wp:positionH relativeFrom="column">
                        <wp:posOffset>4042093</wp:posOffset>
                      </wp:positionH>
                      <wp:positionV relativeFrom="paragraph">
                        <wp:posOffset>168593</wp:posOffset>
                      </wp:positionV>
                      <wp:extent cx="1971675" cy="226695"/>
                      <wp:effectExtent l="0" t="0" r="9525" b="1905"/>
                      <wp:wrapNone/>
                      <wp:docPr id="1005674908" name="Прямокутник 3"/>
                      <wp:cNvGraphicFramePr/>
                      <a:graphic xmlns:a="http://schemas.openxmlformats.org/drawingml/2006/main">
                        <a:graphicData uri="http://schemas.microsoft.com/office/word/2010/wordprocessingShape">
                          <wps:wsp>
                            <wps:cNvSpPr/>
                            <wps:spPr>
                              <a:xfrm>
                                <a:off x="0" y="0"/>
                                <a:ext cx="1971675" cy="226695"/>
                              </a:xfrm>
                              <a:prstGeom prst="rect">
                                <a:avLst/>
                              </a:prstGeom>
                              <a:solidFill>
                                <a:srgbClr val="FFFFFF"/>
                              </a:solidFill>
                            </wps:spPr>
                            <wps:txbx>
                              <w:txbxContent>
                                <w:p w14:paraId="6E611C5C" w14:textId="77777777" w:rsidR="009D0C1D" w:rsidRPr="00D77994" w:rsidRDefault="009D0C1D" w:rsidP="00CF0462">
                                  <w:pPr>
                                    <w:spacing w:line="285" w:lineRule="auto"/>
                                    <w:jc w:val="center"/>
                                    <w:rPr>
                                      <w:rFonts w:cstheme="minorHAnsi"/>
                                      <w:b/>
                                      <w:bCs/>
                                      <w:color w:val="343433"/>
                                      <w:kern w:val="24"/>
                                      <w:sz w:val="11"/>
                                      <w:szCs w:val="11"/>
                                    </w:rPr>
                                  </w:pPr>
                                  <w:r w:rsidRPr="00D77994">
                                    <w:rPr>
                                      <w:b/>
                                      <w:color w:val="343433"/>
                                      <w:sz w:val="11"/>
                                      <w:szCs w:val="22"/>
                                    </w:rPr>
                                    <w:t>Усі особи з МЛС/Риф-ТБ</w:t>
                                  </w:r>
                                  <w:r w:rsidRPr="00D77994">
                                    <w:rPr>
                                      <w:b/>
                                      <w:color w:val="0099D6"/>
                                      <w:sz w:val="11"/>
                                      <w:szCs w:val="22"/>
                                      <w:vertAlign w:val="superscript"/>
                                    </w:rPr>
                                    <w:t xml:space="preserve">a </w:t>
                                  </w:r>
                                  <w:r w:rsidRPr="00D77994">
                                    <w:rPr>
                                      <w:b/>
                                      <w:color w:val="343433"/>
                                      <w:sz w:val="11"/>
                                      <w:szCs w:val="22"/>
                                    </w:rPr>
                                    <w:t>(ввести пероральну схему лікування МЛС-ТБ при виконанні вимог)</w:t>
                                  </w:r>
                                </w:p>
                              </w:txbxContent>
                            </wps:txbx>
                            <wps:bodyPr wrap="square" lIns="0" tIns="0" rIns="0" bIns="0">
                              <a:noAutofit/>
                            </wps:bodyPr>
                          </wps:wsp>
                        </a:graphicData>
                      </a:graphic>
                      <wp14:sizeRelH relativeFrom="margin">
                        <wp14:pctWidth>0</wp14:pctWidth>
                      </wp14:sizeRelH>
                    </wp:anchor>
                  </w:drawing>
                </mc:Choice>
                <mc:Fallback>
                  <w:pict>
                    <v:rect w14:anchorId="7EF65FFE" id="_x0000_s1431" style="position:absolute;margin-left:318.3pt;margin-top:13.3pt;width:155.25pt;height:17.8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" stroked="f">
                      <v:textbox inset="0,0,0,0">
                        <w:txbxContent>
                          <w:p w14:paraId="6E611C5C" w14:textId="77777777" w:rsidR="009D0C1D" w:rsidRPr="00D77994" w:rsidRDefault="009D0C1D" w:rsidP="00CF0462">
                            <w:pPr>
                              <w:spacing w:line="285" w:lineRule="auto"/>
                              <w:jc w:val="center"/>
                              <w:rPr>
                                <w:rFonts w:cstheme="minorHAnsi"/>
                                <w:b/>
                                <w:bCs/>
                                <w:color w:val="343433"/>
                                <w:kern w:val="24"/>
                                <w:sz w:val="11"/>
                                <w:szCs w:val="11"/>
                              </w:rPr>
                            </w:pPr>
                            <w:r w:rsidRPr="00D77994">
                              <w:rPr>
                                <w:b/>
                                <w:color w:val="343433"/>
                                <w:sz w:val="11"/>
                                <w:szCs w:val="22"/>
                              </w:rPr>
                              <w:t>Усі особи з МЛС/Риф-ТБ</w:t>
                            </w:r>
                            <w:r w:rsidRPr="00D77994">
                              <w:rPr>
                                <w:b/>
                                <w:color w:val="0099D6"/>
                                <w:sz w:val="11"/>
                                <w:szCs w:val="22"/>
                                <w:vertAlign w:val="superscript"/>
                              </w:rPr>
                              <w:t xml:space="preserve">a </w:t>
                            </w:r>
                            <w:r w:rsidRPr="00D77994">
                              <w:rPr>
                                <w:b/>
                                <w:color w:val="343433"/>
                                <w:sz w:val="11"/>
                                <w:szCs w:val="22"/>
                              </w:rPr>
                              <w:t>(ввести пероральну схему лікування МЛС-ТБ при виконанні вимог)</w:t>
                            </w:r>
                          </w:p>
                        </w:txbxContent>
                      </v:textbox>
                    </v:rect>
                  </w:pict>
                </mc:Fallback>
              </mc:AlternateContent>
            </w:r>
            <w:r w:rsidR="00E76FA1">
              <w:rPr>
                <w:noProof/>
              </w:rPr>
              <mc:AlternateContent>
                <mc:Choice Requires="wps">
                  <w:drawing>
                    <wp:anchor distT="0" distB="0" distL="114300" distR="114300" simplePos="0" relativeHeight="251779072" behindDoc="0" locked="0" layoutInCell="1" allowOverlap="1" wp14:anchorId="381BCB6B" wp14:editId="27BD8A5D">
                      <wp:simplePos x="0" y="0"/>
                      <wp:positionH relativeFrom="column">
                        <wp:posOffset>6210351</wp:posOffset>
                      </wp:positionH>
                      <wp:positionV relativeFrom="paragraph">
                        <wp:posOffset>2421200</wp:posOffset>
                      </wp:positionV>
                      <wp:extent cx="1419860" cy="988398"/>
                      <wp:effectExtent l="0" t="0" r="8890" b="2540"/>
                      <wp:wrapNone/>
                      <wp:docPr id="1467444566" name="Прямокутник 25"/>
                      <wp:cNvGraphicFramePr/>
                      <a:graphic xmlns:a="http://schemas.openxmlformats.org/drawingml/2006/main">
                        <a:graphicData uri="http://schemas.microsoft.com/office/word/2010/wordprocessingShape">
                          <wps:wsp>
                            <wps:cNvSpPr/>
                            <wps:spPr>
                              <a:xfrm>
                                <a:off x="0" y="0"/>
                                <a:ext cx="1419860" cy="988398"/>
                              </a:xfrm>
                              <a:prstGeom prst="rect">
                                <a:avLst/>
                              </a:prstGeom>
                              <a:solidFill>
                                <a:srgbClr val="D2D7EB"/>
                              </a:solidFill>
                            </wps:spPr>
                            <wps:txbx>
                              <w:txbxContent>
                                <w:p w14:paraId="0989360F" w14:textId="77777777" w:rsidR="009D0C1D" w:rsidRPr="00CF0462" w:rsidRDefault="009D0C1D" w:rsidP="00CF0462">
                                  <w:pPr>
                                    <w:spacing w:after="70" w:line="292" w:lineRule="auto"/>
                                    <w:jc w:val="center"/>
                                    <w:rPr>
                                      <w:rFonts w:cstheme="minorHAnsi"/>
                                      <w:color w:val="343433"/>
                                      <w:kern w:val="24"/>
                                      <w:sz w:val="13"/>
                                      <w:szCs w:val="13"/>
                                    </w:rPr>
                                  </w:pPr>
                                  <w:r>
                                    <w:rPr>
                                      <w:color w:val="343433"/>
                                      <w:sz w:val="13"/>
                                    </w:rPr>
                                    <w:t>Переглянути схему лікування на основі результатів ТМЧ, див. рис. 6.3</w:t>
                                  </w:r>
                                  <w:r>
                                    <w:rPr>
                                      <w:b/>
                                      <w:color w:val="0099D6"/>
                                      <w:sz w:val="13"/>
                                      <w:vertAlign w:val="superscript"/>
                                    </w:rPr>
                                    <w:t>e</w:t>
                                  </w:r>
                                </w:p>
                                <w:p w14:paraId="6FEB9784" w14:textId="77777777" w:rsidR="009D0C1D" w:rsidRPr="00CF0462" w:rsidRDefault="009D0C1D" w:rsidP="00CF0462">
                                  <w:pPr>
                                    <w:spacing w:after="70" w:line="290" w:lineRule="auto"/>
                                    <w:jc w:val="center"/>
                                    <w:rPr>
                                      <w:rFonts w:cstheme="minorHAnsi"/>
                                      <w:color w:val="343433"/>
                                      <w:kern w:val="24"/>
                                      <w:sz w:val="13"/>
                                      <w:szCs w:val="13"/>
                                    </w:rPr>
                                  </w:pPr>
                                  <w:r>
                                    <w:rPr>
                                      <w:color w:val="343433"/>
                                      <w:sz w:val="13"/>
                                    </w:rPr>
                                    <w:t>Провести додаткове ТМЧ відповідно до національних керівних принципів</w:t>
                                  </w:r>
                                  <w:r>
                                    <w:rPr>
                                      <w:b/>
                                      <w:color w:val="0099D6"/>
                                      <w:sz w:val="13"/>
                                      <w:vertAlign w:val="superscript"/>
                                    </w:rPr>
                                    <w:t>f</w:t>
                                  </w:r>
                                </w:p>
                                <w:p w14:paraId="3C209A64" w14:textId="77777777" w:rsidR="009D0C1D" w:rsidRPr="00CF0462" w:rsidRDefault="009D0C1D" w:rsidP="00CF0462">
                                  <w:pPr>
                                    <w:spacing w:line="285" w:lineRule="auto"/>
                                    <w:jc w:val="center"/>
                                    <w:rPr>
                                      <w:rFonts w:cstheme="minorHAnsi"/>
                                      <w:color w:val="343433"/>
                                      <w:kern w:val="24"/>
                                      <w:sz w:val="13"/>
                                      <w:szCs w:val="13"/>
                                    </w:rPr>
                                  </w:pPr>
                                  <w:r>
                                    <w:rPr>
                                      <w:color w:val="343433"/>
                                      <w:sz w:val="13"/>
                                    </w:rPr>
                                    <w:t>Переглянути схему лікування на основі додаткових результатів ТМЧ</w:t>
                                  </w:r>
                                </w:p>
                              </w:txbxContent>
                            </wps:txbx>
                            <wps:bodyPr wrap="square" lIns="0" tIns="0" rIns="0" bIns="0">
                              <a:noAutofit/>
                            </wps:bodyPr>
                          </wps:wsp>
                        </a:graphicData>
                      </a:graphic>
                      <wp14:sizeRelV relativeFrom="margin">
                        <wp14:pctHeight>0</wp14:pctHeight>
                      </wp14:sizeRelV>
                    </wp:anchor>
                  </w:drawing>
                </mc:Choice>
                <mc:Fallback>
                  <w:pict>
                    <v:rect w14:anchorId="381BCB6B" id="_x0000_s1432" style="position:absolute;margin-left:489pt;margin-top:190.65pt;width:111.8pt;height:77.8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" fillcolor="#d2d7eb" stroked="f">
                      <v:textbox inset="0,0,0,0">
                        <w:txbxContent>
                          <w:p w14:paraId="0989360F" w14:textId="77777777" w:rsidR="009D0C1D" w:rsidRPr="00CF0462" w:rsidRDefault="009D0C1D" w:rsidP="00CF0462">
                            <w:pPr>
                              <w:spacing w:after="70" w:line="292" w:lineRule="auto"/>
                              <w:jc w:val="center"/>
                              <w:rPr>
                                <w:rFonts w:cstheme="minorHAnsi"/>
                                <w:color w:val="343433"/>
                                <w:kern w:val="24"/>
                                <w:sz w:val="13"/>
                                <w:szCs w:val="13"/>
                              </w:rPr>
                            </w:pPr>
                            <w:r>
                              <w:rPr>
                                <w:color w:val="343433"/>
                                <w:sz w:val="13"/>
                              </w:rPr>
                              <w:t>Переглянути схему лікування на основі результатів ТМЧ, див. рис. 6.3</w:t>
                            </w:r>
                            <w:r>
                              <w:rPr>
                                <w:b/>
                                <w:color w:val="0099D6"/>
                                <w:sz w:val="13"/>
                                <w:vertAlign w:val="superscript"/>
                              </w:rPr>
                              <w:t>e</w:t>
                            </w:r>
                          </w:p>
                          <w:p w14:paraId="6FEB9784" w14:textId="77777777" w:rsidR="009D0C1D" w:rsidRPr="00CF0462" w:rsidRDefault="009D0C1D" w:rsidP="00CF0462">
                            <w:pPr>
                              <w:spacing w:after="70" w:line="290" w:lineRule="auto"/>
                              <w:jc w:val="center"/>
                              <w:rPr>
                                <w:rFonts w:cstheme="minorHAnsi"/>
                                <w:color w:val="343433"/>
                                <w:kern w:val="24"/>
                                <w:sz w:val="13"/>
                                <w:szCs w:val="13"/>
                              </w:rPr>
                            </w:pPr>
                            <w:r>
                              <w:rPr>
                                <w:color w:val="343433"/>
                                <w:sz w:val="13"/>
                              </w:rPr>
                              <w:t>Провести додаткове ТМЧ відповідно до національних керівних принципів</w:t>
                            </w:r>
                            <w:r>
                              <w:rPr>
                                <w:b/>
                                <w:color w:val="0099D6"/>
                                <w:sz w:val="13"/>
                                <w:vertAlign w:val="superscript"/>
                              </w:rPr>
                              <w:t>f</w:t>
                            </w:r>
                          </w:p>
                          <w:p w14:paraId="3C209A64" w14:textId="77777777" w:rsidR="009D0C1D" w:rsidRPr="00CF0462" w:rsidRDefault="009D0C1D" w:rsidP="00CF0462">
                            <w:pPr>
                              <w:spacing w:line="285" w:lineRule="auto"/>
                              <w:jc w:val="center"/>
                              <w:rPr>
                                <w:rFonts w:cstheme="minorHAnsi"/>
                                <w:color w:val="343433"/>
                                <w:kern w:val="24"/>
                                <w:sz w:val="13"/>
                                <w:szCs w:val="13"/>
                              </w:rPr>
                            </w:pPr>
                            <w:r>
                              <w:rPr>
                                <w:color w:val="343433"/>
                                <w:sz w:val="13"/>
                              </w:rPr>
                              <w:t>Переглянути схему лікування на основі додаткових результатів ТМЧ</w:t>
                            </w:r>
                          </w:p>
                        </w:txbxContent>
                      </v:textbox>
                    </v:rect>
                  </w:pict>
                </mc:Fallback>
              </mc:AlternateContent>
            </w:r>
            <w:r w:rsidR="00E76FA1">
              <w:rPr>
                <w:noProof/>
              </w:rPr>
              <mc:AlternateContent>
                <mc:Choice Requires="wps">
                  <w:drawing>
                    <wp:anchor distT="0" distB="0" distL="114300" distR="114300" simplePos="0" relativeHeight="251780096" behindDoc="0" locked="0" layoutInCell="1" allowOverlap="1" wp14:anchorId="43B02E23" wp14:editId="60AD14E3">
                      <wp:simplePos x="0" y="0"/>
                      <wp:positionH relativeFrom="column">
                        <wp:posOffset>4996815</wp:posOffset>
                      </wp:positionH>
                      <wp:positionV relativeFrom="paragraph">
                        <wp:posOffset>4785360</wp:posOffset>
                      </wp:positionV>
                      <wp:extent cx="2075180" cy="351790"/>
                      <wp:effectExtent l="0" t="0" r="1270" b="0"/>
                      <wp:wrapNone/>
                      <wp:docPr id="1465462931" name="Прямокутник 26"/>
                      <wp:cNvGraphicFramePr/>
                      <a:graphic xmlns:a="http://schemas.openxmlformats.org/drawingml/2006/main">
                        <a:graphicData uri="http://schemas.microsoft.com/office/word/2010/wordprocessingShape">
                          <wps:wsp>
                            <wps:cNvSpPr/>
                            <wps:spPr>
                              <a:xfrm>
                                <a:off x="0" y="0"/>
                                <a:ext cx="2075180" cy="351790"/>
                              </a:xfrm>
                              <a:prstGeom prst="rect">
                                <a:avLst/>
                              </a:prstGeom>
                              <a:solidFill>
                                <a:srgbClr val="D1BAD4"/>
                              </a:solidFill>
                            </wps:spPr>
                            <wps:txbx>
                              <w:txbxContent>
                                <w:p w14:paraId="409889D0" w14:textId="77777777" w:rsidR="009D0C1D" w:rsidRPr="00D77994" w:rsidRDefault="009D0C1D" w:rsidP="00CF0462">
                                  <w:pPr>
                                    <w:spacing w:line="290" w:lineRule="auto"/>
                                    <w:jc w:val="center"/>
                                    <w:rPr>
                                      <w:rFonts w:cstheme="minorHAnsi"/>
                                      <w:color w:val="343433"/>
                                      <w:kern w:val="24"/>
                                      <w:sz w:val="11"/>
                                      <w:szCs w:val="11"/>
                                    </w:rPr>
                                  </w:pPr>
                                  <w:r w:rsidRPr="00D77994">
                                    <w:rPr>
                                      <w:color w:val="343433"/>
                                      <w:sz w:val="11"/>
                                      <w:szCs w:val="22"/>
                                    </w:rPr>
                                    <w:t xml:space="preserve">Дослідити будь-який </w:t>
                                  </w:r>
                                  <w:r w:rsidRPr="00D77994">
                                    <w:rPr>
                                      <w:b/>
                                      <w:color w:val="343433"/>
                                      <w:sz w:val="11"/>
                                      <w:szCs w:val="22"/>
                                    </w:rPr>
                                    <w:t xml:space="preserve">позитивний результат відновленої культури </w:t>
                                  </w:r>
                                  <w:r w:rsidRPr="00D77994">
                                    <w:rPr>
                                      <w:color w:val="343433"/>
                                      <w:sz w:val="11"/>
                                      <w:szCs w:val="22"/>
                                    </w:rPr>
                                    <w:t xml:space="preserve">під час лікування, з контролем </w:t>
                                  </w:r>
                                  <w:r w:rsidRPr="00D77994">
                                    <w:rPr>
                                      <w:b/>
                                      <w:color w:val="343433"/>
                                      <w:sz w:val="11"/>
                                      <w:szCs w:val="22"/>
                                    </w:rPr>
                                    <w:t>неефективності повторного лікування</w:t>
                                  </w:r>
                                  <w:r w:rsidRPr="00D77994">
                                    <w:rPr>
                                      <w:b/>
                                      <w:color w:val="0099D6"/>
                                      <w:sz w:val="11"/>
                                      <w:szCs w:val="22"/>
                                      <w:vertAlign w:val="superscript"/>
                                    </w:rPr>
                                    <w:t>g</w:t>
                                  </w:r>
                                </w:p>
                              </w:txbxContent>
                            </wps:txbx>
                            <wps:bodyPr wrap="square" lIns="0" tIns="0" rIns="0" bIns="0">
                              <a:noAutofit/>
                            </wps:bodyPr>
                          </wps:wsp>
                        </a:graphicData>
                      </a:graphic>
                    </wp:anchor>
                  </w:drawing>
                </mc:Choice>
                <mc:Fallback>
                  <w:pict>
                    <v:rect w14:anchorId="43B02E23" id="_x0000_s1433" style="position:absolute;margin-left:393.45pt;margin-top:376.8pt;width:163.4pt;height:27.7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" fillcolor="#d1bad4" stroked="f">
                      <v:textbox inset="0,0,0,0">
                        <w:txbxContent>
                          <w:p w14:paraId="409889D0" w14:textId="77777777" w:rsidR="009D0C1D" w:rsidRPr="00D77994" w:rsidRDefault="009D0C1D" w:rsidP="00CF0462">
                            <w:pPr>
                              <w:spacing w:line="290" w:lineRule="auto"/>
                              <w:jc w:val="center"/>
                              <w:rPr>
                                <w:rFonts w:cstheme="minorHAnsi"/>
                                <w:color w:val="343433"/>
                                <w:kern w:val="24"/>
                                <w:sz w:val="11"/>
                                <w:szCs w:val="11"/>
                              </w:rPr>
                            </w:pPr>
                            <w:r w:rsidRPr="00D77994">
                              <w:rPr>
                                <w:color w:val="343433"/>
                                <w:sz w:val="11"/>
                                <w:szCs w:val="22"/>
                              </w:rPr>
                              <w:t xml:space="preserve">Дослідити будь-який </w:t>
                            </w:r>
                            <w:r w:rsidRPr="00D77994">
                              <w:rPr>
                                <w:b/>
                                <w:color w:val="343433"/>
                                <w:sz w:val="11"/>
                                <w:szCs w:val="22"/>
                              </w:rPr>
                              <w:t xml:space="preserve">позитивний результат відновленої культури </w:t>
                            </w:r>
                            <w:r w:rsidRPr="00D77994">
                              <w:rPr>
                                <w:color w:val="343433"/>
                                <w:sz w:val="11"/>
                                <w:szCs w:val="22"/>
                              </w:rPr>
                              <w:t xml:space="preserve">під час лікування, з контролем </w:t>
                            </w:r>
                            <w:r w:rsidRPr="00D77994">
                              <w:rPr>
                                <w:b/>
                                <w:color w:val="343433"/>
                                <w:sz w:val="11"/>
                                <w:szCs w:val="22"/>
                              </w:rPr>
                              <w:t>неефективності повторного лікування</w:t>
                            </w:r>
                            <w:r w:rsidRPr="00D77994">
                              <w:rPr>
                                <w:b/>
                                <w:color w:val="0099D6"/>
                                <w:sz w:val="11"/>
                                <w:szCs w:val="22"/>
                                <w:vertAlign w:val="superscript"/>
                              </w:rPr>
                              <w:t>g</w:t>
                            </w:r>
                          </w:p>
                        </w:txbxContent>
                      </v:textbox>
                    </v:rect>
                  </w:pict>
                </mc:Fallback>
              </mc:AlternateContent>
            </w:r>
            <w:r w:rsidR="00E76FA1">
              <w:rPr>
                <w:noProof/>
              </w:rPr>
              <mc:AlternateContent>
                <mc:Choice Requires="wps">
                  <w:drawing>
                    <wp:anchor distT="0" distB="0" distL="114300" distR="114300" simplePos="0" relativeHeight="251769856" behindDoc="0" locked="0" layoutInCell="1" allowOverlap="1" wp14:anchorId="6813DF2F" wp14:editId="3A37397C">
                      <wp:simplePos x="0" y="0"/>
                      <wp:positionH relativeFrom="column">
                        <wp:posOffset>3728720</wp:posOffset>
                      </wp:positionH>
                      <wp:positionV relativeFrom="paragraph">
                        <wp:posOffset>4419600</wp:posOffset>
                      </wp:positionV>
                      <wp:extent cx="298450" cy="209550"/>
                      <wp:effectExtent l="0" t="0" r="6350" b="0"/>
                      <wp:wrapNone/>
                      <wp:docPr id="1178490247" name="Прямокутник 16"/>
                      <wp:cNvGraphicFramePr/>
                      <a:graphic xmlns:a="http://schemas.openxmlformats.org/drawingml/2006/main">
                        <a:graphicData uri="http://schemas.microsoft.com/office/word/2010/wordprocessingShape">
                          <wps:wsp>
                            <wps:cNvSpPr/>
                            <wps:spPr>
                              <a:xfrm>
                                <a:off x="0" y="0"/>
                                <a:ext cx="298450" cy="209550"/>
                              </a:xfrm>
                              <a:prstGeom prst="rect">
                                <a:avLst/>
                              </a:prstGeom>
                              <a:solidFill>
                                <a:srgbClr val="FDEAEC"/>
                              </a:solidFill>
                            </wps:spPr>
                            <wps:txbx>
                              <w:txbxContent>
                                <w:p w14:paraId="3A77F70F" w14:textId="77777777" w:rsidR="009D0C1D" w:rsidRPr="00D77994" w:rsidRDefault="009D0C1D" w:rsidP="00CF0462">
                                  <w:pPr>
                                    <w:spacing w:line="261" w:lineRule="auto"/>
                                    <w:rPr>
                                      <w:rFonts w:cstheme="minorHAnsi"/>
                                      <w:b/>
                                      <w:bCs/>
                                      <w:color w:val="343433"/>
                                      <w:kern w:val="24"/>
                                      <w:sz w:val="11"/>
                                      <w:szCs w:val="11"/>
                                    </w:rPr>
                                  </w:pPr>
                                  <w:r w:rsidRPr="00D77994">
                                    <w:rPr>
                                      <w:b/>
                                      <w:color w:val="343433"/>
                                      <w:sz w:val="11"/>
                                      <w:szCs w:val="22"/>
                                    </w:rPr>
                                    <w:t xml:space="preserve">BDQ </w:t>
                                  </w:r>
                                  <w:r w:rsidRPr="00D77994">
                                    <w:rPr>
                                      <w:b/>
                                      <w:color w:val="BB2025"/>
                                      <w:sz w:val="11"/>
                                      <w:szCs w:val="22"/>
                                    </w:rPr>
                                    <w:t xml:space="preserve">R </w:t>
                                  </w:r>
                                  <w:r w:rsidRPr="00D77994">
                                    <w:rPr>
                                      <w:b/>
                                      <w:color w:val="343433"/>
                                      <w:sz w:val="11"/>
                                      <w:szCs w:val="22"/>
                                    </w:rPr>
                                    <w:t xml:space="preserve">FQ </w:t>
                                  </w:r>
                                  <w:r w:rsidRPr="00D77994">
                                    <w:rPr>
                                      <w:b/>
                                      <w:color w:val="0C8140"/>
                                      <w:sz w:val="11"/>
                                      <w:szCs w:val="22"/>
                                    </w:rPr>
                                    <w:t>S</w:t>
                                  </w:r>
                                  <w:r w:rsidRPr="00D77994">
                                    <w:rPr>
                                      <w:b/>
                                      <w:color w:val="343433"/>
                                      <w:sz w:val="11"/>
                                      <w:szCs w:val="22"/>
                                    </w:rPr>
                                    <w:t>/</w:t>
                                  </w:r>
                                  <w:r w:rsidRPr="00D77994">
                                    <w:rPr>
                                      <w:b/>
                                      <w:color w:val="BB2025"/>
                                      <w:sz w:val="11"/>
                                      <w:szCs w:val="22"/>
                                    </w:rPr>
                                    <w:t>R</w:t>
                                  </w:r>
                                </w:p>
                              </w:txbxContent>
                            </wps:txbx>
                            <wps:bodyPr wrap="square" lIns="0" tIns="0" rIns="0" bIns="0">
                              <a:noAutofit/>
                            </wps:bodyPr>
                          </wps:wsp>
                        </a:graphicData>
                      </a:graphic>
                    </wp:anchor>
                  </w:drawing>
                </mc:Choice>
                <mc:Fallback>
                  <w:pict>
                    <v:rect w14:anchorId="6813DF2F" id="_x0000_s1434" style="position:absolute;margin-left:293.6pt;margin-top:348pt;width:23.5pt;height:16.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" fillcolor="#fdeaec" stroked="f">
                      <v:textbox inset="0,0,0,0">
                        <w:txbxContent>
                          <w:p w14:paraId="3A77F70F" w14:textId="77777777" w:rsidR="009D0C1D" w:rsidRPr="00D77994" w:rsidRDefault="009D0C1D" w:rsidP="00CF0462">
                            <w:pPr>
                              <w:spacing w:line="261" w:lineRule="auto"/>
                              <w:rPr>
                                <w:rFonts w:cstheme="minorHAnsi"/>
                                <w:b/>
                                <w:bCs/>
                                <w:color w:val="343433"/>
                                <w:kern w:val="24"/>
                                <w:sz w:val="11"/>
                                <w:szCs w:val="11"/>
                              </w:rPr>
                            </w:pPr>
                            <w:r w:rsidRPr="00D77994">
                              <w:rPr>
                                <w:b/>
                                <w:color w:val="343433"/>
                                <w:sz w:val="11"/>
                                <w:szCs w:val="22"/>
                              </w:rPr>
                              <w:t xml:space="preserve">BDQ </w:t>
                            </w:r>
                            <w:r w:rsidRPr="00D77994">
                              <w:rPr>
                                <w:b/>
                                <w:color w:val="BB2025"/>
                                <w:sz w:val="11"/>
                                <w:szCs w:val="22"/>
                              </w:rPr>
                              <w:t xml:space="preserve">R </w:t>
                            </w:r>
                            <w:r w:rsidRPr="00D77994">
                              <w:rPr>
                                <w:b/>
                                <w:color w:val="343433"/>
                                <w:sz w:val="11"/>
                                <w:szCs w:val="22"/>
                              </w:rPr>
                              <w:t xml:space="preserve">FQ </w:t>
                            </w:r>
                            <w:r w:rsidRPr="00D77994">
                              <w:rPr>
                                <w:b/>
                                <w:color w:val="0C8140"/>
                                <w:sz w:val="11"/>
                                <w:szCs w:val="22"/>
                              </w:rPr>
                              <w:t>S</w:t>
                            </w:r>
                            <w:r w:rsidRPr="00D77994">
                              <w:rPr>
                                <w:b/>
                                <w:color w:val="343433"/>
                                <w:sz w:val="11"/>
                                <w:szCs w:val="22"/>
                              </w:rPr>
                              <w:t>/</w:t>
                            </w:r>
                            <w:r w:rsidRPr="00D77994">
                              <w:rPr>
                                <w:b/>
                                <w:color w:val="BB2025"/>
                                <w:sz w:val="11"/>
                                <w:szCs w:val="22"/>
                              </w:rPr>
                              <w:t>R</w:t>
                            </w:r>
                          </w:p>
                        </w:txbxContent>
                      </v:textbox>
                    </v:rect>
                  </w:pict>
                </mc:Fallback>
              </mc:AlternateContent>
            </w:r>
            <w:r w:rsidR="00E76FA1">
              <w:rPr>
                <w:noProof/>
              </w:rPr>
              <mc:AlternateContent>
                <mc:Choice Requires="wps">
                  <w:drawing>
                    <wp:anchor distT="0" distB="0" distL="114300" distR="114300" simplePos="0" relativeHeight="251768832" behindDoc="0" locked="0" layoutInCell="1" allowOverlap="1" wp14:anchorId="4FB67E4D" wp14:editId="60A1CCB6">
                      <wp:simplePos x="0" y="0"/>
                      <wp:positionH relativeFrom="column">
                        <wp:posOffset>2866390</wp:posOffset>
                      </wp:positionH>
                      <wp:positionV relativeFrom="paragraph">
                        <wp:posOffset>4419600</wp:posOffset>
                      </wp:positionV>
                      <wp:extent cx="313690" cy="209550"/>
                      <wp:effectExtent l="0" t="0" r="0" b="0"/>
                      <wp:wrapNone/>
                      <wp:docPr id="1870364645" name="Прямокутник 15"/>
                      <wp:cNvGraphicFramePr/>
                      <a:graphic xmlns:a="http://schemas.openxmlformats.org/drawingml/2006/main">
                        <a:graphicData uri="http://schemas.microsoft.com/office/word/2010/wordprocessingShape">
                          <wps:wsp>
                            <wps:cNvSpPr/>
                            <wps:spPr>
                              <a:xfrm>
                                <a:off x="0" y="0"/>
                                <a:ext cx="313690" cy="209550"/>
                              </a:xfrm>
                              <a:prstGeom prst="rect">
                                <a:avLst/>
                              </a:prstGeom>
                              <a:solidFill>
                                <a:srgbClr val="FDEAEC"/>
                              </a:solidFill>
                            </wps:spPr>
                            <wps:txbx>
                              <w:txbxContent>
                                <w:p w14:paraId="198911AE" w14:textId="77777777" w:rsidR="009D0C1D" w:rsidRPr="00D77994" w:rsidRDefault="009D0C1D" w:rsidP="00CF0462">
                                  <w:pPr>
                                    <w:spacing w:line="261" w:lineRule="auto"/>
                                    <w:jc w:val="both"/>
                                    <w:rPr>
                                      <w:rFonts w:cstheme="minorHAnsi"/>
                                      <w:b/>
                                      <w:bCs/>
                                      <w:color w:val="343433"/>
                                      <w:kern w:val="24"/>
                                      <w:sz w:val="11"/>
                                      <w:szCs w:val="11"/>
                                    </w:rPr>
                                  </w:pPr>
                                  <w:r w:rsidRPr="00D77994">
                                    <w:rPr>
                                      <w:b/>
                                      <w:color w:val="343433"/>
                                      <w:sz w:val="11"/>
                                      <w:szCs w:val="22"/>
                                    </w:rPr>
                                    <w:t xml:space="preserve">BDQ </w:t>
                                  </w:r>
                                  <w:r w:rsidRPr="00D77994">
                                    <w:rPr>
                                      <w:b/>
                                      <w:color w:val="BB2025"/>
                                      <w:sz w:val="11"/>
                                      <w:szCs w:val="22"/>
                                    </w:rPr>
                                    <w:t xml:space="preserve">R </w:t>
                                  </w:r>
                                  <w:r w:rsidRPr="00D77994">
                                    <w:rPr>
                                      <w:b/>
                                      <w:color w:val="343433"/>
                                      <w:sz w:val="11"/>
                                      <w:szCs w:val="22"/>
                                    </w:rPr>
                                    <w:t xml:space="preserve">FQ </w:t>
                                  </w:r>
                                  <w:r w:rsidRPr="00D77994">
                                    <w:rPr>
                                      <w:b/>
                                      <w:color w:val="0C8140"/>
                                      <w:sz w:val="11"/>
                                      <w:szCs w:val="22"/>
                                    </w:rPr>
                                    <w:t>S</w:t>
                                  </w:r>
                                  <w:r w:rsidRPr="00D77994">
                                    <w:rPr>
                                      <w:b/>
                                      <w:color w:val="343433"/>
                                      <w:sz w:val="11"/>
                                      <w:szCs w:val="22"/>
                                    </w:rPr>
                                    <w:t>/</w:t>
                                  </w:r>
                                  <w:r w:rsidRPr="00D77994">
                                    <w:rPr>
                                      <w:b/>
                                      <w:color w:val="BB2025"/>
                                      <w:sz w:val="11"/>
                                      <w:szCs w:val="22"/>
                                    </w:rPr>
                                    <w:t>R</w:t>
                                  </w:r>
                                </w:p>
                              </w:txbxContent>
                            </wps:txbx>
                            <wps:bodyPr wrap="square" lIns="0" tIns="0" rIns="0" bIns="0">
                              <a:noAutofit/>
                            </wps:bodyPr>
                          </wps:wsp>
                        </a:graphicData>
                      </a:graphic>
                    </wp:anchor>
                  </w:drawing>
                </mc:Choice>
                <mc:Fallback>
                  <w:pict>
                    <v:rect w14:anchorId="4FB67E4D" id="_x0000_s1435" style="position:absolute;margin-left:225.7pt;margin-top:348pt;width:24.7pt;height:16.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" fillcolor="#fdeaec" stroked="f">
                      <v:textbox inset="0,0,0,0">
                        <w:txbxContent>
                          <w:p w14:paraId="198911AE" w14:textId="77777777" w:rsidR="009D0C1D" w:rsidRPr="00D77994" w:rsidRDefault="009D0C1D" w:rsidP="00CF0462">
                            <w:pPr>
                              <w:spacing w:line="261" w:lineRule="auto"/>
                              <w:jc w:val="both"/>
                              <w:rPr>
                                <w:rFonts w:cstheme="minorHAnsi"/>
                                <w:b/>
                                <w:bCs/>
                                <w:color w:val="343433"/>
                                <w:kern w:val="24"/>
                                <w:sz w:val="11"/>
                                <w:szCs w:val="11"/>
                              </w:rPr>
                            </w:pPr>
                            <w:r w:rsidRPr="00D77994">
                              <w:rPr>
                                <w:b/>
                                <w:color w:val="343433"/>
                                <w:sz w:val="11"/>
                                <w:szCs w:val="22"/>
                              </w:rPr>
                              <w:t xml:space="preserve">BDQ </w:t>
                            </w:r>
                            <w:r w:rsidRPr="00D77994">
                              <w:rPr>
                                <w:b/>
                                <w:color w:val="BB2025"/>
                                <w:sz w:val="11"/>
                                <w:szCs w:val="22"/>
                              </w:rPr>
                              <w:t xml:space="preserve">R </w:t>
                            </w:r>
                            <w:r w:rsidRPr="00D77994">
                              <w:rPr>
                                <w:b/>
                                <w:color w:val="343433"/>
                                <w:sz w:val="11"/>
                                <w:szCs w:val="22"/>
                              </w:rPr>
                              <w:t xml:space="preserve">FQ </w:t>
                            </w:r>
                            <w:r w:rsidRPr="00D77994">
                              <w:rPr>
                                <w:b/>
                                <w:color w:val="0C8140"/>
                                <w:sz w:val="11"/>
                                <w:szCs w:val="22"/>
                              </w:rPr>
                              <w:t>S</w:t>
                            </w:r>
                            <w:r w:rsidRPr="00D77994">
                              <w:rPr>
                                <w:b/>
                                <w:color w:val="343433"/>
                                <w:sz w:val="11"/>
                                <w:szCs w:val="22"/>
                              </w:rPr>
                              <w:t>/</w:t>
                            </w:r>
                            <w:r w:rsidRPr="00D77994">
                              <w:rPr>
                                <w:b/>
                                <w:color w:val="BB2025"/>
                                <w:sz w:val="11"/>
                                <w:szCs w:val="22"/>
                              </w:rPr>
                              <w:t>R</w:t>
                            </w:r>
                          </w:p>
                        </w:txbxContent>
                      </v:textbox>
                    </v:rect>
                  </w:pict>
                </mc:Fallback>
              </mc:AlternateContent>
            </w:r>
            <w:r w:rsidR="00E76FA1">
              <w:rPr>
                <w:noProof/>
              </w:rPr>
              <mc:AlternateContent>
                <mc:Choice Requires="wps">
                  <w:drawing>
                    <wp:anchor distT="0" distB="0" distL="114300" distR="114300" simplePos="0" relativeHeight="251767808" behindDoc="0" locked="0" layoutInCell="1" allowOverlap="1" wp14:anchorId="75C31D67" wp14:editId="60A9795D">
                      <wp:simplePos x="0" y="0"/>
                      <wp:positionH relativeFrom="column">
                        <wp:posOffset>2043430</wp:posOffset>
                      </wp:positionH>
                      <wp:positionV relativeFrom="paragraph">
                        <wp:posOffset>4428490</wp:posOffset>
                      </wp:positionV>
                      <wp:extent cx="328930" cy="209550"/>
                      <wp:effectExtent l="0" t="0" r="0" b="0"/>
                      <wp:wrapNone/>
                      <wp:docPr id="781749436" name="Прямокутник 14"/>
                      <wp:cNvGraphicFramePr/>
                      <a:graphic xmlns:a="http://schemas.openxmlformats.org/drawingml/2006/main">
                        <a:graphicData uri="http://schemas.microsoft.com/office/word/2010/wordprocessingShape">
                          <wps:wsp>
                            <wps:cNvSpPr/>
                            <wps:spPr>
                              <a:xfrm>
                                <a:off x="0" y="0"/>
                                <a:ext cx="328930" cy="209550"/>
                              </a:xfrm>
                              <a:prstGeom prst="rect">
                                <a:avLst/>
                              </a:prstGeom>
                              <a:solidFill>
                                <a:srgbClr val="FDEAEC"/>
                              </a:solidFill>
                            </wps:spPr>
                            <wps:txbx>
                              <w:txbxContent>
                                <w:p w14:paraId="65661D90" w14:textId="77777777" w:rsidR="009D0C1D" w:rsidRPr="00D77994" w:rsidRDefault="009D0C1D" w:rsidP="00CF0462">
                                  <w:pPr>
                                    <w:spacing w:line="261" w:lineRule="auto"/>
                                    <w:jc w:val="both"/>
                                    <w:rPr>
                                      <w:rFonts w:cstheme="minorHAnsi"/>
                                      <w:b/>
                                      <w:bCs/>
                                      <w:color w:val="343433"/>
                                      <w:kern w:val="24"/>
                                      <w:sz w:val="11"/>
                                      <w:szCs w:val="11"/>
                                    </w:rPr>
                                  </w:pPr>
                                  <w:r w:rsidRPr="00D77994">
                                    <w:rPr>
                                      <w:b/>
                                      <w:color w:val="343433"/>
                                      <w:sz w:val="11"/>
                                      <w:szCs w:val="22"/>
                                    </w:rPr>
                                    <w:t xml:space="preserve">BDQ </w:t>
                                  </w:r>
                                  <w:r w:rsidRPr="00D77994">
                                    <w:rPr>
                                      <w:b/>
                                      <w:color w:val="BB2025"/>
                                      <w:sz w:val="11"/>
                                      <w:szCs w:val="22"/>
                                    </w:rPr>
                                    <w:t xml:space="preserve">R </w:t>
                                  </w:r>
                                  <w:r w:rsidRPr="00D77994">
                                    <w:rPr>
                                      <w:b/>
                                      <w:color w:val="343433"/>
                                      <w:sz w:val="11"/>
                                      <w:szCs w:val="22"/>
                                    </w:rPr>
                                    <w:t xml:space="preserve">FQ </w:t>
                                  </w:r>
                                  <w:r w:rsidRPr="00D77994">
                                    <w:rPr>
                                      <w:b/>
                                      <w:color w:val="BB2025"/>
                                      <w:sz w:val="11"/>
                                      <w:szCs w:val="22"/>
                                    </w:rPr>
                                    <w:t>S</w:t>
                                  </w:r>
                                  <w:r w:rsidRPr="00D77994">
                                    <w:rPr>
                                      <w:b/>
                                      <w:color w:val="343433"/>
                                      <w:sz w:val="11"/>
                                      <w:szCs w:val="22"/>
                                    </w:rPr>
                                    <w:t>/</w:t>
                                  </w:r>
                                  <w:r w:rsidRPr="00D77994">
                                    <w:rPr>
                                      <w:b/>
                                      <w:color w:val="0C8140"/>
                                      <w:sz w:val="11"/>
                                      <w:szCs w:val="22"/>
                                    </w:rPr>
                                    <w:t>R</w:t>
                                  </w:r>
                                </w:p>
                              </w:txbxContent>
                            </wps:txbx>
                            <wps:bodyPr wrap="square" lIns="0" tIns="0" rIns="0" bIns="0">
                              <a:noAutofit/>
                            </wps:bodyPr>
                          </wps:wsp>
                        </a:graphicData>
                      </a:graphic>
                    </wp:anchor>
                  </w:drawing>
                </mc:Choice>
                <mc:Fallback>
                  <w:pict>
                    <v:rect w14:anchorId="75C31D67" id="_x0000_s1436" style="position:absolute;margin-left:160.9pt;margin-top:348.7pt;width:25.9pt;height:16.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" fillcolor="#fdeaec" stroked="f">
                      <v:textbox inset="0,0,0,0">
                        <w:txbxContent>
                          <w:p w14:paraId="65661D90" w14:textId="77777777" w:rsidR="009D0C1D" w:rsidRPr="00D77994" w:rsidRDefault="009D0C1D" w:rsidP="00CF0462">
                            <w:pPr>
                              <w:spacing w:line="261" w:lineRule="auto"/>
                              <w:jc w:val="both"/>
                              <w:rPr>
                                <w:rFonts w:cstheme="minorHAnsi"/>
                                <w:b/>
                                <w:bCs/>
                                <w:color w:val="343433"/>
                                <w:kern w:val="24"/>
                                <w:sz w:val="11"/>
                                <w:szCs w:val="11"/>
                              </w:rPr>
                            </w:pPr>
                            <w:r w:rsidRPr="00D77994">
                              <w:rPr>
                                <w:b/>
                                <w:color w:val="343433"/>
                                <w:sz w:val="11"/>
                                <w:szCs w:val="22"/>
                              </w:rPr>
                              <w:t xml:space="preserve">BDQ </w:t>
                            </w:r>
                            <w:r w:rsidRPr="00D77994">
                              <w:rPr>
                                <w:b/>
                                <w:color w:val="BB2025"/>
                                <w:sz w:val="11"/>
                                <w:szCs w:val="22"/>
                              </w:rPr>
                              <w:t xml:space="preserve">R </w:t>
                            </w:r>
                            <w:r w:rsidRPr="00D77994">
                              <w:rPr>
                                <w:b/>
                                <w:color w:val="343433"/>
                                <w:sz w:val="11"/>
                                <w:szCs w:val="22"/>
                              </w:rPr>
                              <w:t xml:space="preserve">FQ </w:t>
                            </w:r>
                            <w:r w:rsidRPr="00D77994">
                              <w:rPr>
                                <w:b/>
                                <w:color w:val="BB2025"/>
                                <w:sz w:val="11"/>
                                <w:szCs w:val="22"/>
                              </w:rPr>
                              <w:t>S</w:t>
                            </w:r>
                            <w:r w:rsidRPr="00D77994">
                              <w:rPr>
                                <w:b/>
                                <w:color w:val="343433"/>
                                <w:sz w:val="11"/>
                                <w:szCs w:val="22"/>
                              </w:rPr>
                              <w:t>/</w:t>
                            </w:r>
                            <w:r w:rsidRPr="00D77994">
                              <w:rPr>
                                <w:b/>
                                <w:color w:val="0C8140"/>
                                <w:sz w:val="11"/>
                                <w:szCs w:val="22"/>
                              </w:rPr>
                              <w:t>R</w:t>
                            </w:r>
                          </w:p>
                        </w:txbxContent>
                      </v:textbox>
                    </v:rect>
                  </w:pict>
                </mc:Fallback>
              </mc:AlternateContent>
            </w:r>
            <w:r w:rsidR="00E76FA1">
              <w:rPr>
                <w:noProof/>
              </w:rPr>
              <mc:AlternateContent>
                <mc:Choice Requires="wps">
                  <w:drawing>
                    <wp:anchor distT="0" distB="0" distL="114300" distR="114300" simplePos="0" relativeHeight="251766784" behindDoc="0" locked="0" layoutInCell="1" allowOverlap="1" wp14:anchorId="71899815" wp14:editId="48FF4929">
                      <wp:simplePos x="0" y="0"/>
                      <wp:positionH relativeFrom="column">
                        <wp:posOffset>1284605</wp:posOffset>
                      </wp:positionH>
                      <wp:positionV relativeFrom="paragraph">
                        <wp:posOffset>4425950</wp:posOffset>
                      </wp:positionV>
                      <wp:extent cx="271145" cy="209550"/>
                      <wp:effectExtent l="0" t="0" r="0" b="0"/>
                      <wp:wrapNone/>
                      <wp:docPr id="498503273" name="Прямокутник 13"/>
                      <wp:cNvGraphicFramePr/>
                      <a:graphic xmlns:a="http://schemas.openxmlformats.org/drawingml/2006/main">
                        <a:graphicData uri="http://schemas.microsoft.com/office/word/2010/wordprocessingShape">
                          <wps:wsp>
                            <wps:cNvSpPr/>
                            <wps:spPr>
                              <a:xfrm>
                                <a:off x="0" y="0"/>
                                <a:ext cx="271145" cy="209550"/>
                              </a:xfrm>
                              <a:prstGeom prst="rect">
                                <a:avLst/>
                              </a:prstGeom>
                              <a:solidFill>
                                <a:srgbClr val="FDEAEC"/>
                              </a:solidFill>
                            </wps:spPr>
                            <wps:txbx>
                              <w:txbxContent>
                                <w:p w14:paraId="50584544" w14:textId="77777777" w:rsidR="009D0C1D" w:rsidRPr="00D77994" w:rsidRDefault="009D0C1D" w:rsidP="00CF0462">
                                  <w:pPr>
                                    <w:spacing w:line="261" w:lineRule="auto"/>
                                    <w:jc w:val="center"/>
                                    <w:rPr>
                                      <w:rFonts w:cstheme="minorHAnsi"/>
                                      <w:b/>
                                      <w:bCs/>
                                      <w:color w:val="343433"/>
                                      <w:kern w:val="24"/>
                                      <w:sz w:val="11"/>
                                      <w:szCs w:val="11"/>
                                    </w:rPr>
                                  </w:pPr>
                                  <w:r w:rsidRPr="00D77994">
                                    <w:rPr>
                                      <w:b/>
                                      <w:color w:val="343433"/>
                                      <w:sz w:val="11"/>
                                      <w:szCs w:val="22"/>
                                    </w:rPr>
                                    <w:t xml:space="preserve">BDQ </w:t>
                                  </w:r>
                                  <w:r w:rsidRPr="00D77994">
                                    <w:rPr>
                                      <w:b/>
                                      <w:color w:val="0C8140"/>
                                      <w:sz w:val="11"/>
                                      <w:szCs w:val="22"/>
                                    </w:rPr>
                                    <w:t xml:space="preserve">S </w:t>
                                  </w:r>
                                  <w:r w:rsidRPr="00D77994">
                                    <w:rPr>
                                      <w:b/>
                                      <w:color w:val="343433"/>
                                      <w:sz w:val="11"/>
                                      <w:szCs w:val="22"/>
                                    </w:rPr>
                                    <w:t xml:space="preserve">FQ </w:t>
                                  </w:r>
                                  <w:r w:rsidRPr="00D77994">
                                    <w:rPr>
                                      <w:b/>
                                      <w:color w:val="BB2025"/>
                                      <w:sz w:val="11"/>
                                      <w:szCs w:val="22"/>
                                    </w:rPr>
                                    <w:t>R</w:t>
                                  </w:r>
                                </w:p>
                              </w:txbxContent>
                            </wps:txbx>
                            <wps:bodyPr wrap="square" lIns="0" tIns="0" rIns="0" bIns="0">
                              <a:noAutofit/>
                            </wps:bodyPr>
                          </wps:wsp>
                        </a:graphicData>
                      </a:graphic>
                    </wp:anchor>
                  </w:drawing>
                </mc:Choice>
                <mc:Fallback>
                  <w:pict>
                    <v:rect w14:anchorId="71899815" id="_x0000_s1437" style="position:absolute;margin-left:101.15pt;margin-top:348.5pt;width:21.35pt;height:16.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" fillcolor="#fdeaec" stroked="f">
                      <v:textbox inset="0,0,0,0">
                        <w:txbxContent>
                          <w:p w14:paraId="50584544" w14:textId="77777777" w:rsidR="009D0C1D" w:rsidRPr="00D77994" w:rsidRDefault="009D0C1D" w:rsidP="00CF0462">
                            <w:pPr>
                              <w:spacing w:line="261" w:lineRule="auto"/>
                              <w:jc w:val="center"/>
                              <w:rPr>
                                <w:rFonts w:cstheme="minorHAnsi"/>
                                <w:b/>
                                <w:bCs/>
                                <w:color w:val="343433"/>
                                <w:kern w:val="24"/>
                                <w:sz w:val="11"/>
                                <w:szCs w:val="11"/>
                              </w:rPr>
                            </w:pPr>
                            <w:r w:rsidRPr="00D77994">
                              <w:rPr>
                                <w:b/>
                                <w:color w:val="343433"/>
                                <w:sz w:val="11"/>
                                <w:szCs w:val="22"/>
                              </w:rPr>
                              <w:t xml:space="preserve">BDQ </w:t>
                            </w:r>
                            <w:r w:rsidRPr="00D77994">
                              <w:rPr>
                                <w:b/>
                                <w:color w:val="0C8140"/>
                                <w:sz w:val="11"/>
                                <w:szCs w:val="22"/>
                              </w:rPr>
                              <w:t xml:space="preserve">S </w:t>
                            </w:r>
                            <w:r w:rsidRPr="00D77994">
                              <w:rPr>
                                <w:b/>
                                <w:color w:val="343433"/>
                                <w:sz w:val="11"/>
                                <w:szCs w:val="22"/>
                              </w:rPr>
                              <w:t xml:space="preserve">FQ </w:t>
                            </w:r>
                            <w:r w:rsidRPr="00D77994">
                              <w:rPr>
                                <w:b/>
                                <w:color w:val="BB2025"/>
                                <w:sz w:val="11"/>
                                <w:szCs w:val="22"/>
                              </w:rPr>
                              <w:t>R</w:t>
                            </w:r>
                          </w:p>
                        </w:txbxContent>
                      </v:textbox>
                    </v:rect>
                  </w:pict>
                </mc:Fallback>
              </mc:AlternateContent>
            </w:r>
            <w:r w:rsidR="00E76FA1">
              <w:rPr>
                <w:noProof/>
              </w:rPr>
              <w:drawing>
                <wp:inline distT="0" distB="0" distL="0" distR="0" wp14:anchorId="3EF07912" wp14:editId="7F533E60">
                  <wp:extent cx="8921750" cy="600456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38"/>
                          <a:stretch/>
                        </pic:blipFill>
                        <pic:spPr>
                          <a:xfrm>
                            <a:off x="0" y="0"/>
                            <a:ext cx="8921750" cy="6004560"/>
                          </a:xfrm>
                          <a:prstGeom prst="rect">
                            <a:avLst/>
                          </a:prstGeom>
                        </pic:spPr>
                      </pic:pic>
                    </a:graphicData>
                  </a:graphic>
                </wp:inline>
              </w:drawing>
            </w:r>
          </w:p>
        </w:tc>
      </w:tr>
    </w:tbl>
    <w:tbl>
      <w:tblPr>
        <w:tblOverlap w:val="never"/>
        <w:tblW w:w="0" w:type="auto"/>
        <w:tblLayout w:type="fixed"/>
        <w:tblCellMar>
          <w:left w:w="10" w:type="dxa"/>
          <w:right w:w="10" w:type="dxa"/>
        </w:tblCellMar>
        <w:tblLook w:val="0000" w:firstRow="0" w:lastRow="0" w:firstColumn="0" w:lastColumn="0" w:noHBand="0" w:noVBand="0"/>
      </w:tblPr>
      <w:tblGrid>
        <w:gridCol w:w="197"/>
      </w:tblGrid>
      <w:tr w:rsidR="00366CB9" w14:paraId="66F98586" w14:textId="77777777">
        <w:trPr>
          <w:trHeight w:hRule="exact" w:val="643"/>
        </w:trPr>
        <w:tc>
          <w:tcPr>
            <w:tcW w:w="197" w:type="dxa"/>
            <w:shd w:val="clear" w:color="auto" w:fill="FFFFFF"/>
            <w:textDirection w:val="tbRl"/>
          </w:tcPr>
          <w:p w14:paraId="53A7C9E7" w14:textId="77777777" w:rsidR="00366CB9" w:rsidRDefault="009D0C1D" w:rsidP="00425523">
            <w:pPr>
              <w:pStyle w:val="a6"/>
              <w:framePr w:w="197" w:h="5386" w:wrap="none" w:vAnchor="page" w:hAnchor="page" w:x="685" w:y="762"/>
              <w:shd w:val="clear" w:color="auto" w:fill="auto"/>
              <w:rPr>
                <w:sz w:val="15"/>
                <w:szCs w:val="15"/>
              </w:rPr>
            </w:pPr>
            <w:r>
              <w:rPr>
                <w:b w:val="0"/>
                <w:color w:val="019648"/>
                <w:sz w:val="15"/>
              </w:rPr>
              <w:t>136</w:t>
            </w:r>
          </w:p>
        </w:tc>
      </w:tr>
      <w:tr w:rsidR="00366CB9" w14:paraId="25BF2067" w14:textId="77777777" w:rsidTr="0075377E">
        <w:trPr>
          <w:trHeight w:hRule="exact" w:val="5462"/>
        </w:trPr>
        <w:tc>
          <w:tcPr>
            <w:tcW w:w="197" w:type="dxa"/>
            <w:shd w:val="clear" w:color="auto" w:fill="FFFFFF"/>
            <w:textDirection w:val="tbRl"/>
          </w:tcPr>
          <w:p w14:paraId="0D844105" w14:textId="77777777" w:rsidR="00366CB9" w:rsidRDefault="009D0C1D" w:rsidP="00425523">
            <w:pPr>
              <w:pStyle w:val="a6"/>
              <w:framePr w:w="197" w:h="5386" w:wrap="none" w:vAnchor="page" w:hAnchor="page" w:x="685" w:y="762"/>
              <w:shd w:val="clear" w:color="auto" w:fill="auto"/>
              <w:rPr>
                <w:sz w:val="15"/>
                <w:szCs w:val="15"/>
              </w:rPr>
            </w:pPr>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p>
        </w:tc>
      </w:tr>
    </w:tbl>
    <w:p w14:paraId="304AE31D" w14:textId="0BEC5F33" w:rsidR="00366CB9" w:rsidRDefault="00366CB9" w:rsidP="00425523">
      <w:pPr>
        <w:spacing w:line="1" w:lineRule="exact"/>
        <w:sectPr w:rsidR="00366CB9" w:rsidSect="00515F9C">
          <w:footerReference w:type="even" r:id="rId139"/>
          <w:type w:val="nextColumn"/>
          <w:pgSz w:w="16840" w:h="11913" w:orient="landscape"/>
          <w:pgMar w:top="1469" w:right="1378" w:bottom="406" w:left="1372" w:header="0" w:footer="6" w:gutter="0"/>
          <w:paperSrc w:first="15" w:other="15"/>
          <w:cols w:space="720"/>
          <w:noEndnote/>
          <w:docGrid w:linePitch="360"/>
        </w:sectPr>
      </w:pPr>
    </w:p>
    <w:p w14:paraId="43F7A541" w14:textId="77777777" w:rsidR="00366CB9" w:rsidRDefault="00366CB9" w:rsidP="00425523">
      <w:pPr>
        <w:spacing w:line="1" w:lineRule="exact"/>
      </w:pPr>
    </w:p>
    <w:p w14:paraId="0E8B80AA" w14:textId="77777777" w:rsidR="00366CB9" w:rsidRDefault="009D0C1D" w:rsidP="00FE22F4">
      <w:pPr>
        <w:pStyle w:val="50"/>
        <w:shd w:val="clear" w:color="auto" w:fill="auto"/>
        <w:spacing w:line="266" w:lineRule="auto"/>
        <w:jc w:val="both"/>
      </w:pPr>
      <w:r>
        <w:t>ЛС-ТБ: лікарсько-стійкий туберкульоз; ТМЧ: тестування медикаментозної чутливості; МЛС/Риф-ТБ: туберкульоз із множинною лікарською стійкістю або рифампіцин-резистентний туберкульоз; МЛС-ТБ: туберкульоз із множинною лікарською стійкістю; СНП секвенування наступного покоління; фТМЧ: фенотипове ТМЧ; Риф-ТБ: рифампіцин-стійкий туберкульоз; НРЛ: наднаціональна референс-лабораторія; ТБ: туберкульоз; цСНП: цільове секвенування наступного покоління; ПГС: повногеномне секвенування; R: резистентність; S: чутливість; ВООЗ: Всесвітня організація охорони здоров’я.</w:t>
      </w:r>
    </w:p>
    <w:p w14:paraId="18D3A944" w14:textId="77777777" w:rsidR="00366CB9" w:rsidRDefault="009D0C1D" w:rsidP="00FE22F4">
      <w:pPr>
        <w:pStyle w:val="50"/>
        <w:shd w:val="clear" w:color="auto" w:fill="auto"/>
        <w:spacing w:line="266" w:lineRule="auto"/>
        <w:jc w:val="both"/>
      </w:pPr>
      <w:r>
        <w:t>Лікарські засоби та схеми: BDQ: бедаквілін; BPaL/M: бедаквілін (B), претоманід (Pa) та лінезолід (L), а також моксифлоксацин (M); CFZ: клофазимін; CS: циклосерин; DLM: деламанід; EMB: етамбутол; FQ: фторхінолон; INH: ізоніазид; LZD: лінезолід; Pa: претоманід; PZA: піразинамід; RIF: рифампіцин; STR: стрептоміцин.</w:t>
      </w:r>
    </w:p>
    <w:p w14:paraId="0B114F54" w14:textId="4849634C" w:rsidR="00366CB9" w:rsidRDefault="009D0C1D" w:rsidP="00FE22F4">
      <w:pPr>
        <w:pStyle w:val="50"/>
        <w:shd w:val="clear" w:color="auto" w:fill="auto"/>
        <w:spacing w:line="266" w:lineRule="auto"/>
        <w:ind w:left="180" w:hanging="180"/>
        <w:jc w:val="both"/>
      </w:pPr>
      <w:r>
        <w:rPr>
          <w:vertAlign w:val="superscript"/>
        </w:rPr>
        <w:t>a</w:t>
      </w:r>
      <w:r w:rsidR="00D77994">
        <w:tab/>
      </w:r>
      <w:r>
        <w:t>Пацієнтам необхідно негайно призначити схему лікування МЛС/Риф-ТБ відповідно до національних керівних принципів та рекомендацій ВООЗ Коротша пероральна схема лікування на основі бедаквіліну (BPaL/M або BDLLfxC) є кращим варіантом для пацієнтів з МЛС/Риф-ТБ, які відповідають вимогам.</w:t>
      </w:r>
    </w:p>
    <w:p w14:paraId="321CF0C7" w14:textId="5F5A423A" w:rsidR="00366CB9" w:rsidRDefault="009D0C1D" w:rsidP="00FE22F4">
      <w:pPr>
        <w:pStyle w:val="50"/>
        <w:shd w:val="clear" w:color="auto" w:fill="auto"/>
        <w:spacing w:line="266" w:lineRule="auto"/>
        <w:ind w:left="180" w:hanging="180"/>
        <w:jc w:val="both"/>
      </w:pPr>
      <w:r>
        <w:rPr>
          <w:vertAlign w:val="superscript"/>
        </w:rPr>
        <w:t>b</w:t>
      </w:r>
      <w:r w:rsidR="00D77994">
        <w:tab/>
      </w:r>
      <w:r>
        <w:t>Якщо молекулярне та фенотипове тестування проводиться в одній лабораторії, одного зразка може бути достатньо. Якщо тестування проводиться у двох лабораторіях, слід зібрати два зразки, а молекулярне та фенотипове тестування проводити паралельно.</w:t>
      </w:r>
    </w:p>
    <w:p w14:paraId="1B4DE307" w14:textId="77313CE4" w:rsidR="00366CB9" w:rsidRDefault="009D0C1D" w:rsidP="00FE22F4">
      <w:pPr>
        <w:pStyle w:val="50"/>
        <w:shd w:val="clear" w:color="auto" w:fill="auto"/>
        <w:spacing w:line="266" w:lineRule="auto"/>
        <w:ind w:left="180" w:hanging="180"/>
        <w:jc w:val="both"/>
      </w:pPr>
      <w:r>
        <w:rPr>
          <w:vertAlign w:val="superscript"/>
        </w:rPr>
        <w:t>c</w:t>
      </w:r>
      <w:r w:rsidR="00D77994">
        <w:tab/>
      </w:r>
      <w:r>
        <w:t>ВООЗ рекомендує проводити ТМЧ за допомогою молекулярних експрес-тестів в усіх осіб з ТБ, хоча це тестування не має затримувати початок лікування. Наразі тести цільового СНП можуть надати результати для BDQ, FQ, LZD, INH, PZA, EMB, CFZ, AMK, STR та RIF.</w:t>
      </w:r>
    </w:p>
    <w:p w14:paraId="160B4A21" w14:textId="2B6C0087" w:rsidR="00366CB9" w:rsidRDefault="009D0C1D" w:rsidP="00FE22F4">
      <w:pPr>
        <w:pStyle w:val="50"/>
        <w:shd w:val="clear" w:color="auto" w:fill="auto"/>
        <w:spacing w:line="266" w:lineRule="auto"/>
        <w:ind w:left="180" w:hanging="180"/>
        <w:jc w:val="both"/>
      </w:pPr>
      <w:r>
        <w:rPr>
          <w:vertAlign w:val="superscript"/>
        </w:rPr>
        <w:t>d</w:t>
      </w:r>
      <w:r w:rsidR="00D77994">
        <w:tab/>
      </w:r>
      <w:r>
        <w:t>Фенотипове ТМЧ необхідно проводити для кожного лікарського засобу в рамках схеми лікування, для якого представлені точні та відтворювані методи. Для RIF, INH, FQ, PZA, BDQ, CFZ, Pa, CS, LZD, AMK та DLM представлені надійні методи фенотипового ТМЧ. Не слід затягувати початок лікування в очікуванні результатів фенотипового ТМЧ.</w:t>
      </w:r>
    </w:p>
    <w:p w14:paraId="4A278B83" w14:textId="06DEC6A1" w:rsidR="00366CB9" w:rsidRDefault="009D0C1D" w:rsidP="00FE22F4">
      <w:pPr>
        <w:pStyle w:val="50"/>
        <w:shd w:val="clear" w:color="auto" w:fill="auto"/>
        <w:spacing w:line="266" w:lineRule="auto"/>
        <w:ind w:left="180" w:hanging="180"/>
        <w:jc w:val="both"/>
      </w:pPr>
      <w:r>
        <w:rPr>
          <w:vertAlign w:val="superscript"/>
        </w:rPr>
        <w:t>e</w:t>
      </w:r>
      <w:r w:rsidR="00D77994">
        <w:tab/>
      </w:r>
      <w:r>
        <w:t>Див. детальну інформацію про індивідуальні схеми у публікації «Консолідовані настанови ВООЗ з туберкульозу: модуль 4: лікування» (</w:t>
      </w:r>
      <w:hyperlink w:anchor="bookmark193" w:tooltip="Поточний документ">
        <w:r w:rsidR="00366CB9">
          <w:t>7</w:t>
        </w:r>
      </w:hyperlink>
      <w:r>
        <w:t>).</w:t>
      </w:r>
    </w:p>
    <w:p w14:paraId="6A1FEAEB" w14:textId="159B0267" w:rsidR="00366CB9" w:rsidRDefault="009D0C1D" w:rsidP="00FE22F4">
      <w:pPr>
        <w:pStyle w:val="50"/>
        <w:shd w:val="clear" w:color="auto" w:fill="auto"/>
        <w:spacing w:line="266" w:lineRule="auto"/>
        <w:ind w:left="180" w:hanging="180"/>
        <w:jc w:val="both"/>
      </w:pPr>
      <w:r>
        <w:rPr>
          <w:vertAlign w:val="superscript"/>
        </w:rPr>
        <w:t>f</w:t>
      </w:r>
      <w:r w:rsidR="00D77994">
        <w:tab/>
      </w:r>
      <w:r>
        <w:t>Низький ризик резистентності до BDQ/CFZ передбачає відсутність впливу BDQ/CFZ, поширеність резистентності до BDQ/CFZ менше 5 % у популяції (особи з Риф-ТБ на національному або субнаціональному рівні у разі достовірних оцінок) та відсутність в анамнезі контакту з особою, яка має ТБ, резистентний до BDQ/CFZ. Якщо будь-яка з цих умов не виконується, ризик вважається високим.</w:t>
      </w:r>
    </w:p>
    <w:p w14:paraId="65841A67" w14:textId="6F9F1B6C" w:rsidR="00366CB9" w:rsidRDefault="009D0C1D" w:rsidP="00FE22F4">
      <w:pPr>
        <w:pStyle w:val="50"/>
        <w:shd w:val="clear" w:color="auto" w:fill="auto"/>
        <w:spacing w:after="340" w:line="266" w:lineRule="auto"/>
        <w:ind w:left="180" w:hanging="180"/>
        <w:jc w:val="both"/>
      </w:pPr>
      <w:r>
        <w:rPr>
          <w:vertAlign w:val="superscript"/>
        </w:rPr>
        <w:t>g</w:t>
      </w:r>
      <w:r w:rsidR="00D77994">
        <w:tab/>
      </w:r>
      <w:r>
        <w:t>У разі підозри на резистентність до окремого лікарського засобу (наприклад, BDQ), а ТМЧ для цього лікарського засобу не представлено у країні, лабораторіям потрібно мати механізми для зберігання ізоляту та його доставки до НРЛ ВООЗ з ТМЧ.</w:t>
      </w:r>
    </w:p>
    <w:p w14:paraId="17F5C3E0" w14:textId="77777777" w:rsidR="00366CB9" w:rsidRPr="00E846A7" w:rsidRDefault="009D0C1D" w:rsidP="00FE22F4">
      <w:pPr>
        <w:pStyle w:val="60"/>
        <w:shd w:val="clear" w:color="auto" w:fill="auto"/>
        <w:spacing w:after="240" w:line="269" w:lineRule="auto"/>
        <w:jc w:val="both"/>
        <w:rPr>
          <w:i/>
          <w:iCs/>
        </w:rPr>
      </w:pPr>
      <w:bookmarkStart w:id="175" w:name="bookmark172"/>
      <w:r>
        <w:rPr>
          <w:i/>
          <w:color w:val="019648"/>
        </w:rPr>
        <w:t>Схема прийняття рішень для Алгоритму 2a – Тестування на виявлення резистентності до BDQ та FQ (</w:t>
      </w:r>
      <w:r>
        <w:rPr>
          <w:b/>
          <w:i/>
          <w:color w:val="019648"/>
        </w:rPr>
        <w:t>рис. 6.4</w:t>
      </w:r>
      <w:r>
        <w:rPr>
          <w:i/>
          <w:color w:val="019648"/>
        </w:rPr>
        <w:t>)</w:t>
      </w:r>
      <w:bookmarkEnd w:id="175"/>
    </w:p>
    <w:p w14:paraId="4A6835C7" w14:textId="77777777" w:rsidR="00366CB9" w:rsidRPr="00D77994" w:rsidRDefault="009D0C1D" w:rsidP="00FE22F4">
      <w:pPr>
        <w:pStyle w:val="1"/>
        <w:numPr>
          <w:ilvl w:val="0"/>
          <w:numId w:val="34"/>
        </w:numPr>
        <w:shd w:val="clear" w:color="auto" w:fill="auto"/>
        <w:tabs>
          <w:tab w:val="left" w:pos="318"/>
        </w:tabs>
        <w:spacing w:after="80" w:line="324" w:lineRule="auto"/>
        <w:ind w:left="300" w:hanging="300"/>
        <w:jc w:val="both"/>
        <w:rPr>
          <w:sz w:val="18"/>
          <w:szCs w:val="18"/>
        </w:rPr>
      </w:pPr>
      <w:r w:rsidRPr="00D77994">
        <w:rPr>
          <w:sz w:val="18"/>
          <w:szCs w:val="18"/>
        </w:rPr>
        <w:t>Пацієнту необхідно негайно призначити схему лікування МЛС-ТБ відповідно до національних керівних принципів. В актуальні рекомендації ВООЗ включено дві різні пероральні 6-місячні схеми лікування на основі BDQ (</w:t>
      </w:r>
      <w:hyperlink w:anchor="bookmark193" w:tooltip="Поточний документ">
        <w:r w:rsidR="00366CB9" w:rsidRPr="00D77994">
          <w:rPr>
            <w:sz w:val="18"/>
            <w:szCs w:val="18"/>
          </w:rPr>
          <w:t>7</w:t>
        </w:r>
      </w:hyperlink>
      <w:r w:rsidRPr="00D77994">
        <w:rPr>
          <w:sz w:val="18"/>
          <w:szCs w:val="18"/>
        </w:rPr>
        <w:t xml:space="preserve">, </w:t>
      </w:r>
      <w:hyperlink w:anchor="bookmark201" w:tooltip="Поточний документ">
        <w:r w:rsidR="00366CB9" w:rsidRPr="00D77994">
          <w:rPr>
            <w:sz w:val="18"/>
            <w:szCs w:val="18"/>
          </w:rPr>
          <w:t>95</w:t>
        </w:r>
      </w:hyperlink>
      <w:r w:rsidRPr="00D77994">
        <w:rPr>
          <w:sz w:val="18"/>
          <w:szCs w:val="18"/>
        </w:rPr>
        <w:t>). Крім того, ВООЗ рекомендує п’ять пероральних 9-місячних схем, що можна застосовувати, якщо жодна з 6-місячних схем не підходить (</w:t>
      </w:r>
      <w:hyperlink w:anchor="bookmark193" w:tooltip="Поточний документ">
        <w:r w:rsidR="00366CB9" w:rsidRPr="00D77994">
          <w:rPr>
            <w:sz w:val="18"/>
            <w:szCs w:val="18"/>
          </w:rPr>
          <w:t>7</w:t>
        </w:r>
      </w:hyperlink>
      <w:r w:rsidRPr="00D77994">
        <w:rPr>
          <w:sz w:val="18"/>
          <w:szCs w:val="18"/>
        </w:rPr>
        <w:t xml:space="preserve">, </w:t>
      </w:r>
      <w:hyperlink w:anchor="bookmark201" w:tooltip="Поточний документ">
        <w:r w:rsidR="00366CB9" w:rsidRPr="00D77994">
          <w:rPr>
            <w:sz w:val="18"/>
            <w:szCs w:val="18"/>
          </w:rPr>
          <w:t>95</w:t>
        </w:r>
      </w:hyperlink>
      <w:r w:rsidRPr="00D77994">
        <w:rPr>
          <w:sz w:val="18"/>
          <w:szCs w:val="18"/>
        </w:rPr>
        <w:t>).</w:t>
      </w:r>
    </w:p>
    <w:p w14:paraId="1AE3DF1F" w14:textId="77777777" w:rsidR="00366CB9" w:rsidRPr="00D77994" w:rsidRDefault="009D0C1D" w:rsidP="00FE22F4">
      <w:pPr>
        <w:pStyle w:val="1"/>
        <w:numPr>
          <w:ilvl w:val="0"/>
          <w:numId w:val="34"/>
        </w:numPr>
        <w:shd w:val="clear" w:color="auto" w:fill="auto"/>
        <w:tabs>
          <w:tab w:val="left" w:pos="318"/>
        </w:tabs>
        <w:spacing w:after="80" w:line="324" w:lineRule="auto"/>
        <w:ind w:left="300" w:hanging="300"/>
        <w:jc w:val="both"/>
        <w:rPr>
          <w:sz w:val="18"/>
          <w:szCs w:val="18"/>
        </w:rPr>
      </w:pPr>
      <w:r w:rsidRPr="00D77994">
        <w:rPr>
          <w:sz w:val="18"/>
          <w:szCs w:val="18"/>
        </w:rPr>
        <w:t>Якщо молекулярне та фенотипове тестування проводяться в одній лабораторії, одного зразка може бути достатньо. Якщо тестування проводиться у двох лабораторіях, необхідно забрати два зразки та провести паралельне молекулярне та фенотипове тестування. За необхідності, зразки мокротиння або ізоляти необхідно доставити до відповідної дослідницької лабораторії.</w:t>
      </w:r>
    </w:p>
    <w:p w14:paraId="32F37B35" w14:textId="0C543874" w:rsidR="00366CB9" w:rsidRPr="00D77994" w:rsidRDefault="009D0C1D" w:rsidP="00FE22F4">
      <w:pPr>
        <w:pStyle w:val="1"/>
        <w:numPr>
          <w:ilvl w:val="0"/>
          <w:numId w:val="34"/>
        </w:numPr>
        <w:shd w:val="clear" w:color="auto" w:fill="auto"/>
        <w:tabs>
          <w:tab w:val="left" w:pos="318"/>
        </w:tabs>
        <w:spacing w:after="80" w:line="324" w:lineRule="auto"/>
        <w:ind w:left="300" w:hanging="300"/>
        <w:jc w:val="both"/>
        <w:rPr>
          <w:sz w:val="18"/>
          <w:szCs w:val="18"/>
        </w:rPr>
      </w:pPr>
      <w:r w:rsidRPr="00D77994">
        <w:rPr>
          <w:sz w:val="18"/>
          <w:szCs w:val="18"/>
        </w:rPr>
        <w:t xml:space="preserve">Цільове СНП необхідно проводити для виявлення мутацій, пов’язаних з резистентністю до BDQ та інших лікарських засобів, а також паралельно проводити посів та ТМЧ для лікарських засобів, що не належать до рішень в рамках цільового СНП </w:t>
      </w:r>
      <w:r w:rsidRPr="00D77994">
        <w:rPr>
          <w:rFonts w:ascii="Times New Roman" w:hAnsi="Times New Roman"/>
          <w:b/>
          <w:noProof/>
          <w:color w:val="343433"/>
          <w:szCs w:val="18"/>
        </w:rPr>
        <w:drawing>
          <wp:inline distT="0" distB="0" distL="0" distR="0" wp14:anchorId="16066E25" wp14:editId="0FBC372B">
            <wp:extent cx="420624" cy="210312"/>
            <wp:effectExtent l="0" t="0" r="0" b="0"/>
            <wp:docPr id="1146546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0"/>
                    <a:stretch>
                      <a:fillRect/>
                    </a:stretch>
                  </pic:blipFill>
                  <pic:spPr>
                    <a:xfrm>
                      <a:off x="0" y="0"/>
                      <a:ext cx="420624" cy="210312"/>
                    </a:xfrm>
                    <a:prstGeom prst="rect">
                      <a:avLst/>
                    </a:prstGeom>
                  </pic:spPr>
                </pic:pic>
              </a:graphicData>
            </a:graphic>
          </wp:inline>
        </w:drawing>
      </w:r>
      <w:r w:rsidRPr="00D77994">
        <w:rPr>
          <w:sz w:val="18"/>
          <w:szCs w:val="18"/>
        </w:rPr>
        <w:t>.</w:t>
      </w:r>
    </w:p>
    <w:p w14:paraId="41CA7D04" w14:textId="12469314" w:rsidR="00366CB9" w:rsidRPr="00D77994" w:rsidRDefault="009D0C1D" w:rsidP="00FE22F4">
      <w:pPr>
        <w:pStyle w:val="1"/>
        <w:numPr>
          <w:ilvl w:val="0"/>
          <w:numId w:val="34"/>
        </w:numPr>
        <w:shd w:val="clear" w:color="auto" w:fill="auto"/>
        <w:tabs>
          <w:tab w:val="left" w:pos="318"/>
        </w:tabs>
        <w:spacing w:line="324" w:lineRule="auto"/>
        <w:ind w:left="300" w:hanging="300"/>
        <w:jc w:val="both"/>
        <w:rPr>
          <w:sz w:val="18"/>
          <w:szCs w:val="18"/>
        </w:rPr>
      </w:pPr>
      <w:r w:rsidRPr="00D77994">
        <w:rPr>
          <w:sz w:val="18"/>
          <w:szCs w:val="18"/>
        </w:rPr>
        <w:t xml:space="preserve">Якщо результат тесту цільового СНП є невизначеним, тест можна повторити зі свіжим зразком тоді, коли бактеріальне навантаження може дати остаточний результат (позитивний результат мазка або високий або середній ступінь за mWRD); рішення щодо лікування мають бути засновані на клінічній оцінці, епідеміологічній ситуації та результатах фенотипового ТМЧ. Результати тесту цільового СНП необхідно використовувати для коригування лікування, за необхідності, та для вибору лікарських засобів в рамках схеми, що вимагає фенотипового ТМЧ, якщо результат посіву є позитивним </w:t>
      </w:r>
      <w:r w:rsidRPr="00D77994">
        <w:rPr>
          <w:rFonts w:ascii="Times New Roman" w:hAnsi="Times New Roman"/>
          <w:b/>
          <w:noProof/>
          <w:color w:val="343433"/>
          <w:szCs w:val="18"/>
        </w:rPr>
        <w:drawing>
          <wp:inline distT="0" distB="0" distL="0" distR="0" wp14:anchorId="388519AB" wp14:editId="65367FD3">
            <wp:extent cx="423672" cy="216408"/>
            <wp:effectExtent l="0" t="0" r="0" b="0"/>
            <wp:docPr id="768755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41"/>
                    <a:stretch>
                      <a:fillRect/>
                    </a:stretch>
                  </pic:blipFill>
                  <pic:spPr>
                    <a:xfrm>
                      <a:off x="0" y="0"/>
                      <a:ext cx="423672" cy="216408"/>
                    </a:xfrm>
                    <a:prstGeom prst="rect">
                      <a:avLst/>
                    </a:prstGeom>
                  </pic:spPr>
                </pic:pic>
              </a:graphicData>
            </a:graphic>
          </wp:inline>
        </w:drawing>
      </w:r>
      <w:r w:rsidRPr="00D77994">
        <w:rPr>
          <w:sz w:val="18"/>
          <w:szCs w:val="18"/>
        </w:rPr>
        <w:t>. Pa та DLM не охоплюються рішеннями в рамках цільового СНП та вимагають фенотипового ТМЧ.</w:t>
      </w:r>
    </w:p>
    <w:p w14:paraId="102AD75A"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56944374" w14:textId="77777777" w:rsidR="00366CB9" w:rsidRDefault="00366CB9" w:rsidP="00425523">
      <w:pPr>
        <w:spacing w:line="1" w:lineRule="exact"/>
      </w:pPr>
    </w:p>
    <w:p w14:paraId="10EC95FB" w14:textId="77777777" w:rsidR="00366CB9" w:rsidRPr="00D77994" w:rsidRDefault="009D0C1D" w:rsidP="00FE22F4">
      <w:pPr>
        <w:pStyle w:val="1"/>
        <w:numPr>
          <w:ilvl w:val="0"/>
          <w:numId w:val="34"/>
        </w:numPr>
        <w:shd w:val="clear" w:color="auto" w:fill="auto"/>
        <w:tabs>
          <w:tab w:val="left" w:pos="318"/>
        </w:tabs>
        <w:spacing w:after="80" w:line="324" w:lineRule="auto"/>
        <w:ind w:left="300" w:hanging="300"/>
        <w:jc w:val="both"/>
        <w:rPr>
          <w:sz w:val="18"/>
          <w:szCs w:val="18"/>
        </w:rPr>
      </w:pPr>
      <w:r w:rsidRPr="00D77994">
        <w:rPr>
          <w:sz w:val="18"/>
          <w:szCs w:val="18"/>
        </w:rPr>
        <w:t>При виборі або розробці схеми лікування необхідно враховувати результати ТМЧ для всіх лікарських засобів (</w:t>
      </w:r>
      <w:hyperlink w:anchor="bookmark171" w:tooltip="Поточний документ">
        <w:r w:rsidR="00366CB9" w:rsidRPr="00D77994">
          <w:rPr>
            <w:b/>
            <w:sz w:val="18"/>
            <w:szCs w:val="18"/>
          </w:rPr>
          <w:t>рис. 6.3</w:t>
        </w:r>
      </w:hyperlink>
      <w:r w:rsidRPr="00D77994">
        <w:rPr>
          <w:sz w:val="18"/>
          <w:szCs w:val="18"/>
        </w:rPr>
        <w:t>). Див. детальну інформацію у Модулі консолідованих настанов ВООЗ (</w:t>
      </w:r>
      <w:hyperlink w:anchor="bookmark193" w:tooltip="Поточний документ">
        <w:r w:rsidR="00366CB9" w:rsidRPr="00D77994">
          <w:rPr>
            <w:sz w:val="18"/>
            <w:szCs w:val="18"/>
          </w:rPr>
          <w:t>7</w:t>
        </w:r>
      </w:hyperlink>
      <w:r w:rsidRPr="00D77994">
        <w:rPr>
          <w:sz w:val="18"/>
          <w:szCs w:val="18"/>
        </w:rPr>
        <w:t>).</w:t>
      </w:r>
    </w:p>
    <w:p w14:paraId="5F4273AE" w14:textId="77777777" w:rsidR="00366CB9" w:rsidRPr="00D77994" w:rsidRDefault="009D0C1D" w:rsidP="00FE22F4">
      <w:pPr>
        <w:pStyle w:val="1"/>
        <w:numPr>
          <w:ilvl w:val="0"/>
          <w:numId w:val="34"/>
        </w:numPr>
        <w:shd w:val="clear" w:color="auto" w:fill="auto"/>
        <w:tabs>
          <w:tab w:val="left" w:pos="318"/>
        </w:tabs>
        <w:spacing w:line="324" w:lineRule="auto"/>
        <w:ind w:left="300" w:hanging="300"/>
        <w:jc w:val="both"/>
        <w:rPr>
          <w:sz w:val="18"/>
          <w:szCs w:val="18"/>
        </w:rPr>
      </w:pPr>
      <w:r w:rsidRPr="00D77994">
        <w:rPr>
          <w:sz w:val="18"/>
          <w:szCs w:val="18"/>
        </w:rPr>
        <w:t>BDQ є основним лікарським засобом в рамках усіх 6-місячних та 9-місячних схем лікування МЛС/Риф-ТБ, а тлумачення результатів тесту цільового СНП суттєво впливає на вибір лікування. Необхідно оцінити клінічну передбачуваність щодо резистентності до BDQ до тестування, перш ніж приймати клінічні рішення, через неоптимальну ефективність тесту цільового СНП для виявлення резистентності до BDQ (чутливість: 67,9 %, 95 % ДІ: 42,6-93,2 %; специфічність: 97,0 %, 95 % ДІ: 94,3-99,7 %). Низький ризик резистентності до BDQ/CFZ передбачає відсутність попереднього впливу BDQ/CFZ, поширеність резистентності до BDQ/CFZ менше 5 % у популяції ТА відсутність в анамнезі контакту з особою, яка має ТБ, резистентний до BDQ/CFZ. Якщо будь-яка з цих умов НЕ виконується, ризик вважається високим.</w:t>
      </w:r>
    </w:p>
    <w:p w14:paraId="135CCE94" w14:textId="77777777" w:rsidR="00366CB9" w:rsidRPr="00D77994" w:rsidRDefault="009D0C1D" w:rsidP="00FE22F4">
      <w:pPr>
        <w:pStyle w:val="1"/>
        <w:numPr>
          <w:ilvl w:val="0"/>
          <w:numId w:val="35"/>
        </w:numPr>
        <w:shd w:val="clear" w:color="auto" w:fill="auto"/>
        <w:tabs>
          <w:tab w:val="left" w:pos="608"/>
        </w:tabs>
        <w:spacing w:line="324" w:lineRule="auto"/>
        <w:ind w:left="560" w:hanging="260"/>
        <w:jc w:val="both"/>
        <w:rPr>
          <w:sz w:val="18"/>
          <w:szCs w:val="18"/>
        </w:rPr>
      </w:pPr>
      <w:r w:rsidRPr="00D77994">
        <w:rPr>
          <w:sz w:val="18"/>
          <w:szCs w:val="18"/>
        </w:rPr>
        <w:t>Якщо ризик резистентності до BDQ є низьким, а тест цільового СНП не виявляє мутацій, пов’язаних з резистентністю до BDQ, прогностична цінність негативних результатів буде високою, а результат може бути правильним. У разі резистентності до FQ необхідно застосовувати одну з двох 6-місячних схем, але FQ необхідно відмінити (тобто застосовувати BPaL або BDLC [BDQ, DLM, LZD та CFZ], якщо тести демонструють чутливість до LZD). 9-місячні схеми, рекомендовані ВООЗ, не слід застосовувати. У разі чутливості до FQ необхідно продовжувати обрану 6-місячну або 9-місячну схему, або ж одну з інших 6-місячних або 9-місячних схем необхідно адаптувати до повного профілю цільового СНП. Рішення про проведення фенотипового ТМЧ для BDQ для цієї групи залежатиме від контексту, враховуючи поширеність резистентності, можливості ТМЧ та очікувану кількість пропущених результатів через цільове СНП. В ідеалі, за наявності ресурсів, фенотипове ТМЧ необхідно проводити для всіх зразків. Схему необхідно коригувати відповідним чином у разі виявлення резистентності до інших лікарських засобів в рамках схеми.</w:t>
      </w:r>
    </w:p>
    <w:p w14:paraId="6A6DBA9C" w14:textId="77777777" w:rsidR="00366CB9" w:rsidRPr="00D77994" w:rsidRDefault="009D0C1D" w:rsidP="00FE22F4">
      <w:pPr>
        <w:pStyle w:val="1"/>
        <w:numPr>
          <w:ilvl w:val="0"/>
          <w:numId w:val="35"/>
        </w:numPr>
        <w:shd w:val="clear" w:color="auto" w:fill="auto"/>
        <w:tabs>
          <w:tab w:val="left" w:pos="622"/>
        </w:tabs>
        <w:spacing w:line="324" w:lineRule="auto"/>
        <w:ind w:left="560" w:hanging="260"/>
        <w:jc w:val="both"/>
        <w:rPr>
          <w:sz w:val="18"/>
          <w:szCs w:val="18"/>
        </w:rPr>
      </w:pPr>
      <w:r w:rsidRPr="00D77994">
        <w:rPr>
          <w:sz w:val="18"/>
          <w:szCs w:val="18"/>
        </w:rPr>
        <w:t xml:space="preserve">У разі низької клінічної передбачуваності щодо резистентності до BDQ та виявлення однієї або декількох мутацій, пов’язаних з резистентністю до BDQ, за допомогою тесту цільового СНП цільове СНП необхідно повторити, обговорити рішення щодо лікування з місцевим комітетом з лікування ЛС-ТБ, провести фенотипове ТМЧ та внести відповідні зміни. Примітка: Мутації </w:t>
      </w:r>
      <w:r w:rsidRPr="00D77994">
        <w:rPr>
          <w:i/>
          <w:sz w:val="18"/>
          <w:szCs w:val="18"/>
        </w:rPr>
        <w:t>Rv0678</w:t>
      </w:r>
      <w:r w:rsidRPr="00D77994">
        <w:rPr>
          <w:sz w:val="18"/>
          <w:szCs w:val="18"/>
        </w:rPr>
        <w:t>, виявлені та пов’язані з резистентністю до BDQ, як правило, призводять до перехресної резистентності до CFZ через спільний механізм; крім того, точність цільового СНП для CFZ відповідає точності для BDQ.</w:t>
      </w:r>
    </w:p>
    <w:p w14:paraId="0E9CF161" w14:textId="77777777" w:rsidR="00366CB9" w:rsidRPr="00D77994" w:rsidRDefault="009D0C1D" w:rsidP="00FE22F4">
      <w:pPr>
        <w:pStyle w:val="1"/>
        <w:numPr>
          <w:ilvl w:val="0"/>
          <w:numId w:val="35"/>
        </w:numPr>
        <w:shd w:val="clear" w:color="auto" w:fill="auto"/>
        <w:tabs>
          <w:tab w:val="left" w:pos="584"/>
        </w:tabs>
        <w:spacing w:line="324" w:lineRule="auto"/>
        <w:ind w:left="560" w:hanging="260"/>
        <w:jc w:val="both"/>
        <w:rPr>
          <w:sz w:val="18"/>
          <w:szCs w:val="18"/>
        </w:rPr>
      </w:pPr>
      <w:r w:rsidRPr="00D77994">
        <w:rPr>
          <w:sz w:val="18"/>
          <w:szCs w:val="18"/>
        </w:rPr>
        <w:t>У разі високої клінічної передбачуваності щодо резистентності до BDQ/CFZ, коли тест цільового СНП не виявляє мутацій, пов’язаних з резистентністю до BDQ, необхідно повторити тест цільового СНП, а лікування обговорити з місцевим комітетом з лікування ЛС-ТБ на основі факторів ризику, щоб прийняти рішення щодо лікування в очікуванні результатів фенотипового ТМЧ. Кількість істинно чутливих випадків буде набагато вищою, ніж кількість хибно чутливих випадків.</w:t>
      </w:r>
    </w:p>
    <w:p w14:paraId="35E4CFA2" w14:textId="77777777" w:rsidR="00366CB9" w:rsidRPr="00D77994" w:rsidRDefault="009D0C1D" w:rsidP="00FE22F4">
      <w:pPr>
        <w:pStyle w:val="1"/>
        <w:numPr>
          <w:ilvl w:val="0"/>
          <w:numId w:val="35"/>
        </w:numPr>
        <w:shd w:val="clear" w:color="auto" w:fill="auto"/>
        <w:tabs>
          <w:tab w:val="left" w:pos="622"/>
        </w:tabs>
        <w:spacing w:line="324" w:lineRule="auto"/>
        <w:ind w:left="560" w:hanging="260"/>
        <w:jc w:val="both"/>
        <w:rPr>
          <w:sz w:val="18"/>
          <w:szCs w:val="18"/>
        </w:rPr>
      </w:pPr>
      <w:r w:rsidRPr="00D77994">
        <w:rPr>
          <w:sz w:val="18"/>
          <w:szCs w:val="18"/>
        </w:rPr>
        <w:t xml:space="preserve">Якщо ризик резистентності до BDQ є високим, а тест цільового СНП виявляє одну або кілька мутацій, пов’язаних з резистентністю до BDQ, необхідно призначити індивідуальну схему на основі тесту цільового СНП, що коригується відповідно до результатів фенотипового ТМЧ. Як зазначалось вище, виявлені мутації </w:t>
      </w:r>
      <w:r w:rsidRPr="00D77994">
        <w:rPr>
          <w:i/>
          <w:iCs/>
          <w:sz w:val="18"/>
          <w:szCs w:val="18"/>
        </w:rPr>
        <w:t>Rv0678</w:t>
      </w:r>
      <w:r w:rsidRPr="00D77994">
        <w:rPr>
          <w:sz w:val="18"/>
          <w:szCs w:val="18"/>
        </w:rPr>
        <w:t>, пов’язані з резистентністю до BDQ, як правило, призводять до перехресної резистентності до CFZ через спільний механізм; крім того, точність тесту цільового СНП для CFZ відповідає точності для BDQ.</w:t>
      </w:r>
    </w:p>
    <w:p w14:paraId="25FE58F0" w14:textId="77777777" w:rsidR="00366CB9" w:rsidRPr="00D77994" w:rsidRDefault="009D0C1D" w:rsidP="00FE22F4">
      <w:pPr>
        <w:pStyle w:val="1"/>
        <w:numPr>
          <w:ilvl w:val="0"/>
          <w:numId w:val="35"/>
        </w:numPr>
        <w:shd w:val="clear" w:color="auto" w:fill="auto"/>
        <w:tabs>
          <w:tab w:val="left" w:pos="608"/>
        </w:tabs>
        <w:spacing w:line="324" w:lineRule="auto"/>
        <w:ind w:left="560" w:hanging="260"/>
        <w:jc w:val="both"/>
        <w:rPr>
          <w:sz w:val="18"/>
          <w:szCs w:val="18"/>
        </w:rPr>
      </w:pPr>
      <w:r w:rsidRPr="00D77994">
        <w:rPr>
          <w:sz w:val="18"/>
          <w:szCs w:val="18"/>
        </w:rPr>
        <w:t>За особами необхідно ретельно спостерігати, а додаткове ТМЧ необхідно проводити на будь-якій культурі, виділеній на через 2 місяці або пізніше під час лікування.</w:t>
      </w:r>
    </w:p>
    <w:p w14:paraId="29A6B5EC" w14:textId="77777777" w:rsidR="00366CB9" w:rsidRDefault="00366CB9" w:rsidP="00425523">
      <w:pPr>
        <w:spacing w:line="1" w:lineRule="exact"/>
        <w:sectPr w:rsidR="00366CB9" w:rsidSect="00F03360">
          <w:footerReference w:type="even" r:id="rId142"/>
          <w:type w:val="nextColumn"/>
          <w:pgSz w:w="11913" w:h="16840"/>
          <w:pgMar w:top="1469" w:right="1378" w:bottom="851" w:left="1372" w:header="0" w:footer="6" w:gutter="0"/>
          <w:paperSrc w:first="15" w:other="15"/>
          <w:cols w:space="720"/>
          <w:noEndnote/>
          <w:docGrid w:linePitch="360"/>
        </w:sectPr>
      </w:pPr>
    </w:p>
    <w:p w14:paraId="7B9DE431"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2931"/>
      </w:tblGrid>
      <w:tr w:rsidR="00366CB9" w14:paraId="2F3DBD2F" w14:textId="77777777" w:rsidTr="00E76FA1">
        <w:trPr>
          <w:trHeight w:hRule="exact" w:val="552"/>
        </w:trPr>
        <w:tc>
          <w:tcPr>
            <w:tcW w:w="12931" w:type="dxa"/>
            <w:shd w:val="clear" w:color="auto" w:fill="FFFFFF"/>
          </w:tcPr>
          <w:p w14:paraId="7348143F" w14:textId="04A16748" w:rsidR="00366CB9" w:rsidRDefault="009D0C1D" w:rsidP="00E76FA1">
            <w:pPr>
              <w:pStyle w:val="a6"/>
              <w:shd w:val="clear" w:color="auto" w:fill="auto"/>
              <w:rPr>
                <w:sz w:val="24"/>
                <w:szCs w:val="24"/>
              </w:rPr>
            </w:pPr>
            <w:bookmarkStart w:id="176" w:name="bookmark173"/>
            <w:r>
              <w:rPr>
                <w:color w:val="636466"/>
                <w:sz w:val="24"/>
              </w:rPr>
              <w:t>Рис. 6.5</w:t>
            </w:r>
            <w:r>
              <w:rPr>
                <w:b w:val="0"/>
                <w:color w:val="636466"/>
                <w:sz w:val="24"/>
              </w:rPr>
              <w:t>. Алгоритм 2b: ТМЧ для осіб з МЛС/Риф-ТБ (обмежена або відсутня здатність цільового СНП)</w:t>
            </w:r>
            <w:bookmarkEnd w:id="176"/>
          </w:p>
        </w:tc>
      </w:tr>
      <w:tr w:rsidR="00366CB9" w14:paraId="10DA42FF" w14:textId="77777777" w:rsidTr="00E76FA1">
        <w:trPr>
          <w:trHeight w:hRule="exact" w:val="8530"/>
        </w:trPr>
        <w:tc>
          <w:tcPr>
            <w:tcW w:w="12931" w:type="dxa"/>
            <w:shd w:val="clear" w:color="auto" w:fill="FFFFFF"/>
          </w:tcPr>
          <w:p w14:paraId="6E8F7722" w14:textId="05E63B50" w:rsidR="00366CB9" w:rsidRDefault="00D77994" w:rsidP="00E76FA1">
            <w:pPr>
              <w:rPr>
                <w:sz w:val="2"/>
                <w:szCs w:val="2"/>
              </w:rPr>
            </w:pPr>
            <w:r>
              <w:rPr>
                <w:noProof/>
              </w:rPr>
              <mc:AlternateContent>
                <mc:Choice Requires="wps">
                  <w:drawing>
                    <wp:anchor distT="0" distB="0" distL="114300" distR="114300" simplePos="0" relativeHeight="251793408" behindDoc="0" locked="0" layoutInCell="1" allowOverlap="1" wp14:anchorId="0E4DD14E" wp14:editId="1BA9FBB0">
                      <wp:simplePos x="0" y="0"/>
                      <wp:positionH relativeFrom="column">
                        <wp:posOffset>5124450</wp:posOffset>
                      </wp:positionH>
                      <wp:positionV relativeFrom="paragraph">
                        <wp:posOffset>1779270</wp:posOffset>
                      </wp:positionV>
                      <wp:extent cx="1430020" cy="167640"/>
                      <wp:effectExtent l="0" t="0" r="0" b="3810"/>
                      <wp:wrapNone/>
                      <wp:docPr id="2118501031" name="Прямокутник 14"/>
                      <wp:cNvGraphicFramePr/>
                      <a:graphic xmlns:a="http://schemas.openxmlformats.org/drawingml/2006/main">
                        <a:graphicData uri="http://schemas.microsoft.com/office/word/2010/wordprocessingShape">
                          <wps:wsp>
                            <wps:cNvSpPr/>
                            <wps:spPr>
                              <a:xfrm>
                                <a:off x="0" y="0"/>
                                <a:ext cx="1430020" cy="167640"/>
                              </a:xfrm>
                              <a:prstGeom prst="rect">
                                <a:avLst/>
                              </a:prstGeom>
                              <a:solidFill>
                                <a:srgbClr val="8FAFD8"/>
                              </a:solidFill>
                            </wps:spPr>
                            <wps:txbx>
                              <w:txbxContent>
                                <w:p w14:paraId="27EAF30A" w14:textId="77777777" w:rsidR="009D0C1D" w:rsidRPr="00D77994" w:rsidRDefault="009D0C1D" w:rsidP="00E76FA1">
                                  <w:pPr>
                                    <w:rPr>
                                      <w:rFonts w:eastAsia="+mn-ea" w:cs="+mn-cs"/>
                                      <w:b/>
                                      <w:bCs/>
                                      <w:color w:val="343433"/>
                                      <w:kern w:val="24"/>
                                      <w:sz w:val="12"/>
                                      <w:szCs w:val="12"/>
                                    </w:rPr>
                                  </w:pPr>
                                  <w:r w:rsidRPr="00D77994">
                                    <w:rPr>
                                      <w:b/>
                                      <w:color w:val="343433"/>
                                      <w:sz w:val="12"/>
                                      <w:szCs w:val="22"/>
                                    </w:rPr>
                                    <w:t>Культуральне та фенотипове ТМЧ</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E4DD14E" id="_x0000_s1438" style="position:absolute;margin-left:403.5pt;margin-top:140.1pt;width:112.6pt;height:13.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" fillcolor="#8fafd8" stroked="f">
                      <v:textbox inset="0,0,0,0">
                        <w:txbxContent>
                          <w:p w14:paraId="27EAF30A" w14:textId="77777777" w:rsidR="009D0C1D" w:rsidRPr="00D77994" w:rsidRDefault="009D0C1D" w:rsidP="00E76FA1">
                            <w:pPr>
                              <w:rPr>
                                <w:rFonts w:eastAsia="+mn-ea" w:cs="+mn-cs"/>
                                <w:b/>
                                <w:bCs/>
                                <w:color w:val="343433"/>
                                <w:kern w:val="24"/>
                                <w:sz w:val="12"/>
                                <w:szCs w:val="12"/>
                              </w:rPr>
                            </w:pPr>
                            <w:r w:rsidRPr="00D77994">
                              <w:rPr>
                                <w:b/>
                                <w:color w:val="343433"/>
                                <w:sz w:val="12"/>
                                <w:szCs w:val="22"/>
                              </w:rPr>
                              <w:t>Культуральне та фенотипове ТМЧ</w:t>
                            </w:r>
                          </w:p>
                        </w:txbxContent>
                      </v:textbox>
                    </v:rect>
                  </w:pict>
                </mc:Fallback>
              </mc:AlternateContent>
            </w:r>
            <w:r>
              <w:rPr>
                <w:noProof/>
              </w:rPr>
              <mc:AlternateContent>
                <mc:Choice Requires="wps">
                  <w:drawing>
                    <wp:anchor distT="0" distB="0" distL="114300" distR="114300" simplePos="0" relativeHeight="251797504" behindDoc="0" locked="0" layoutInCell="1" allowOverlap="1" wp14:anchorId="3A908EF4" wp14:editId="37584CF5">
                      <wp:simplePos x="0" y="0"/>
                      <wp:positionH relativeFrom="column">
                        <wp:posOffset>2285121</wp:posOffset>
                      </wp:positionH>
                      <wp:positionV relativeFrom="paragraph">
                        <wp:posOffset>5011908</wp:posOffset>
                      </wp:positionV>
                      <wp:extent cx="3898265" cy="298939"/>
                      <wp:effectExtent l="0" t="0" r="6985" b="6350"/>
                      <wp:wrapNone/>
                      <wp:docPr id="989232383" name="Прямокутник 18"/>
                      <wp:cNvGraphicFramePr/>
                      <a:graphic xmlns:a="http://schemas.openxmlformats.org/drawingml/2006/main">
                        <a:graphicData uri="http://schemas.microsoft.com/office/word/2010/wordprocessingShape">
                          <wps:wsp>
                            <wps:cNvSpPr/>
                            <wps:spPr>
                              <a:xfrm>
                                <a:off x="0" y="0"/>
                                <a:ext cx="3898265" cy="298939"/>
                              </a:xfrm>
                              <a:prstGeom prst="rect">
                                <a:avLst/>
                              </a:prstGeom>
                              <a:solidFill>
                                <a:srgbClr val="C1AAC4"/>
                              </a:solidFill>
                            </wps:spPr>
                            <wps:txbx>
                              <w:txbxContent>
                                <w:p w14:paraId="7C6A0D23" w14:textId="77777777" w:rsidR="009D0C1D" w:rsidRPr="00D77994" w:rsidRDefault="009D0C1D" w:rsidP="00E76FA1">
                                  <w:pPr>
                                    <w:spacing w:line="300" w:lineRule="auto"/>
                                    <w:jc w:val="center"/>
                                    <w:rPr>
                                      <w:rFonts w:eastAsia="+mn-ea" w:cs="+mn-cs"/>
                                      <w:b/>
                                      <w:bCs/>
                                      <w:color w:val="343433"/>
                                      <w:kern w:val="24"/>
                                      <w:sz w:val="11"/>
                                      <w:szCs w:val="11"/>
                                    </w:rPr>
                                  </w:pPr>
                                  <w:r w:rsidRPr="00D77994">
                                    <w:rPr>
                                      <w:b/>
                                      <w:color w:val="343433"/>
                                      <w:sz w:val="11"/>
                                      <w:szCs w:val="22"/>
                                    </w:rPr>
                                    <w:t>Провести додаткове (фенотипове або генотипове) ТМЧ відповідно до національних керівних принципів Переглянути схему лікування на основі результатів ТМЧ</w:t>
                                  </w:r>
                                </w:p>
                              </w:txbxContent>
                            </wps:txbx>
                            <wps:bodyPr lIns="0" tIns="0" rIns="0" bIns="0">
                              <a:noAutofit/>
                            </wps:bodyPr>
                          </wps:wsp>
                        </a:graphicData>
                      </a:graphic>
                      <wp14:sizeRelV relativeFrom="margin">
                        <wp14:pctHeight>0</wp14:pctHeight>
                      </wp14:sizeRelV>
                    </wp:anchor>
                  </w:drawing>
                </mc:Choice>
                <mc:Fallback>
                  <w:pict>
                    <v:rect w14:anchorId="3A908EF4" id="_x0000_s1439" style="position:absolute;margin-left:179.95pt;margin-top:394.65pt;width:306.95pt;height:23.5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" fillcolor="#c1aac4" stroked="f">
                      <v:textbox inset="0,0,0,0">
                        <w:txbxContent>
                          <w:p w14:paraId="7C6A0D23" w14:textId="77777777" w:rsidR="009D0C1D" w:rsidRPr="00D77994" w:rsidRDefault="009D0C1D" w:rsidP="00E76FA1">
                            <w:pPr>
                              <w:spacing w:line="300" w:lineRule="auto"/>
                              <w:jc w:val="center"/>
                              <w:rPr>
                                <w:rFonts w:eastAsia="+mn-ea" w:cs="+mn-cs"/>
                                <w:b/>
                                <w:bCs/>
                                <w:color w:val="343433"/>
                                <w:kern w:val="24"/>
                                <w:sz w:val="11"/>
                                <w:szCs w:val="11"/>
                              </w:rPr>
                            </w:pPr>
                            <w:r w:rsidRPr="00D77994">
                              <w:rPr>
                                <w:b/>
                                <w:color w:val="343433"/>
                                <w:sz w:val="11"/>
                                <w:szCs w:val="22"/>
                              </w:rPr>
                              <w:t>Провести додаткове (фенотипове або генотипове) ТМЧ відповідно до національних керівних принципів Переглянути схему лікування на основі результатів ТМЧ</w:t>
                            </w:r>
                          </w:p>
                        </w:txbxContent>
                      </v:textbox>
                    </v:rect>
                  </w:pict>
                </mc:Fallback>
              </mc:AlternateContent>
            </w:r>
            <w:r>
              <w:rPr>
                <w:noProof/>
              </w:rPr>
              <mc:AlternateContent>
                <mc:Choice Requires="wps">
                  <w:drawing>
                    <wp:anchor distT="0" distB="0" distL="114300" distR="114300" simplePos="0" relativeHeight="251796480" behindDoc="0" locked="0" layoutInCell="1" allowOverlap="1" wp14:anchorId="12DD7166" wp14:editId="48BE163B">
                      <wp:simplePos x="0" y="0"/>
                      <wp:positionH relativeFrom="column">
                        <wp:posOffset>2818521</wp:posOffset>
                      </wp:positionH>
                      <wp:positionV relativeFrom="paragraph">
                        <wp:posOffset>4466785</wp:posOffset>
                      </wp:positionV>
                      <wp:extent cx="3112477" cy="228600"/>
                      <wp:effectExtent l="0" t="0" r="0" b="0"/>
                      <wp:wrapNone/>
                      <wp:docPr id="23987298" name="Прямокутник 17"/>
                      <wp:cNvGraphicFramePr/>
                      <a:graphic xmlns:a="http://schemas.openxmlformats.org/drawingml/2006/main">
                        <a:graphicData uri="http://schemas.microsoft.com/office/word/2010/wordprocessingShape">
                          <wps:wsp>
                            <wps:cNvSpPr/>
                            <wps:spPr>
                              <a:xfrm>
                                <a:off x="0" y="0"/>
                                <a:ext cx="3112477" cy="228600"/>
                              </a:xfrm>
                              <a:prstGeom prst="rect">
                                <a:avLst/>
                              </a:prstGeom>
                              <a:solidFill>
                                <a:srgbClr val="CCBECF"/>
                              </a:solidFill>
                            </wps:spPr>
                            <wps:txbx>
                              <w:txbxContent>
                                <w:p w14:paraId="297AAD40" w14:textId="77777777" w:rsidR="009D0C1D" w:rsidRPr="00D77994" w:rsidRDefault="009D0C1D" w:rsidP="00E76FA1">
                                  <w:pPr>
                                    <w:spacing w:line="292" w:lineRule="auto"/>
                                    <w:jc w:val="center"/>
                                    <w:rPr>
                                      <w:rFonts w:eastAsia="+mn-ea" w:cs="+mn-cs"/>
                                      <w:b/>
                                      <w:bCs/>
                                      <w:color w:val="343433"/>
                                      <w:kern w:val="24"/>
                                      <w:sz w:val="11"/>
                                      <w:szCs w:val="11"/>
                                    </w:rPr>
                                  </w:pPr>
                                  <w:r w:rsidRPr="00D77994">
                                    <w:rPr>
                                      <w:b/>
                                      <w:color w:val="343433"/>
                                      <w:sz w:val="11"/>
                                      <w:szCs w:val="22"/>
                                    </w:rPr>
                                    <w:t>Будь-який позитивний результат відновленої культури під час контролю лікування, що вказує на неефективність повторного лікування</w:t>
                                  </w:r>
                                </w:p>
                              </w:txbxContent>
                            </wps:txbx>
                            <wps:bodyPr wrap="square" lIns="0" tIns="0" rIns="0" bIns="0">
                              <a:noAutofit/>
                            </wps:bodyPr>
                          </wps:wsp>
                        </a:graphicData>
                      </a:graphic>
                      <wp14:sizeRelH relativeFrom="margin">
                        <wp14:pctWidth>0</wp14:pctWidth>
                      </wp14:sizeRelH>
                    </wp:anchor>
                  </w:drawing>
                </mc:Choice>
                <mc:Fallback>
                  <w:pict>
                    <v:rect w14:anchorId="12DD7166" id="_x0000_s1440" style="position:absolute;margin-left:221.95pt;margin-top:351.7pt;width:245.1pt;height:18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" fillcolor="#ccbecf" stroked="f">
                      <v:textbox inset="0,0,0,0">
                        <w:txbxContent>
                          <w:p w14:paraId="297AAD40" w14:textId="77777777" w:rsidR="009D0C1D" w:rsidRPr="00D77994" w:rsidRDefault="009D0C1D" w:rsidP="00E76FA1">
                            <w:pPr>
                              <w:spacing w:line="292" w:lineRule="auto"/>
                              <w:jc w:val="center"/>
                              <w:rPr>
                                <w:rFonts w:eastAsia="+mn-ea" w:cs="+mn-cs"/>
                                <w:b/>
                                <w:bCs/>
                                <w:color w:val="343433"/>
                                <w:kern w:val="24"/>
                                <w:sz w:val="11"/>
                                <w:szCs w:val="11"/>
                              </w:rPr>
                            </w:pPr>
                            <w:r w:rsidRPr="00D77994">
                              <w:rPr>
                                <w:b/>
                                <w:color w:val="343433"/>
                                <w:sz w:val="11"/>
                                <w:szCs w:val="22"/>
                              </w:rPr>
                              <w:t>Будь-який позитивний результат відновленої культури під час контролю лікування, що вказує на неефективність повторного лікування</w:t>
                            </w:r>
                          </w:p>
                        </w:txbxContent>
                      </v:textbox>
                    </v:rect>
                  </w:pict>
                </mc:Fallback>
              </mc:AlternateContent>
            </w:r>
            <w:r>
              <w:rPr>
                <w:noProof/>
              </w:rPr>
              <mc:AlternateContent>
                <mc:Choice Requires="wps">
                  <w:drawing>
                    <wp:anchor distT="0" distB="0" distL="114300" distR="114300" simplePos="0" relativeHeight="251795456" behindDoc="0" locked="0" layoutInCell="1" allowOverlap="1" wp14:anchorId="1BED70DD" wp14:editId="6DDF0712">
                      <wp:simplePos x="0" y="0"/>
                      <wp:positionH relativeFrom="column">
                        <wp:posOffset>5215890</wp:posOffset>
                      </wp:positionH>
                      <wp:positionV relativeFrom="paragraph">
                        <wp:posOffset>3353093</wp:posOffset>
                      </wp:positionV>
                      <wp:extent cx="1021080" cy="339969"/>
                      <wp:effectExtent l="0" t="0" r="7620" b="3175"/>
                      <wp:wrapNone/>
                      <wp:docPr id="639370216" name="Прямокутник 16"/>
                      <wp:cNvGraphicFramePr/>
                      <a:graphic xmlns:a="http://schemas.openxmlformats.org/drawingml/2006/main">
                        <a:graphicData uri="http://schemas.microsoft.com/office/word/2010/wordprocessingShape">
                          <wps:wsp>
                            <wps:cNvSpPr/>
                            <wps:spPr>
                              <a:xfrm>
                                <a:off x="0" y="0"/>
                                <a:ext cx="1021080" cy="339969"/>
                              </a:xfrm>
                              <a:prstGeom prst="rect">
                                <a:avLst/>
                              </a:prstGeom>
                              <a:solidFill>
                                <a:srgbClr val="D2D7EB"/>
                              </a:solidFill>
                            </wps:spPr>
                            <wps:txbx>
                              <w:txbxContent>
                                <w:p w14:paraId="7CD71EA0" w14:textId="77777777" w:rsidR="009D0C1D" w:rsidRPr="00D77994" w:rsidRDefault="009D0C1D" w:rsidP="00E76FA1">
                                  <w:pPr>
                                    <w:spacing w:line="259" w:lineRule="auto"/>
                                    <w:jc w:val="center"/>
                                    <w:rPr>
                                      <w:rFonts w:eastAsia="+mn-ea" w:cs="+mn-cs"/>
                                      <w:b/>
                                      <w:bCs/>
                                      <w:color w:val="343433"/>
                                      <w:kern w:val="24"/>
                                      <w:sz w:val="10"/>
                                      <w:szCs w:val="10"/>
                                    </w:rPr>
                                  </w:pPr>
                                  <w:r w:rsidRPr="00D77994">
                                    <w:rPr>
                                      <w:b/>
                                      <w:color w:val="343433"/>
                                      <w:sz w:val="10"/>
                                      <w:szCs w:val="22"/>
                                    </w:rPr>
                                    <w:t>Переглянути схему лікування на основі результатів ТМЧ</w:t>
                                  </w:r>
                                </w:p>
                              </w:txbxContent>
                            </wps:txbx>
                            <wps:bodyPr lIns="0" tIns="0" rIns="0" bIns="0">
                              <a:noAutofit/>
                            </wps:bodyPr>
                          </wps:wsp>
                        </a:graphicData>
                      </a:graphic>
                      <wp14:sizeRelV relativeFrom="margin">
                        <wp14:pctHeight>0</wp14:pctHeight>
                      </wp14:sizeRelV>
                    </wp:anchor>
                  </w:drawing>
                </mc:Choice>
                <mc:Fallback>
                  <w:pict>
                    <v:rect w14:anchorId="1BED70DD" id="_x0000_s1441" style="position:absolute;margin-left:410.7pt;margin-top:264pt;width:80.4pt;height:26.7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" fillcolor="#d2d7eb" stroked="f">
                      <v:textbox inset="0,0,0,0">
                        <w:txbxContent>
                          <w:p w14:paraId="7CD71EA0" w14:textId="77777777" w:rsidR="009D0C1D" w:rsidRPr="00D77994" w:rsidRDefault="009D0C1D" w:rsidP="00E76FA1">
                            <w:pPr>
                              <w:spacing w:line="259" w:lineRule="auto"/>
                              <w:jc w:val="center"/>
                              <w:rPr>
                                <w:rFonts w:eastAsia="+mn-ea" w:cs="+mn-cs"/>
                                <w:b/>
                                <w:bCs/>
                                <w:color w:val="343433"/>
                                <w:kern w:val="24"/>
                                <w:sz w:val="10"/>
                                <w:szCs w:val="10"/>
                              </w:rPr>
                            </w:pPr>
                            <w:r w:rsidRPr="00D77994">
                              <w:rPr>
                                <w:b/>
                                <w:color w:val="343433"/>
                                <w:sz w:val="10"/>
                                <w:szCs w:val="22"/>
                              </w:rPr>
                              <w:t>Переглянути схему лікування на основі результатів ТМЧ</w:t>
                            </w:r>
                          </w:p>
                        </w:txbxContent>
                      </v:textbox>
                    </v:rect>
                  </w:pict>
                </mc:Fallback>
              </mc:AlternateContent>
            </w:r>
            <w:r>
              <w:rPr>
                <w:noProof/>
              </w:rPr>
              <mc:AlternateContent>
                <mc:Choice Requires="wps">
                  <w:drawing>
                    <wp:anchor distT="0" distB="0" distL="114300" distR="114300" simplePos="0" relativeHeight="251792384" behindDoc="0" locked="0" layoutInCell="1" allowOverlap="1" wp14:anchorId="7A5B2363" wp14:editId="004ACA19">
                      <wp:simplePos x="0" y="0"/>
                      <wp:positionH relativeFrom="column">
                        <wp:posOffset>3539490</wp:posOffset>
                      </wp:positionH>
                      <wp:positionV relativeFrom="paragraph">
                        <wp:posOffset>2849001</wp:posOffset>
                      </wp:positionV>
                      <wp:extent cx="1328420" cy="1242646"/>
                      <wp:effectExtent l="0" t="0" r="5080" b="0"/>
                      <wp:wrapNone/>
                      <wp:docPr id="584940115" name="Прямокутник 13"/>
                      <wp:cNvGraphicFramePr/>
                      <a:graphic xmlns:a="http://schemas.openxmlformats.org/drawingml/2006/main">
                        <a:graphicData uri="http://schemas.microsoft.com/office/word/2010/wordprocessingShape">
                          <wps:wsp>
                            <wps:cNvSpPr/>
                            <wps:spPr>
                              <a:xfrm>
                                <a:off x="0" y="0"/>
                                <a:ext cx="1328420" cy="1242646"/>
                              </a:xfrm>
                              <a:prstGeom prst="rect">
                                <a:avLst/>
                              </a:prstGeom>
                              <a:solidFill>
                                <a:srgbClr val="FDE0DC"/>
                              </a:solidFill>
                            </wps:spPr>
                            <wps:txbx>
                              <w:txbxContent>
                                <w:p w14:paraId="0AEC430C" w14:textId="77777777" w:rsidR="009D0C1D" w:rsidRPr="00D77994" w:rsidRDefault="009D0C1D" w:rsidP="00E76FA1">
                                  <w:pPr>
                                    <w:spacing w:after="56" w:line="259" w:lineRule="auto"/>
                                    <w:jc w:val="center"/>
                                    <w:rPr>
                                      <w:rFonts w:eastAsia="+mn-ea" w:cs="+mn-cs"/>
                                      <w:b/>
                                      <w:bCs/>
                                      <w:color w:val="343433"/>
                                      <w:kern w:val="24"/>
                                      <w:sz w:val="10"/>
                                      <w:szCs w:val="10"/>
                                    </w:rPr>
                                  </w:pPr>
                                  <w:r w:rsidRPr="00D77994">
                                    <w:rPr>
                                      <w:b/>
                                      <w:color w:val="343433"/>
                                      <w:sz w:val="10"/>
                                      <w:szCs w:val="22"/>
                                    </w:rPr>
                                    <w:t>Продовжувати пероральну схему лікування МЛС-ТБ</w:t>
                                  </w:r>
                                </w:p>
                                <w:p w14:paraId="24D4EB11" w14:textId="77777777" w:rsidR="009D0C1D" w:rsidRPr="00D77994" w:rsidRDefault="009D0C1D" w:rsidP="00E76FA1">
                                  <w:pPr>
                                    <w:spacing w:after="56" w:line="259" w:lineRule="auto"/>
                                    <w:jc w:val="center"/>
                                    <w:rPr>
                                      <w:rFonts w:eastAsia="+mn-ea" w:cs="+mn-cs"/>
                                      <w:b/>
                                      <w:bCs/>
                                      <w:color w:val="343433"/>
                                      <w:kern w:val="24"/>
                                      <w:sz w:val="10"/>
                                      <w:szCs w:val="10"/>
                                    </w:rPr>
                                  </w:pPr>
                                  <w:r w:rsidRPr="00D77994">
                                    <w:rPr>
                                      <w:b/>
                                      <w:color w:val="343433"/>
                                      <w:sz w:val="10"/>
                                      <w:szCs w:val="22"/>
                                    </w:rPr>
                                    <w:t>Розглянути повторне молекулярне тестування для FQ</w:t>
                                  </w:r>
                                </w:p>
                                <w:p w14:paraId="174ABE80" w14:textId="77777777" w:rsidR="009D0C1D" w:rsidRPr="00D77994" w:rsidRDefault="009D0C1D" w:rsidP="00E76FA1">
                                  <w:pPr>
                                    <w:spacing w:after="56" w:line="259" w:lineRule="auto"/>
                                    <w:jc w:val="center"/>
                                    <w:rPr>
                                      <w:rFonts w:eastAsia="+mn-ea" w:cs="+mn-cs"/>
                                      <w:color w:val="343433"/>
                                      <w:kern w:val="24"/>
                                      <w:sz w:val="10"/>
                                      <w:szCs w:val="10"/>
                                    </w:rPr>
                                  </w:pPr>
                                  <w:r w:rsidRPr="00D77994">
                                    <w:rPr>
                                      <w:color w:val="343433"/>
                                      <w:sz w:val="10"/>
                                      <w:szCs w:val="22"/>
                                    </w:rPr>
                                    <w:t xml:space="preserve">Провести </w:t>
                                  </w:r>
                                  <w:r w:rsidRPr="00D77994">
                                    <w:rPr>
                                      <w:b/>
                                      <w:color w:val="343433"/>
                                      <w:sz w:val="10"/>
                                      <w:szCs w:val="22"/>
                                    </w:rPr>
                                    <w:t>додаткове ТМЧ, включаючи цільове СНП, за наявності</w:t>
                                  </w:r>
                                  <w:r w:rsidRPr="00D77994">
                                    <w:rPr>
                                      <w:color w:val="343433"/>
                                      <w:sz w:val="10"/>
                                      <w:szCs w:val="22"/>
                                    </w:rPr>
                                    <w:t>, для певних групи ризику відповідно до національних керівних принципів</w:t>
                                  </w:r>
                                  <w:r w:rsidRPr="00D77994">
                                    <w:rPr>
                                      <w:b/>
                                      <w:color w:val="0099D6"/>
                                      <w:sz w:val="10"/>
                                      <w:szCs w:val="22"/>
                                      <w:vertAlign w:val="superscript"/>
                                    </w:rPr>
                                    <w:t>h</w:t>
                                  </w:r>
                                </w:p>
                                <w:p w14:paraId="297AE761" w14:textId="77777777" w:rsidR="009D0C1D" w:rsidRPr="00D77994" w:rsidRDefault="009D0C1D" w:rsidP="00E76FA1">
                                  <w:pPr>
                                    <w:spacing w:line="259" w:lineRule="auto"/>
                                    <w:jc w:val="center"/>
                                    <w:rPr>
                                      <w:rFonts w:eastAsia="+mn-ea" w:cs="+mn-cs"/>
                                      <w:color w:val="343433"/>
                                      <w:kern w:val="24"/>
                                      <w:sz w:val="10"/>
                                      <w:szCs w:val="10"/>
                                    </w:rPr>
                                  </w:pPr>
                                  <w:r w:rsidRPr="00D77994">
                                    <w:rPr>
                                      <w:color w:val="343433"/>
                                      <w:sz w:val="10"/>
                                      <w:szCs w:val="22"/>
                                    </w:rPr>
                                    <w:t>Переглянути схему лікування на основі результатів ТМЧ</w:t>
                                  </w:r>
                                </w:p>
                              </w:txbxContent>
                            </wps:txbx>
                            <wps:bodyPr lIns="0" tIns="0" rIns="0" bIns="0">
                              <a:noAutofit/>
                            </wps:bodyPr>
                          </wps:wsp>
                        </a:graphicData>
                      </a:graphic>
                      <wp14:sizeRelV relativeFrom="margin">
                        <wp14:pctHeight>0</wp14:pctHeight>
                      </wp14:sizeRelV>
                    </wp:anchor>
                  </w:drawing>
                </mc:Choice>
                <mc:Fallback>
                  <w:pict>
                    <v:rect w14:anchorId="7A5B2363" id="_x0000_s1442" style="position:absolute;margin-left:278.7pt;margin-top:224.35pt;width:104.6pt;height:97.8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" fillcolor="#fde0dc" stroked="f">
                      <v:textbox inset="0,0,0,0">
                        <w:txbxContent>
                          <w:p w14:paraId="0AEC430C" w14:textId="77777777" w:rsidR="009D0C1D" w:rsidRPr="00D77994" w:rsidRDefault="009D0C1D" w:rsidP="00E76FA1">
                            <w:pPr>
                              <w:spacing w:after="56" w:line="259" w:lineRule="auto"/>
                              <w:jc w:val="center"/>
                              <w:rPr>
                                <w:rFonts w:eastAsia="+mn-ea" w:cs="+mn-cs"/>
                                <w:b/>
                                <w:bCs/>
                                <w:color w:val="343433"/>
                                <w:kern w:val="24"/>
                                <w:sz w:val="10"/>
                                <w:szCs w:val="10"/>
                              </w:rPr>
                            </w:pPr>
                            <w:r w:rsidRPr="00D77994">
                              <w:rPr>
                                <w:b/>
                                <w:color w:val="343433"/>
                                <w:sz w:val="10"/>
                                <w:szCs w:val="22"/>
                              </w:rPr>
                              <w:t>Продовжувати пероральну схему лікування МЛС-ТБ</w:t>
                            </w:r>
                          </w:p>
                          <w:p w14:paraId="24D4EB11" w14:textId="77777777" w:rsidR="009D0C1D" w:rsidRPr="00D77994" w:rsidRDefault="009D0C1D" w:rsidP="00E76FA1">
                            <w:pPr>
                              <w:spacing w:after="56" w:line="259" w:lineRule="auto"/>
                              <w:jc w:val="center"/>
                              <w:rPr>
                                <w:rFonts w:eastAsia="+mn-ea" w:cs="+mn-cs"/>
                                <w:b/>
                                <w:bCs/>
                                <w:color w:val="343433"/>
                                <w:kern w:val="24"/>
                                <w:sz w:val="10"/>
                                <w:szCs w:val="10"/>
                              </w:rPr>
                            </w:pPr>
                            <w:r w:rsidRPr="00D77994">
                              <w:rPr>
                                <w:b/>
                                <w:color w:val="343433"/>
                                <w:sz w:val="10"/>
                                <w:szCs w:val="22"/>
                              </w:rPr>
                              <w:t>Розглянути повторне молекулярне тестування для FQ</w:t>
                            </w:r>
                          </w:p>
                          <w:p w14:paraId="174ABE80" w14:textId="77777777" w:rsidR="009D0C1D" w:rsidRPr="00D77994" w:rsidRDefault="009D0C1D" w:rsidP="00E76FA1">
                            <w:pPr>
                              <w:spacing w:after="56" w:line="259" w:lineRule="auto"/>
                              <w:jc w:val="center"/>
                              <w:rPr>
                                <w:rFonts w:eastAsia="+mn-ea" w:cs="+mn-cs"/>
                                <w:color w:val="343433"/>
                                <w:kern w:val="24"/>
                                <w:sz w:val="10"/>
                                <w:szCs w:val="10"/>
                              </w:rPr>
                            </w:pPr>
                            <w:r w:rsidRPr="00D77994">
                              <w:rPr>
                                <w:color w:val="343433"/>
                                <w:sz w:val="10"/>
                                <w:szCs w:val="22"/>
                              </w:rPr>
                              <w:t xml:space="preserve">Провести </w:t>
                            </w:r>
                            <w:r w:rsidRPr="00D77994">
                              <w:rPr>
                                <w:b/>
                                <w:color w:val="343433"/>
                                <w:sz w:val="10"/>
                                <w:szCs w:val="22"/>
                              </w:rPr>
                              <w:t>додаткове ТМЧ, включаючи цільове СНП, за наявності</w:t>
                            </w:r>
                            <w:r w:rsidRPr="00D77994">
                              <w:rPr>
                                <w:color w:val="343433"/>
                                <w:sz w:val="10"/>
                                <w:szCs w:val="22"/>
                              </w:rPr>
                              <w:t>, для певних групи ризику відповідно до національних керівних принципів</w:t>
                            </w:r>
                            <w:r w:rsidRPr="00D77994">
                              <w:rPr>
                                <w:b/>
                                <w:color w:val="0099D6"/>
                                <w:sz w:val="10"/>
                                <w:szCs w:val="22"/>
                                <w:vertAlign w:val="superscript"/>
                              </w:rPr>
                              <w:t>h</w:t>
                            </w:r>
                          </w:p>
                          <w:p w14:paraId="297AE761" w14:textId="77777777" w:rsidR="009D0C1D" w:rsidRPr="00D77994" w:rsidRDefault="009D0C1D" w:rsidP="00E76FA1">
                            <w:pPr>
                              <w:spacing w:line="259" w:lineRule="auto"/>
                              <w:jc w:val="center"/>
                              <w:rPr>
                                <w:rFonts w:eastAsia="+mn-ea" w:cs="+mn-cs"/>
                                <w:color w:val="343433"/>
                                <w:kern w:val="24"/>
                                <w:sz w:val="10"/>
                                <w:szCs w:val="10"/>
                              </w:rPr>
                            </w:pPr>
                            <w:r w:rsidRPr="00D77994">
                              <w:rPr>
                                <w:color w:val="343433"/>
                                <w:sz w:val="10"/>
                                <w:szCs w:val="22"/>
                              </w:rPr>
                              <w:t>Переглянути схему лікування на основі результатів ТМЧ</w:t>
                            </w:r>
                          </w:p>
                        </w:txbxContent>
                      </v:textbox>
                    </v:rect>
                  </w:pict>
                </mc:Fallback>
              </mc:AlternateContent>
            </w:r>
            <w:r>
              <w:rPr>
                <w:noProof/>
              </w:rPr>
              <mc:AlternateContent>
                <mc:Choice Requires="wps">
                  <w:drawing>
                    <wp:anchor distT="0" distB="0" distL="114300" distR="114300" simplePos="0" relativeHeight="251791360" behindDoc="0" locked="0" layoutInCell="1" allowOverlap="1" wp14:anchorId="75F1824D" wp14:editId="23C50C30">
                      <wp:simplePos x="0" y="0"/>
                      <wp:positionH relativeFrom="column">
                        <wp:posOffset>2332013</wp:posOffset>
                      </wp:positionH>
                      <wp:positionV relativeFrom="paragraph">
                        <wp:posOffset>2854861</wp:posOffset>
                      </wp:positionV>
                      <wp:extent cx="984250" cy="1206989"/>
                      <wp:effectExtent l="0" t="0" r="6350" b="0"/>
                      <wp:wrapNone/>
                      <wp:docPr id="1139123553" name="Прямокутник 12"/>
                      <wp:cNvGraphicFramePr/>
                      <a:graphic xmlns:a="http://schemas.openxmlformats.org/drawingml/2006/main">
                        <a:graphicData uri="http://schemas.microsoft.com/office/word/2010/wordprocessingShape">
                          <wps:wsp>
                            <wps:cNvSpPr/>
                            <wps:spPr>
                              <a:xfrm>
                                <a:off x="0" y="0"/>
                                <a:ext cx="984250" cy="1206989"/>
                              </a:xfrm>
                              <a:prstGeom prst="rect">
                                <a:avLst/>
                              </a:prstGeom>
                              <a:solidFill>
                                <a:srgbClr val="FDE0DC"/>
                              </a:solidFill>
                            </wps:spPr>
                            <wps:txbx>
                              <w:txbxContent>
                                <w:p w14:paraId="08D40F80" w14:textId="77777777" w:rsidR="009D0C1D" w:rsidRPr="00D77994" w:rsidRDefault="009D0C1D" w:rsidP="00E76FA1">
                                  <w:pPr>
                                    <w:spacing w:after="56" w:line="254" w:lineRule="auto"/>
                                    <w:jc w:val="center"/>
                                    <w:rPr>
                                      <w:rFonts w:eastAsia="+mn-ea" w:cs="+mn-cs"/>
                                      <w:b/>
                                      <w:bCs/>
                                      <w:color w:val="343433"/>
                                      <w:kern w:val="24"/>
                                      <w:sz w:val="10"/>
                                      <w:szCs w:val="10"/>
                                    </w:rPr>
                                  </w:pPr>
                                  <w:r w:rsidRPr="00D77994">
                                    <w:rPr>
                                      <w:b/>
                                      <w:color w:val="343433"/>
                                      <w:sz w:val="10"/>
                                      <w:szCs w:val="22"/>
                                    </w:rPr>
                                    <w:t>Продовжувати пероральну схему лікування МЛС-ТБ</w:t>
                                  </w:r>
                                  <w:r w:rsidRPr="00D77994">
                                    <w:rPr>
                                      <w:b/>
                                      <w:color w:val="0099D6"/>
                                      <w:sz w:val="10"/>
                                      <w:szCs w:val="22"/>
                                      <w:vertAlign w:val="superscript"/>
                                    </w:rPr>
                                    <w:t>g</w:t>
                                  </w:r>
                                </w:p>
                                <w:p w14:paraId="4A634E88" w14:textId="77777777" w:rsidR="009D0C1D" w:rsidRPr="00D77994" w:rsidRDefault="009D0C1D" w:rsidP="00E76FA1">
                                  <w:pPr>
                                    <w:spacing w:after="56" w:line="256" w:lineRule="auto"/>
                                    <w:jc w:val="center"/>
                                    <w:rPr>
                                      <w:rFonts w:eastAsia="+mn-ea" w:cs="+mn-cs"/>
                                      <w:color w:val="343433"/>
                                      <w:kern w:val="24"/>
                                      <w:sz w:val="10"/>
                                      <w:szCs w:val="10"/>
                                    </w:rPr>
                                  </w:pPr>
                                  <w:r w:rsidRPr="00D77994">
                                    <w:rPr>
                                      <w:color w:val="343433"/>
                                      <w:sz w:val="10"/>
                                      <w:szCs w:val="22"/>
                                    </w:rPr>
                                    <w:t xml:space="preserve">Провести </w:t>
                                  </w:r>
                                  <w:r w:rsidRPr="00D77994">
                                    <w:rPr>
                                      <w:b/>
                                      <w:color w:val="343433"/>
                                      <w:sz w:val="10"/>
                                      <w:szCs w:val="22"/>
                                    </w:rPr>
                                    <w:t>додаткове ТМЧ, включаючи цільове СНП, за наявності</w:t>
                                  </w:r>
                                  <w:r w:rsidRPr="00D77994">
                                    <w:rPr>
                                      <w:color w:val="343433"/>
                                      <w:sz w:val="10"/>
                                      <w:szCs w:val="22"/>
                                    </w:rPr>
                                    <w:t>, для певних групи ризику відповідно до національних керівних принципів</w:t>
                                  </w:r>
                                  <w:r w:rsidRPr="00D77994">
                                    <w:rPr>
                                      <w:b/>
                                      <w:color w:val="0099D6"/>
                                      <w:sz w:val="10"/>
                                      <w:szCs w:val="22"/>
                                      <w:vertAlign w:val="superscript"/>
                                    </w:rPr>
                                    <w:t>h</w:t>
                                  </w:r>
                                </w:p>
                                <w:p w14:paraId="5EC8979D" w14:textId="77777777" w:rsidR="009D0C1D" w:rsidRPr="00D77994" w:rsidRDefault="009D0C1D" w:rsidP="00E76FA1">
                                  <w:pPr>
                                    <w:spacing w:line="259" w:lineRule="auto"/>
                                    <w:jc w:val="center"/>
                                    <w:rPr>
                                      <w:rFonts w:eastAsia="+mn-ea" w:cs="+mn-cs"/>
                                      <w:color w:val="343433"/>
                                      <w:kern w:val="24"/>
                                      <w:sz w:val="10"/>
                                      <w:szCs w:val="10"/>
                                    </w:rPr>
                                  </w:pPr>
                                  <w:r w:rsidRPr="00D77994">
                                    <w:rPr>
                                      <w:color w:val="343433"/>
                                      <w:sz w:val="10"/>
                                      <w:szCs w:val="22"/>
                                    </w:rPr>
                                    <w:t>Переглянути схему лікування на основі результатів ТМЧ</w:t>
                                  </w:r>
                                </w:p>
                              </w:txbxContent>
                            </wps:txbx>
                            <wps:bodyPr lIns="0" tIns="0" rIns="0" bIns="0">
                              <a:noAutofit/>
                            </wps:bodyPr>
                          </wps:wsp>
                        </a:graphicData>
                      </a:graphic>
                      <wp14:sizeRelV relativeFrom="margin">
                        <wp14:pctHeight>0</wp14:pctHeight>
                      </wp14:sizeRelV>
                    </wp:anchor>
                  </w:drawing>
                </mc:Choice>
                <mc:Fallback>
                  <w:pict>
                    <v:rect w14:anchorId="75F1824D" id="_x0000_s1443" style="position:absolute;margin-left:183.6pt;margin-top:224.8pt;width:77.5pt;height:95.0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" fillcolor="#fde0dc" stroked="f">
                      <v:textbox inset="0,0,0,0">
                        <w:txbxContent>
                          <w:p w14:paraId="08D40F80" w14:textId="77777777" w:rsidR="009D0C1D" w:rsidRPr="00D77994" w:rsidRDefault="009D0C1D" w:rsidP="00E76FA1">
                            <w:pPr>
                              <w:spacing w:after="56" w:line="254" w:lineRule="auto"/>
                              <w:jc w:val="center"/>
                              <w:rPr>
                                <w:rFonts w:eastAsia="+mn-ea" w:cs="+mn-cs"/>
                                <w:b/>
                                <w:bCs/>
                                <w:color w:val="343433"/>
                                <w:kern w:val="24"/>
                                <w:sz w:val="10"/>
                                <w:szCs w:val="10"/>
                              </w:rPr>
                            </w:pPr>
                            <w:r w:rsidRPr="00D77994">
                              <w:rPr>
                                <w:b/>
                                <w:color w:val="343433"/>
                                <w:sz w:val="10"/>
                                <w:szCs w:val="22"/>
                              </w:rPr>
                              <w:t>Продовжувати пероральну схему лікування МЛС-ТБ</w:t>
                            </w:r>
                            <w:r w:rsidRPr="00D77994">
                              <w:rPr>
                                <w:b/>
                                <w:color w:val="0099D6"/>
                                <w:sz w:val="10"/>
                                <w:szCs w:val="22"/>
                                <w:vertAlign w:val="superscript"/>
                              </w:rPr>
                              <w:t>g</w:t>
                            </w:r>
                          </w:p>
                          <w:p w14:paraId="4A634E88" w14:textId="77777777" w:rsidR="009D0C1D" w:rsidRPr="00D77994" w:rsidRDefault="009D0C1D" w:rsidP="00E76FA1">
                            <w:pPr>
                              <w:spacing w:after="56" w:line="256" w:lineRule="auto"/>
                              <w:jc w:val="center"/>
                              <w:rPr>
                                <w:rFonts w:eastAsia="+mn-ea" w:cs="+mn-cs"/>
                                <w:color w:val="343433"/>
                                <w:kern w:val="24"/>
                                <w:sz w:val="10"/>
                                <w:szCs w:val="10"/>
                              </w:rPr>
                            </w:pPr>
                            <w:r w:rsidRPr="00D77994">
                              <w:rPr>
                                <w:color w:val="343433"/>
                                <w:sz w:val="10"/>
                                <w:szCs w:val="22"/>
                              </w:rPr>
                              <w:t xml:space="preserve">Провести </w:t>
                            </w:r>
                            <w:r w:rsidRPr="00D77994">
                              <w:rPr>
                                <w:b/>
                                <w:color w:val="343433"/>
                                <w:sz w:val="10"/>
                                <w:szCs w:val="22"/>
                              </w:rPr>
                              <w:t>додаткове ТМЧ, включаючи цільове СНП, за наявності</w:t>
                            </w:r>
                            <w:r w:rsidRPr="00D77994">
                              <w:rPr>
                                <w:color w:val="343433"/>
                                <w:sz w:val="10"/>
                                <w:szCs w:val="22"/>
                              </w:rPr>
                              <w:t>, для певних групи ризику відповідно до національних керівних принципів</w:t>
                            </w:r>
                            <w:r w:rsidRPr="00D77994">
                              <w:rPr>
                                <w:b/>
                                <w:color w:val="0099D6"/>
                                <w:sz w:val="10"/>
                                <w:szCs w:val="22"/>
                                <w:vertAlign w:val="superscript"/>
                              </w:rPr>
                              <w:t>h</w:t>
                            </w:r>
                          </w:p>
                          <w:p w14:paraId="5EC8979D" w14:textId="77777777" w:rsidR="009D0C1D" w:rsidRPr="00D77994" w:rsidRDefault="009D0C1D" w:rsidP="00E76FA1">
                            <w:pPr>
                              <w:spacing w:line="259" w:lineRule="auto"/>
                              <w:jc w:val="center"/>
                              <w:rPr>
                                <w:rFonts w:eastAsia="+mn-ea" w:cs="+mn-cs"/>
                                <w:color w:val="343433"/>
                                <w:kern w:val="24"/>
                                <w:sz w:val="10"/>
                                <w:szCs w:val="10"/>
                              </w:rPr>
                            </w:pPr>
                            <w:r w:rsidRPr="00D77994">
                              <w:rPr>
                                <w:color w:val="343433"/>
                                <w:sz w:val="10"/>
                                <w:szCs w:val="22"/>
                              </w:rPr>
                              <w:t>Переглянути схему лікування на основі результатів ТМЧ</w:t>
                            </w:r>
                          </w:p>
                        </w:txbxContent>
                      </v:textbox>
                    </v:rect>
                  </w:pict>
                </mc:Fallback>
              </mc:AlternateContent>
            </w:r>
            <w:r>
              <w:rPr>
                <w:noProof/>
              </w:rPr>
              <mc:AlternateContent>
                <mc:Choice Requires="wps">
                  <w:drawing>
                    <wp:anchor distT="0" distB="0" distL="114300" distR="114300" simplePos="0" relativeHeight="251790336" behindDoc="0" locked="0" layoutInCell="1" allowOverlap="1" wp14:anchorId="054855D0" wp14:editId="72873ABC">
                      <wp:simplePos x="0" y="0"/>
                      <wp:positionH relativeFrom="column">
                        <wp:posOffset>1065921</wp:posOffset>
                      </wp:positionH>
                      <wp:positionV relativeFrom="paragraph">
                        <wp:posOffset>2849001</wp:posOffset>
                      </wp:positionV>
                      <wp:extent cx="1045210" cy="1212850"/>
                      <wp:effectExtent l="0" t="0" r="2540" b="6350"/>
                      <wp:wrapNone/>
                      <wp:docPr id="1794111394" name="Прямокутник 11"/>
                      <wp:cNvGraphicFramePr/>
                      <a:graphic xmlns:a="http://schemas.openxmlformats.org/drawingml/2006/main">
                        <a:graphicData uri="http://schemas.microsoft.com/office/word/2010/wordprocessingShape">
                          <wps:wsp>
                            <wps:cNvSpPr/>
                            <wps:spPr>
                              <a:xfrm>
                                <a:off x="0" y="0"/>
                                <a:ext cx="1045210" cy="1212850"/>
                              </a:xfrm>
                              <a:prstGeom prst="rect">
                                <a:avLst/>
                              </a:prstGeom>
                              <a:solidFill>
                                <a:srgbClr val="FDE0DC"/>
                              </a:solidFill>
                            </wps:spPr>
                            <wps:txbx>
                              <w:txbxContent>
                                <w:p w14:paraId="582709C8" w14:textId="77777777" w:rsidR="009D0C1D" w:rsidRPr="00D77994" w:rsidRDefault="009D0C1D" w:rsidP="00E76FA1">
                                  <w:pPr>
                                    <w:spacing w:after="56" w:line="259" w:lineRule="auto"/>
                                    <w:jc w:val="center"/>
                                    <w:rPr>
                                      <w:rFonts w:eastAsia="+mn-ea" w:cs="+mn-cs"/>
                                      <w:b/>
                                      <w:bCs/>
                                      <w:color w:val="343433"/>
                                      <w:kern w:val="24"/>
                                      <w:sz w:val="10"/>
                                      <w:szCs w:val="10"/>
                                    </w:rPr>
                                  </w:pPr>
                                  <w:r w:rsidRPr="00D77994">
                                    <w:rPr>
                                      <w:b/>
                                      <w:color w:val="343433"/>
                                      <w:sz w:val="10"/>
                                      <w:szCs w:val="22"/>
                                    </w:rPr>
                                    <w:t>Коригувати лікування МЛС-ТБ на основі результату молекулярного тестування для FQ</w:t>
                                  </w:r>
                                  <w:r w:rsidRPr="00D77994">
                                    <w:rPr>
                                      <w:b/>
                                      <w:color w:val="0099D6"/>
                                      <w:sz w:val="10"/>
                                      <w:szCs w:val="22"/>
                                      <w:vertAlign w:val="superscript"/>
                                    </w:rPr>
                                    <w:t>e</w:t>
                                  </w:r>
                                </w:p>
                                <w:p w14:paraId="6CAF2BA6" w14:textId="77777777" w:rsidR="009D0C1D" w:rsidRPr="00D77994" w:rsidRDefault="009D0C1D" w:rsidP="00E76FA1">
                                  <w:pPr>
                                    <w:spacing w:after="56" w:line="259" w:lineRule="auto"/>
                                    <w:jc w:val="center"/>
                                    <w:rPr>
                                      <w:rFonts w:eastAsia="+mn-ea" w:cs="+mn-cs"/>
                                      <w:color w:val="343433"/>
                                      <w:kern w:val="24"/>
                                      <w:sz w:val="10"/>
                                      <w:szCs w:val="10"/>
                                    </w:rPr>
                                  </w:pPr>
                                  <w:r w:rsidRPr="00D77994">
                                    <w:rPr>
                                      <w:color w:val="343433"/>
                                      <w:sz w:val="10"/>
                                      <w:szCs w:val="22"/>
                                    </w:rPr>
                                    <w:t xml:space="preserve">Провести </w:t>
                                  </w:r>
                                  <w:r w:rsidRPr="00D77994">
                                    <w:rPr>
                                      <w:b/>
                                      <w:color w:val="343433"/>
                                      <w:sz w:val="10"/>
                                      <w:szCs w:val="22"/>
                                    </w:rPr>
                                    <w:t>додаткове ТМЧ, включаючи цільове СНП, за наявності</w:t>
                                  </w:r>
                                  <w:r w:rsidRPr="00D77994">
                                    <w:rPr>
                                      <w:color w:val="343433"/>
                                      <w:sz w:val="10"/>
                                      <w:szCs w:val="22"/>
                                    </w:rPr>
                                    <w:t>, для певних групи ризику відповідно до національних керівних принців</w:t>
                                  </w:r>
                                  <w:r w:rsidRPr="00D77994">
                                    <w:rPr>
                                      <w:b/>
                                      <w:color w:val="0099D6"/>
                                      <w:sz w:val="10"/>
                                      <w:szCs w:val="22"/>
                                      <w:vertAlign w:val="superscript"/>
                                    </w:rPr>
                                    <w:t>f</w:t>
                                  </w:r>
                                </w:p>
                                <w:p w14:paraId="172A7206" w14:textId="77777777" w:rsidR="009D0C1D" w:rsidRPr="00D77994" w:rsidRDefault="009D0C1D" w:rsidP="00E76FA1">
                                  <w:pPr>
                                    <w:spacing w:line="259" w:lineRule="auto"/>
                                    <w:jc w:val="center"/>
                                    <w:rPr>
                                      <w:rFonts w:eastAsia="+mn-ea" w:cs="+mn-cs"/>
                                      <w:color w:val="343433"/>
                                      <w:kern w:val="24"/>
                                      <w:sz w:val="10"/>
                                      <w:szCs w:val="10"/>
                                    </w:rPr>
                                  </w:pPr>
                                  <w:r w:rsidRPr="00D77994">
                                    <w:rPr>
                                      <w:color w:val="343433"/>
                                      <w:sz w:val="10"/>
                                      <w:szCs w:val="22"/>
                                    </w:rPr>
                                    <w:t>Переглянути схему лікування на основі результатів ТМЧ</w:t>
                                  </w:r>
                                </w:p>
                              </w:txbxContent>
                            </wps:txbx>
                            <wps:bodyPr lIns="0" tIns="0" rIns="0" bIns="0">
                              <a:noAutofit/>
                            </wps:bodyPr>
                          </wps:wsp>
                        </a:graphicData>
                      </a:graphic>
                      <wp14:sizeRelV relativeFrom="margin">
                        <wp14:pctHeight>0</wp14:pctHeight>
                      </wp14:sizeRelV>
                    </wp:anchor>
                  </w:drawing>
                </mc:Choice>
                <mc:Fallback>
                  <w:pict>
                    <v:rect w14:anchorId="054855D0" id="_x0000_s1444" style="position:absolute;margin-left:83.95pt;margin-top:224.35pt;width:82.3pt;height:95.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" fillcolor="#fde0dc" stroked="f">
                      <v:textbox inset="0,0,0,0">
                        <w:txbxContent>
                          <w:p w14:paraId="582709C8" w14:textId="77777777" w:rsidR="009D0C1D" w:rsidRPr="00D77994" w:rsidRDefault="009D0C1D" w:rsidP="00E76FA1">
                            <w:pPr>
                              <w:spacing w:after="56" w:line="259" w:lineRule="auto"/>
                              <w:jc w:val="center"/>
                              <w:rPr>
                                <w:rFonts w:eastAsia="+mn-ea" w:cs="+mn-cs"/>
                                <w:b/>
                                <w:bCs/>
                                <w:color w:val="343433"/>
                                <w:kern w:val="24"/>
                                <w:sz w:val="10"/>
                                <w:szCs w:val="10"/>
                              </w:rPr>
                            </w:pPr>
                            <w:r w:rsidRPr="00D77994">
                              <w:rPr>
                                <w:b/>
                                <w:color w:val="343433"/>
                                <w:sz w:val="10"/>
                                <w:szCs w:val="22"/>
                              </w:rPr>
                              <w:t>Коригувати лікування МЛС-ТБ на основі результату молекулярного тестування для FQ</w:t>
                            </w:r>
                            <w:r w:rsidRPr="00D77994">
                              <w:rPr>
                                <w:b/>
                                <w:color w:val="0099D6"/>
                                <w:sz w:val="10"/>
                                <w:szCs w:val="22"/>
                                <w:vertAlign w:val="superscript"/>
                              </w:rPr>
                              <w:t>e</w:t>
                            </w:r>
                          </w:p>
                          <w:p w14:paraId="6CAF2BA6" w14:textId="77777777" w:rsidR="009D0C1D" w:rsidRPr="00D77994" w:rsidRDefault="009D0C1D" w:rsidP="00E76FA1">
                            <w:pPr>
                              <w:spacing w:after="56" w:line="259" w:lineRule="auto"/>
                              <w:jc w:val="center"/>
                              <w:rPr>
                                <w:rFonts w:eastAsia="+mn-ea" w:cs="+mn-cs"/>
                                <w:color w:val="343433"/>
                                <w:kern w:val="24"/>
                                <w:sz w:val="10"/>
                                <w:szCs w:val="10"/>
                              </w:rPr>
                            </w:pPr>
                            <w:r w:rsidRPr="00D77994">
                              <w:rPr>
                                <w:color w:val="343433"/>
                                <w:sz w:val="10"/>
                                <w:szCs w:val="22"/>
                              </w:rPr>
                              <w:t xml:space="preserve">Провести </w:t>
                            </w:r>
                            <w:r w:rsidRPr="00D77994">
                              <w:rPr>
                                <w:b/>
                                <w:color w:val="343433"/>
                                <w:sz w:val="10"/>
                                <w:szCs w:val="22"/>
                              </w:rPr>
                              <w:t>додаткове ТМЧ, включаючи цільове СНП, за наявності</w:t>
                            </w:r>
                            <w:r w:rsidRPr="00D77994">
                              <w:rPr>
                                <w:color w:val="343433"/>
                                <w:sz w:val="10"/>
                                <w:szCs w:val="22"/>
                              </w:rPr>
                              <w:t>, для певних групи ризику відповідно до національних керівних принців</w:t>
                            </w:r>
                            <w:r w:rsidRPr="00D77994">
                              <w:rPr>
                                <w:b/>
                                <w:color w:val="0099D6"/>
                                <w:sz w:val="10"/>
                                <w:szCs w:val="22"/>
                                <w:vertAlign w:val="superscript"/>
                              </w:rPr>
                              <w:t>f</w:t>
                            </w:r>
                          </w:p>
                          <w:p w14:paraId="172A7206" w14:textId="77777777" w:rsidR="009D0C1D" w:rsidRPr="00D77994" w:rsidRDefault="009D0C1D" w:rsidP="00E76FA1">
                            <w:pPr>
                              <w:spacing w:line="259" w:lineRule="auto"/>
                              <w:jc w:val="center"/>
                              <w:rPr>
                                <w:rFonts w:eastAsia="+mn-ea" w:cs="+mn-cs"/>
                                <w:color w:val="343433"/>
                                <w:kern w:val="24"/>
                                <w:sz w:val="10"/>
                                <w:szCs w:val="10"/>
                              </w:rPr>
                            </w:pPr>
                            <w:r w:rsidRPr="00D77994">
                              <w:rPr>
                                <w:color w:val="343433"/>
                                <w:sz w:val="10"/>
                                <w:szCs w:val="22"/>
                              </w:rPr>
                              <w:t>Переглянути схему лікування на основі результатів ТМЧ</w:t>
                            </w:r>
                          </w:p>
                        </w:txbxContent>
                      </v:textbox>
                    </v:rect>
                  </w:pict>
                </mc:Fallback>
              </mc:AlternateContent>
            </w:r>
            <w:r>
              <w:rPr>
                <w:noProof/>
              </w:rPr>
              <mc:AlternateContent>
                <mc:Choice Requires="wps">
                  <w:drawing>
                    <wp:anchor distT="0" distB="0" distL="114300" distR="114300" simplePos="0" relativeHeight="251794432" behindDoc="0" locked="0" layoutInCell="1" allowOverlap="1" wp14:anchorId="2E4E36AD" wp14:editId="5A54A9B5">
                      <wp:simplePos x="0" y="0"/>
                      <wp:positionH relativeFrom="column">
                        <wp:posOffset>5356127</wp:posOffset>
                      </wp:positionH>
                      <wp:positionV relativeFrom="paragraph">
                        <wp:posOffset>2338900</wp:posOffset>
                      </wp:positionV>
                      <wp:extent cx="797511" cy="246184"/>
                      <wp:effectExtent l="0" t="0" r="3175" b="1905"/>
                      <wp:wrapNone/>
                      <wp:docPr id="1557450850" name="Прямокутник 15"/>
                      <wp:cNvGraphicFramePr/>
                      <a:graphic xmlns:a="http://schemas.openxmlformats.org/drawingml/2006/main">
                        <a:graphicData uri="http://schemas.microsoft.com/office/word/2010/wordprocessingShape">
                          <wps:wsp>
                            <wps:cNvSpPr/>
                            <wps:spPr>
                              <a:xfrm>
                                <a:off x="0" y="0"/>
                                <a:ext cx="797511" cy="246184"/>
                              </a:xfrm>
                              <a:prstGeom prst="rect">
                                <a:avLst/>
                              </a:prstGeom>
                              <a:solidFill>
                                <a:srgbClr val="8FAFD8"/>
                              </a:solidFill>
                            </wps:spPr>
                            <wps:txbx>
                              <w:txbxContent>
                                <w:p w14:paraId="283D6CB8" w14:textId="77777777" w:rsidR="009D0C1D" w:rsidRPr="00D77994" w:rsidRDefault="009D0C1D" w:rsidP="00E76FA1">
                                  <w:pPr>
                                    <w:spacing w:line="300" w:lineRule="auto"/>
                                    <w:jc w:val="center"/>
                                    <w:rPr>
                                      <w:rFonts w:eastAsia="+mn-ea" w:cs="+mn-cs"/>
                                      <w:b/>
                                      <w:bCs/>
                                      <w:color w:val="343433"/>
                                      <w:kern w:val="24"/>
                                      <w:sz w:val="11"/>
                                      <w:szCs w:val="11"/>
                                    </w:rPr>
                                  </w:pPr>
                                  <w:r w:rsidRPr="00D77994">
                                    <w:rPr>
                                      <w:b/>
                                      <w:color w:val="343433"/>
                                      <w:sz w:val="11"/>
                                      <w:szCs w:val="22"/>
                                    </w:rPr>
                                    <w:t>Результати фенотипового ТМЧ</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E4E36AD" id="_x0000_s1445" style="position:absolute;margin-left:421.75pt;margin-top:184.15pt;width:62.8pt;height:19.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" fillcolor="#8fafd8" stroked="f">
                      <v:textbox inset="0,0,0,0">
                        <w:txbxContent>
                          <w:p w14:paraId="283D6CB8" w14:textId="77777777" w:rsidR="009D0C1D" w:rsidRPr="00D77994" w:rsidRDefault="009D0C1D" w:rsidP="00E76FA1">
                            <w:pPr>
                              <w:spacing w:line="300" w:lineRule="auto"/>
                              <w:jc w:val="center"/>
                              <w:rPr>
                                <w:rFonts w:eastAsia="+mn-ea" w:cs="+mn-cs"/>
                                <w:b/>
                                <w:bCs/>
                                <w:color w:val="343433"/>
                                <w:kern w:val="24"/>
                                <w:sz w:val="11"/>
                                <w:szCs w:val="11"/>
                              </w:rPr>
                            </w:pPr>
                            <w:r w:rsidRPr="00D77994">
                              <w:rPr>
                                <w:b/>
                                <w:color w:val="343433"/>
                                <w:sz w:val="11"/>
                                <w:szCs w:val="22"/>
                              </w:rPr>
                              <w:t>Результати фенотипового ТМЧ</w:t>
                            </w:r>
                          </w:p>
                        </w:txbxContent>
                      </v:textbox>
                    </v:rect>
                  </w:pict>
                </mc:Fallback>
              </mc:AlternateContent>
            </w:r>
            <w:r>
              <w:rPr>
                <w:noProof/>
              </w:rPr>
              <mc:AlternateContent>
                <mc:Choice Requires="wps">
                  <w:drawing>
                    <wp:anchor distT="0" distB="0" distL="114300" distR="114300" simplePos="0" relativeHeight="251788288" behindDoc="0" locked="0" layoutInCell="1" allowOverlap="1" wp14:anchorId="4D61AB97" wp14:editId="19F5A86A">
                      <wp:simplePos x="0" y="0"/>
                      <wp:positionH relativeFrom="column">
                        <wp:posOffset>2525443</wp:posOffset>
                      </wp:positionH>
                      <wp:positionV relativeFrom="paragraph">
                        <wp:posOffset>2344908</wp:posOffset>
                      </wp:positionV>
                      <wp:extent cx="674077" cy="222250"/>
                      <wp:effectExtent l="0" t="0" r="0" b="6350"/>
                      <wp:wrapNone/>
                      <wp:docPr id="906501962" name="Прямокутник 9"/>
                      <wp:cNvGraphicFramePr/>
                      <a:graphic xmlns:a="http://schemas.openxmlformats.org/drawingml/2006/main">
                        <a:graphicData uri="http://schemas.microsoft.com/office/word/2010/wordprocessingShape">
                          <wps:wsp>
                            <wps:cNvSpPr/>
                            <wps:spPr>
                              <a:xfrm>
                                <a:off x="0" y="0"/>
                                <a:ext cx="674077" cy="222250"/>
                              </a:xfrm>
                              <a:prstGeom prst="rect">
                                <a:avLst/>
                              </a:prstGeom>
                              <a:solidFill>
                                <a:srgbClr val="FABEBD"/>
                              </a:solidFill>
                            </wps:spPr>
                            <wps:txbx>
                              <w:txbxContent>
                                <w:p w14:paraId="0EAC6504" w14:textId="77777777" w:rsidR="009D0C1D" w:rsidRPr="00D77994" w:rsidRDefault="009D0C1D" w:rsidP="00E76FA1">
                                  <w:pPr>
                                    <w:spacing w:line="276" w:lineRule="auto"/>
                                    <w:rPr>
                                      <w:rFonts w:eastAsia="+mn-ea" w:cs="+mn-cs"/>
                                      <w:b/>
                                      <w:bCs/>
                                      <w:color w:val="343433"/>
                                      <w:kern w:val="24"/>
                                      <w:sz w:val="11"/>
                                      <w:szCs w:val="11"/>
                                    </w:rPr>
                                  </w:pPr>
                                  <w:r w:rsidRPr="00D77994">
                                    <w:rPr>
                                      <w:b/>
                                      <w:color w:val="343433"/>
                                      <w:sz w:val="11"/>
                                      <w:szCs w:val="22"/>
                                    </w:rPr>
                                    <w:t xml:space="preserve">Резистентність до FQ </w:t>
                                  </w:r>
                                  <w:r w:rsidRPr="00D77994">
                                    <w:rPr>
                                      <w:rFonts w:ascii="Century Gothic" w:hAnsi="Century Gothic"/>
                                      <w:b/>
                                      <w:i/>
                                      <w:color w:val="343433"/>
                                      <w:sz w:val="12"/>
                                      <w:szCs w:val="22"/>
                                    </w:rPr>
                                    <w:t>не</w:t>
                                  </w:r>
                                  <w:r w:rsidRPr="00D77994">
                                    <w:rPr>
                                      <w:b/>
                                      <w:color w:val="343433"/>
                                      <w:sz w:val="11"/>
                                      <w:szCs w:val="22"/>
                                    </w:rPr>
                                    <w:t xml:space="preserve"> виявлено</w:t>
                                  </w:r>
                                </w:p>
                              </w:txbxContent>
                            </wps:txbx>
                            <wps:bodyPr wrap="square" lIns="0" tIns="0" rIns="0" bIns="0">
                              <a:noAutofit/>
                            </wps:bodyPr>
                          </wps:wsp>
                        </a:graphicData>
                      </a:graphic>
                      <wp14:sizeRelH relativeFrom="margin">
                        <wp14:pctWidth>0</wp14:pctWidth>
                      </wp14:sizeRelH>
                    </wp:anchor>
                  </w:drawing>
                </mc:Choice>
                <mc:Fallback>
                  <w:pict>
                    <v:rect w14:anchorId="4D61AB97" id="_x0000_s1446" style="position:absolute;margin-left:198.85pt;margin-top:184.65pt;width:53.1pt;height:17.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" fillcolor="#fabebd" stroked="f">
                      <v:textbox inset="0,0,0,0">
                        <w:txbxContent>
                          <w:p w14:paraId="0EAC6504" w14:textId="77777777" w:rsidR="009D0C1D" w:rsidRPr="00D77994" w:rsidRDefault="009D0C1D" w:rsidP="00E76FA1">
                            <w:pPr>
                              <w:spacing w:line="276" w:lineRule="auto"/>
                              <w:rPr>
                                <w:rFonts w:eastAsia="+mn-ea" w:cs="+mn-cs"/>
                                <w:b/>
                                <w:bCs/>
                                <w:color w:val="343433"/>
                                <w:kern w:val="24"/>
                                <w:sz w:val="11"/>
                                <w:szCs w:val="11"/>
                              </w:rPr>
                            </w:pPr>
                            <w:r w:rsidRPr="00D77994">
                              <w:rPr>
                                <w:b/>
                                <w:color w:val="343433"/>
                                <w:sz w:val="11"/>
                                <w:szCs w:val="22"/>
                              </w:rPr>
                              <w:t xml:space="preserve">Резистентність до FQ </w:t>
                            </w:r>
                            <w:r w:rsidRPr="00D77994">
                              <w:rPr>
                                <w:rFonts w:ascii="Century Gothic" w:hAnsi="Century Gothic"/>
                                <w:b/>
                                <w:i/>
                                <w:color w:val="343433"/>
                                <w:sz w:val="12"/>
                                <w:szCs w:val="22"/>
                              </w:rPr>
                              <w:t>не</w:t>
                            </w:r>
                            <w:r w:rsidRPr="00D77994">
                              <w:rPr>
                                <w:b/>
                                <w:color w:val="343433"/>
                                <w:sz w:val="11"/>
                                <w:szCs w:val="22"/>
                              </w:rPr>
                              <w:t xml:space="preserve"> виявлено</w:t>
                            </w:r>
                          </w:p>
                        </w:txbxContent>
                      </v:textbox>
                    </v:rect>
                  </w:pict>
                </mc:Fallback>
              </mc:AlternateContent>
            </w:r>
            <w:r>
              <w:rPr>
                <w:noProof/>
              </w:rPr>
              <mc:AlternateContent>
                <mc:Choice Requires="wps">
                  <w:drawing>
                    <wp:anchor distT="0" distB="0" distL="114300" distR="114300" simplePos="0" relativeHeight="251787264" behindDoc="0" locked="0" layoutInCell="1" allowOverlap="1" wp14:anchorId="508B6541" wp14:editId="1C21A14C">
                      <wp:simplePos x="0" y="0"/>
                      <wp:positionH relativeFrom="column">
                        <wp:posOffset>1300382</wp:posOffset>
                      </wp:positionH>
                      <wp:positionV relativeFrom="paragraph">
                        <wp:posOffset>2350770</wp:posOffset>
                      </wp:positionV>
                      <wp:extent cx="668216" cy="215900"/>
                      <wp:effectExtent l="0" t="0" r="0" b="0"/>
                      <wp:wrapNone/>
                      <wp:docPr id="1401865883" name="Прямокутник 8"/>
                      <wp:cNvGraphicFramePr/>
                      <a:graphic xmlns:a="http://schemas.openxmlformats.org/drawingml/2006/main">
                        <a:graphicData uri="http://schemas.microsoft.com/office/word/2010/wordprocessingShape">
                          <wps:wsp>
                            <wps:cNvSpPr/>
                            <wps:spPr>
                              <a:xfrm>
                                <a:off x="0" y="0"/>
                                <a:ext cx="668216" cy="215900"/>
                              </a:xfrm>
                              <a:prstGeom prst="rect">
                                <a:avLst/>
                              </a:prstGeom>
                              <a:solidFill>
                                <a:srgbClr val="FABEBD"/>
                              </a:solidFill>
                            </wps:spPr>
                            <wps:txbx>
                              <w:txbxContent>
                                <w:p w14:paraId="7EB2107E" w14:textId="77777777" w:rsidR="009D0C1D" w:rsidRPr="00D77994" w:rsidRDefault="009D0C1D" w:rsidP="00E76FA1">
                                  <w:pPr>
                                    <w:spacing w:line="300" w:lineRule="auto"/>
                                    <w:jc w:val="center"/>
                                    <w:rPr>
                                      <w:rFonts w:eastAsia="+mn-ea" w:cs="+mn-cs"/>
                                      <w:b/>
                                      <w:bCs/>
                                      <w:color w:val="343433"/>
                                      <w:kern w:val="24"/>
                                      <w:sz w:val="11"/>
                                      <w:szCs w:val="11"/>
                                    </w:rPr>
                                  </w:pPr>
                                  <w:r w:rsidRPr="00D77994">
                                    <w:rPr>
                                      <w:b/>
                                      <w:color w:val="343433"/>
                                      <w:sz w:val="11"/>
                                      <w:szCs w:val="22"/>
                                    </w:rPr>
                                    <w:t>Резистентність до FQ виявлено</w:t>
                                  </w:r>
                                </w:p>
                              </w:txbxContent>
                            </wps:txbx>
                            <wps:bodyPr wrap="square" lIns="0" tIns="0" rIns="0" bIns="0">
                              <a:noAutofit/>
                            </wps:bodyPr>
                          </wps:wsp>
                        </a:graphicData>
                      </a:graphic>
                      <wp14:sizeRelH relativeFrom="margin">
                        <wp14:pctWidth>0</wp14:pctWidth>
                      </wp14:sizeRelH>
                    </wp:anchor>
                  </w:drawing>
                </mc:Choice>
                <mc:Fallback>
                  <w:pict>
                    <v:rect w14:anchorId="508B6541" id="_x0000_s1447" style="position:absolute;margin-left:102.4pt;margin-top:185.1pt;width:52.6pt;height:17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" fillcolor="#fabebd" stroked="f">
                      <v:textbox inset="0,0,0,0">
                        <w:txbxContent>
                          <w:p w14:paraId="7EB2107E" w14:textId="77777777" w:rsidR="009D0C1D" w:rsidRPr="00D77994" w:rsidRDefault="009D0C1D" w:rsidP="00E76FA1">
                            <w:pPr>
                              <w:spacing w:line="300" w:lineRule="auto"/>
                              <w:jc w:val="center"/>
                              <w:rPr>
                                <w:rFonts w:eastAsia="+mn-ea" w:cs="+mn-cs"/>
                                <w:b/>
                                <w:bCs/>
                                <w:color w:val="343433"/>
                                <w:kern w:val="24"/>
                                <w:sz w:val="11"/>
                                <w:szCs w:val="11"/>
                              </w:rPr>
                            </w:pPr>
                            <w:r w:rsidRPr="00D77994">
                              <w:rPr>
                                <w:b/>
                                <w:color w:val="343433"/>
                                <w:sz w:val="11"/>
                                <w:szCs w:val="22"/>
                              </w:rPr>
                              <w:t>Резистентність до FQ виявлено</w:t>
                            </w:r>
                          </w:p>
                        </w:txbxContent>
                      </v:textbox>
                    </v:rect>
                  </w:pict>
                </mc:Fallback>
              </mc:AlternateContent>
            </w:r>
            <w:r>
              <w:rPr>
                <w:noProof/>
              </w:rPr>
              <mc:AlternateContent>
                <mc:Choice Requires="wps">
                  <w:drawing>
                    <wp:anchor distT="0" distB="0" distL="114300" distR="114300" simplePos="0" relativeHeight="251785216" behindDoc="0" locked="0" layoutInCell="1" allowOverlap="1" wp14:anchorId="2DF827AC" wp14:editId="35935E37">
                      <wp:simplePos x="0" y="0"/>
                      <wp:positionH relativeFrom="column">
                        <wp:posOffset>2941613</wp:posOffset>
                      </wp:positionH>
                      <wp:positionV relativeFrom="paragraph">
                        <wp:posOffset>961584</wp:posOffset>
                      </wp:positionV>
                      <wp:extent cx="2672862" cy="398585"/>
                      <wp:effectExtent l="0" t="0" r="0" b="1905"/>
                      <wp:wrapNone/>
                      <wp:docPr id="1708784337" name="Прямокутник 6"/>
                      <wp:cNvGraphicFramePr/>
                      <a:graphic xmlns:a="http://schemas.openxmlformats.org/drawingml/2006/main">
                        <a:graphicData uri="http://schemas.microsoft.com/office/word/2010/wordprocessingShape">
                          <wps:wsp>
                            <wps:cNvSpPr/>
                            <wps:spPr>
                              <a:xfrm>
                                <a:off x="0" y="0"/>
                                <a:ext cx="2672862" cy="398585"/>
                              </a:xfrm>
                              <a:prstGeom prst="rect">
                                <a:avLst/>
                              </a:prstGeom>
                              <a:solidFill>
                                <a:srgbClr val="E2E2E2"/>
                              </a:solidFill>
                            </wps:spPr>
                            <wps:txbx>
                              <w:txbxContent>
                                <w:p w14:paraId="72672911" w14:textId="77777777" w:rsidR="009D0C1D" w:rsidRPr="00D77994" w:rsidRDefault="009D0C1D" w:rsidP="00E76FA1">
                                  <w:pPr>
                                    <w:spacing w:line="292" w:lineRule="auto"/>
                                    <w:jc w:val="center"/>
                                    <w:rPr>
                                      <w:rFonts w:eastAsia="+mn-ea" w:cs="+mn-cs"/>
                                      <w:b/>
                                      <w:bCs/>
                                      <w:color w:val="343433"/>
                                      <w:kern w:val="24"/>
                                      <w:sz w:val="11"/>
                                      <w:szCs w:val="11"/>
                                    </w:rPr>
                                  </w:pPr>
                                  <w:r w:rsidRPr="00D77994">
                                    <w:rPr>
                                      <w:b/>
                                      <w:color w:val="343433"/>
                                      <w:sz w:val="11"/>
                                      <w:szCs w:val="22"/>
                                    </w:rPr>
                                    <w:t>Забрати 1 або 2 зразка</w:t>
                                  </w:r>
                                  <w:r w:rsidRPr="00D77994">
                                    <w:rPr>
                                      <w:b/>
                                      <w:color w:val="0099D6"/>
                                      <w:sz w:val="11"/>
                                      <w:szCs w:val="22"/>
                                      <w:vertAlign w:val="superscript"/>
                                    </w:rPr>
                                    <w:t>b</w:t>
                                  </w:r>
                                </w:p>
                                <w:p w14:paraId="7A9F6AB5" w14:textId="77777777" w:rsidR="009D0C1D" w:rsidRPr="00D77994" w:rsidRDefault="009D0C1D" w:rsidP="00E76FA1">
                                  <w:pPr>
                                    <w:spacing w:line="292" w:lineRule="auto"/>
                                    <w:jc w:val="center"/>
                                    <w:rPr>
                                      <w:rFonts w:eastAsia="+mn-ea" w:cs="+mn-cs"/>
                                      <w:b/>
                                      <w:bCs/>
                                      <w:color w:val="343433"/>
                                      <w:kern w:val="24"/>
                                      <w:sz w:val="11"/>
                                      <w:szCs w:val="11"/>
                                    </w:rPr>
                                  </w:pPr>
                                  <w:r w:rsidRPr="00D77994">
                                    <w:rPr>
                                      <w:b/>
                                      <w:color w:val="343433"/>
                                      <w:sz w:val="11"/>
                                      <w:szCs w:val="22"/>
                                    </w:rPr>
                                    <w:t>Провести молекулярний експрес-тест для виявлення резистентності до FQ та PZA</w:t>
                                  </w:r>
                                  <w:r w:rsidRPr="00D77994">
                                    <w:rPr>
                                      <w:b/>
                                      <w:color w:val="0099D6"/>
                                      <w:sz w:val="11"/>
                                      <w:szCs w:val="22"/>
                                      <w:vertAlign w:val="superscript"/>
                                    </w:rPr>
                                    <w:t xml:space="preserve">c </w:t>
                                  </w:r>
                                  <w:r w:rsidRPr="00D77994">
                                    <w:rPr>
                                      <w:b/>
                                      <w:color w:val="343433"/>
                                      <w:sz w:val="11"/>
                                      <w:szCs w:val="22"/>
                                    </w:rPr>
                                    <w:t>Провести культуральне та фенотипове ТМЧ для препаратів другої лінії</w:t>
                                  </w:r>
                                  <w:r w:rsidRPr="00D77994">
                                    <w:rPr>
                                      <w:b/>
                                      <w:color w:val="0099D6"/>
                                      <w:sz w:val="11"/>
                                      <w:szCs w:val="22"/>
                                      <w:vertAlign w:val="superscript"/>
                                    </w:rPr>
                                    <w:t>d</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DF827AC" id="_x0000_s1448" style="position:absolute;margin-left:231.6pt;margin-top:75.7pt;width:210.45pt;height:31.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" fillcolor="#e2e2e2" stroked="f">
                      <v:textbox inset="0,0,0,0">
                        <w:txbxContent>
                          <w:p w14:paraId="72672911" w14:textId="77777777" w:rsidR="009D0C1D" w:rsidRPr="00D77994" w:rsidRDefault="009D0C1D" w:rsidP="00E76FA1">
                            <w:pPr>
                              <w:spacing w:line="292" w:lineRule="auto"/>
                              <w:jc w:val="center"/>
                              <w:rPr>
                                <w:rFonts w:eastAsia="+mn-ea" w:cs="+mn-cs"/>
                                <w:b/>
                                <w:bCs/>
                                <w:color w:val="343433"/>
                                <w:kern w:val="24"/>
                                <w:sz w:val="11"/>
                                <w:szCs w:val="11"/>
                              </w:rPr>
                            </w:pPr>
                            <w:r w:rsidRPr="00D77994">
                              <w:rPr>
                                <w:b/>
                                <w:color w:val="343433"/>
                                <w:sz w:val="11"/>
                                <w:szCs w:val="22"/>
                              </w:rPr>
                              <w:t>Забрати 1 або 2 зразка</w:t>
                            </w:r>
                            <w:r w:rsidRPr="00D77994">
                              <w:rPr>
                                <w:b/>
                                <w:color w:val="0099D6"/>
                                <w:sz w:val="11"/>
                                <w:szCs w:val="22"/>
                                <w:vertAlign w:val="superscript"/>
                              </w:rPr>
                              <w:t>b</w:t>
                            </w:r>
                          </w:p>
                          <w:p w14:paraId="7A9F6AB5" w14:textId="77777777" w:rsidR="009D0C1D" w:rsidRPr="00D77994" w:rsidRDefault="009D0C1D" w:rsidP="00E76FA1">
                            <w:pPr>
                              <w:spacing w:line="292" w:lineRule="auto"/>
                              <w:jc w:val="center"/>
                              <w:rPr>
                                <w:rFonts w:eastAsia="+mn-ea" w:cs="+mn-cs"/>
                                <w:b/>
                                <w:bCs/>
                                <w:color w:val="343433"/>
                                <w:kern w:val="24"/>
                                <w:sz w:val="11"/>
                                <w:szCs w:val="11"/>
                              </w:rPr>
                            </w:pPr>
                            <w:r w:rsidRPr="00D77994">
                              <w:rPr>
                                <w:b/>
                                <w:color w:val="343433"/>
                                <w:sz w:val="11"/>
                                <w:szCs w:val="22"/>
                              </w:rPr>
                              <w:t>Провести молекулярний експрес-тест для виявлення резистентності до FQ та PZA</w:t>
                            </w:r>
                            <w:r w:rsidRPr="00D77994">
                              <w:rPr>
                                <w:b/>
                                <w:color w:val="0099D6"/>
                                <w:sz w:val="11"/>
                                <w:szCs w:val="22"/>
                                <w:vertAlign w:val="superscript"/>
                              </w:rPr>
                              <w:t xml:space="preserve">c </w:t>
                            </w:r>
                            <w:r w:rsidRPr="00D77994">
                              <w:rPr>
                                <w:b/>
                                <w:color w:val="343433"/>
                                <w:sz w:val="11"/>
                                <w:szCs w:val="22"/>
                              </w:rPr>
                              <w:t>Провести культуральне та фенотипове ТМЧ для препаратів другої лінії</w:t>
                            </w:r>
                            <w:r w:rsidRPr="00D77994">
                              <w:rPr>
                                <w:b/>
                                <w:color w:val="0099D6"/>
                                <w:sz w:val="11"/>
                                <w:szCs w:val="22"/>
                                <w:vertAlign w:val="superscript"/>
                              </w:rPr>
                              <w:t>d</w:t>
                            </w:r>
                          </w:p>
                        </w:txbxContent>
                      </v:textbox>
                    </v:rect>
                  </w:pict>
                </mc:Fallback>
              </mc:AlternateContent>
            </w:r>
            <w:r>
              <w:rPr>
                <w:noProof/>
              </w:rPr>
              <mc:AlternateContent>
                <mc:Choice Requires="wps">
                  <w:drawing>
                    <wp:anchor distT="0" distB="0" distL="114300" distR="114300" simplePos="0" relativeHeight="251784192" behindDoc="0" locked="0" layoutInCell="1" allowOverlap="1" wp14:anchorId="1C07EBE6" wp14:editId="5F2E522C">
                      <wp:simplePos x="0" y="0"/>
                      <wp:positionH relativeFrom="column">
                        <wp:posOffset>3199520</wp:posOffset>
                      </wp:positionH>
                      <wp:positionV relativeFrom="paragraph">
                        <wp:posOffset>504385</wp:posOffset>
                      </wp:positionV>
                      <wp:extent cx="2268415" cy="222250"/>
                      <wp:effectExtent l="0" t="0" r="0" b="6350"/>
                      <wp:wrapNone/>
                      <wp:docPr id="1123810952" name="Прямокутник 5"/>
                      <wp:cNvGraphicFramePr/>
                      <a:graphic xmlns:a="http://schemas.openxmlformats.org/drawingml/2006/main">
                        <a:graphicData uri="http://schemas.microsoft.com/office/word/2010/wordprocessingShape">
                          <wps:wsp>
                            <wps:cNvSpPr/>
                            <wps:spPr>
                              <a:xfrm>
                                <a:off x="0" y="0"/>
                                <a:ext cx="2268415" cy="222250"/>
                              </a:xfrm>
                              <a:prstGeom prst="rect">
                                <a:avLst/>
                              </a:prstGeom>
                              <a:solidFill>
                                <a:srgbClr val="FFFFFF"/>
                              </a:solidFill>
                            </wps:spPr>
                            <wps:txbx>
                              <w:txbxContent>
                                <w:p w14:paraId="12C1C0A6" w14:textId="77777777" w:rsidR="009D0C1D" w:rsidRPr="00D77994" w:rsidRDefault="009D0C1D" w:rsidP="00E76FA1">
                                  <w:pPr>
                                    <w:jc w:val="center"/>
                                    <w:rPr>
                                      <w:rFonts w:eastAsia="+mn-ea" w:cs="+mn-cs"/>
                                      <w:b/>
                                      <w:bCs/>
                                      <w:color w:val="343433"/>
                                      <w:kern w:val="24"/>
                                      <w:sz w:val="11"/>
                                      <w:szCs w:val="11"/>
                                    </w:rPr>
                                  </w:pPr>
                                  <w:r w:rsidRPr="00D77994">
                                    <w:rPr>
                                      <w:b/>
                                      <w:color w:val="343433"/>
                                      <w:sz w:val="11"/>
                                      <w:szCs w:val="22"/>
                                    </w:rPr>
                                    <w:t>Усі особи з МЛС/Риф-ТБ</w:t>
                                  </w:r>
                                </w:p>
                                <w:p w14:paraId="2E08641E" w14:textId="77777777" w:rsidR="009D0C1D" w:rsidRPr="00D77994" w:rsidRDefault="009D0C1D" w:rsidP="00E76FA1">
                                  <w:pPr>
                                    <w:jc w:val="center"/>
                                    <w:rPr>
                                      <w:rFonts w:eastAsia="+mn-ea" w:cs="+mn-cs"/>
                                      <w:b/>
                                      <w:bCs/>
                                      <w:color w:val="343433"/>
                                      <w:kern w:val="24"/>
                                      <w:sz w:val="11"/>
                                      <w:szCs w:val="11"/>
                                    </w:rPr>
                                  </w:pPr>
                                  <w:r w:rsidRPr="00D77994">
                                    <w:rPr>
                                      <w:b/>
                                      <w:color w:val="343433"/>
                                      <w:sz w:val="11"/>
                                      <w:szCs w:val="22"/>
                                    </w:rPr>
                                    <w:t>Ввести пероральну схему МЛС-ТБ</w:t>
                                  </w:r>
                                  <w:r w:rsidRPr="00D77994">
                                    <w:rPr>
                                      <w:b/>
                                      <w:color w:val="0099D6"/>
                                      <w:sz w:val="11"/>
                                      <w:szCs w:val="22"/>
                                      <w:vertAlign w:val="superscript"/>
                                    </w:rPr>
                                    <w:t>a</w:t>
                                  </w:r>
                                  <w:r w:rsidRPr="00D77994">
                                    <w:rPr>
                                      <w:b/>
                                      <w:color w:val="0099D6"/>
                                      <w:sz w:val="11"/>
                                      <w:szCs w:val="22"/>
                                    </w:rPr>
                                    <w:t xml:space="preserve"> </w:t>
                                  </w:r>
                                  <w:r w:rsidRPr="00D77994">
                                    <w:rPr>
                                      <w:b/>
                                      <w:color w:val="343433"/>
                                      <w:sz w:val="11"/>
                                      <w:szCs w:val="22"/>
                                    </w:rPr>
                                    <w:t>при виконанні вимог</w:t>
                                  </w:r>
                                </w:p>
                              </w:txbxContent>
                            </wps:txbx>
                            <wps:bodyPr wrap="square" lIns="0" tIns="0" rIns="0" bIns="0">
                              <a:noAutofit/>
                            </wps:bodyPr>
                          </wps:wsp>
                        </a:graphicData>
                      </a:graphic>
                      <wp14:sizeRelH relativeFrom="margin">
                        <wp14:pctWidth>0</wp14:pctWidth>
                      </wp14:sizeRelH>
                    </wp:anchor>
                  </w:drawing>
                </mc:Choice>
                <mc:Fallback>
                  <w:pict>
                    <v:rect w14:anchorId="1C07EBE6" id="_x0000_s1449" style="position:absolute;margin-left:251.95pt;margin-top:39.7pt;width:178.6pt;height:17.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" stroked="f">
                      <v:textbox inset="0,0,0,0">
                        <w:txbxContent>
                          <w:p w14:paraId="12C1C0A6" w14:textId="77777777" w:rsidR="009D0C1D" w:rsidRPr="00D77994" w:rsidRDefault="009D0C1D" w:rsidP="00E76FA1">
                            <w:pPr>
                              <w:jc w:val="center"/>
                              <w:rPr>
                                <w:rFonts w:eastAsia="+mn-ea" w:cs="+mn-cs"/>
                                <w:b/>
                                <w:bCs/>
                                <w:color w:val="343433"/>
                                <w:kern w:val="24"/>
                                <w:sz w:val="11"/>
                                <w:szCs w:val="11"/>
                              </w:rPr>
                            </w:pPr>
                            <w:r w:rsidRPr="00D77994">
                              <w:rPr>
                                <w:b/>
                                <w:color w:val="343433"/>
                                <w:sz w:val="11"/>
                                <w:szCs w:val="22"/>
                              </w:rPr>
                              <w:t>Усі особи з МЛС/Риф-ТБ</w:t>
                            </w:r>
                          </w:p>
                          <w:p w14:paraId="2E08641E" w14:textId="77777777" w:rsidR="009D0C1D" w:rsidRPr="00D77994" w:rsidRDefault="009D0C1D" w:rsidP="00E76FA1">
                            <w:pPr>
                              <w:jc w:val="center"/>
                              <w:rPr>
                                <w:rFonts w:eastAsia="+mn-ea" w:cs="+mn-cs"/>
                                <w:b/>
                                <w:bCs/>
                                <w:color w:val="343433"/>
                                <w:kern w:val="24"/>
                                <w:sz w:val="11"/>
                                <w:szCs w:val="11"/>
                              </w:rPr>
                            </w:pPr>
                            <w:r w:rsidRPr="00D77994">
                              <w:rPr>
                                <w:b/>
                                <w:color w:val="343433"/>
                                <w:sz w:val="11"/>
                                <w:szCs w:val="22"/>
                              </w:rPr>
                              <w:t>Ввести пероральну схему МЛС-ТБ</w:t>
                            </w:r>
                            <w:r w:rsidRPr="00D77994">
                              <w:rPr>
                                <w:b/>
                                <w:color w:val="0099D6"/>
                                <w:sz w:val="11"/>
                                <w:szCs w:val="22"/>
                                <w:vertAlign w:val="superscript"/>
                              </w:rPr>
                              <w:t>a</w:t>
                            </w:r>
                            <w:r w:rsidRPr="00D77994">
                              <w:rPr>
                                <w:b/>
                                <w:color w:val="0099D6"/>
                                <w:sz w:val="11"/>
                                <w:szCs w:val="22"/>
                              </w:rPr>
                              <w:t xml:space="preserve"> </w:t>
                            </w:r>
                            <w:r w:rsidRPr="00D77994">
                              <w:rPr>
                                <w:b/>
                                <w:color w:val="343433"/>
                                <w:sz w:val="11"/>
                                <w:szCs w:val="22"/>
                              </w:rPr>
                              <w:t>при виконанні вимог</w:t>
                            </w:r>
                          </w:p>
                        </w:txbxContent>
                      </v:textbox>
                    </v:rect>
                  </w:pict>
                </mc:Fallback>
              </mc:AlternateContent>
            </w:r>
            <w:r>
              <w:rPr>
                <w:noProof/>
              </w:rPr>
              <mc:AlternateContent>
                <mc:Choice Requires="wps">
                  <w:drawing>
                    <wp:anchor distT="0" distB="0" distL="114300" distR="114300" simplePos="0" relativeHeight="251782144" behindDoc="0" locked="0" layoutInCell="1" allowOverlap="1" wp14:anchorId="429C86EC" wp14:editId="02F364A2">
                      <wp:simplePos x="0" y="0"/>
                      <wp:positionH relativeFrom="column">
                        <wp:posOffset>7241540</wp:posOffset>
                      </wp:positionH>
                      <wp:positionV relativeFrom="paragraph">
                        <wp:posOffset>77470</wp:posOffset>
                      </wp:positionV>
                      <wp:extent cx="505460" cy="107950"/>
                      <wp:effectExtent l="0" t="0" r="8255" b="6350"/>
                      <wp:wrapNone/>
                      <wp:docPr id="643642439" name="Прямокутник 3"/>
                      <wp:cNvGraphicFramePr/>
                      <a:graphic xmlns:a="http://schemas.openxmlformats.org/drawingml/2006/main">
                        <a:graphicData uri="http://schemas.microsoft.com/office/word/2010/wordprocessingShape">
                          <wps:wsp>
                            <wps:cNvSpPr/>
                            <wps:spPr>
                              <a:xfrm>
                                <a:off x="0" y="0"/>
                                <a:ext cx="505460" cy="107950"/>
                              </a:xfrm>
                              <a:prstGeom prst="rect">
                                <a:avLst/>
                              </a:prstGeom>
                              <a:solidFill>
                                <a:srgbClr val="BB2025"/>
                              </a:solidFill>
                            </wps:spPr>
                            <wps:txbx>
                              <w:txbxContent>
                                <w:p w14:paraId="1E227DBA" w14:textId="77777777" w:rsidR="009D0C1D" w:rsidRPr="00D77994" w:rsidRDefault="009D0C1D" w:rsidP="00E76FA1">
                                  <w:pPr>
                                    <w:rPr>
                                      <w:rFonts w:eastAsia="+mn-ea" w:cs="+mn-cs"/>
                                      <w:b/>
                                      <w:bCs/>
                                      <w:color w:val="FFFFFF"/>
                                      <w:kern w:val="24"/>
                                      <w:sz w:val="11"/>
                                      <w:szCs w:val="11"/>
                                    </w:rPr>
                                  </w:pPr>
                                  <w:r w:rsidRPr="00D77994">
                                    <w:rPr>
                                      <w:b/>
                                      <w:color w:val="FFFFFF"/>
                                      <w:sz w:val="11"/>
                                      <w:szCs w:val="22"/>
                                    </w:rPr>
                                    <w:t>МЛС/Риф-ТБ</w:t>
                                  </w:r>
                                </w:p>
                              </w:txbxContent>
                            </wps:txbx>
                            <wps:bodyPr wrap="none" lIns="0" tIns="0" rIns="0" bIns="0">
                              <a:noAutofit/>
                            </wps:bodyPr>
                          </wps:wsp>
                        </a:graphicData>
                      </a:graphic>
                      <wp14:sizeRelV relativeFrom="margin">
                        <wp14:pctHeight>0</wp14:pctHeight>
                      </wp14:sizeRelV>
                    </wp:anchor>
                  </w:drawing>
                </mc:Choice>
                <mc:Fallback>
                  <w:pict>
                    <v:rect w14:anchorId="429C86EC" id="_x0000_s1450" style="position:absolute;margin-left:570.2pt;margin-top:6.1pt;width:39.8pt;height:8.5pt;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" fillcolor="#bb2025" stroked="f">
                      <v:textbox inset="0,0,0,0">
                        <w:txbxContent>
                          <w:p w14:paraId="1E227DBA" w14:textId="77777777" w:rsidR="009D0C1D" w:rsidRPr="00D77994" w:rsidRDefault="009D0C1D" w:rsidP="00E76FA1">
                            <w:pPr>
                              <w:rPr>
                                <w:rFonts w:eastAsia="+mn-ea" w:cs="+mn-cs"/>
                                <w:b/>
                                <w:bCs/>
                                <w:color w:val="FFFFFF"/>
                                <w:kern w:val="24"/>
                                <w:sz w:val="11"/>
                                <w:szCs w:val="11"/>
                              </w:rPr>
                            </w:pPr>
                            <w:r w:rsidRPr="00D77994">
                              <w:rPr>
                                <w:b/>
                                <w:color w:val="FFFFFF"/>
                                <w:sz w:val="11"/>
                                <w:szCs w:val="22"/>
                              </w:rPr>
                              <w:t>МЛС/Риф-ТБ</w:t>
                            </w:r>
                          </w:p>
                        </w:txbxContent>
                      </v:textbox>
                    </v:rect>
                  </w:pict>
                </mc:Fallback>
              </mc:AlternateContent>
            </w:r>
            <w:r w:rsidR="00E76FA1">
              <w:rPr>
                <w:noProof/>
              </w:rPr>
              <mc:AlternateContent>
                <mc:Choice Requires="wps">
                  <w:drawing>
                    <wp:anchor distT="0" distB="0" distL="114300" distR="114300" simplePos="0" relativeHeight="251786240" behindDoc="0" locked="0" layoutInCell="1" allowOverlap="1" wp14:anchorId="1594EE17" wp14:editId="52319C76">
                      <wp:simplePos x="0" y="0"/>
                      <wp:positionH relativeFrom="column">
                        <wp:posOffset>2517775</wp:posOffset>
                      </wp:positionH>
                      <wp:positionV relativeFrom="paragraph">
                        <wp:posOffset>1787525</wp:posOffset>
                      </wp:positionV>
                      <wp:extent cx="630555" cy="106680"/>
                      <wp:effectExtent l="0" t="0" r="0" b="7620"/>
                      <wp:wrapNone/>
                      <wp:docPr id="633094252" name="Прямокутник 7"/>
                      <wp:cNvGraphicFramePr/>
                      <a:graphic xmlns:a="http://schemas.openxmlformats.org/drawingml/2006/main">
                        <a:graphicData uri="http://schemas.microsoft.com/office/word/2010/wordprocessingShape">
                          <wps:wsp>
                            <wps:cNvSpPr/>
                            <wps:spPr>
                              <a:xfrm>
                                <a:off x="0" y="0"/>
                                <a:ext cx="630555" cy="106680"/>
                              </a:xfrm>
                              <a:prstGeom prst="rect">
                                <a:avLst/>
                              </a:prstGeom>
                              <a:solidFill>
                                <a:srgbClr val="F8A8A9"/>
                              </a:solidFill>
                            </wps:spPr>
                            <wps:txbx>
                              <w:txbxContent>
                                <w:p w14:paraId="79A31E94" w14:textId="77777777" w:rsidR="009D0C1D" w:rsidRPr="00D77994" w:rsidRDefault="009D0C1D" w:rsidP="00E76FA1">
                                  <w:pPr>
                                    <w:rPr>
                                      <w:rFonts w:eastAsia="+mn-ea" w:cs="+mn-cs"/>
                                      <w:b/>
                                      <w:bCs/>
                                      <w:color w:val="343433"/>
                                      <w:kern w:val="24"/>
                                      <w:sz w:val="12"/>
                                      <w:szCs w:val="12"/>
                                    </w:rPr>
                                  </w:pPr>
                                  <w:r w:rsidRPr="00D77994">
                                    <w:rPr>
                                      <w:b/>
                                      <w:color w:val="343433"/>
                                      <w:sz w:val="12"/>
                                      <w:szCs w:val="22"/>
                                    </w:rPr>
                                    <w:t>Молекулярне ТМЧ</w:t>
                                  </w:r>
                                </w:p>
                              </w:txbxContent>
                            </wps:txbx>
                            <wps:bodyPr wrap="none" lIns="0" tIns="0" rIns="0" bIns="0">
                              <a:noAutofit/>
                            </wps:bodyPr>
                          </wps:wsp>
                        </a:graphicData>
                      </a:graphic>
                    </wp:anchor>
                  </w:drawing>
                </mc:Choice>
                <mc:Fallback>
                  <w:pict>
                    <v:rect w14:anchorId="1594EE17" id="_x0000_s1451" style="position:absolute;margin-left:198.25pt;margin-top:140.75pt;width:49.65pt;height:8.4pt;z-index:25178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" fillcolor="#f8a8a9" stroked="f">
                      <v:textbox inset="0,0,0,0">
                        <w:txbxContent>
                          <w:p w14:paraId="79A31E94" w14:textId="77777777" w:rsidR="009D0C1D" w:rsidRPr="00D77994" w:rsidRDefault="009D0C1D" w:rsidP="00E76FA1">
                            <w:pPr>
                              <w:rPr>
                                <w:rFonts w:eastAsia="+mn-ea" w:cs="+mn-cs"/>
                                <w:b/>
                                <w:bCs/>
                                <w:color w:val="343433"/>
                                <w:kern w:val="24"/>
                                <w:sz w:val="12"/>
                                <w:szCs w:val="12"/>
                              </w:rPr>
                            </w:pPr>
                            <w:r w:rsidRPr="00D77994">
                              <w:rPr>
                                <w:b/>
                                <w:color w:val="343433"/>
                                <w:sz w:val="12"/>
                                <w:szCs w:val="22"/>
                              </w:rPr>
                              <w:t>Молекулярне ТМЧ</w:t>
                            </w:r>
                          </w:p>
                        </w:txbxContent>
                      </v:textbox>
                    </v:rect>
                  </w:pict>
                </mc:Fallback>
              </mc:AlternateContent>
            </w:r>
            <w:r w:rsidR="00E76FA1">
              <w:rPr>
                <w:noProof/>
              </w:rPr>
              <mc:AlternateContent>
                <mc:Choice Requires="wps">
                  <w:drawing>
                    <wp:anchor distT="0" distB="0" distL="114300" distR="114300" simplePos="0" relativeHeight="251789312" behindDoc="0" locked="0" layoutInCell="1" allowOverlap="1" wp14:anchorId="2D9F0D21" wp14:editId="1F232F34">
                      <wp:simplePos x="0" y="0"/>
                      <wp:positionH relativeFrom="column">
                        <wp:posOffset>3843655</wp:posOffset>
                      </wp:positionH>
                      <wp:positionV relativeFrom="paragraph">
                        <wp:posOffset>2345690</wp:posOffset>
                      </wp:positionV>
                      <wp:extent cx="752475" cy="222250"/>
                      <wp:effectExtent l="0" t="0" r="9525" b="6350"/>
                      <wp:wrapNone/>
                      <wp:docPr id="112669899" name="Прямокутник 10"/>
                      <wp:cNvGraphicFramePr/>
                      <a:graphic xmlns:a="http://schemas.openxmlformats.org/drawingml/2006/main">
                        <a:graphicData uri="http://schemas.microsoft.com/office/word/2010/wordprocessingShape">
                          <wps:wsp>
                            <wps:cNvSpPr/>
                            <wps:spPr>
                              <a:xfrm>
                                <a:off x="0" y="0"/>
                                <a:ext cx="752475" cy="222250"/>
                              </a:xfrm>
                              <a:prstGeom prst="rect">
                                <a:avLst/>
                              </a:prstGeom>
                              <a:solidFill>
                                <a:srgbClr val="FABEBD"/>
                              </a:solidFill>
                            </wps:spPr>
                            <wps:txbx>
                              <w:txbxContent>
                                <w:p w14:paraId="1095357D" w14:textId="77777777" w:rsidR="009D0C1D" w:rsidRPr="00D77994" w:rsidRDefault="009D0C1D" w:rsidP="00E76FA1">
                                  <w:pPr>
                                    <w:spacing w:line="300" w:lineRule="auto"/>
                                    <w:jc w:val="center"/>
                                    <w:rPr>
                                      <w:rFonts w:eastAsia="+mn-ea" w:cs="+mn-cs"/>
                                      <w:b/>
                                      <w:bCs/>
                                      <w:color w:val="343433"/>
                                      <w:kern w:val="24"/>
                                      <w:sz w:val="11"/>
                                      <w:szCs w:val="11"/>
                                    </w:rPr>
                                  </w:pPr>
                                  <w:r w:rsidRPr="00D77994">
                                    <w:rPr>
                                      <w:b/>
                                      <w:color w:val="343433"/>
                                      <w:sz w:val="11"/>
                                      <w:szCs w:val="22"/>
                                    </w:rPr>
                                    <w:t>Невизначені або недійсні результати</w:t>
                                  </w:r>
                                </w:p>
                              </w:txbxContent>
                            </wps:txbx>
                            <wps:bodyPr lIns="0" tIns="0" rIns="0" bIns="0">
                              <a:noAutofit/>
                            </wps:bodyPr>
                          </wps:wsp>
                        </a:graphicData>
                      </a:graphic>
                    </wp:anchor>
                  </w:drawing>
                </mc:Choice>
                <mc:Fallback>
                  <w:pict>
                    <v:rect w14:anchorId="2D9F0D21" id="_x0000_s1452" style="position:absolute;margin-left:302.65pt;margin-top:184.7pt;width:59.25pt;height:1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" fillcolor="#fabebd" stroked="f">
                      <v:textbox inset="0,0,0,0">
                        <w:txbxContent>
                          <w:p w14:paraId="1095357D" w14:textId="77777777" w:rsidR="009D0C1D" w:rsidRPr="00D77994" w:rsidRDefault="009D0C1D" w:rsidP="00E76FA1">
                            <w:pPr>
                              <w:spacing w:line="300" w:lineRule="auto"/>
                              <w:jc w:val="center"/>
                              <w:rPr>
                                <w:rFonts w:eastAsia="+mn-ea" w:cs="+mn-cs"/>
                                <w:b/>
                                <w:bCs/>
                                <w:color w:val="343433"/>
                                <w:kern w:val="24"/>
                                <w:sz w:val="11"/>
                                <w:szCs w:val="11"/>
                              </w:rPr>
                            </w:pPr>
                            <w:r w:rsidRPr="00D77994">
                              <w:rPr>
                                <w:b/>
                                <w:color w:val="343433"/>
                                <w:sz w:val="11"/>
                                <w:szCs w:val="22"/>
                              </w:rPr>
                              <w:t>Невизначені або недійсні результати</w:t>
                            </w:r>
                          </w:p>
                        </w:txbxContent>
                      </v:textbox>
                    </v:rect>
                  </w:pict>
                </mc:Fallback>
              </mc:AlternateContent>
            </w:r>
            <w:r w:rsidR="00E76FA1">
              <w:rPr>
                <w:noProof/>
              </w:rPr>
              <w:drawing>
                <wp:inline distT="0" distB="0" distL="0" distR="0" wp14:anchorId="79683B03" wp14:editId="15054E45">
                  <wp:extent cx="8211185" cy="541655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43"/>
                          <a:stretch/>
                        </pic:blipFill>
                        <pic:spPr>
                          <a:xfrm>
                            <a:off x="0" y="0"/>
                            <a:ext cx="8211185" cy="5416550"/>
                          </a:xfrm>
                          <a:prstGeom prst="rect">
                            <a:avLst/>
                          </a:prstGeom>
                        </pic:spPr>
                      </pic:pic>
                    </a:graphicData>
                  </a:graphic>
                </wp:inline>
              </w:drawing>
            </w:r>
          </w:p>
        </w:tc>
      </w:tr>
    </w:tbl>
    <w:tbl>
      <w:tblPr>
        <w:tblOverlap w:val="never"/>
        <w:tblW w:w="0" w:type="auto"/>
        <w:tblLayout w:type="fixed"/>
        <w:tblCellMar>
          <w:left w:w="10" w:type="dxa"/>
          <w:right w:w="10" w:type="dxa"/>
        </w:tblCellMar>
        <w:tblLook w:val="0000" w:firstRow="0" w:lastRow="0" w:firstColumn="0" w:lastColumn="0" w:noHBand="0" w:noVBand="0"/>
      </w:tblPr>
      <w:tblGrid>
        <w:gridCol w:w="211"/>
      </w:tblGrid>
      <w:tr w:rsidR="00366CB9" w14:paraId="2B1E5346" w14:textId="77777777" w:rsidTr="00D77994">
        <w:trPr>
          <w:trHeight w:hRule="exact" w:val="1844"/>
        </w:trPr>
        <w:tc>
          <w:tcPr>
            <w:tcW w:w="211" w:type="dxa"/>
            <w:shd w:val="clear" w:color="auto" w:fill="FFFFFF"/>
            <w:textDirection w:val="tbRl"/>
          </w:tcPr>
          <w:p w14:paraId="2048FCFE" w14:textId="77777777" w:rsidR="00366CB9" w:rsidRDefault="009D0C1D" w:rsidP="00425523">
            <w:pPr>
              <w:pStyle w:val="a6"/>
              <w:framePr w:w="211" w:h="2126" w:wrap="none" w:vAnchor="page" w:hAnchor="page" w:x="671" w:y="9027"/>
              <w:shd w:val="clear" w:color="auto" w:fill="auto"/>
              <w:rPr>
                <w:sz w:val="15"/>
                <w:szCs w:val="15"/>
              </w:rPr>
            </w:pPr>
            <w:r>
              <w:rPr>
                <w:b w:val="0"/>
                <w:color w:val="019648"/>
                <w:sz w:val="15"/>
              </w:rPr>
              <w:t>6. Модельні алгоритми</w:t>
            </w:r>
          </w:p>
        </w:tc>
      </w:tr>
      <w:tr w:rsidR="00366CB9" w14:paraId="10AF5B7D" w14:textId="77777777">
        <w:trPr>
          <w:trHeight w:hRule="exact" w:val="638"/>
        </w:trPr>
        <w:tc>
          <w:tcPr>
            <w:tcW w:w="211" w:type="dxa"/>
            <w:shd w:val="clear" w:color="auto" w:fill="FFFFFF"/>
            <w:textDirection w:val="tbRl"/>
          </w:tcPr>
          <w:p w14:paraId="456D6458" w14:textId="77777777" w:rsidR="00366CB9" w:rsidRDefault="009D0C1D" w:rsidP="00425523">
            <w:pPr>
              <w:pStyle w:val="a6"/>
              <w:framePr w:w="211" w:h="2126" w:wrap="none" w:vAnchor="page" w:hAnchor="page" w:x="671" w:y="9027"/>
              <w:shd w:val="clear" w:color="auto" w:fill="auto"/>
              <w:jc w:val="right"/>
              <w:rPr>
                <w:sz w:val="15"/>
                <w:szCs w:val="15"/>
              </w:rPr>
            </w:pPr>
            <w:r>
              <w:rPr>
                <w:b w:val="0"/>
                <w:color w:val="019648"/>
                <w:sz w:val="15"/>
              </w:rPr>
              <w:t>139</w:t>
            </w:r>
          </w:p>
        </w:tc>
      </w:tr>
    </w:tbl>
    <w:p w14:paraId="325583E2" w14:textId="645636BE" w:rsidR="00366CB9" w:rsidRDefault="00366CB9" w:rsidP="00425523">
      <w:pPr>
        <w:spacing w:line="1" w:lineRule="exact"/>
        <w:sectPr w:rsidR="00366CB9" w:rsidSect="00FE22F4">
          <w:footerReference w:type="default" r:id="rId144"/>
          <w:pgSz w:w="16840" w:h="11913" w:orient="landscape"/>
          <w:pgMar w:top="1385" w:right="2413" w:bottom="851" w:left="1496" w:header="0" w:footer="6" w:gutter="0"/>
          <w:paperSrc w:first="15" w:other="15"/>
          <w:cols w:space="720"/>
          <w:noEndnote/>
          <w:docGrid w:linePitch="360"/>
        </w:sectPr>
      </w:pPr>
    </w:p>
    <w:p w14:paraId="15B134CB" w14:textId="77777777" w:rsidR="00366CB9" w:rsidRDefault="00366CB9" w:rsidP="00425523">
      <w:pPr>
        <w:spacing w:line="1" w:lineRule="exact"/>
      </w:pPr>
    </w:p>
    <w:p w14:paraId="4A43125B" w14:textId="77777777" w:rsidR="00366CB9" w:rsidRDefault="009D0C1D" w:rsidP="00FE22F4">
      <w:pPr>
        <w:pStyle w:val="50"/>
        <w:shd w:val="clear" w:color="auto" w:fill="auto"/>
        <w:spacing w:line="266" w:lineRule="auto"/>
        <w:jc w:val="both"/>
      </w:pPr>
      <w:r>
        <w:t>ЛС-ТБ: лікарсько-стійкий туберкульоз; ТМЧ: тестування медикаментозної чутливості; МЛС/Риф-ТБ: туберкульоз із множинною лікарською стійкістю або рифампіцин-резистентний туберкульоз; МЛС-ТБ: туберкульоз із множинною лікарською стійкістю; mWRD: молекулярний експрес-тест для діагностики туберкульозу, рекомендований ВООЗ; СНП: секвенування наступного покоління; SL-LPA: аналіз олігонуклеотидними зондами для препаратів другої лінії; НРЛ: наднаціональна референс-лабораторія; ТБ: туберкульоз; ВООЗ: Всесвітня організація охорони здоров’я.</w:t>
      </w:r>
    </w:p>
    <w:p w14:paraId="0A241942" w14:textId="77777777" w:rsidR="00366CB9" w:rsidRDefault="009D0C1D" w:rsidP="00FE22F4">
      <w:pPr>
        <w:pStyle w:val="50"/>
        <w:shd w:val="clear" w:color="auto" w:fill="auto"/>
        <w:spacing w:line="266" w:lineRule="auto"/>
        <w:jc w:val="both"/>
      </w:pPr>
      <w:r>
        <w:t>Лікарські засоби та схеми:</w:t>
      </w:r>
    </w:p>
    <w:p w14:paraId="25E9B78B" w14:textId="77777777" w:rsidR="00366CB9" w:rsidRDefault="009D0C1D" w:rsidP="00FE22F4">
      <w:pPr>
        <w:pStyle w:val="50"/>
        <w:shd w:val="clear" w:color="auto" w:fill="auto"/>
        <w:spacing w:line="266" w:lineRule="auto"/>
        <w:jc w:val="both"/>
      </w:pPr>
      <w:r>
        <w:t>АМК: амікацин; BDLC: бедаквілін (B), деламанід (D), лінезолід (L) та клофазимін (C); BDQ: бедаквілін; BDLLfx/C: бедаквілін (B), деламанід (D), лінезолід (L), левофлоксацин (Lfx) та клофазимін (C); BPaL: бедаквілін (B), претоманід (Pa) та лінезолід (L); BPaLM: бедаквілін (B), претоманід (Pa), лінезолід (L) та моксифлоксацин (M); CFZ: клофазимін; CS: циклосерин; DLM: деламанід; EMB: етамбутол; FQ: фторхінолон; INH: ізоніазид; LZD: лінезолід; Pa: претоманід; PZA: піразинамід; RIF: рифампіцин; STR: стрептоміцин.</w:t>
      </w:r>
    </w:p>
    <w:p w14:paraId="12331CAD" w14:textId="6C7E254E" w:rsidR="00366CB9" w:rsidRDefault="009D0C1D" w:rsidP="00FE22F4">
      <w:pPr>
        <w:pStyle w:val="50"/>
        <w:shd w:val="clear" w:color="auto" w:fill="auto"/>
        <w:spacing w:line="266" w:lineRule="auto"/>
        <w:ind w:left="180" w:hanging="180"/>
        <w:jc w:val="both"/>
      </w:pPr>
      <w:r>
        <w:rPr>
          <w:vertAlign w:val="superscript"/>
        </w:rPr>
        <w:t>a</w:t>
      </w:r>
      <w:r w:rsidR="00D77994">
        <w:tab/>
      </w:r>
      <w:r>
        <w:t>Особам з підозрою на ТБ необхідно негайно призначити схему лікування МЛС/Риф-ТБ відповідно до національних керівних принципів та рекомендацій ВООЗ. Для осіб з МЛС/Риф-ТБ, які відповідають вимогам, переважним варіантом є пероральна схема лікування на основі BDQ (BPaLM або BDLLfx/C).</w:t>
      </w:r>
    </w:p>
    <w:p w14:paraId="4DDFCFC5" w14:textId="0C725A8F" w:rsidR="00366CB9" w:rsidRDefault="009D0C1D" w:rsidP="00FE22F4">
      <w:pPr>
        <w:pStyle w:val="50"/>
        <w:shd w:val="clear" w:color="auto" w:fill="auto"/>
        <w:spacing w:line="266" w:lineRule="auto"/>
        <w:ind w:left="180" w:hanging="180"/>
        <w:jc w:val="both"/>
      </w:pPr>
      <w:r>
        <w:rPr>
          <w:vertAlign w:val="superscript"/>
        </w:rPr>
        <w:t>b</w:t>
      </w:r>
      <w:r w:rsidR="00D77994">
        <w:tab/>
      </w:r>
      <w:r>
        <w:t>Якщо молекулярне та фенотипове тестування проводиться в одній лабораторії, одного зразка може бути достатньо. Якщо тестування проводиться у двох лабораторіях, слід зібрати два зразки, а молекулярне та фенотипове тестування проводити паралельно.</w:t>
      </w:r>
    </w:p>
    <w:p w14:paraId="1E3297E1" w14:textId="7A31828B" w:rsidR="00366CB9" w:rsidRDefault="009D0C1D" w:rsidP="00FE22F4">
      <w:pPr>
        <w:pStyle w:val="50"/>
        <w:shd w:val="clear" w:color="auto" w:fill="auto"/>
        <w:spacing w:line="266" w:lineRule="auto"/>
        <w:ind w:left="180" w:hanging="180"/>
        <w:jc w:val="both"/>
      </w:pPr>
      <w:r>
        <w:rPr>
          <w:vertAlign w:val="superscript"/>
        </w:rPr>
        <w:t>c</w:t>
      </w:r>
      <w:r w:rsidR="00D77994">
        <w:tab/>
      </w:r>
      <w:r>
        <w:t>ВООЗ рекомендує отримати результати швидкого ТМЧ до початку лікування, хоча це тестування не має затримувати початок лікування. До mWRD для виявлення резистентності до FQ належать Xpert MTB/XDR та SL-LPA, а також тест Genoscholar PZA-TB II для виявлення резистентності до PZA. Тести цільового СНП також можуть дати результати для BDQ, FQ, LZD, INH, PZA, EMB, CFZ, AMK, STR та RIF.</w:t>
      </w:r>
    </w:p>
    <w:p w14:paraId="15F94804" w14:textId="3F3F8A1D" w:rsidR="00366CB9" w:rsidRDefault="009D0C1D" w:rsidP="00FE22F4">
      <w:pPr>
        <w:pStyle w:val="50"/>
        <w:shd w:val="clear" w:color="auto" w:fill="auto"/>
        <w:spacing w:line="266" w:lineRule="auto"/>
        <w:ind w:left="180" w:hanging="180"/>
        <w:jc w:val="both"/>
      </w:pPr>
      <w:r>
        <w:rPr>
          <w:vertAlign w:val="superscript"/>
        </w:rPr>
        <w:t>d</w:t>
      </w:r>
      <w:r w:rsidR="00D77994">
        <w:tab/>
      </w:r>
      <w:r>
        <w:t>Фенотипове ТМЧ необхідно проводити для кожного лікарського засобу в рамках схеми лікування, для якого представлені точні та відтворювані методи. Для RIF, INH, FQ, PZA, BDQ, CFZ, Pa, CS, LZD, AMK та DLM представлені надійні методи фенотипового ТМЧ. Не слід затягувати початок лікування в очікуванні результатів фенотипового ТМЧ.</w:t>
      </w:r>
    </w:p>
    <w:p w14:paraId="174C7A8D" w14:textId="4C488FE6" w:rsidR="00366CB9" w:rsidRDefault="009D0C1D" w:rsidP="00FE22F4">
      <w:pPr>
        <w:pStyle w:val="50"/>
        <w:shd w:val="clear" w:color="auto" w:fill="auto"/>
        <w:spacing w:line="259" w:lineRule="auto"/>
        <w:ind w:left="180" w:hanging="180"/>
        <w:jc w:val="both"/>
      </w:pPr>
      <w:r>
        <w:rPr>
          <w:vertAlign w:val="superscript"/>
        </w:rPr>
        <w:t>e</w:t>
      </w:r>
      <w:r w:rsidR="00D77994">
        <w:tab/>
      </w:r>
      <w:r>
        <w:t>Див. додаткову інформацію про коригування схеми лікування у публікації « Консолідовані настанови ВООЗ з туберкульозу: модуль 4: лікування» (</w:t>
      </w:r>
      <w:hyperlink w:anchor="bookmark193" w:tooltip="Поточний документ">
        <w:r w:rsidR="00366CB9">
          <w:t>7</w:t>
        </w:r>
      </w:hyperlink>
      <w:r>
        <w:t>). Схему BPaL або BDLC можна призначати особам з FQ-резистентним МЛС-ТБ (</w:t>
      </w:r>
      <w:hyperlink w:anchor="bookmark193" w:tooltip="Поточний документ">
        <w:r w:rsidR="00366CB9">
          <w:t>7</w:t>
        </w:r>
      </w:hyperlink>
      <w:r>
        <w:t xml:space="preserve">). Див. </w:t>
      </w:r>
      <w:hyperlink w:anchor="bookmark171" w:tooltip="Поточний документ">
        <w:r w:rsidR="00366CB9">
          <w:rPr>
            <w:b/>
            <w:sz w:val="18"/>
          </w:rPr>
          <w:t>рис. 6.3</w:t>
        </w:r>
      </w:hyperlink>
      <w:r>
        <w:t>.</w:t>
      </w:r>
    </w:p>
    <w:p w14:paraId="6C06366E" w14:textId="391501D9" w:rsidR="00366CB9" w:rsidRDefault="009D0C1D" w:rsidP="00FE22F4">
      <w:pPr>
        <w:pStyle w:val="50"/>
        <w:shd w:val="clear" w:color="auto" w:fill="auto"/>
        <w:spacing w:line="266" w:lineRule="auto"/>
        <w:ind w:left="180" w:hanging="180"/>
        <w:jc w:val="both"/>
      </w:pPr>
      <w:r>
        <w:rPr>
          <w:vertAlign w:val="superscript"/>
        </w:rPr>
        <w:t>f</w:t>
      </w:r>
      <w:r w:rsidR="00D77994">
        <w:tab/>
      </w:r>
      <w:r>
        <w:t>Для FQ-резистентного МЛС/Риф-ТБ необхідно забрати зразок та направити його на фенотипове ТМЧ для лікарських засобів групи А (BDQ, Pa та LZD) та В ВООЗ, якщо воно ще не проводилось, як описано у примітці 4 нижче. За наявності тестів цільового СНП зразок необхідно направити на тестування на виявлення резистентності до додаткових лікарських засобів для певних груп ризику відповідно до національних керівних принципів.</w:t>
      </w:r>
    </w:p>
    <w:p w14:paraId="4563178A" w14:textId="0DC41AE2" w:rsidR="00366CB9" w:rsidRDefault="009D0C1D" w:rsidP="00FE22F4">
      <w:pPr>
        <w:pStyle w:val="50"/>
        <w:shd w:val="clear" w:color="auto" w:fill="auto"/>
        <w:spacing w:line="266" w:lineRule="auto"/>
        <w:ind w:left="180" w:hanging="180"/>
        <w:jc w:val="both"/>
      </w:pPr>
      <w:r>
        <w:rPr>
          <w:vertAlign w:val="superscript"/>
        </w:rPr>
        <w:t>g</w:t>
      </w:r>
      <w:r w:rsidR="00D77994">
        <w:tab/>
      </w:r>
      <w:r>
        <w:t>У разі високої поширеності резистентності до FQ або для осіб з високим ризиком резистентності до FQ, зразок необхідно направити на посів та фенотипове ТМЧ для FQ.</w:t>
      </w:r>
    </w:p>
    <w:p w14:paraId="058AF376" w14:textId="14BE1513" w:rsidR="00366CB9" w:rsidRDefault="009D0C1D" w:rsidP="00FE22F4">
      <w:pPr>
        <w:pStyle w:val="50"/>
        <w:shd w:val="clear" w:color="auto" w:fill="auto"/>
        <w:spacing w:after="340" w:line="266" w:lineRule="auto"/>
        <w:ind w:left="180" w:hanging="180"/>
        <w:jc w:val="both"/>
      </w:pPr>
      <w:r>
        <w:rPr>
          <w:vertAlign w:val="superscript"/>
        </w:rPr>
        <w:t>h</w:t>
      </w:r>
      <w:r w:rsidR="00D77994">
        <w:tab/>
      </w:r>
      <w:r>
        <w:t>У разі підозри на резистентність до конкретного лікарського засобу (наприклад, BDQ), а ТМЧ для цих лікарських засобів не представлено у країні, лабораторії повинні встановити механізми зберігання ізоляту та його відправлення до НРЛ ВООЗ з ТМЧ.</w:t>
      </w:r>
    </w:p>
    <w:p w14:paraId="3EAA9FAD" w14:textId="77777777" w:rsidR="00366CB9" w:rsidRPr="00E846A7" w:rsidRDefault="009D0C1D" w:rsidP="00FE22F4">
      <w:pPr>
        <w:pStyle w:val="60"/>
        <w:shd w:val="clear" w:color="auto" w:fill="auto"/>
        <w:spacing w:after="240" w:line="271" w:lineRule="auto"/>
        <w:jc w:val="both"/>
        <w:rPr>
          <w:i/>
          <w:iCs/>
        </w:rPr>
      </w:pPr>
      <w:r>
        <w:rPr>
          <w:i/>
          <w:color w:val="019648"/>
        </w:rPr>
        <w:t>Схема прийняття рішень для Алгоритму 2b – Тестування на виявлення резистентності до FQ (</w:t>
      </w:r>
      <w:r>
        <w:rPr>
          <w:b/>
          <w:i/>
          <w:color w:val="019648"/>
        </w:rPr>
        <w:t>рис. 6.5</w:t>
      </w:r>
      <w:r>
        <w:rPr>
          <w:i/>
          <w:color w:val="019648"/>
        </w:rPr>
        <w:t>)</w:t>
      </w:r>
    </w:p>
    <w:p w14:paraId="32BC9753" w14:textId="77777777" w:rsidR="00366CB9" w:rsidRPr="00D77994" w:rsidRDefault="009D0C1D" w:rsidP="00FE22F4">
      <w:pPr>
        <w:pStyle w:val="1"/>
        <w:numPr>
          <w:ilvl w:val="0"/>
          <w:numId w:val="36"/>
        </w:numPr>
        <w:shd w:val="clear" w:color="auto" w:fill="auto"/>
        <w:tabs>
          <w:tab w:val="left" w:pos="318"/>
        </w:tabs>
        <w:spacing w:after="80" w:line="326" w:lineRule="auto"/>
        <w:ind w:left="300" w:hanging="300"/>
        <w:jc w:val="both"/>
        <w:rPr>
          <w:sz w:val="18"/>
          <w:szCs w:val="18"/>
        </w:rPr>
      </w:pPr>
      <w:r w:rsidRPr="00D77994">
        <w:rPr>
          <w:sz w:val="18"/>
          <w:szCs w:val="18"/>
        </w:rPr>
        <w:t>Особі необхідно негайно призначити лікування МЛС-ТБ відповідно до національних керівних принципів (див. «Загальні міркування» вище).</w:t>
      </w:r>
    </w:p>
    <w:p w14:paraId="08061F13" w14:textId="77777777" w:rsidR="00366CB9" w:rsidRPr="00D77994" w:rsidRDefault="009D0C1D" w:rsidP="00FE22F4">
      <w:pPr>
        <w:pStyle w:val="1"/>
        <w:numPr>
          <w:ilvl w:val="0"/>
          <w:numId w:val="36"/>
        </w:numPr>
        <w:shd w:val="clear" w:color="auto" w:fill="auto"/>
        <w:tabs>
          <w:tab w:val="left" w:pos="318"/>
        </w:tabs>
        <w:spacing w:after="80" w:line="324" w:lineRule="auto"/>
        <w:ind w:left="300" w:hanging="300"/>
        <w:jc w:val="both"/>
        <w:rPr>
          <w:sz w:val="18"/>
          <w:szCs w:val="18"/>
        </w:rPr>
      </w:pPr>
      <w:r w:rsidRPr="00D77994">
        <w:rPr>
          <w:sz w:val="18"/>
          <w:szCs w:val="18"/>
        </w:rPr>
        <w:t>Якщо молекулярне та фенотипове тестування проводяться в одній лабораторії, одного зразка може бути достатньо. Якщо тестування проводиться у двох лабораторіях, необхідно забрати два зразки та паралельно провести молекулярне та фенотипове тестування. За необхідності, зразки мокротиння або ізоляти необхідно доставити до відповідної дослідницької лабораторії.</w:t>
      </w:r>
    </w:p>
    <w:p w14:paraId="6DE2E029" w14:textId="77777777" w:rsidR="00366CB9" w:rsidRPr="00D77994" w:rsidRDefault="009D0C1D" w:rsidP="00FE22F4">
      <w:pPr>
        <w:pStyle w:val="1"/>
        <w:numPr>
          <w:ilvl w:val="0"/>
          <w:numId w:val="36"/>
        </w:numPr>
        <w:shd w:val="clear" w:color="auto" w:fill="auto"/>
        <w:tabs>
          <w:tab w:val="left" w:pos="318"/>
        </w:tabs>
        <w:spacing w:after="80" w:line="324" w:lineRule="auto"/>
        <w:ind w:left="300" w:hanging="300"/>
        <w:jc w:val="both"/>
        <w:rPr>
          <w:sz w:val="18"/>
          <w:szCs w:val="18"/>
        </w:rPr>
      </w:pPr>
      <w:r w:rsidRPr="00D77994">
        <w:rPr>
          <w:sz w:val="18"/>
          <w:szCs w:val="18"/>
        </w:rPr>
        <w:t>Необхідно провести LC-aNAAT або SL-LPA для виявлення мутацій, пов’язаних з резистентністю до FQ. Тести цільового СНП також можуть виявляти мутації, пов’язані з резистентністю до FQ. Якщо представлено тест цільового СНП, для тлумачення результатів та подальших дій необхідно дотримуватися Алгоритму 2a.</w:t>
      </w:r>
    </w:p>
    <w:p w14:paraId="33BE70F1" w14:textId="77777777" w:rsidR="00366CB9" w:rsidRPr="00D77994" w:rsidRDefault="009D0C1D" w:rsidP="00FE22F4">
      <w:pPr>
        <w:pStyle w:val="1"/>
        <w:numPr>
          <w:ilvl w:val="0"/>
          <w:numId w:val="36"/>
        </w:numPr>
        <w:shd w:val="clear" w:color="auto" w:fill="auto"/>
        <w:tabs>
          <w:tab w:val="left" w:pos="318"/>
        </w:tabs>
        <w:spacing w:after="40" w:line="326" w:lineRule="auto"/>
        <w:ind w:left="300" w:hanging="300"/>
        <w:jc w:val="both"/>
        <w:rPr>
          <w:sz w:val="18"/>
          <w:szCs w:val="18"/>
        </w:rPr>
      </w:pPr>
      <w:r w:rsidRPr="00D77994">
        <w:rPr>
          <w:sz w:val="18"/>
          <w:szCs w:val="18"/>
        </w:rPr>
        <w:t>Якщо LC-aNAAT або SL-LPA виявляє одну або кілька мутацій, пов’язаних з резистентністю до FQ, та:</w:t>
      </w:r>
    </w:p>
    <w:p w14:paraId="2BFFA4B2" w14:textId="77777777" w:rsidR="00366CB9" w:rsidRPr="00D77994" w:rsidRDefault="009D0C1D" w:rsidP="00FE22F4">
      <w:pPr>
        <w:pStyle w:val="1"/>
        <w:numPr>
          <w:ilvl w:val="0"/>
          <w:numId w:val="37"/>
        </w:numPr>
        <w:shd w:val="clear" w:color="auto" w:fill="auto"/>
        <w:tabs>
          <w:tab w:val="left" w:pos="608"/>
        </w:tabs>
        <w:spacing w:line="326" w:lineRule="auto"/>
        <w:ind w:left="560" w:hanging="260"/>
        <w:jc w:val="both"/>
        <w:rPr>
          <w:sz w:val="18"/>
          <w:szCs w:val="18"/>
        </w:rPr>
      </w:pPr>
      <w:r w:rsidRPr="00D77994">
        <w:rPr>
          <w:sz w:val="18"/>
          <w:szCs w:val="18"/>
        </w:rPr>
        <w:t>особа отримує схему BPaL/M, MFX необхідно відмінити та продовжити BPaL в очікуванні результатів фенотипового ТМЧ;</w:t>
      </w:r>
    </w:p>
    <w:p w14:paraId="095DFDA9" w14:textId="77777777" w:rsidR="00366CB9" w:rsidRDefault="00366CB9" w:rsidP="00425523">
      <w:pPr>
        <w:spacing w:line="1" w:lineRule="exact"/>
        <w:sectPr w:rsidR="00366CB9" w:rsidSect="00FE22F4">
          <w:pgSz w:w="11913" w:h="16840"/>
          <w:pgMar w:top="1469" w:right="1378" w:bottom="851" w:left="1372" w:header="0" w:footer="6" w:gutter="0"/>
          <w:paperSrc w:first="15" w:other="15"/>
          <w:cols w:space="720"/>
          <w:noEndnote/>
          <w:docGrid w:linePitch="360"/>
        </w:sectPr>
      </w:pPr>
    </w:p>
    <w:p w14:paraId="75D8EA53" w14:textId="77777777" w:rsidR="00366CB9" w:rsidRDefault="00366CB9" w:rsidP="00425523">
      <w:pPr>
        <w:spacing w:line="1" w:lineRule="exact"/>
      </w:pPr>
    </w:p>
    <w:p w14:paraId="1DA25942" w14:textId="77777777" w:rsidR="00366CB9" w:rsidRPr="00D77994" w:rsidRDefault="009D0C1D" w:rsidP="00FE22F4">
      <w:pPr>
        <w:pStyle w:val="1"/>
        <w:numPr>
          <w:ilvl w:val="0"/>
          <w:numId w:val="37"/>
        </w:numPr>
        <w:shd w:val="clear" w:color="auto" w:fill="auto"/>
        <w:tabs>
          <w:tab w:val="left" w:pos="622"/>
        </w:tabs>
        <w:spacing w:line="326" w:lineRule="auto"/>
        <w:ind w:left="560" w:hanging="260"/>
        <w:jc w:val="both"/>
        <w:rPr>
          <w:sz w:val="18"/>
          <w:szCs w:val="18"/>
        </w:rPr>
      </w:pPr>
      <w:r w:rsidRPr="00D77994">
        <w:rPr>
          <w:sz w:val="18"/>
          <w:szCs w:val="18"/>
        </w:rPr>
        <w:t>особа отримує схему BDLLfx/C, LFX необхідно відмінити та продовжити BDLC (якщо у особи спостерігається чутливість FQ, C необхідно відмінити);</w:t>
      </w:r>
    </w:p>
    <w:p w14:paraId="7846EA0D" w14:textId="0A525BAB" w:rsidR="00366CB9" w:rsidRPr="00D77994" w:rsidRDefault="009D0C1D" w:rsidP="00FE22F4">
      <w:pPr>
        <w:pStyle w:val="1"/>
        <w:numPr>
          <w:ilvl w:val="0"/>
          <w:numId w:val="37"/>
        </w:numPr>
        <w:shd w:val="clear" w:color="auto" w:fill="auto"/>
        <w:tabs>
          <w:tab w:val="left" w:pos="589"/>
        </w:tabs>
        <w:spacing w:line="326" w:lineRule="auto"/>
        <w:ind w:left="300"/>
        <w:jc w:val="both"/>
        <w:rPr>
          <w:sz w:val="18"/>
          <w:szCs w:val="18"/>
        </w:rPr>
      </w:pPr>
      <w:r w:rsidRPr="00D77994">
        <w:rPr>
          <w:sz w:val="18"/>
          <w:szCs w:val="18"/>
        </w:rPr>
        <w:t>особа отримує 9-місячну пероральну схему, особі необхідно перейти на індивідуальну довгострокову схему, розроблену за пріоритетною групою лікарських засобів ВОО (</w:t>
      </w:r>
      <w:hyperlink w:anchor="bookmark193" w:tooltip="Поточний документ">
        <w:r w:rsidR="00366CB9" w:rsidRPr="00D77994">
          <w:rPr>
            <w:sz w:val="18"/>
            <w:szCs w:val="18"/>
          </w:rPr>
          <w:t>7</w:t>
        </w:r>
      </w:hyperlink>
      <w:r w:rsidRPr="00D77994">
        <w:rPr>
          <w:sz w:val="18"/>
          <w:szCs w:val="18"/>
        </w:rPr>
        <w:t xml:space="preserve">): </w:t>
      </w:r>
      <w:r w:rsidRPr="00D77994">
        <w:rPr>
          <w:color w:val="019648"/>
          <w:sz w:val="18"/>
          <w:szCs w:val="18"/>
        </w:rPr>
        <w:sym w:font="Wingdings" w:char="F09F"/>
      </w:r>
      <w:r w:rsidRPr="00D77994">
        <w:rPr>
          <w:color w:val="019648"/>
          <w:sz w:val="18"/>
          <w:szCs w:val="18"/>
        </w:rPr>
        <w:t xml:space="preserve"> </w:t>
      </w:r>
      <w:r w:rsidRPr="00D77994">
        <w:rPr>
          <w:sz w:val="18"/>
          <w:szCs w:val="18"/>
        </w:rPr>
        <w:t>«перший за класом» LC-aNAAT (Xpert MTB-XDR) дає результати для INH, FQ, ETO та AMK, та може повідомляти про вибір індивідуальної схеми;</w:t>
      </w:r>
    </w:p>
    <w:p w14:paraId="538DF3F3" w14:textId="281F5F82" w:rsidR="00366CB9" w:rsidRPr="00D77994" w:rsidRDefault="00FE22F4" w:rsidP="00FE22F4">
      <w:pPr>
        <w:pStyle w:val="1"/>
        <w:shd w:val="clear" w:color="auto" w:fill="auto"/>
        <w:spacing w:line="326" w:lineRule="auto"/>
        <w:ind w:left="1080" w:hanging="240"/>
        <w:jc w:val="both"/>
        <w:rPr>
          <w:sz w:val="18"/>
          <w:szCs w:val="18"/>
        </w:rPr>
      </w:pPr>
      <w:r w:rsidRPr="00D77994">
        <w:rPr>
          <w:color w:val="019648"/>
          <w:sz w:val="18"/>
          <w:szCs w:val="18"/>
        </w:rPr>
        <w:sym w:font="Wingdings" w:char="F09F"/>
      </w:r>
      <w:r w:rsidRPr="00D77994">
        <w:rPr>
          <w:color w:val="019648"/>
          <w:sz w:val="18"/>
          <w:szCs w:val="18"/>
        </w:rPr>
        <w:t xml:space="preserve"> </w:t>
      </w:r>
      <w:r w:rsidR="00D77994">
        <w:tab/>
      </w:r>
      <w:r w:rsidRPr="00D77994">
        <w:rPr>
          <w:sz w:val="18"/>
          <w:szCs w:val="18"/>
        </w:rPr>
        <w:t>зразок необхідно забрати та надіслати на фенотипове ТМЧ для лікарських засобів групи A, B та C ВООЗ (наприклад, для BDQ, Pa та LZD), якщо фенотипове ТМЧ ще не проводилось, як описано в етапі 6; та</w:t>
      </w:r>
    </w:p>
    <w:p w14:paraId="07D49B9B" w14:textId="1F555D77" w:rsidR="00366CB9" w:rsidRPr="00D77994" w:rsidRDefault="00FE22F4" w:rsidP="00FE22F4">
      <w:pPr>
        <w:pStyle w:val="1"/>
        <w:shd w:val="clear" w:color="auto" w:fill="auto"/>
        <w:spacing w:line="326" w:lineRule="auto"/>
        <w:ind w:left="1080" w:hanging="240"/>
        <w:jc w:val="both"/>
        <w:rPr>
          <w:sz w:val="18"/>
          <w:szCs w:val="18"/>
        </w:rPr>
      </w:pPr>
      <w:r w:rsidRPr="00D77994">
        <w:rPr>
          <w:color w:val="019648"/>
          <w:sz w:val="18"/>
          <w:szCs w:val="18"/>
        </w:rPr>
        <w:sym w:font="Wingdings" w:char="F09F"/>
      </w:r>
      <w:r w:rsidRPr="00D77994">
        <w:rPr>
          <w:color w:val="019648"/>
          <w:sz w:val="18"/>
          <w:szCs w:val="18"/>
        </w:rPr>
        <w:t xml:space="preserve"> </w:t>
      </w:r>
      <w:r w:rsidR="00D77994">
        <w:tab/>
      </w:r>
      <w:r w:rsidRPr="00D77994">
        <w:rPr>
          <w:sz w:val="18"/>
          <w:szCs w:val="18"/>
        </w:rPr>
        <w:t>ТМЧ для MFX необхідно проводити при клінічній кінцевій точці для визначення можливого застосовування високої дози (800 мг) MFX для лікування (</w:t>
      </w:r>
      <w:hyperlink w:anchor="bookmark193" w:tooltip="Поточний документ">
        <w:r w:rsidRPr="00D77994">
          <w:rPr>
            <w:sz w:val="18"/>
            <w:szCs w:val="18"/>
          </w:rPr>
          <w:t>7</w:t>
        </w:r>
      </w:hyperlink>
      <w:r w:rsidRPr="00D77994">
        <w:rPr>
          <w:sz w:val="18"/>
          <w:szCs w:val="18"/>
        </w:rPr>
        <w:t>) (</w:t>
      </w:r>
      <w:hyperlink r:id="rId145" w:history="1">
        <w:r w:rsidRPr="00D77994">
          <w:rPr>
            <w:b/>
            <w:sz w:val="18"/>
            <w:szCs w:val="18"/>
          </w:rPr>
          <w:t>Вебдодаток C</w:t>
        </w:r>
      </w:hyperlink>
      <w:r w:rsidRPr="00D77994">
        <w:rPr>
          <w:sz w:val="18"/>
          <w:szCs w:val="18"/>
        </w:rPr>
        <w:t>).</w:t>
      </w:r>
    </w:p>
    <w:p w14:paraId="0262331F" w14:textId="77777777" w:rsidR="00366CB9" w:rsidRPr="00D77994" w:rsidRDefault="009D0C1D" w:rsidP="00FE22F4">
      <w:pPr>
        <w:pStyle w:val="1"/>
        <w:numPr>
          <w:ilvl w:val="0"/>
          <w:numId w:val="36"/>
        </w:numPr>
        <w:shd w:val="clear" w:color="auto" w:fill="auto"/>
        <w:tabs>
          <w:tab w:val="left" w:pos="318"/>
        </w:tabs>
        <w:spacing w:line="326" w:lineRule="auto"/>
        <w:ind w:left="300" w:hanging="300"/>
        <w:jc w:val="both"/>
        <w:rPr>
          <w:sz w:val="18"/>
          <w:szCs w:val="18"/>
        </w:rPr>
      </w:pPr>
      <w:r w:rsidRPr="00D77994">
        <w:rPr>
          <w:sz w:val="18"/>
          <w:szCs w:val="18"/>
        </w:rPr>
        <w:t>Якщо результат LC-aNAAT або SL-LPA є негативним щодо мутацій, пов’язаних з резистентністю до FQ (наприклад, чутливих), та:</w:t>
      </w:r>
    </w:p>
    <w:p w14:paraId="0C4FED61" w14:textId="77777777" w:rsidR="00366CB9" w:rsidRPr="00D77994" w:rsidRDefault="009D0C1D" w:rsidP="00FE22F4">
      <w:pPr>
        <w:pStyle w:val="1"/>
        <w:numPr>
          <w:ilvl w:val="0"/>
          <w:numId w:val="38"/>
        </w:numPr>
        <w:shd w:val="clear" w:color="auto" w:fill="auto"/>
        <w:tabs>
          <w:tab w:val="left" w:pos="608"/>
        </w:tabs>
        <w:spacing w:line="324" w:lineRule="auto"/>
        <w:ind w:left="560" w:hanging="260"/>
        <w:jc w:val="both"/>
        <w:rPr>
          <w:sz w:val="18"/>
          <w:szCs w:val="18"/>
        </w:rPr>
      </w:pPr>
      <w:r w:rsidRPr="00D77994">
        <w:rPr>
          <w:sz w:val="18"/>
          <w:szCs w:val="18"/>
        </w:rPr>
        <w:t>особа отримує схему BPaL/M, лікування необхідно продовжувати без коригувань в очікуванні результатів фенотипового ТМЧ;</w:t>
      </w:r>
    </w:p>
    <w:p w14:paraId="71524FCB" w14:textId="77777777" w:rsidR="00366CB9" w:rsidRPr="00D77994" w:rsidRDefault="009D0C1D" w:rsidP="00FE22F4">
      <w:pPr>
        <w:pStyle w:val="1"/>
        <w:numPr>
          <w:ilvl w:val="0"/>
          <w:numId w:val="38"/>
        </w:numPr>
        <w:shd w:val="clear" w:color="auto" w:fill="auto"/>
        <w:tabs>
          <w:tab w:val="left" w:pos="622"/>
        </w:tabs>
        <w:spacing w:line="324" w:lineRule="auto"/>
        <w:ind w:left="560" w:hanging="260"/>
        <w:jc w:val="both"/>
        <w:rPr>
          <w:sz w:val="18"/>
          <w:szCs w:val="18"/>
        </w:rPr>
      </w:pPr>
      <w:r w:rsidRPr="00D77994">
        <w:rPr>
          <w:sz w:val="18"/>
          <w:szCs w:val="18"/>
        </w:rPr>
        <w:t>особа отримує схему BDLLfx/C, C необхідно відмінити, але продовжувати BDLLfx в очікуванні результатів фенотипового ТМЧ;</w:t>
      </w:r>
    </w:p>
    <w:p w14:paraId="7DCC205C" w14:textId="77777777" w:rsidR="00366CB9" w:rsidRPr="00D77994" w:rsidRDefault="009D0C1D" w:rsidP="00FE22F4">
      <w:pPr>
        <w:pStyle w:val="1"/>
        <w:numPr>
          <w:ilvl w:val="0"/>
          <w:numId w:val="38"/>
        </w:numPr>
        <w:shd w:val="clear" w:color="auto" w:fill="auto"/>
        <w:tabs>
          <w:tab w:val="left" w:pos="589"/>
        </w:tabs>
        <w:spacing w:line="324" w:lineRule="auto"/>
        <w:ind w:left="560" w:hanging="260"/>
        <w:jc w:val="both"/>
        <w:rPr>
          <w:sz w:val="18"/>
          <w:szCs w:val="18"/>
        </w:rPr>
      </w:pPr>
      <w:r w:rsidRPr="00D77994">
        <w:rPr>
          <w:sz w:val="18"/>
          <w:szCs w:val="18"/>
        </w:rPr>
        <w:t>особа отримує одну з п’яти 9-місячних схем, лікування необхідно продовжувати без коригувань в очікуванні результатів фенотипового ТМЧ (етап 6); та</w:t>
      </w:r>
    </w:p>
    <w:p w14:paraId="1B0263A2" w14:textId="77777777" w:rsidR="00366CB9" w:rsidRPr="00D77994" w:rsidRDefault="009D0C1D" w:rsidP="00FE22F4">
      <w:pPr>
        <w:pStyle w:val="1"/>
        <w:numPr>
          <w:ilvl w:val="0"/>
          <w:numId w:val="38"/>
        </w:numPr>
        <w:shd w:val="clear" w:color="auto" w:fill="auto"/>
        <w:tabs>
          <w:tab w:val="left" w:pos="622"/>
        </w:tabs>
        <w:spacing w:line="324" w:lineRule="auto"/>
        <w:ind w:left="560" w:hanging="260"/>
        <w:jc w:val="both"/>
        <w:rPr>
          <w:sz w:val="18"/>
          <w:szCs w:val="18"/>
        </w:rPr>
      </w:pPr>
      <w:r w:rsidRPr="00D77994">
        <w:rPr>
          <w:sz w:val="18"/>
          <w:szCs w:val="18"/>
        </w:rPr>
        <w:t>У разі високої поширеності резистентності до FQ або для осіб з високим ризиком резистентності, зразок необхідно направити на посів та фенотипове ТМЧ для FQ, оскільки чутливість LC-aNAAT та SL-LPA для виявлення мутацій, пов’язаних з резистентністю до FQ, становить прибл. 93 % та 86 % відповідно; фенотипове ТМЧ має включати тестування на виявлення резистентності до FQ, що застосовуються у країні, а також тестування при клінічній критичній точці для вибору індивідуального лікарського засобу; схему лікування необхідно коригувати, за необхідності, відповідно до результатів фенотипового ТМЧ.</w:t>
      </w:r>
    </w:p>
    <w:p w14:paraId="45B4FB38" w14:textId="77777777" w:rsidR="00366CB9" w:rsidRPr="00D77994" w:rsidRDefault="009D0C1D" w:rsidP="00FE22F4">
      <w:pPr>
        <w:pStyle w:val="1"/>
        <w:numPr>
          <w:ilvl w:val="0"/>
          <w:numId w:val="36"/>
        </w:numPr>
        <w:shd w:val="clear" w:color="auto" w:fill="auto"/>
        <w:tabs>
          <w:tab w:val="left" w:pos="318"/>
        </w:tabs>
        <w:spacing w:line="324" w:lineRule="auto"/>
        <w:ind w:left="300" w:hanging="300"/>
        <w:jc w:val="both"/>
        <w:rPr>
          <w:sz w:val="18"/>
          <w:szCs w:val="18"/>
        </w:rPr>
      </w:pPr>
      <w:r w:rsidRPr="00D77994">
        <w:rPr>
          <w:sz w:val="18"/>
          <w:szCs w:val="18"/>
        </w:rPr>
        <w:t>Культуральне та фенотипове ТМЧ необхідно проводити для кожного лікарського засобу в рамках схеми лікування, для якого представлені точні та відтворювані методи. Для переважних схем представлені методи фенотипового ТМЧ, що є надійними у лабораторії із забезпеченням якості, для BDQ, LZD, Pa, CS, FQ, CFZ, PZA та INH (</w:t>
      </w:r>
      <w:hyperlink r:id="rId146" w:history="1">
        <w:r w:rsidR="00366CB9" w:rsidRPr="00D77994">
          <w:rPr>
            <w:b/>
            <w:sz w:val="18"/>
            <w:szCs w:val="18"/>
          </w:rPr>
          <w:t>Вебдодаток C</w:t>
        </w:r>
      </w:hyperlink>
      <w:r w:rsidRPr="00D77994">
        <w:rPr>
          <w:sz w:val="18"/>
          <w:szCs w:val="18"/>
        </w:rPr>
        <w:t>). Представлено молекулярний тест, рекомендований ВООЗ, для виявлення резистентності до PZA (HC-rNAAT), але його застосування наразі обмежене ізолятами культури.</w:t>
      </w:r>
    </w:p>
    <w:p w14:paraId="4B16641E" w14:textId="3C4E99E0" w:rsidR="00366CB9" w:rsidRPr="00D77994" w:rsidRDefault="009D0C1D" w:rsidP="00FE22F4">
      <w:pPr>
        <w:pStyle w:val="1"/>
        <w:shd w:val="clear" w:color="auto" w:fill="auto"/>
        <w:spacing w:line="324" w:lineRule="auto"/>
        <w:ind w:left="560" w:hanging="260"/>
        <w:jc w:val="both"/>
        <w:rPr>
          <w:sz w:val="18"/>
          <w:szCs w:val="18"/>
        </w:rPr>
      </w:pPr>
      <w:r w:rsidRPr="00D77994">
        <w:rPr>
          <w:sz w:val="18"/>
          <w:szCs w:val="18"/>
        </w:rPr>
        <w:t xml:space="preserve">a. </w:t>
      </w:r>
      <w:r w:rsidR="00D77994">
        <w:tab/>
      </w:r>
      <w:r w:rsidRPr="00D77994">
        <w:rPr>
          <w:sz w:val="18"/>
          <w:szCs w:val="18"/>
        </w:rPr>
        <w:t>Якщо ізолят є чутливим до усіх лікарських засобів, особі необхідно продовжувати переважну схему лікування МЛС-ТБ.</w:t>
      </w:r>
    </w:p>
    <w:p w14:paraId="350BA565" w14:textId="6637C6DE" w:rsidR="00366CB9" w:rsidRPr="00D77994" w:rsidRDefault="009D0C1D" w:rsidP="00FE22F4">
      <w:pPr>
        <w:pStyle w:val="1"/>
        <w:shd w:val="clear" w:color="auto" w:fill="auto"/>
        <w:spacing w:line="324" w:lineRule="auto"/>
        <w:ind w:left="560" w:hanging="260"/>
        <w:jc w:val="both"/>
        <w:rPr>
          <w:sz w:val="18"/>
          <w:szCs w:val="18"/>
        </w:rPr>
      </w:pPr>
      <w:r w:rsidRPr="00D77994">
        <w:rPr>
          <w:sz w:val="18"/>
          <w:szCs w:val="18"/>
        </w:rPr>
        <w:t xml:space="preserve">b. </w:t>
      </w:r>
      <w:r w:rsidR="00D77994">
        <w:tab/>
      </w:r>
      <w:r w:rsidRPr="00D77994">
        <w:rPr>
          <w:sz w:val="18"/>
          <w:szCs w:val="18"/>
        </w:rPr>
        <w:t xml:space="preserve">У разі виявлення резистентності до лікарського засобу див. </w:t>
      </w:r>
      <w:hyperlink w:anchor="bookmark171" w:tooltip="Поточний документ">
        <w:r w:rsidR="00366CB9" w:rsidRPr="00D77994">
          <w:rPr>
            <w:b/>
            <w:sz w:val="18"/>
            <w:szCs w:val="18"/>
          </w:rPr>
          <w:t>рис. 6.3</w:t>
        </w:r>
      </w:hyperlink>
      <w:r w:rsidRPr="00D77994">
        <w:rPr>
          <w:sz w:val="18"/>
          <w:szCs w:val="18"/>
        </w:rPr>
        <w:t xml:space="preserve"> для ознайомлення з коригуванням лікування. Враховуючи повільність отримання результатів фенотипового ТМЧ, необхідно переглянути відповідь на лікування після отримання цих результатів. Рішення щодо переходу від коротшої до довшої схеми лікування МЛС-ТБ необхідно приймати на основі результату фенотипового ТМЧ та клінічної відповіді. Важливо ретельно спостерігати за особою в рамках щомісячного моніторингу.</w:t>
      </w:r>
    </w:p>
    <w:p w14:paraId="1AD4ED02" w14:textId="77777777" w:rsidR="00366CB9" w:rsidRPr="00D77994" w:rsidRDefault="009D0C1D" w:rsidP="00FE22F4">
      <w:pPr>
        <w:pStyle w:val="1"/>
        <w:numPr>
          <w:ilvl w:val="0"/>
          <w:numId w:val="36"/>
        </w:numPr>
        <w:shd w:val="clear" w:color="auto" w:fill="auto"/>
        <w:tabs>
          <w:tab w:val="left" w:pos="318"/>
        </w:tabs>
        <w:spacing w:line="324" w:lineRule="auto"/>
        <w:ind w:left="300" w:hanging="300"/>
        <w:jc w:val="both"/>
        <w:rPr>
          <w:sz w:val="18"/>
          <w:szCs w:val="18"/>
        </w:rPr>
      </w:pPr>
      <w:r w:rsidRPr="00D77994">
        <w:rPr>
          <w:sz w:val="18"/>
          <w:szCs w:val="18"/>
        </w:rPr>
        <w:t>Для всіх осіб з ТБ контроль лікування має включати забір зразків для посіву, як описано у консолідованих настановах ВООЗ (</w:t>
      </w:r>
      <w:hyperlink w:anchor="bookmark193" w:tooltip="Поточний документ">
        <w:r w:rsidR="00366CB9" w:rsidRPr="00D77994">
          <w:rPr>
            <w:sz w:val="18"/>
            <w:szCs w:val="18"/>
          </w:rPr>
          <w:t>7</w:t>
        </w:r>
      </w:hyperlink>
      <w:r w:rsidRPr="00D77994">
        <w:rPr>
          <w:sz w:val="18"/>
          <w:szCs w:val="18"/>
        </w:rPr>
        <w:t>). Будь-який позитивний результат посіву, що вказує на неефективність лікування, має пройти фенотипове ТМЧ та ПГС, за можливості, з тлумаченням результатів на основі каталогу мутацій ВООЗ (</w:t>
      </w:r>
      <w:hyperlink w:anchor="bookmark196" w:tooltip="Поточний документ">
        <w:r w:rsidR="00366CB9" w:rsidRPr="00D77994">
          <w:rPr>
            <w:sz w:val="18"/>
            <w:szCs w:val="18"/>
          </w:rPr>
          <w:t>23</w:t>
        </w:r>
      </w:hyperlink>
      <w:r w:rsidRPr="00D77994">
        <w:rPr>
          <w:sz w:val="18"/>
          <w:szCs w:val="18"/>
        </w:rPr>
        <w:t>). За необхідності, необхідно коригувати схему на основі результатів.</w:t>
      </w:r>
    </w:p>
    <w:p w14:paraId="75952CFB" w14:textId="77777777" w:rsidR="00366CB9" w:rsidRDefault="00366CB9" w:rsidP="00425523">
      <w:pPr>
        <w:spacing w:line="1" w:lineRule="exact"/>
        <w:sectPr w:rsidR="00366CB9" w:rsidSect="00F03360">
          <w:footerReference w:type="default" r:id="rId147"/>
          <w:type w:val="nextColumn"/>
          <w:pgSz w:w="11911" w:h="17036"/>
          <w:pgMar w:top="1469" w:right="1378" w:bottom="851" w:left="1372" w:header="0" w:footer="3" w:gutter="0"/>
          <w:paperSrc w:first="15" w:other="15"/>
          <w:cols w:space="720"/>
          <w:noEndnote/>
          <w:docGrid w:linePitch="360"/>
        </w:sectPr>
      </w:pPr>
    </w:p>
    <w:p w14:paraId="76EB8F6B" w14:textId="77777777" w:rsidR="00366CB9" w:rsidRDefault="00366CB9" w:rsidP="00425523">
      <w:pPr>
        <w:spacing w:line="1" w:lineRule="exact"/>
      </w:pPr>
    </w:p>
    <w:p w14:paraId="45E9EDFD" w14:textId="2DB4133E" w:rsidR="00366CB9" w:rsidRPr="00D77994" w:rsidRDefault="009D0C1D" w:rsidP="00FE22F4">
      <w:pPr>
        <w:pStyle w:val="1"/>
        <w:shd w:val="clear" w:color="auto" w:fill="auto"/>
        <w:spacing w:line="324" w:lineRule="auto"/>
        <w:ind w:left="580" w:hanging="300"/>
        <w:jc w:val="both"/>
        <w:rPr>
          <w:sz w:val="18"/>
          <w:szCs w:val="18"/>
        </w:rPr>
      </w:pPr>
      <w:bookmarkStart w:id="177" w:name="bookmark174"/>
      <w:r w:rsidRPr="00D77994">
        <w:rPr>
          <w:sz w:val="18"/>
          <w:szCs w:val="18"/>
        </w:rPr>
        <w:t xml:space="preserve">a. </w:t>
      </w:r>
      <w:r w:rsidR="00D77994">
        <w:tab/>
      </w:r>
      <w:r w:rsidRPr="00D77994">
        <w:rPr>
          <w:sz w:val="18"/>
          <w:szCs w:val="18"/>
        </w:rPr>
        <w:t>ВООЗ рекомендує усім особам з ТБ, що отримують схему лікування МЛС-ТБ, контролювати відповідь на посів мокротиння та мікроскопію мазка мокротиння. Посів мокротиння необхідно повторювати щомісяця.</w:t>
      </w:r>
      <w:bookmarkEnd w:id="177"/>
    </w:p>
    <w:p w14:paraId="3A5BCEF7" w14:textId="7D7DDF10" w:rsidR="00366CB9" w:rsidRPr="00D77994" w:rsidRDefault="009D0C1D" w:rsidP="00FE22F4">
      <w:pPr>
        <w:pStyle w:val="1"/>
        <w:shd w:val="clear" w:color="auto" w:fill="auto"/>
        <w:spacing w:after="240" w:line="324" w:lineRule="auto"/>
        <w:ind w:left="580" w:hanging="300"/>
        <w:jc w:val="both"/>
        <w:rPr>
          <w:sz w:val="18"/>
          <w:szCs w:val="18"/>
        </w:rPr>
      </w:pPr>
      <w:r w:rsidRPr="00D77994">
        <w:rPr>
          <w:sz w:val="18"/>
          <w:szCs w:val="18"/>
        </w:rPr>
        <w:t xml:space="preserve">b. </w:t>
      </w:r>
      <w:r w:rsidR="00D77994" w:rsidRPr="00D77994">
        <w:rPr>
          <w:sz w:val="18"/>
          <w:szCs w:val="18"/>
        </w:rPr>
        <w:tab/>
      </w:r>
      <w:r w:rsidRPr="00D77994">
        <w:rPr>
          <w:sz w:val="18"/>
          <w:szCs w:val="18"/>
        </w:rPr>
        <w:t>Не дивлячись на підвищення ризику неефективного лікування з кожним додатковим місяцем без бактеріологічної конверсії, не визначено жодної точки завершення збору даних, що могла б бути надійним маркером неефективної схеми. Вибір точки завершення збору даних залежатиме від бажання клініциста мінімізувати ризик неефективності; зокрема, обмежити ризик продовження неефективної схеми.</w:t>
      </w:r>
    </w:p>
    <w:p w14:paraId="6F1F9B37" w14:textId="77777777" w:rsidR="00366CB9" w:rsidRDefault="009D0C1D" w:rsidP="00FE22F4">
      <w:pPr>
        <w:pStyle w:val="22"/>
        <w:numPr>
          <w:ilvl w:val="0"/>
          <w:numId w:val="32"/>
        </w:numPr>
        <w:shd w:val="clear" w:color="auto" w:fill="auto"/>
        <w:tabs>
          <w:tab w:val="left" w:pos="692"/>
        </w:tabs>
        <w:spacing w:after="140" w:line="266" w:lineRule="auto"/>
      </w:pPr>
      <w:bookmarkStart w:id="178" w:name="bookmark175"/>
      <w:bookmarkStart w:id="179" w:name="bookmark176"/>
      <w:r>
        <w:t>Алгоритм 3 – Подальше тестування для осіб з рифампіцин-чутливим ТБ, у яких спостерігається ризик резистентності до інших лікарських засобів</w:t>
      </w:r>
      <w:bookmarkEnd w:id="178"/>
      <w:bookmarkEnd w:id="179"/>
    </w:p>
    <w:p w14:paraId="2A9283BE" w14:textId="77777777" w:rsidR="00366CB9" w:rsidRPr="00D77994" w:rsidRDefault="009D0C1D" w:rsidP="00FE22F4">
      <w:pPr>
        <w:pStyle w:val="1"/>
        <w:shd w:val="clear" w:color="auto" w:fill="auto"/>
        <w:spacing w:after="140" w:line="324" w:lineRule="auto"/>
        <w:jc w:val="both"/>
        <w:rPr>
          <w:sz w:val="18"/>
          <w:szCs w:val="18"/>
        </w:rPr>
      </w:pPr>
      <w:r w:rsidRPr="00D77994">
        <w:rPr>
          <w:sz w:val="18"/>
          <w:szCs w:val="18"/>
        </w:rPr>
        <w:t>Мета Алгоритму 3 – виявити резистентність у осіб з RIF-чутливим ТБ з ризиком ЛС-ТБ та осіб з Нрез-ТБ (</w:t>
      </w:r>
      <w:r w:rsidRPr="00D77994">
        <w:rPr>
          <w:b/>
          <w:sz w:val="18"/>
          <w:szCs w:val="18"/>
        </w:rPr>
        <w:t>рис. 6.6</w:t>
      </w:r>
      <w:r w:rsidRPr="00D77994">
        <w:rPr>
          <w:sz w:val="18"/>
          <w:szCs w:val="18"/>
        </w:rPr>
        <w:t>). До осіб з високим ризиком ЛС-ТБ належать ті, хто отримував попереднє лікування; проживає у регіонах з високою резистентністю до RIF, INH або FQ (≥ 5 %), або належать до підгруп, де ймовірність такої резистентності є високою; або мають в анамнезі контакт з особою з ЛС-ТБ. До осіб, які не відповідають на препарати першої лінії, належать особи з позитивним результатом мазка після 2 місяців (або більше) лікування, а також ті, у кого лікування виявилось неефективним.</w:t>
      </w:r>
    </w:p>
    <w:p w14:paraId="51D4E61E" w14:textId="77777777" w:rsidR="00366CB9" w:rsidRPr="00D77994" w:rsidRDefault="009D0C1D" w:rsidP="00FE22F4">
      <w:pPr>
        <w:pStyle w:val="1"/>
        <w:shd w:val="clear" w:color="auto" w:fill="auto"/>
        <w:spacing w:after="140" w:line="324" w:lineRule="auto"/>
        <w:jc w:val="both"/>
        <w:rPr>
          <w:sz w:val="18"/>
          <w:szCs w:val="18"/>
        </w:rPr>
      </w:pPr>
      <w:r w:rsidRPr="00D77994">
        <w:rPr>
          <w:sz w:val="18"/>
          <w:szCs w:val="18"/>
        </w:rPr>
        <w:t>Перевага віддається децентралізованому молекулярному тестуванню, що передбачає будь-який існуючий тест, рекомендований ВООЗ, що виявляє резистентність до INH та FQ. Однак здатність тестів цільового СНП виявляти мутації, пов’язані з резистентністю до багатьох протитуберкульозних препаратів, може бути ефективною у осіб з високим ризиком ЛС-ТБ (наприклад, осіб, у яких терапія виявилась неефективною).</w:t>
      </w:r>
    </w:p>
    <w:p w14:paraId="6F8CDB6C" w14:textId="77777777" w:rsidR="00366CB9" w:rsidRDefault="009D0C1D" w:rsidP="00FE22F4">
      <w:pPr>
        <w:pStyle w:val="80"/>
        <w:numPr>
          <w:ilvl w:val="0"/>
          <w:numId w:val="39"/>
        </w:numPr>
        <w:shd w:val="clear" w:color="auto" w:fill="auto"/>
        <w:tabs>
          <w:tab w:val="left" w:pos="754"/>
        </w:tabs>
      </w:pPr>
      <w:r>
        <w:t>Загальні міркування</w:t>
      </w:r>
    </w:p>
    <w:p w14:paraId="09CAA5DD" w14:textId="6E1FE856" w:rsidR="00366CB9" w:rsidRPr="00D77994" w:rsidRDefault="009D0C1D" w:rsidP="00FE22F4">
      <w:pPr>
        <w:pStyle w:val="1"/>
        <w:shd w:val="clear" w:color="auto" w:fill="auto"/>
        <w:spacing w:line="324" w:lineRule="auto"/>
        <w:ind w:left="280" w:hanging="280"/>
        <w:jc w:val="both"/>
        <w:rPr>
          <w:sz w:val="18"/>
          <w:szCs w:val="18"/>
        </w:rPr>
      </w:pPr>
      <w:r w:rsidRPr="00D77994">
        <w:rPr>
          <w:color w:val="019648"/>
          <w:sz w:val="18"/>
          <w:szCs w:val="18"/>
        </w:rPr>
        <w:t xml:space="preserve">• </w:t>
      </w:r>
      <w:r w:rsidR="00D77994">
        <w:tab/>
      </w:r>
      <w:r w:rsidRPr="00D77994">
        <w:rPr>
          <w:sz w:val="18"/>
          <w:szCs w:val="18"/>
        </w:rPr>
        <w:t>Керівні принципи ВООЗ підкреслюють важливість ТМЧ до лікування, особливо для лікарських засобів, для яких представлено ТМЧ.</w:t>
      </w:r>
    </w:p>
    <w:p w14:paraId="3E49CADB" w14:textId="1D37CFBC" w:rsidR="00366CB9" w:rsidRPr="00D77994" w:rsidRDefault="009D0C1D" w:rsidP="00FE22F4">
      <w:pPr>
        <w:pStyle w:val="1"/>
        <w:shd w:val="clear" w:color="auto" w:fill="auto"/>
        <w:spacing w:line="324" w:lineRule="auto"/>
        <w:ind w:left="280" w:hanging="280"/>
        <w:jc w:val="both"/>
        <w:rPr>
          <w:sz w:val="18"/>
          <w:szCs w:val="18"/>
        </w:rPr>
      </w:pPr>
      <w:r w:rsidRPr="00D77994">
        <w:rPr>
          <w:color w:val="019648"/>
          <w:sz w:val="18"/>
          <w:szCs w:val="18"/>
        </w:rPr>
        <w:t xml:space="preserve">• </w:t>
      </w:r>
      <w:r w:rsidR="00D77994">
        <w:tab/>
      </w:r>
      <w:r w:rsidRPr="00D77994">
        <w:rPr>
          <w:sz w:val="18"/>
          <w:szCs w:val="18"/>
        </w:rPr>
        <w:t>Особам з чутливим до RIF та INH або невідомими ТБ необхідно призначити схему лікування препаратами першої лінії при лікарсько-чутливому ТБ (</w:t>
      </w:r>
      <w:hyperlink w:anchor="bookmark193" w:tooltip="Поточний документ">
        <w:r w:rsidR="00366CB9" w:rsidRPr="00D77994">
          <w:rPr>
            <w:sz w:val="18"/>
            <w:szCs w:val="18"/>
          </w:rPr>
          <w:t>7</w:t>
        </w:r>
      </w:hyperlink>
      <w:r w:rsidRPr="00D77994">
        <w:rPr>
          <w:sz w:val="18"/>
          <w:szCs w:val="18"/>
        </w:rPr>
        <w:t>).</w:t>
      </w:r>
    </w:p>
    <w:p w14:paraId="2FF7F68C" w14:textId="7C3CDDF6" w:rsidR="00366CB9" w:rsidRPr="00D77994" w:rsidRDefault="009D0C1D" w:rsidP="00FE22F4">
      <w:pPr>
        <w:pStyle w:val="1"/>
        <w:shd w:val="clear" w:color="auto" w:fill="auto"/>
        <w:spacing w:line="324" w:lineRule="auto"/>
        <w:ind w:left="280" w:hanging="280"/>
        <w:jc w:val="both"/>
        <w:rPr>
          <w:sz w:val="18"/>
          <w:szCs w:val="18"/>
        </w:rPr>
      </w:pPr>
      <w:r w:rsidRPr="00D77994">
        <w:rPr>
          <w:color w:val="019648"/>
          <w:sz w:val="18"/>
          <w:szCs w:val="18"/>
        </w:rPr>
        <w:t xml:space="preserve">• </w:t>
      </w:r>
      <w:r w:rsidR="00D77994">
        <w:tab/>
      </w:r>
      <w:r w:rsidRPr="00D77994">
        <w:rPr>
          <w:sz w:val="18"/>
          <w:szCs w:val="18"/>
        </w:rPr>
        <w:t>В усьому світі поширеність Нрез-ТБ становить 7,4 % (95 % ДІ: 6,5-8,4 %) при нових випадках та 11,4 % (95 % ДІ: 9,4-13,4 %) у осіб, які отримували лікування (</w:t>
      </w:r>
      <w:hyperlink w:anchor="bookmark201" w:tooltip="Поточний документ">
        <w:r w:rsidR="00366CB9" w:rsidRPr="00D77994">
          <w:rPr>
            <w:sz w:val="18"/>
            <w:szCs w:val="18"/>
          </w:rPr>
          <w:t>98</w:t>
        </w:r>
      </w:hyperlink>
      <w:r w:rsidRPr="00D77994">
        <w:rPr>
          <w:sz w:val="18"/>
          <w:szCs w:val="18"/>
        </w:rPr>
        <w:t>). У деяких випадках поширеність може перевищувати 25 % (</w:t>
      </w:r>
      <w:hyperlink w:anchor="bookmark201" w:tooltip="Поточний документ">
        <w:r w:rsidR="00366CB9" w:rsidRPr="00D77994">
          <w:rPr>
            <w:sz w:val="18"/>
            <w:szCs w:val="18"/>
          </w:rPr>
          <w:t>98</w:t>
        </w:r>
      </w:hyperlink>
      <w:r w:rsidRPr="00D77994">
        <w:rPr>
          <w:sz w:val="18"/>
          <w:szCs w:val="18"/>
        </w:rPr>
        <w:t>). У контактів особи з Нрез-ТБ також підвищений ризик. Поширеність будь-якої резистентності до ізоніозу (INH) є особливо високою в деяких частинах Європейського регіону ВООЗ та Західно-Тихоокеанського регіону.</w:t>
      </w:r>
    </w:p>
    <w:p w14:paraId="56BA1B2B" w14:textId="15CAD7C3" w:rsidR="00366CB9" w:rsidRPr="00D77994" w:rsidRDefault="009D0C1D" w:rsidP="00FE22F4">
      <w:pPr>
        <w:pStyle w:val="1"/>
        <w:shd w:val="clear" w:color="auto" w:fill="auto"/>
        <w:spacing w:line="324" w:lineRule="auto"/>
        <w:ind w:left="280" w:hanging="280"/>
        <w:jc w:val="both"/>
        <w:rPr>
          <w:sz w:val="18"/>
          <w:szCs w:val="18"/>
        </w:rPr>
      </w:pPr>
      <w:r w:rsidRPr="00D77994">
        <w:rPr>
          <w:color w:val="019648"/>
          <w:sz w:val="18"/>
          <w:szCs w:val="18"/>
        </w:rPr>
        <w:t xml:space="preserve">• </w:t>
      </w:r>
      <w:r w:rsidR="00D77994">
        <w:tab/>
      </w:r>
      <w:r w:rsidRPr="00D77994">
        <w:rPr>
          <w:sz w:val="18"/>
          <w:szCs w:val="18"/>
        </w:rPr>
        <w:t>Нрез-ТБ наразі не виявляється у багатьох закладах, але має клінічне значення. Порівняно з особами з лікарсько-чутливим ТБ, у осіб з Нрез-ТБ, які отримують рекомендовану схему лікування лікарсько-чутливого ТБ, значно вищий ризик неефективного лікування (11 % та 2 %), рецидиву (10 % та 5 %) та розвитку додаткової медикаментозної резистентності (8 % та 1 %) (</w:t>
      </w:r>
      <w:hyperlink w:anchor="bookmark201" w:tooltip="Поточний документ">
        <w:r w:rsidR="00366CB9" w:rsidRPr="00D77994">
          <w:rPr>
            <w:sz w:val="18"/>
            <w:szCs w:val="18"/>
          </w:rPr>
          <w:t>98</w:t>
        </w:r>
      </w:hyperlink>
      <w:r w:rsidRPr="00D77994">
        <w:rPr>
          <w:sz w:val="18"/>
          <w:szCs w:val="18"/>
        </w:rPr>
        <w:t>).</w:t>
      </w:r>
    </w:p>
    <w:p w14:paraId="3CB1374F" w14:textId="5EFB4E38" w:rsidR="00366CB9" w:rsidRPr="00D77994" w:rsidRDefault="009D0C1D" w:rsidP="00FE22F4">
      <w:pPr>
        <w:pStyle w:val="1"/>
        <w:shd w:val="clear" w:color="auto" w:fill="auto"/>
        <w:spacing w:line="324" w:lineRule="auto"/>
        <w:ind w:left="280" w:hanging="280"/>
        <w:jc w:val="both"/>
        <w:rPr>
          <w:sz w:val="18"/>
          <w:szCs w:val="18"/>
        </w:rPr>
      </w:pPr>
      <w:r w:rsidRPr="00D77994">
        <w:rPr>
          <w:color w:val="019648"/>
          <w:sz w:val="18"/>
          <w:szCs w:val="18"/>
        </w:rPr>
        <w:t xml:space="preserve">• </w:t>
      </w:r>
      <w:r w:rsidR="00D77994">
        <w:tab/>
      </w:r>
      <w:r w:rsidRPr="00D77994">
        <w:rPr>
          <w:sz w:val="18"/>
          <w:szCs w:val="18"/>
        </w:rPr>
        <w:t>Ефективне лікування Нрез-ТБ, профілактика поширення Нрез-ТБ та розвиток резистентності до додаткових лікарських засобів, таких як RIF, залежать від своєчасного виявлення осіб з Нрез-ТБ та</w:t>
      </w:r>
    </w:p>
    <w:p w14:paraId="75A3A0BF"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215AB16E" w14:textId="77777777" w:rsidR="00366CB9" w:rsidRDefault="00366CB9" w:rsidP="00425523">
      <w:pPr>
        <w:spacing w:line="1" w:lineRule="exact"/>
      </w:pPr>
    </w:p>
    <w:p w14:paraId="2F558E1F" w14:textId="77777777" w:rsidR="00366CB9" w:rsidRPr="00D77994" w:rsidRDefault="009D0C1D" w:rsidP="00FE22F4">
      <w:pPr>
        <w:pStyle w:val="1"/>
        <w:shd w:val="clear" w:color="auto" w:fill="auto"/>
        <w:spacing w:line="324" w:lineRule="auto"/>
        <w:ind w:left="280"/>
        <w:jc w:val="both"/>
        <w:rPr>
          <w:sz w:val="18"/>
          <w:szCs w:val="18"/>
        </w:rPr>
      </w:pPr>
      <w:r w:rsidRPr="00D77994">
        <w:rPr>
          <w:sz w:val="18"/>
          <w:szCs w:val="18"/>
        </w:rPr>
        <w:t>призначення ефективних схем лікування. LC-aNAAT для подальшого виявлення резистентності до INH можуть бути цінними інструментами, оскільки вони є простими у використанні та можуть впроваджуватись на нижчих рівнях системи охорони здоров’я.</w:t>
      </w:r>
    </w:p>
    <w:p w14:paraId="003A07D8" w14:textId="5A958A11" w:rsidR="00366CB9" w:rsidRPr="00D77994" w:rsidRDefault="009D0C1D" w:rsidP="00D77994">
      <w:pPr>
        <w:pStyle w:val="1"/>
        <w:shd w:val="clear" w:color="auto" w:fill="auto"/>
        <w:tabs>
          <w:tab w:val="left" w:pos="284"/>
        </w:tabs>
        <w:spacing w:line="324" w:lineRule="auto"/>
        <w:jc w:val="both"/>
        <w:rPr>
          <w:sz w:val="18"/>
          <w:szCs w:val="18"/>
        </w:rPr>
      </w:pPr>
      <w:r w:rsidRPr="00D77994">
        <w:rPr>
          <w:color w:val="019648"/>
          <w:sz w:val="18"/>
          <w:szCs w:val="18"/>
        </w:rPr>
        <w:t xml:space="preserve">• </w:t>
      </w:r>
      <w:r w:rsidR="00D77994">
        <w:tab/>
      </w:r>
      <w:r w:rsidRPr="00D77994">
        <w:rPr>
          <w:sz w:val="18"/>
          <w:szCs w:val="18"/>
        </w:rPr>
        <w:t>Рекомендована схема лікування Нрез-ТБ включає RIF, EMB, PZA та LFX протягом 6 місяців (</w:t>
      </w:r>
      <w:hyperlink w:anchor="bookmark193" w:tooltip="Поточний документ">
        <w:r w:rsidR="00366CB9" w:rsidRPr="00D77994">
          <w:rPr>
            <w:sz w:val="18"/>
            <w:szCs w:val="18"/>
          </w:rPr>
          <w:t>7</w:t>
        </w:r>
      </w:hyperlink>
      <w:r w:rsidRPr="00D77994">
        <w:rPr>
          <w:sz w:val="18"/>
          <w:szCs w:val="18"/>
        </w:rPr>
        <w:t xml:space="preserve">, </w:t>
      </w:r>
      <w:hyperlink w:anchor="bookmark201" w:tooltip="Поточний документ">
        <w:r w:rsidR="00366CB9" w:rsidRPr="00D77994">
          <w:rPr>
            <w:sz w:val="18"/>
            <w:szCs w:val="18"/>
          </w:rPr>
          <w:t>99</w:t>
        </w:r>
      </w:hyperlink>
      <w:r w:rsidRPr="00D77994">
        <w:rPr>
          <w:sz w:val="18"/>
          <w:szCs w:val="18"/>
        </w:rPr>
        <w:t>).</w:t>
      </w:r>
    </w:p>
    <w:p w14:paraId="4D4B8F02" w14:textId="081F95A3" w:rsidR="00366CB9" w:rsidRPr="00D77994" w:rsidRDefault="009D0C1D" w:rsidP="00D77994">
      <w:pPr>
        <w:pStyle w:val="1"/>
        <w:shd w:val="clear" w:color="auto" w:fill="auto"/>
        <w:tabs>
          <w:tab w:val="left" w:pos="284"/>
        </w:tabs>
        <w:spacing w:line="324" w:lineRule="auto"/>
        <w:ind w:left="260" w:hanging="260"/>
        <w:jc w:val="both"/>
        <w:rPr>
          <w:sz w:val="18"/>
          <w:szCs w:val="18"/>
        </w:rPr>
      </w:pPr>
      <w:r w:rsidRPr="00D77994">
        <w:rPr>
          <w:color w:val="019648"/>
          <w:sz w:val="18"/>
          <w:szCs w:val="18"/>
        </w:rPr>
        <w:t xml:space="preserve">• </w:t>
      </w:r>
      <w:r w:rsidR="00D77994">
        <w:tab/>
      </w:r>
      <w:r w:rsidRPr="00D77994">
        <w:rPr>
          <w:sz w:val="18"/>
          <w:szCs w:val="18"/>
        </w:rPr>
        <w:t>Тести цільового СНП демонструють результати для багатьох лікарських засобів, що не застосовуються для лікування лікарсько-чутливого ТБ (наприклад, BDQ, LZD, CFZ, AMK та STR). Ці результати не потрібно застосовувати до осіб з RIF-чутливим ТБ; однак, якщо результати буде випущено, необхідно зазначати, що ці лікарські засоби необхідно застосовувати лише за індивідуальними схемами лікування в окремих випадках.</w:t>
      </w:r>
    </w:p>
    <w:p w14:paraId="66BA19A4" w14:textId="7FDA8CBD" w:rsidR="00366CB9" w:rsidRPr="00D77994" w:rsidRDefault="009D0C1D" w:rsidP="00D77994">
      <w:pPr>
        <w:pStyle w:val="1"/>
        <w:shd w:val="clear" w:color="auto" w:fill="auto"/>
        <w:tabs>
          <w:tab w:val="left" w:pos="284"/>
        </w:tabs>
        <w:spacing w:line="324" w:lineRule="auto"/>
        <w:ind w:left="260" w:hanging="260"/>
        <w:jc w:val="both"/>
        <w:rPr>
          <w:sz w:val="18"/>
          <w:szCs w:val="18"/>
        </w:rPr>
      </w:pPr>
      <w:r w:rsidRPr="00D77994">
        <w:rPr>
          <w:color w:val="019648"/>
          <w:sz w:val="18"/>
          <w:szCs w:val="18"/>
        </w:rPr>
        <w:t xml:space="preserve">• </w:t>
      </w:r>
      <w:r w:rsidR="00D77994">
        <w:tab/>
      </w:r>
      <w:r w:rsidRPr="00D77994">
        <w:rPr>
          <w:sz w:val="18"/>
          <w:szCs w:val="18"/>
        </w:rPr>
        <w:t>Надійні методи фенотипового ТМЧ представлені для RIF, INH, FQ, BDQ, CFZ, Pa, CS, LZD, AMK та DLM. Алгоритми тестування на основі культурального та фенотипового ТМЧ описані у нормативній базі ВООЗ (</w:t>
      </w:r>
      <w:hyperlink w:anchor="bookmark201" w:tooltip="Поточний документ">
        <w:r w:rsidR="00366CB9" w:rsidRPr="00D77994">
          <w:rPr>
            <w:sz w:val="18"/>
            <w:szCs w:val="18"/>
          </w:rPr>
          <w:t>96</w:t>
        </w:r>
      </w:hyperlink>
      <w:r w:rsidRPr="00D77994">
        <w:rPr>
          <w:sz w:val="18"/>
          <w:szCs w:val="18"/>
        </w:rPr>
        <w:t>) та методологічному керівництві (</w:t>
      </w:r>
      <w:hyperlink r:id="rId148" w:history="1">
        <w:r w:rsidR="00366CB9" w:rsidRPr="00D77994">
          <w:rPr>
            <w:b/>
            <w:sz w:val="18"/>
            <w:szCs w:val="18"/>
          </w:rPr>
          <w:t>Вебдодаток C</w:t>
        </w:r>
      </w:hyperlink>
      <w:r w:rsidRPr="00D77994">
        <w:rPr>
          <w:sz w:val="18"/>
          <w:szCs w:val="18"/>
        </w:rPr>
        <w:t>). У державах-членах необхідно забезпечити ТМЧ для лікарських засобів, що застосовуються для лікування, та для яких представлені надійні методи тестування.</w:t>
      </w:r>
    </w:p>
    <w:p w14:paraId="0C768F9C" w14:textId="2CB1B7AF" w:rsidR="00366CB9" w:rsidRPr="00D77994" w:rsidRDefault="009D0C1D" w:rsidP="00D77994">
      <w:pPr>
        <w:pStyle w:val="1"/>
        <w:shd w:val="clear" w:color="auto" w:fill="auto"/>
        <w:tabs>
          <w:tab w:val="left" w:pos="284"/>
        </w:tabs>
        <w:spacing w:line="324" w:lineRule="auto"/>
        <w:ind w:left="260" w:hanging="260"/>
        <w:jc w:val="both"/>
        <w:rPr>
          <w:sz w:val="18"/>
          <w:szCs w:val="18"/>
        </w:rPr>
      </w:pPr>
      <w:r w:rsidRPr="00D77994">
        <w:rPr>
          <w:color w:val="019648"/>
          <w:sz w:val="18"/>
          <w:szCs w:val="18"/>
        </w:rPr>
        <w:t xml:space="preserve">• </w:t>
      </w:r>
      <w:r w:rsidR="00D77994">
        <w:tab/>
      </w:r>
      <w:r w:rsidRPr="00D77994">
        <w:rPr>
          <w:sz w:val="18"/>
          <w:szCs w:val="18"/>
        </w:rPr>
        <w:t>Для EMB, ETO/протіонаміду або іміпенем-циластатину/MPM відсутні надійні методи фенотипового ТЛЧ; отже, результати для цих лікарських засобів не потрібно використовувати для прийняття клінічних рішень.</w:t>
      </w:r>
    </w:p>
    <w:p w14:paraId="3B6FFDC8" w14:textId="75E690B7" w:rsidR="00366CB9" w:rsidRPr="00D77994" w:rsidRDefault="009D0C1D" w:rsidP="00D77994">
      <w:pPr>
        <w:pStyle w:val="1"/>
        <w:shd w:val="clear" w:color="auto" w:fill="auto"/>
        <w:tabs>
          <w:tab w:val="left" w:pos="284"/>
        </w:tabs>
        <w:spacing w:line="324" w:lineRule="auto"/>
        <w:jc w:val="both"/>
        <w:rPr>
          <w:sz w:val="18"/>
          <w:szCs w:val="18"/>
        </w:rPr>
      </w:pPr>
      <w:r w:rsidRPr="00D77994">
        <w:rPr>
          <w:color w:val="019648"/>
          <w:sz w:val="18"/>
          <w:szCs w:val="18"/>
        </w:rPr>
        <w:t xml:space="preserve">• </w:t>
      </w:r>
      <w:r w:rsidR="00D77994">
        <w:tab/>
      </w:r>
      <w:r w:rsidRPr="00D77994">
        <w:rPr>
          <w:sz w:val="18"/>
          <w:szCs w:val="18"/>
        </w:rPr>
        <w:t>Не слід затримувати початок лікування в очікуванні результатів ТМЧ.</w:t>
      </w:r>
    </w:p>
    <w:p w14:paraId="5267BEA4" w14:textId="77777777" w:rsidR="00366CB9" w:rsidRDefault="00366CB9" w:rsidP="00425523">
      <w:pPr>
        <w:spacing w:line="1" w:lineRule="exact"/>
        <w:sectPr w:rsidR="00366CB9" w:rsidSect="00F03360">
          <w:type w:val="nextColumn"/>
          <w:pgSz w:w="11911" w:h="17036"/>
          <w:pgMar w:top="1469" w:right="1378" w:bottom="851" w:left="1372" w:header="0" w:footer="3" w:gutter="0"/>
          <w:paperSrc w:first="15" w:other="15"/>
          <w:cols w:space="720"/>
          <w:noEndnote/>
          <w:docGrid w:linePitch="360"/>
        </w:sectPr>
      </w:pPr>
    </w:p>
    <w:p w14:paraId="71098360"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3066"/>
      </w:tblGrid>
      <w:tr w:rsidR="00366CB9" w14:paraId="04E145AD" w14:textId="77777777" w:rsidTr="00E76FA1">
        <w:trPr>
          <w:trHeight w:hRule="exact" w:val="538"/>
        </w:trPr>
        <w:tc>
          <w:tcPr>
            <w:tcW w:w="13066" w:type="dxa"/>
            <w:shd w:val="clear" w:color="auto" w:fill="FFFFFF"/>
          </w:tcPr>
          <w:p w14:paraId="1501E600" w14:textId="77777777" w:rsidR="00366CB9" w:rsidRPr="00156AC1" w:rsidRDefault="009D0C1D" w:rsidP="00FE22F4">
            <w:pPr>
              <w:pStyle w:val="a6"/>
              <w:shd w:val="clear" w:color="auto" w:fill="auto"/>
              <w:rPr>
                <w:sz w:val="24"/>
                <w:szCs w:val="24"/>
              </w:rPr>
            </w:pPr>
            <w:bookmarkStart w:id="180" w:name="bookmark177"/>
            <w:r>
              <w:rPr>
                <w:color w:val="636466"/>
                <w:sz w:val="24"/>
              </w:rPr>
              <w:t>Рис. 6.6. Алгоритм 3: Подальше тестування для осіб з рифампіцин-чутливим ТБ, у яких спостерігається ризик резистентності до інших лікарських засобів</w:t>
            </w:r>
            <w:bookmarkEnd w:id="180"/>
          </w:p>
        </w:tc>
      </w:tr>
      <w:tr w:rsidR="00366CB9" w14:paraId="5375318A" w14:textId="77777777" w:rsidTr="00E76FA1">
        <w:trPr>
          <w:trHeight w:hRule="exact" w:val="8549"/>
        </w:trPr>
        <w:tc>
          <w:tcPr>
            <w:tcW w:w="13066" w:type="dxa"/>
            <w:shd w:val="clear" w:color="auto" w:fill="FFFFFF"/>
          </w:tcPr>
          <w:p w14:paraId="513AAFC0" w14:textId="1EE91BAE" w:rsidR="00366CB9" w:rsidRDefault="00D77994" w:rsidP="00FE22F4">
            <w:pPr>
              <w:rPr>
                <w:sz w:val="2"/>
                <w:szCs w:val="2"/>
              </w:rPr>
            </w:pPr>
            <w:r>
              <w:rPr>
                <w:noProof/>
              </w:rPr>
              <mc:AlternateContent>
                <mc:Choice Requires="wps">
                  <w:drawing>
                    <wp:anchor distT="0" distB="0" distL="114300" distR="114300" simplePos="0" relativeHeight="251806720" behindDoc="0" locked="0" layoutInCell="1" allowOverlap="1" wp14:anchorId="4A24C16B" wp14:editId="22BDF931">
                      <wp:simplePos x="0" y="0"/>
                      <wp:positionH relativeFrom="column">
                        <wp:posOffset>1869440</wp:posOffset>
                      </wp:positionH>
                      <wp:positionV relativeFrom="paragraph">
                        <wp:posOffset>4949825</wp:posOffset>
                      </wp:positionV>
                      <wp:extent cx="3829050" cy="356235"/>
                      <wp:effectExtent l="0" t="0" r="0" b="5715"/>
                      <wp:wrapNone/>
                      <wp:docPr id="279055079" name="Прямокутник 11"/>
                      <wp:cNvGraphicFramePr/>
                      <a:graphic xmlns:a="http://schemas.openxmlformats.org/drawingml/2006/main">
                        <a:graphicData uri="http://schemas.microsoft.com/office/word/2010/wordprocessingShape">
                          <wps:wsp>
                            <wps:cNvSpPr/>
                            <wps:spPr>
                              <a:xfrm>
                                <a:off x="0" y="0"/>
                                <a:ext cx="3829050" cy="356235"/>
                              </a:xfrm>
                              <a:prstGeom prst="rect">
                                <a:avLst/>
                              </a:prstGeom>
                              <a:solidFill>
                                <a:srgbClr val="D2D7EB"/>
                              </a:solidFill>
                            </wps:spPr>
                            <wps:txbx>
                              <w:txbxContent>
                                <w:p w14:paraId="7F5C45E2" w14:textId="77777777" w:rsidR="009D0C1D" w:rsidRPr="00D77994" w:rsidRDefault="009D0C1D" w:rsidP="00E76FA1">
                                  <w:pPr>
                                    <w:spacing w:line="285" w:lineRule="auto"/>
                                    <w:jc w:val="center"/>
                                    <w:rPr>
                                      <w:rFonts w:eastAsia="+mn-ea" w:cs="+mn-cs"/>
                                      <w:b/>
                                      <w:bCs/>
                                      <w:color w:val="343433"/>
                                      <w:kern w:val="24"/>
                                      <w:sz w:val="12"/>
                                      <w:szCs w:val="12"/>
                                    </w:rPr>
                                  </w:pPr>
                                  <w:r w:rsidRPr="00D77994">
                                    <w:rPr>
                                      <w:b/>
                                      <w:color w:val="343433"/>
                                      <w:sz w:val="12"/>
                                      <w:szCs w:val="22"/>
                                    </w:rPr>
                                    <w:t>Провести додаткове фенотипове та генотипове ТМЧ, включаючи ПГС (за наявності), відповідно до національних керівних принципів</w:t>
                                  </w:r>
                                </w:p>
                                <w:p w14:paraId="11F1F155" w14:textId="77777777" w:rsidR="009D0C1D" w:rsidRPr="00D77994" w:rsidRDefault="009D0C1D" w:rsidP="00E76FA1">
                                  <w:pPr>
                                    <w:spacing w:line="285" w:lineRule="auto"/>
                                    <w:jc w:val="center"/>
                                    <w:rPr>
                                      <w:rFonts w:eastAsia="+mn-ea" w:cs="+mn-cs"/>
                                      <w:b/>
                                      <w:bCs/>
                                      <w:color w:val="343433"/>
                                      <w:kern w:val="24"/>
                                      <w:sz w:val="12"/>
                                      <w:szCs w:val="12"/>
                                    </w:rPr>
                                  </w:pPr>
                                  <w:r w:rsidRPr="00D77994">
                                    <w:rPr>
                                      <w:b/>
                                      <w:color w:val="343433"/>
                                      <w:sz w:val="12"/>
                                      <w:szCs w:val="22"/>
                                    </w:rPr>
                                    <w:t>Переглянути схему лікування на основі додаткових результатів ТМЧ</w:t>
                                  </w:r>
                                </w:p>
                              </w:txbxContent>
                            </wps:txbx>
                            <wps:bodyPr wrap="square" lIns="0" tIns="0" rIns="0" bIns="0">
                              <a:noAutofit/>
                            </wps:bodyPr>
                          </wps:wsp>
                        </a:graphicData>
                      </a:graphic>
                      <wp14:sizeRelH relativeFrom="margin">
                        <wp14:pctWidth>0</wp14:pctWidth>
                      </wp14:sizeRelH>
                    </wp:anchor>
                  </w:drawing>
                </mc:Choice>
                <mc:Fallback>
                  <w:pict>
                    <v:rect w14:anchorId="4A24C16B" id="_x0000_s1453" style="position:absolute;margin-left:147.2pt;margin-top:389.75pt;width:301.5pt;height:28.0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" fillcolor="#d2d7eb" stroked="f">
                      <v:textbox inset="0,0,0,0">
                        <w:txbxContent>
                          <w:p w14:paraId="7F5C45E2" w14:textId="77777777" w:rsidR="009D0C1D" w:rsidRPr="00D77994" w:rsidRDefault="009D0C1D" w:rsidP="00E76FA1">
                            <w:pPr>
                              <w:spacing w:line="285" w:lineRule="auto"/>
                              <w:jc w:val="center"/>
                              <w:rPr>
                                <w:rFonts w:eastAsia="+mn-ea" w:cs="+mn-cs"/>
                                <w:b/>
                                <w:bCs/>
                                <w:color w:val="343433"/>
                                <w:kern w:val="24"/>
                                <w:sz w:val="12"/>
                                <w:szCs w:val="12"/>
                              </w:rPr>
                            </w:pPr>
                            <w:r w:rsidRPr="00D77994">
                              <w:rPr>
                                <w:b/>
                                <w:color w:val="343433"/>
                                <w:sz w:val="12"/>
                                <w:szCs w:val="22"/>
                              </w:rPr>
                              <w:t>Провести додаткове фенотипове та генотипове ТМЧ, включаючи ПГС (за наявності), відповідно до національних керівних принципів</w:t>
                            </w:r>
                          </w:p>
                          <w:p w14:paraId="11F1F155" w14:textId="77777777" w:rsidR="009D0C1D" w:rsidRPr="00D77994" w:rsidRDefault="009D0C1D" w:rsidP="00E76FA1">
                            <w:pPr>
                              <w:spacing w:line="285" w:lineRule="auto"/>
                              <w:jc w:val="center"/>
                              <w:rPr>
                                <w:rFonts w:eastAsia="+mn-ea" w:cs="+mn-cs"/>
                                <w:b/>
                                <w:bCs/>
                                <w:color w:val="343433"/>
                                <w:kern w:val="24"/>
                                <w:sz w:val="12"/>
                                <w:szCs w:val="12"/>
                              </w:rPr>
                            </w:pPr>
                            <w:r w:rsidRPr="00D77994">
                              <w:rPr>
                                <w:b/>
                                <w:color w:val="343433"/>
                                <w:sz w:val="12"/>
                                <w:szCs w:val="22"/>
                              </w:rPr>
                              <w:t>Переглянути схему лікування на основі додаткових результатів ТМЧ</w:t>
                            </w:r>
                          </w:p>
                        </w:txbxContent>
                      </v:textbox>
                    </v:rect>
                  </w:pict>
                </mc:Fallback>
              </mc:AlternateContent>
            </w:r>
            <w:r>
              <w:rPr>
                <w:noProof/>
              </w:rPr>
              <mc:AlternateContent>
                <mc:Choice Requires="wps">
                  <w:drawing>
                    <wp:anchor distT="0" distB="0" distL="114300" distR="114300" simplePos="0" relativeHeight="251805696" behindDoc="0" locked="0" layoutInCell="1" allowOverlap="1" wp14:anchorId="5CBCEE5C" wp14:editId="16E460A6">
                      <wp:simplePos x="0" y="0"/>
                      <wp:positionH relativeFrom="column">
                        <wp:posOffset>2301240</wp:posOffset>
                      </wp:positionH>
                      <wp:positionV relativeFrom="paragraph">
                        <wp:posOffset>4454525</wp:posOffset>
                      </wp:positionV>
                      <wp:extent cx="3206750" cy="228600"/>
                      <wp:effectExtent l="0" t="0" r="0" b="0"/>
                      <wp:wrapNone/>
                      <wp:docPr id="305544060" name="Прямокутник 10"/>
                      <wp:cNvGraphicFramePr/>
                      <a:graphic xmlns:a="http://schemas.openxmlformats.org/drawingml/2006/main">
                        <a:graphicData uri="http://schemas.microsoft.com/office/word/2010/wordprocessingShape">
                          <wps:wsp>
                            <wps:cNvSpPr/>
                            <wps:spPr>
                              <a:xfrm>
                                <a:off x="0" y="0"/>
                                <a:ext cx="3206750" cy="228600"/>
                              </a:xfrm>
                              <a:prstGeom prst="rect">
                                <a:avLst/>
                              </a:prstGeom>
                              <a:solidFill>
                                <a:srgbClr val="D2D7EB"/>
                              </a:solidFill>
                            </wps:spPr>
                            <wps:txbx>
                              <w:txbxContent>
                                <w:p w14:paraId="6F75E69B" w14:textId="77777777" w:rsidR="009D0C1D" w:rsidRPr="00D77994" w:rsidRDefault="009D0C1D" w:rsidP="00E76FA1">
                                  <w:pPr>
                                    <w:spacing w:line="290" w:lineRule="auto"/>
                                    <w:jc w:val="center"/>
                                    <w:rPr>
                                      <w:rFonts w:eastAsia="+mn-ea" w:cs="+mn-cs"/>
                                      <w:color w:val="343433"/>
                                      <w:kern w:val="24"/>
                                      <w:sz w:val="12"/>
                                      <w:szCs w:val="12"/>
                                    </w:rPr>
                                  </w:pPr>
                                  <w:r w:rsidRPr="00D77994">
                                    <w:rPr>
                                      <w:color w:val="343433"/>
                                      <w:sz w:val="12"/>
                                      <w:szCs w:val="22"/>
                                    </w:rPr>
                                    <w:t xml:space="preserve">Будь-який </w:t>
                                  </w:r>
                                  <w:r w:rsidRPr="00D77994">
                                    <w:rPr>
                                      <w:b/>
                                      <w:color w:val="343433"/>
                                      <w:sz w:val="11"/>
                                      <w:szCs w:val="22"/>
                                    </w:rPr>
                                    <w:t xml:space="preserve">позитивний результат відновленої культури </w:t>
                                  </w:r>
                                  <w:r w:rsidRPr="00D77994">
                                    <w:rPr>
                                      <w:color w:val="343433"/>
                                      <w:sz w:val="12"/>
                                      <w:szCs w:val="22"/>
                                    </w:rPr>
                                    <w:t xml:space="preserve">під час контролю лікування, що </w:t>
                                  </w:r>
                                  <w:r w:rsidRPr="00D77994">
                                    <w:rPr>
                                      <w:b/>
                                      <w:color w:val="343433"/>
                                      <w:sz w:val="11"/>
                                      <w:szCs w:val="22"/>
                                    </w:rPr>
                                    <w:t>вказує на неефективність повторного лікування</w:t>
                                  </w:r>
                                  <w:r w:rsidRPr="00D77994">
                                    <w:rPr>
                                      <w:b/>
                                      <w:color w:val="0099D6"/>
                                      <w:sz w:val="12"/>
                                      <w:szCs w:val="22"/>
                                      <w:vertAlign w:val="superscript"/>
                                    </w:rPr>
                                    <w:t>g</w:t>
                                  </w:r>
                                </w:p>
                              </w:txbxContent>
                            </wps:txbx>
                            <wps:bodyPr wrap="square" lIns="0" tIns="0" rIns="0" bIns="0">
                              <a:noAutofit/>
                            </wps:bodyPr>
                          </wps:wsp>
                        </a:graphicData>
                      </a:graphic>
                      <wp14:sizeRelH relativeFrom="margin">
                        <wp14:pctWidth>0</wp14:pctWidth>
                      </wp14:sizeRelH>
                    </wp:anchor>
                  </w:drawing>
                </mc:Choice>
                <mc:Fallback>
                  <w:pict>
                    <v:rect w14:anchorId="5CBCEE5C" id="_x0000_s1454" style="position:absolute;margin-left:181.2pt;margin-top:350.75pt;width:252.5pt;height:18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" fillcolor="#d2d7eb" stroked="f">
                      <v:textbox inset="0,0,0,0">
                        <w:txbxContent>
                          <w:p w14:paraId="6F75E69B" w14:textId="77777777" w:rsidR="009D0C1D" w:rsidRPr="00D77994" w:rsidRDefault="009D0C1D" w:rsidP="00E76FA1">
                            <w:pPr>
                              <w:spacing w:line="290" w:lineRule="auto"/>
                              <w:jc w:val="center"/>
                              <w:rPr>
                                <w:rFonts w:eastAsia="+mn-ea" w:cs="+mn-cs"/>
                                <w:color w:val="343433"/>
                                <w:kern w:val="24"/>
                                <w:sz w:val="12"/>
                                <w:szCs w:val="12"/>
                              </w:rPr>
                            </w:pPr>
                            <w:r w:rsidRPr="00D77994">
                              <w:rPr>
                                <w:color w:val="343433"/>
                                <w:sz w:val="12"/>
                                <w:szCs w:val="22"/>
                              </w:rPr>
                              <w:t xml:space="preserve">Будь-який </w:t>
                            </w:r>
                            <w:r w:rsidRPr="00D77994">
                              <w:rPr>
                                <w:b/>
                                <w:color w:val="343433"/>
                                <w:sz w:val="11"/>
                                <w:szCs w:val="22"/>
                              </w:rPr>
                              <w:t xml:space="preserve">позитивний результат відновленої культури </w:t>
                            </w:r>
                            <w:r w:rsidRPr="00D77994">
                              <w:rPr>
                                <w:color w:val="343433"/>
                                <w:sz w:val="12"/>
                                <w:szCs w:val="22"/>
                              </w:rPr>
                              <w:t xml:space="preserve">під час контролю лікування, що </w:t>
                            </w:r>
                            <w:r w:rsidRPr="00D77994">
                              <w:rPr>
                                <w:b/>
                                <w:color w:val="343433"/>
                                <w:sz w:val="11"/>
                                <w:szCs w:val="22"/>
                              </w:rPr>
                              <w:t>вказує на неефективність повторного лікування</w:t>
                            </w:r>
                            <w:r w:rsidRPr="00D77994">
                              <w:rPr>
                                <w:b/>
                                <w:color w:val="0099D6"/>
                                <w:sz w:val="12"/>
                                <w:szCs w:val="22"/>
                                <w:vertAlign w:val="superscript"/>
                              </w:rPr>
                              <w:t>g</w:t>
                            </w:r>
                          </w:p>
                        </w:txbxContent>
                      </v:textbox>
                    </v:rect>
                  </w:pict>
                </mc:Fallback>
              </mc:AlternateContent>
            </w:r>
            <w:r>
              <w:rPr>
                <w:noProof/>
              </w:rPr>
              <mc:AlternateContent>
                <mc:Choice Requires="wps">
                  <w:drawing>
                    <wp:anchor distT="0" distB="0" distL="114300" distR="114300" simplePos="0" relativeHeight="251808768" behindDoc="0" locked="0" layoutInCell="1" allowOverlap="1" wp14:anchorId="4847B99A" wp14:editId="0C1CBB6C">
                      <wp:simplePos x="0" y="0"/>
                      <wp:positionH relativeFrom="column">
                        <wp:posOffset>5171440</wp:posOffset>
                      </wp:positionH>
                      <wp:positionV relativeFrom="paragraph">
                        <wp:posOffset>2428875</wp:posOffset>
                      </wp:positionV>
                      <wp:extent cx="969645" cy="190500"/>
                      <wp:effectExtent l="0" t="0" r="1905" b="0"/>
                      <wp:wrapNone/>
                      <wp:docPr id="2135686915" name="Прямокутник 13"/>
                      <wp:cNvGraphicFramePr/>
                      <a:graphic xmlns:a="http://schemas.openxmlformats.org/drawingml/2006/main">
                        <a:graphicData uri="http://schemas.microsoft.com/office/word/2010/wordprocessingShape">
                          <wps:wsp>
                            <wps:cNvSpPr/>
                            <wps:spPr>
                              <a:xfrm>
                                <a:off x="0" y="0"/>
                                <a:ext cx="969645" cy="190500"/>
                              </a:xfrm>
                              <a:prstGeom prst="rect">
                                <a:avLst/>
                              </a:prstGeom>
                              <a:solidFill>
                                <a:srgbClr val="C4B3D7"/>
                              </a:solidFill>
                            </wps:spPr>
                            <wps:txbx>
                              <w:txbxContent>
                                <w:p w14:paraId="387066BF" w14:textId="77777777" w:rsidR="009D0C1D" w:rsidRPr="00D77994" w:rsidRDefault="009D0C1D" w:rsidP="00E76FA1">
                                  <w:pPr>
                                    <w:rPr>
                                      <w:rFonts w:eastAsia="+mn-ea" w:cs="+mn-cs"/>
                                      <w:b/>
                                      <w:bCs/>
                                      <w:color w:val="343433"/>
                                      <w:kern w:val="24"/>
                                      <w:sz w:val="11"/>
                                      <w:szCs w:val="11"/>
                                    </w:rPr>
                                  </w:pPr>
                                  <w:r w:rsidRPr="00D77994">
                                    <w:rPr>
                                      <w:b/>
                                      <w:color w:val="343433"/>
                                      <w:sz w:val="11"/>
                                      <w:szCs w:val="22"/>
                                    </w:rPr>
                                    <w:t>Результати фенотипового ТМЧ</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847B99A" id="_x0000_s1455" style="position:absolute;margin-left:407.2pt;margin-top:191.25pt;width:76.35pt;height: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" fillcolor="#c4b3d7" stroked="f">
                      <v:textbox inset="0,0,0,0">
                        <w:txbxContent>
                          <w:p w14:paraId="387066BF" w14:textId="77777777" w:rsidR="009D0C1D" w:rsidRPr="00D77994" w:rsidRDefault="009D0C1D" w:rsidP="00E76FA1">
                            <w:pPr>
                              <w:rPr>
                                <w:rFonts w:eastAsia="+mn-ea" w:cs="+mn-cs"/>
                                <w:b/>
                                <w:bCs/>
                                <w:color w:val="343433"/>
                                <w:kern w:val="24"/>
                                <w:sz w:val="11"/>
                                <w:szCs w:val="11"/>
                              </w:rPr>
                            </w:pPr>
                            <w:r w:rsidRPr="00D77994">
                              <w:rPr>
                                <w:b/>
                                <w:color w:val="343433"/>
                                <w:sz w:val="11"/>
                                <w:szCs w:val="22"/>
                              </w:rPr>
                              <w:t>Результати фенотипового ТМЧ</w:t>
                            </w:r>
                          </w:p>
                        </w:txbxContent>
                      </v:textbox>
                    </v:rect>
                  </w:pict>
                </mc:Fallback>
              </mc:AlternateContent>
            </w:r>
            <w:r>
              <w:rPr>
                <w:noProof/>
              </w:rPr>
              <mc:AlternateContent>
                <mc:Choice Requires="wps">
                  <w:drawing>
                    <wp:anchor distT="0" distB="0" distL="114300" distR="114300" simplePos="0" relativeHeight="251809792" behindDoc="0" locked="0" layoutInCell="1" allowOverlap="1" wp14:anchorId="082B809C" wp14:editId="09F7E7B6">
                      <wp:simplePos x="0" y="0"/>
                      <wp:positionH relativeFrom="column">
                        <wp:posOffset>4898390</wp:posOffset>
                      </wp:positionH>
                      <wp:positionV relativeFrom="paragraph">
                        <wp:posOffset>2911475</wp:posOffset>
                      </wp:positionV>
                      <wp:extent cx="1581150" cy="990600"/>
                      <wp:effectExtent l="0" t="0" r="0" b="0"/>
                      <wp:wrapNone/>
                      <wp:docPr id="19753368" name="Прямокутник 14"/>
                      <wp:cNvGraphicFramePr/>
                      <a:graphic xmlns:a="http://schemas.openxmlformats.org/drawingml/2006/main">
                        <a:graphicData uri="http://schemas.microsoft.com/office/word/2010/wordprocessingShape">
                          <wps:wsp>
                            <wps:cNvSpPr/>
                            <wps:spPr>
                              <a:xfrm>
                                <a:off x="0" y="0"/>
                                <a:ext cx="1581150" cy="990600"/>
                              </a:xfrm>
                              <a:prstGeom prst="rect">
                                <a:avLst/>
                              </a:prstGeom>
                              <a:solidFill>
                                <a:srgbClr val="DACEE4"/>
                              </a:solidFill>
                            </wps:spPr>
                            <wps:txbx>
                              <w:txbxContent>
                                <w:p w14:paraId="066590DA" w14:textId="77777777" w:rsidR="009D0C1D" w:rsidRPr="00D77994" w:rsidRDefault="009D0C1D" w:rsidP="00E76FA1">
                                  <w:pPr>
                                    <w:spacing w:after="84" w:line="276" w:lineRule="auto"/>
                                    <w:rPr>
                                      <w:rFonts w:eastAsia="+mn-ea" w:cs="+mn-cs"/>
                                      <w:color w:val="343433"/>
                                      <w:kern w:val="24"/>
                                      <w:sz w:val="12"/>
                                      <w:szCs w:val="12"/>
                                    </w:rPr>
                                  </w:pPr>
                                  <w:r w:rsidRPr="00D77994">
                                    <w:rPr>
                                      <w:color w:val="343433"/>
                                      <w:sz w:val="12"/>
                                      <w:szCs w:val="22"/>
                                    </w:rPr>
                                    <w:t>Переглянути схему лікування на основі результатів ТМЧ</w:t>
                                  </w:r>
                                  <w:r w:rsidRPr="00D77994">
                                    <w:rPr>
                                      <w:b/>
                                      <w:color w:val="0099D6"/>
                                      <w:sz w:val="12"/>
                                      <w:szCs w:val="22"/>
                                      <w:vertAlign w:val="superscript"/>
                                    </w:rPr>
                                    <w:t>e</w:t>
                                  </w:r>
                                </w:p>
                                <w:p w14:paraId="01729E0B" w14:textId="77777777" w:rsidR="009D0C1D" w:rsidRPr="00D77994" w:rsidRDefault="009D0C1D" w:rsidP="00E76FA1">
                                  <w:pPr>
                                    <w:spacing w:after="84" w:line="283" w:lineRule="auto"/>
                                    <w:rPr>
                                      <w:rFonts w:eastAsia="+mn-ea" w:cs="+mn-cs"/>
                                      <w:color w:val="343433"/>
                                      <w:kern w:val="24"/>
                                      <w:sz w:val="12"/>
                                      <w:szCs w:val="12"/>
                                    </w:rPr>
                                  </w:pPr>
                                  <w:r w:rsidRPr="00D77994">
                                    <w:rPr>
                                      <w:color w:val="343433"/>
                                      <w:sz w:val="12"/>
                                      <w:szCs w:val="22"/>
                                    </w:rPr>
                                    <w:t>Провести додаткове ТМЧ відповідно до національних керівних принципів</w:t>
                                  </w:r>
                                  <w:r w:rsidRPr="00D77994">
                                    <w:rPr>
                                      <w:b/>
                                      <w:color w:val="0099D6"/>
                                      <w:sz w:val="12"/>
                                      <w:szCs w:val="22"/>
                                      <w:vertAlign w:val="superscript"/>
                                    </w:rPr>
                                    <w:t>f</w:t>
                                  </w:r>
                                </w:p>
                                <w:p w14:paraId="2525AADE" w14:textId="77777777" w:rsidR="009D0C1D" w:rsidRPr="00D77994" w:rsidRDefault="009D0C1D" w:rsidP="00E76FA1">
                                  <w:pPr>
                                    <w:spacing w:line="276" w:lineRule="auto"/>
                                    <w:rPr>
                                      <w:rFonts w:eastAsia="+mn-ea" w:cs="+mn-cs"/>
                                      <w:color w:val="343433"/>
                                      <w:kern w:val="24"/>
                                      <w:sz w:val="12"/>
                                      <w:szCs w:val="12"/>
                                    </w:rPr>
                                  </w:pPr>
                                  <w:r w:rsidRPr="00D77994">
                                    <w:rPr>
                                      <w:color w:val="343433"/>
                                      <w:sz w:val="12"/>
                                      <w:szCs w:val="22"/>
                                    </w:rPr>
                                    <w:t>Переглянути схему лікування на основі додаткових результатів ТМЧ</w:t>
                                  </w:r>
                                </w:p>
                              </w:txbxContent>
                            </wps:txbx>
                            <wps:bodyPr wrap="square" lIns="0" tIns="0" rIns="0" bIns="0">
                              <a:noAutofit/>
                            </wps:bodyPr>
                          </wps:wsp>
                        </a:graphicData>
                      </a:graphic>
                      <wp14:sizeRelH relativeFrom="margin">
                        <wp14:pctWidth>0</wp14:pctWidth>
                      </wp14:sizeRelH>
                    </wp:anchor>
                  </w:drawing>
                </mc:Choice>
                <mc:Fallback>
                  <w:pict>
                    <v:rect w14:anchorId="082B809C" id="_x0000_s1456" style="position:absolute;margin-left:385.7pt;margin-top:229.25pt;width:124.5pt;height:78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" fillcolor="#dacee4" stroked="f">
                      <v:textbox inset="0,0,0,0">
                        <w:txbxContent>
                          <w:p w14:paraId="066590DA" w14:textId="77777777" w:rsidR="009D0C1D" w:rsidRPr="00D77994" w:rsidRDefault="009D0C1D" w:rsidP="00E76FA1">
                            <w:pPr>
                              <w:spacing w:after="84" w:line="276" w:lineRule="auto"/>
                              <w:rPr>
                                <w:rFonts w:eastAsia="+mn-ea" w:cs="+mn-cs"/>
                                <w:color w:val="343433"/>
                                <w:kern w:val="24"/>
                                <w:sz w:val="12"/>
                                <w:szCs w:val="12"/>
                              </w:rPr>
                            </w:pPr>
                            <w:r w:rsidRPr="00D77994">
                              <w:rPr>
                                <w:color w:val="343433"/>
                                <w:sz w:val="12"/>
                                <w:szCs w:val="22"/>
                              </w:rPr>
                              <w:t>Переглянути схему лікування на основі результатів ТМЧ</w:t>
                            </w:r>
                            <w:r w:rsidRPr="00D77994">
                              <w:rPr>
                                <w:b/>
                                <w:color w:val="0099D6"/>
                                <w:sz w:val="12"/>
                                <w:szCs w:val="22"/>
                                <w:vertAlign w:val="superscript"/>
                              </w:rPr>
                              <w:t>e</w:t>
                            </w:r>
                          </w:p>
                          <w:p w14:paraId="01729E0B" w14:textId="77777777" w:rsidR="009D0C1D" w:rsidRPr="00D77994" w:rsidRDefault="009D0C1D" w:rsidP="00E76FA1">
                            <w:pPr>
                              <w:spacing w:after="84" w:line="283" w:lineRule="auto"/>
                              <w:rPr>
                                <w:rFonts w:eastAsia="+mn-ea" w:cs="+mn-cs"/>
                                <w:color w:val="343433"/>
                                <w:kern w:val="24"/>
                                <w:sz w:val="12"/>
                                <w:szCs w:val="12"/>
                              </w:rPr>
                            </w:pPr>
                            <w:r w:rsidRPr="00D77994">
                              <w:rPr>
                                <w:color w:val="343433"/>
                                <w:sz w:val="12"/>
                                <w:szCs w:val="22"/>
                              </w:rPr>
                              <w:t>Провести додаткове ТМЧ відповідно до національних керівних принципів</w:t>
                            </w:r>
                            <w:r w:rsidRPr="00D77994">
                              <w:rPr>
                                <w:b/>
                                <w:color w:val="0099D6"/>
                                <w:sz w:val="12"/>
                                <w:szCs w:val="22"/>
                                <w:vertAlign w:val="superscript"/>
                              </w:rPr>
                              <w:t>f</w:t>
                            </w:r>
                          </w:p>
                          <w:p w14:paraId="2525AADE" w14:textId="77777777" w:rsidR="009D0C1D" w:rsidRPr="00D77994" w:rsidRDefault="009D0C1D" w:rsidP="00E76FA1">
                            <w:pPr>
                              <w:spacing w:line="276" w:lineRule="auto"/>
                              <w:rPr>
                                <w:rFonts w:eastAsia="+mn-ea" w:cs="+mn-cs"/>
                                <w:color w:val="343433"/>
                                <w:kern w:val="24"/>
                                <w:sz w:val="12"/>
                                <w:szCs w:val="12"/>
                              </w:rPr>
                            </w:pPr>
                            <w:r w:rsidRPr="00D77994">
                              <w:rPr>
                                <w:color w:val="343433"/>
                                <w:sz w:val="12"/>
                                <w:szCs w:val="22"/>
                              </w:rPr>
                              <w:t>Переглянути схему лікування на основі додаткових результатів ТМЧ</w:t>
                            </w:r>
                          </w:p>
                        </w:txbxContent>
                      </v:textbox>
                    </v:rect>
                  </w:pict>
                </mc:Fallback>
              </mc:AlternateContent>
            </w:r>
            <w:r>
              <w:rPr>
                <w:noProof/>
              </w:rPr>
              <mc:AlternateContent>
                <mc:Choice Requires="wps">
                  <w:drawing>
                    <wp:anchor distT="0" distB="0" distL="114300" distR="114300" simplePos="0" relativeHeight="251803648" behindDoc="0" locked="0" layoutInCell="1" allowOverlap="1" wp14:anchorId="009E91E1" wp14:editId="6FCFBACC">
                      <wp:simplePos x="0" y="0"/>
                      <wp:positionH relativeFrom="column">
                        <wp:posOffset>2999740</wp:posOffset>
                      </wp:positionH>
                      <wp:positionV relativeFrom="paragraph">
                        <wp:posOffset>2917825</wp:posOffset>
                      </wp:positionV>
                      <wp:extent cx="1530350" cy="1082040"/>
                      <wp:effectExtent l="0" t="0" r="0" b="3810"/>
                      <wp:wrapNone/>
                      <wp:docPr id="1937800826" name="Прямокутник 8"/>
                      <wp:cNvGraphicFramePr/>
                      <a:graphic xmlns:a="http://schemas.openxmlformats.org/drawingml/2006/main">
                        <a:graphicData uri="http://schemas.microsoft.com/office/word/2010/wordprocessingShape">
                          <wps:wsp>
                            <wps:cNvSpPr/>
                            <wps:spPr>
                              <a:xfrm>
                                <a:off x="0" y="0"/>
                                <a:ext cx="1530350" cy="1082040"/>
                              </a:xfrm>
                              <a:prstGeom prst="rect">
                                <a:avLst/>
                              </a:prstGeom>
                              <a:solidFill>
                                <a:srgbClr val="FAF8CF"/>
                              </a:solidFill>
                            </wps:spPr>
                            <wps:txbx>
                              <w:txbxContent>
                                <w:p w14:paraId="2F3801BD" w14:textId="77777777" w:rsidR="009D0C1D" w:rsidRPr="00D77994" w:rsidRDefault="009D0C1D" w:rsidP="00E76FA1">
                                  <w:pPr>
                                    <w:spacing w:after="70" w:line="285" w:lineRule="auto"/>
                                    <w:rPr>
                                      <w:rFonts w:eastAsia="+mn-ea" w:cs="+mn-cs"/>
                                      <w:color w:val="343433"/>
                                      <w:kern w:val="24"/>
                                      <w:sz w:val="12"/>
                                      <w:szCs w:val="12"/>
                                    </w:rPr>
                                  </w:pPr>
                                  <w:r w:rsidRPr="00D77994">
                                    <w:rPr>
                                      <w:color w:val="343433"/>
                                      <w:sz w:val="12"/>
                                      <w:szCs w:val="22"/>
                                    </w:rPr>
                                    <w:t>Продовжити схему лікування</w:t>
                                  </w:r>
                                </w:p>
                                <w:p w14:paraId="12A78229" w14:textId="77777777" w:rsidR="009D0C1D" w:rsidRPr="00D77994" w:rsidRDefault="009D0C1D" w:rsidP="00E76FA1">
                                  <w:pPr>
                                    <w:spacing w:after="70" w:line="285" w:lineRule="auto"/>
                                    <w:rPr>
                                      <w:rFonts w:eastAsia="+mn-ea" w:cs="+mn-cs"/>
                                      <w:color w:val="343433"/>
                                      <w:kern w:val="24"/>
                                      <w:sz w:val="12"/>
                                      <w:szCs w:val="12"/>
                                    </w:rPr>
                                  </w:pPr>
                                  <w:r w:rsidRPr="00D77994">
                                    <w:rPr>
                                      <w:color w:val="343433"/>
                                      <w:sz w:val="12"/>
                                      <w:szCs w:val="22"/>
                                    </w:rPr>
                                    <w:t>Розглянути повторне молекулярне ТМЧ</w:t>
                                  </w:r>
                                </w:p>
                                <w:p w14:paraId="3F3911D9" w14:textId="77777777" w:rsidR="009D0C1D" w:rsidRPr="00D77994" w:rsidRDefault="009D0C1D" w:rsidP="00E76FA1">
                                  <w:pPr>
                                    <w:spacing w:after="70" w:line="283" w:lineRule="auto"/>
                                    <w:rPr>
                                      <w:rFonts w:eastAsia="+mn-ea" w:cs="+mn-cs"/>
                                      <w:color w:val="343433"/>
                                      <w:kern w:val="24"/>
                                      <w:sz w:val="12"/>
                                      <w:szCs w:val="12"/>
                                    </w:rPr>
                                  </w:pPr>
                                  <w:r w:rsidRPr="00D77994">
                                    <w:rPr>
                                      <w:color w:val="343433"/>
                                      <w:sz w:val="12"/>
                                      <w:szCs w:val="22"/>
                                    </w:rPr>
                                    <w:t>Провести додаткове ТМЧ відповідно до національних керівних принципів</w:t>
                                  </w:r>
                                  <w:r w:rsidRPr="00D77994">
                                    <w:rPr>
                                      <w:b/>
                                      <w:color w:val="0099D6"/>
                                      <w:sz w:val="12"/>
                                      <w:szCs w:val="22"/>
                                      <w:vertAlign w:val="superscript"/>
                                    </w:rPr>
                                    <w:t>f</w:t>
                                  </w:r>
                                </w:p>
                                <w:p w14:paraId="0B6E7918" w14:textId="77777777" w:rsidR="009D0C1D" w:rsidRPr="00D77994" w:rsidRDefault="009D0C1D" w:rsidP="00E76FA1">
                                  <w:pPr>
                                    <w:spacing w:line="285" w:lineRule="auto"/>
                                    <w:rPr>
                                      <w:rFonts w:eastAsia="+mn-ea" w:cs="+mn-cs"/>
                                      <w:color w:val="343433"/>
                                      <w:kern w:val="24"/>
                                      <w:sz w:val="12"/>
                                      <w:szCs w:val="12"/>
                                    </w:rPr>
                                  </w:pPr>
                                  <w:r w:rsidRPr="00D77994">
                                    <w:rPr>
                                      <w:color w:val="343433"/>
                                      <w:sz w:val="12"/>
                                      <w:szCs w:val="22"/>
                                    </w:rPr>
                                    <w:t>Переглянути схему лікування на основі додаткових результатів ТМЧ</w:t>
                                  </w:r>
                                </w:p>
                              </w:txbxContent>
                            </wps:txbx>
                            <wps:bodyPr wrap="square" lIns="0" tIns="0" rIns="0" bIns="0">
                              <a:noAutofit/>
                            </wps:bodyPr>
                          </wps:wsp>
                        </a:graphicData>
                      </a:graphic>
                      <wp14:sizeRelH relativeFrom="margin">
                        <wp14:pctWidth>0</wp14:pctWidth>
                      </wp14:sizeRelH>
                    </wp:anchor>
                  </w:drawing>
                </mc:Choice>
                <mc:Fallback>
                  <w:pict>
                    <v:rect w14:anchorId="009E91E1" id="_x0000_s1457" style="position:absolute;margin-left:236.2pt;margin-top:229.75pt;width:120.5pt;height:85.2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" fillcolor="#faf8cf" stroked="f">
                      <v:textbox inset="0,0,0,0">
                        <w:txbxContent>
                          <w:p w14:paraId="2F3801BD" w14:textId="77777777" w:rsidR="009D0C1D" w:rsidRPr="00D77994" w:rsidRDefault="009D0C1D" w:rsidP="00E76FA1">
                            <w:pPr>
                              <w:spacing w:after="70" w:line="285" w:lineRule="auto"/>
                              <w:rPr>
                                <w:rFonts w:eastAsia="+mn-ea" w:cs="+mn-cs"/>
                                <w:color w:val="343433"/>
                                <w:kern w:val="24"/>
                                <w:sz w:val="12"/>
                                <w:szCs w:val="12"/>
                              </w:rPr>
                            </w:pPr>
                            <w:r w:rsidRPr="00D77994">
                              <w:rPr>
                                <w:color w:val="343433"/>
                                <w:sz w:val="12"/>
                                <w:szCs w:val="22"/>
                              </w:rPr>
                              <w:t>Продовжити схему лікування</w:t>
                            </w:r>
                          </w:p>
                          <w:p w14:paraId="12A78229" w14:textId="77777777" w:rsidR="009D0C1D" w:rsidRPr="00D77994" w:rsidRDefault="009D0C1D" w:rsidP="00E76FA1">
                            <w:pPr>
                              <w:spacing w:after="70" w:line="285" w:lineRule="auto"/>
                              <w:rPr>
                                <w:rFonts w:eastAsia="+mn-ea" w:cs="+mn-cs"/>
                                <w:color w:val="343433"/>
                                <w:kern w:val="24"/>
                                <w:sz w:val="12"/>
                                <w:szCs w:val="12"/>
                              </w:rPr>
                            </w:pPr>
                            <w:r w:rsidRPr="00D77994">
                              <w:rPr>
                                <w:color w:val="343433"/>
                                <w:sz w:val="12"/>
                                <w:szCs w:val="22"/>
                              </w:rPr>
                              <w:t>Розглянути повторне молекулярне ТМЧ</w:t>
                            </w:r>
                          </w:p>
                          <w:p w14:paraId="3F3911D9" w14:textId="77777777" w:rsidR="009D0C1D" w:rsidRPr="00D77994" w:rsidRDefault="009D0C1D" w:rsidP="00E76FA1">
                            <w:pPr>
                              <w:spacing w:after="70" w:line="283" w:lineRule="auto"/>
                              <w:rPr>
                                <w:rFonts w:eastAsia="+mn-ea" w:cs="+mn-cs"/>
                                <w:color w:val="343433"/>
                                <w:kern w:val="24"/>
                                <w:sz w:val="12"/>
                                <w:szCs w:val="12"/>
                              </w:rPr>
                            </w:pPr>
                            <w:r w:rsidRPr="00D77994">
                              <w:rPr>
                                <w:color w:val="343433"/>
                                <w:sz w:val="12"/>
                                <w:szCs w:val="22"/>
                              </w:rPr>
                              <w:t>Провести додаткове ТМЧ відповідно до національних керівних принципів</w:t>
                            </w:r>
                            <w:r w:rsidRPr="00D77994">
                              <w:rPr>
                                <w:b/>
                                <w:color w:val="0099D6"/>
                                <w:sz w:val="12"/>
                                <w:szCs w:val="22"/>
                                <w:vertAlign w:val="superscript"/>
                              </w:rPr>
                              <w:t>f</w:t>
                            </w:r>
                          </w:p>
                          <w:p w14:paraId="0B6E7918" w14:textId="77777777" w:rsidR="009D0C1D" w:rsidRPr="00D77994" w:rsidRDefault="009D0C1D" w:rsidP="00E76FA1">
                            <w:pPr>
                              <w:spacing w:line="285" w:lineRule="auto"/>
                              <w:rPr>
                                <w:rFonts w:eastAsia="+mn-ea" w:cs="+mn-cs"/>
                                <w:color w:val="343433"/>
                                <w:kern w:val="24"/>
                                <w:sz w:val="12"/>
                                <w:szCs w:val="12"/>
                              </w:rPr>
                            </w:pPr>
                            <w:r w:rsidRPr="00D77994">
                              <w:rPr>
                                <w:color w:val="343433"/>
                                <w:sz w:val="12"/>
                                <w:szCs w:val="22"/>
                              </w:rPr>
                              <w:t>Переглянути схему лікування на основі додаткових результатів ТМЧ</w:t>
                            </w:r>
                          </w:p>
                        </w:txbxContent>
                      </v:textbox>
                    </v:rect>
                  </w:pict>
                </mc:Fallback>
              </mc:AlternateContent>
            </w:r>
            <w:r>
              <w:rPr>
                <w:noProof/>
              </w:rPr>
              <mc:AlternateContent>
                <mc:Choice Requires="wps">
                  <w:drawing>
                    <wp:anchor distT="0" distB="0" distL="114300" distR="114300" simplePos="0" relativeHeight="251802624" behindDoc="0" locked="0" layoutInCell="1" allowOverlap="1" wp14:anchorId="4EDEEF0F" wp14:editId="16E71216">
                      <wp:simplePos x="0" y="0"/>
                      <wp:positionH relativeFrom="column">
                        <wp:posOffset>1062990</wp:posOffset>
                      </wp:positionH>
                      <wp:positionV relativeFrom="paragraph">
                        <wp:posOffset>2911475</wp:posOffset>
                      </wp:positionV>
                      <wp:extent cx="1555750" cy="1115060"/>
                      <wp:effectExtent l="0" t="0" r="6350" b="8890"/>
                      <wp:wrapNone/>
                      <wp:docPr id="2009897940" name="Прямокутник 7"/>
                      <wp:cNvGraphicFramePr/>
                      <a:graphic xmlns:a="http://schemas.openxmlformats.org/drawingml/2006/main">
                        <a:graphicData uri="http://schemas.microsoft.com/office/word/2010/wordprocessingShape">
                          <wps:wsp>
                            <wps:cNvSpPr/>
                            <wps:spPr>
                              <a:xfrm>
                                <a:off x="0" y="0"/>
                                <a:ext cx="1555750" cy="1115060"/>
                              </a:xfrm>
                              <a:prstGeom prst="rect">
                                <a:avLst/>
                              </a:prstGeom>
                              <a:solidFill>
                                <a:srgbClr val="FAF8CF"/>
                              </a:solidFill>
                            </wps:spPr>
                            <wps:txbx>
                              <w:txbxContent>
                                <w:p w14:paraId="68057F35" w14:textId="77777777" w:rsidR="009D0C1D" w:rsidRPr="00D77994" w:rsidRDefault="009D0C1D" w:rsidP="00E76FA1">
                                  <w:pPr>
                                    <w:spacing w:after="84" w:line="283" w:lineRule="auto"/>
                                    <w:rPr>
                                      <w:rFonts w:eastAsia="+mn-ea" w:cs="+mn-cs"/>
                                      <w:color w:val="343433"/>
                                      <w:kern w:val="24"/>
                                      <w:sz w:val="12"/>
                                      <w:szCs w:val="12"/>
                                    </w:rPr>
                                  </w:pPr>
                                  <w:r w:rsidRPr="00D77994">
                                    <w:rPr>
                                      <w:color w:val="343433"/>
                                      <w:sz w:val="12"/>
                                      <w:szCs w:val="22"/>
                                    </w:rPr>
                                    <w:t>Переглянути схему лікування на основі результатів ТМЧ та скоригувати схему, як описано на рис. 6.3</w:t>
                                  </w:r>
                                  <w:r w:rsidRPr="00D77994">
                                    <w:rPr>
                                      <w:b/>
                                      <w:color w:val="0099D6"/>
                                      <w:sz w:val="12"/>
                                      <w:szCs w:val="22"/>
                                      <w:vertAlign w:val="superscript"/>
                                    </w:rPr>
                                    <w:t>e</w:t>
                                  </w:r>
                                </w:p>
                                <w:p w14:paraId="35EE059F" w14:textId="77777777" w:rsidR="009D0C1D" w:rsidRPr="00D77994" w:rsidRDefault="009D0C1D" w:rsidP="00E76FA1">
                                  <w:pPr>
                                    <w:spacing w:after="84" w:line="276" w:lineRule="auto"/>
                                    <w:rPr>
                                      <w:rFonts w:eastAsia="+mn-ea" w:cs="+mn-cs"/>
                                      <w:color w:val="343433"/>
                                      <w:kern w:val="24"/>
                                      <w:sz w:val="12"/>
                                      <w:szCs w:val="12"/>
                                    </w:rPr>
                                  </w:pPr>
                                  <w:r w:rsidRPr="00D77994">
                                    <w:rPr>
                                      <w:color w:val="343433"/>
                                      <w:sz w:val="12"/>
                                      <w:szCs w:val="22"/>
                                    </w:rPr>
                                    <w:t>Conduct additional DST in accordance with na tional guidelines</w:t>
                                  </w:r>
                                  <w:r w:rsidRPr="00D77994">
                                    <w:rPr>
                                      <w:b/>
                                      <w:color w:val="0099D6"/>
                                      <w:sz w:val="12"/>
                                      <w:szCs w:val="22"/>
                                      <w:vertAlign w:val="superscript"/>
                                    </w:rPr>
                                    <w:t>f</w:t>
                                  </w:r>
                                </w:p>
                                <w:p w14:paraId="075A77C9" w14:textId="77777777" w:rsidR="009D0C1D" w:rsidRPr="00D77994" w:rsidRDefault="009D0C1D" w:rsidP="00E76FA1">
                                  <w:pPr>
                                    <w:spacing w:line="285" w:lineRule="auto"/>
                                    <w:rPr>
                                      <w:rFonts w:eastAsia="+mn-ea" w:cs="+mn-cs"/>
                                      <w:color w:val="343433"/>
                                      <w:kern w:val="24"/>
                                      <w:sz w:val="12"/>
                                      <w:szCs w:val="12"/>
                                    </w:rPr>
                                  </w:pPr>
                                  <w:r w:rsidRPr="00D77994">
                                    <w:rPr>
                                      <w:color w:val="343433"/>
                                      <w:sz w:val="12"/>
                                      <w:szCs w:val="22"/>
                                    </w:rPr>
                                    <w:t>Переглянути схему лікування на основі додаткових результатів ТМЧ</w:t>
                                  </w:r>
                                </w:p>
                              </w:txbxContent>
                            </wps:txbx>
                            <wps:bodyPr wrap="square" lIns="0" tIns="0" rIns="0" bIns="0">
                              <a:noAutofit/>
                            </wps:bodyPr>
                          </wps:wsp>
                        </a:graphicData>
                      </a:graphic>
                      <wp14:sizeRelH relativeFrom="margin">
                        <wp14:pctWidth>0</wp14:pctWidth>
                      </wp14:sizeRelH>
                    </wp:anchor>
                  </w:drawing>
                </mc:Choice>
                <mc:Fallback>
                  <w:pict>
                    <v:rect w14:anchorId="4EDEEF0F" id="_x0000_s1458" style="position:absolute;margin-left:83.7pt;margin-top:229.25pt;width:122.5pt;height:87.8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" fillcolor="#faf8cf" stroked="f">
                      <v:textbox inset="0,0,0,0">
                        <w:txbxContent>
                          <w:p w14:paraId="68057F35" w14:textId="77777777" w:rsidR="009D0C1D" w:rsidRPr="00D77994" w:rsidRDefault="009D0C1D" w:rsidP="00E76FA1">
                            <w:pPr>
                              <w:spacing w:after="84" w:line="283" w:lineRule="auto"/>
                              <w:rPr>
                                <w:rFonts w:eastAsia="+mn-ea" w:cs="+mn-cs"/>
                                <w:color w:val="343433"/>
                                <w:kern w:val="24"/>
                                <w:sz w:val="12"/>
                                <w:szCs w:val="12"/>
                              </w:rPr>
                            </w:pPr>
                            <w:r w:rsidRPr="00D77994">
                              <w:rPr>
                                <w:color w:val="343433"/>
                                <w:sz w:val="12"/>
                                <w:szCs w:val="22"/>
                              </w:rPr>
                              <w:t>Переглянути схему лікування на основі результатів ТМЧ та скоригувати схему, як описано на рис. 6.3</w:t>
                            </w:r>
                            <w:r w:rsidRPr="00D77994">
                              <w:rPr>
                                <w:b/>
                                <w:color w:val="0099D6"/>
                                <w:sz w:val="12"/>
                                <w:szCs w:val="22"/>
                                <w:vertAlign w:val="superscript"/>
                              </w:rPr>
                              <w:t>e</w:t>
                            </w:r>
                          </w:p>
                          <w:p w14:paraId="35EE059F" w14:textId="77777777" w:rsidR="009D0C1D" w:rsidRPr="00D77994" w:rsidRDefault="009D0C1D" w:rsidP="00E76FA1">
                            <w:pPr>
                              <w:spacing w:after="84" w:line="276" w:lineRule="auto"/>
                              <w:rPr>
                                <w:rFonts w:eastAsia="+mn-ea" w:cs="+mn-cs"/>
                                <w:color w:val="343433"/>
                                <w:kern w:val="24"/>
                                <w:sz w:val="12"/>
                                <w:szCs w:val="12"/>
                              </w:rPr>
                            </w:pPr>
                            <w:r w:rsidRPr="00D77994">
                              <w:rPr>
                                <w:color w:val="343433"/>
                                <w:sz w:val="12"/>
                                <w:szCs w:val="22"/>
                              </w:rPr>
                              <w:t>Conduct additional DST in accordance with na tional guidelines</w:t>
                            </w:r>
                            <w:r w:rsidRPr="00D77994">
                              <w:rPr>
                                <w:b/>
                                <w:color w:val="0099D6"/>
                                <w:sz w:val="12"/>
                                <w:szCs w:val="22"/>
                                <w:vertAlign w:val="superscript"/>
                              </w:rPr>
                              <w:t>f</w:t>
                            </w:r>
                          </w:p>
                          <w:p w14:paraId="075A77C9" w14:textId="77777777" w:rsidR="009D0C1D" w:rsidRPr="00D77994" w:rsidRDefault="009D0C1D" w:rsidP="00E76FA1">
                            <w:pPr>
                              <w:spacing w:line="285" w:lineRule="auto"/>
                              <w:rPr>
                                <w:rFonts w:eastAsia="+mn-ea" w:cs="+mn-cs"/>
                                <w:color w:val="343433"/>
                                <w:kern w:val="24"/>
                                <w:sz w:val="12"/>
                                <w:szCs w:val="12"/>
                              </w:rPr>
                            </w:pPr>
                            <w:r w:rsidRPr="00D77994">
                              <w:rPr>
                                <w:color w:val="343433"/>
                                <w:sz w:val="12"/>
                                <w:szCs w:val="22"/>
                              </w:rPr>
                              <w:t>Переглянути схему лікування на основі додаткових результатів ТМЧ</w:t>
                            </w:r>
                          </w:p>
                        </w:txbxContent>
                      </v:textbox>
                    </v:rect>
                  </w:pict>
                </mc:Fallback>
              </mc:AlternateContent>
            </w:r>
            <w:r>
              <w:rPr>
                <w:noProof/>
              </w:rPr>
              <mc:AlternateContent>
                <mc:Choice Requires="wps">
                  <w:drawing>
                    <wp:anchor distT="0" distB="0" distL="114300" distR="114300" simplePos="0" relativeHeight="251807744" behindDoc="0" locked="0" layoutInCell="1" allowOverlap="1" wp14:anchorId="192B5C88" wp14:editId="3DAA2715">
                      <wp:simplePos x="0" y="0"/>
                      <wp:positionH relativeFrom="column">
                        <wp:posOffset>5107940</wp:posOffset>
                      </wp:positionH>
                      <wp:positionV relativeFrom="paragraph">
                        <wp:posOffset>1831975</wp:posOffset>
                      </wp:positionV>
                      <wp:extent cx="1371600" cy="171450"/>
                      <wp:effectExtent l="0" t="0" r="0" b="0"/>
                      <wp:wrapNone/>
                      <wp:docPr id="1061876751" name="Прямокутник 12"/>
                      <wp:cNvGraphicFramePr/>
                      <a:graphic xmlns:a="http://schemas.openxmlformats.org/drawingml/2006/main">
                        <a:graphicData uri="http://schemas.microsoft.com/office/word/2010/wordprocessingShape">
                          <wps:wsp>
                            <wps:cNvSpPr/>
                            <wps:spPr>
                              <a:xfrm>
                                <a:off x="0" y="0"/>
                                <a:ext cx="1371600" cy="171450"/>
                              </a:xfrm>
                              <a:prstGeom prst="rect">
                                <a:avLst/>
                              </a:prstGeom>
                              <a:solidFill>
                                <a:srgbClr val="C6B2D5"/>
                              </a:solidFill>
                            </wps:spPr>
                            <wps:txbx>
                              <w:txbxContent>
                                <w:p w14:paraId="3D1AF1E8" w14:textId="011E0251" w:rsidR="009D0C1D" w:rsidRPr="00D77994" w:rsidRDefault="009D0C1D" w:rsidP="00E76FA1">
                                  <w:pPr>
                                    <w:rPr>
                                      <w:rFonts w:eastAsia="+mn-ea" w:cs="+mn-cs"/>
                                      <w:b/>
                                      <w:bCs/>
                                      <w:color w:val="343433"/>
                                      <w:kern w:val="24"/>
                                      <w:sz w:val="12"/>
                                      <w:szCs w:val="12"/>
                                    </w:rPr>
                                  </w:pPr>
                                  <w:r w:rsidRPr="00D77994">
                                    <w:rPr>
                                      <w:b/>
                                      <w:color w:val="343433"/>
                                      <w:sz w:val="12"/>
                                      <w:szCs w:val="22"/>
                                    </w:rPr>
                                    <w:t>Культуральне та фенотипове ТМЧ для виявлення ТБ</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92B5C88" id="_x0000_s1459" style="position:absolute;margin-left:402.2pt;margin-top:144.25pt;width:108pt;height:1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" fillcolor="#c6b2d5" stroked="f">
                      <v:textbox inset="0,0,0,0">
                        <w:txbxContent>
                          <w:p w14:paraId="3D1AF1E8" w14:textId="011E0251" w:rsidR="009D0C1D" w:rsidRPr="00D77994" w:rsidRDefault="009D0C1D" w:rsidP="00E76FA1">
                            <w:pPr>
                              <w:rPr>
                                <w:rFonts w:eastAsia="+mn-ea" w:cs="+mn-cs"/>
                                <w:b/>
                                <w:bCs/>
                                <w:color w:val="343433"/>
                                <w:kern w:val="24"/>
                                <w:sz w:val="12"/>
                                <w:szCs w:val="12"/>
                              </w:rPr>
                            </w:pPr>
                            <w:r w:rsidRPr="00D77994">
                              <w:rPr>
                                <w:b/>
                                <w:color w:val="343433"/>
                                <w:sz w:val="12"/>
                                <w:szCs w:val="22"/>
                              </w:rPr>
                              <w:t>Культуральне та фенотипове ТМЧ для виявлення ТБ</w:t>
                            </w:r>
                          </w:p>
                        </w:txbxContent>
                      </v:textbox>
                    </v:rect>
                  </w:pict>
                </mc:Fallback>
              </mc:AlternateContent>
            </w:r>
            <w:r>
              <w:rPr>
                <w:noProof/>
              </w:rPr>
              <mc:AlternateContent>
                <mc:Choice Requires="wps">
                  <w:drawing>
                    <wp:anchor distT="0" distB="0" distL="114300" distR="114300" simplePos="0" relativeHeight="251804672" behindDoc="0" locked="0" layoutInCell="1" allowOverlap="1" wp14:anchorId="1BAE642A" wp14:editId="222CBAF1">
                      <wp:simplePos x="0" y="0"/>
                      <wp:positionH relativeFrom="column">
                        <wp:posOffset>3431540</wp:posOffset>
                      </wp:positionH>
                      <wp:positionV relativeFrom="paragraph">
                        <wp:posOffset>2441575</wp:posOffset>
                      </wp:positionV>
                      <wp:extent cx="640080" cy="130810"/>
                      <wp:effectExtent l="0" t="0" r="7620" b="2540"/>
                      <wp:wrapNone/>
                      <wp:docPr id="1510789111" name="Прямокутник 9"/>
                      <wp:cNvGraphicFramePr/>
                      <a:graphic xmlns:a="http://schemas.openxmlformats.org/drawingml/2006/main">
                        <a:graphicData uri="http://schemas.microsoft.com/office/word/2010/wordprocessingShape">
                          <wps:wsp>
                            <wps:cNvSpPr/>
                            <wps:spPr>
                              <a:xfrm>
                                <a:off x="0" y="0"/>
                                <a:ext cx="640080" cy="130810"/>
                              </a:xfrm>
                              <a:prstGeom prst="rect">
                                <a:avLst/>
                              </a:prstGeom>
                              <a:solidFill>
                                <a:srgbClr val="F8F6BB"/>
                              </a:solidFill>
                            </wps:spPr>
                            <wps:txbx>
                              <w:txbxContent>
                                <w:p w14:paraId="29DB9E0A" w14:textId="77777777" w:rsidR="009D0C1D" w:rsidRPr="00D77994" w:rsidRDefault="009D0C1D" w:rsidP="00E76FA1">
                                  <w:pPr>
                                    <w:rPr>
                                      <w:rFonts w:eastAsia="+mn-ea" w:cs="+mn-cs"/>
                                      <w:b/>
                                      <w:bCs/>
                                      <w:color w:val="343433"/>
                                      <w:kern w:val="24"/>
                                      <w:sz w:val="11"/>
                                      <w:szCs w:val="11"/>
                                    </w:rPr>
                                  </w:pPr>
                                  <w:r w:rsidRPr="00D77994">
                                    <w:rPr>
                                      <w:b/>
                                      <w:color w:val="343433"/>
                                      <w:sz w:val="11"/>
                                      <w:szCs w:val="22"/>
                                    </w:rPr>
                                    <w:t>Невизначені</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BAE642A" id="_x0000_s1460" style="position:absolute;margin-left:270.2pt;margin-top:192.25pt;width:50.4pt;height:10.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" fillcolor="#f8f6bb" stroked="f">
                      <v:textbox inset="0,0,0,0">
                        <w:txbxContent>
                          <w:p w14:paraId="29DB9E0A" w14:textId="77777777" w:rsidR="009D0C1D" w:rsidRPr="00D77994" w:rsidRDefault="009D0C1D" w:rsidP="00E76FA1">
                            <w:pPr>
                              <w:rPr>
                                <w:rFonts w:eastAsia="+mn-ea" w:cs="+mn-cs"/>
                                <w:b/>
                                <w:bCs/>
                                <w:color w:val="343433"/>
                                <w:kern w:val="24"/>
                                <w:sz w:val="11"/>
                                <w:szCs w:val="11"/>
                              </w:rPr>
                            </w:pPr>
                            <w:r w:rsidRPr="00D77994">
                              <w:rPr>
                                <w:b/>
                                <w:color w:val="343433"/>
                                <w:sz w:val="11"/>
                                <w:szCs w:val="22"/>
                              </w:rPr>
                              <w:t>Невизначені</w:t>
                            </w:r>
                          </w:p>
                        </w:txbxContent>
                      </v:textbox>
                    </v:rect>
                  </w:pict>
                </mc:Fallback>
              </mc:AlternateContent>
            </w:r>
            <w:r>
              <w:rPr>
                <w:noProof/>
              </w:rPr>
              <mc:AlternateContent>
                <mc:Choice Requires="wps">
                  <w:drawing>
                    <wp:anchor distT="0" distB="0" distL="114300" distR="114300" simplePos="0" relativeHeight="251801600" behindDoc="0" locked="0" layoutInCell="1" allowOverlap="1" wp14:anchorId="3E6A783B" wp14:editId="173B500C">
                      <wp:simplePos x="0" y="0"/>
                      <wp:positionH relativeFrom="column">
                        <wp:posOffset>1316990</wp:posOffset>
                      </wp:positionH>
                      <wp:positionV relativeFrom="paragraph">
                        <wp:posOffset>2441575</wp:posOffset>
                      </wp:positionV>
                      <wp:extent cx="984250" cy="196850"/>
                      <wp:effectExtent l="0" t="0" r="6350" b="0"/>
                      <wp:wrapNone/>
                      <wp:docPr id="1075416014" name="Прямокутник 6"/>
                      <wp:cNvGraphicFramePr/>
                      <a:graphic xmlns:a="http://schemas.openxmlformats.org/drawingml/2006/main">
                        <a:graphicData uri="http://schemas.microsoft.com/office/word/2010/wordprocessingShape">
                          <wps:wsp>
                            <wps:cNvSpPr/>
                            <wps:spPr>
                              <a:xfrm>
                                <a:off x="0" y="0"/>
                                <a:ext cx="984250" cy="196850"/>
                              </a:xfrm>
                              <a:prstGeom prst="rect">
                                <a:avLst/>
                              </a:prstGeom>
                              <a:solidFill>
                                <a:srgbClr val="F8F6BB"/>
                              </a:solidFill>
                            </wps:spPr>
                            <wps:txbx>
                              <w:txbxContent>
                                <w:p w14:paraId="168D0FCA" w14:textId="77777777" w:rsidR="009D0C1D" w:rsidRPr="00D77994" w:rsidRDefault="009D0C1D" w:rsidP="00E76FA1">
                                  <w:pPr>
                                    <w:rPr>
                                      <w:rFonts w:eastAsia="+mn-ea" w:cs="+mn-cs"/>
                                      <w:b/>
                                      <w:bCs/>
                                      <w:color w:val="343433"/>
                                      <w:kern w:val="24"/>
                                      <w:sz w:val="11"/>
                                      <w:szCs w:val="11"/>
                                    </w:rPr>
                                  </w:pPr>
                                  <w:r w:rsidRPr="00D77994">
                                    <w:rPr>
                                      <w:b/>
                                      <w:color w:val="343433"/>
                                      <w:sz w:val="11"/>
                                      <w:szCs w:val="22"/>
                                    </w:rPr>
                                    <w:t>Результати молекулярного ТМЧ</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E6A783B" id="_x0000_s1461" style="position:absolute;margin-left:103.7pt;margin-top:192.25pt;width:77.5pt;height:1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" fillcolor="#f8f6bb" stroked="f">
                      <v:textbox inset="0,0,0,0">
                        <w:txbxContent>
                          <w:p w14:paraId="168D0FCA" w14:textId="77777777" w:rsidR="009D0C1D" w:rsidRPr="00D77994" w:rsidRDefault="009D0C1D" w:rsidP="00E76FA1">
                            <w:pPr>
                              <w:rPr>
                                <w:rFonts w:eastAsia="+mn-ea" w:cs="+mn-cs"/>
                                <w:b/>
                                <w:bCs/>
                                <w:color w:val="343433"/>
                                <w:kern w:val="24"/>
                                <w:sz w:val="11"/>
                                <w:szCs w:val="11"/>
                              </w:rPr>
                            </w:pPr>
                            <w:r w:rsidRPr="00D77994">
                              <w:rPr>
                                <w:b/>
                                <w:color w:val="343433"/>
                                <w:sz w:val="11"/>
                                <w:szCs w:val="22"/>
                              </w:rPr>
                              <w:t>Результати молекулярного ТМЧ</w:t>
                            </w:r>
                          </w:p>
                        </w:txbxContent>
                      </v:textbox>
                    </v:rect>
                  </w:pict>
                </mc:Fallback>
              </mc:AlternateContent>
            </w:r>
            <w:r>
              <w:rPr>
                <w:noProof/>
              </w:rPr>
              <mc:AlternateContent>
                <mc:Choice Requires="wps">
                  <w:drawing>
                    <wp:anchor distT="0" distB="0" distL="114300" distR="114300" simplePos="0" relativeHeight="251800576" behindDoc="0" locked="0" layoutInCell="1" allowOverlap="1" wp14:anchorId="7D2F73BE" wp14:editId="75F478E6">
                      <wp:simplePos x="0" y="0"/>
                      <wp:positionH relativeFrom="column">
                        <wp:posOffset>2231390</wp:posOffset>
                      </wp:positionH>
                      <wp:positionV relativeFrom="paragraph">
                        <wp:posOffset>1831975</wp:posOffset>
                      </wp:positionV>
                      <wp:extent cx="1314450" cy="171450"/>
                      <wp:effectExtent l="0" t="0" r="0" b="0"/>
                      <wp:wrapNone/>
                      <wp:docPr id="1559983138" name="Прямокутник 5"/>
                      <wp:cNvGraphicFramePr/>
                      <a:graphic xmlns:a="http://schemas.openxmlformats.org/drawingml/2006/main">
                        <a:graphicData uri="http://schemas.microsoft.com/office/word/2010/wordprocessingShape">
                          <wps:wsp>
                            <wps:cNvSpPr/>
                            <wps:spPr>
                              <a:xfrm>
                                <a:off x="0" y="0"/>
                                <a:ext cx="1314450" cy="171450"/>
                              </a:xfrm>
                              <a:prstGeom prst="rect">
                                <a:avLst/>
                              </a:prstGeom>
                              <a:solidFill>
                                <a:srgbClr val="F8F6BB"/>
                              </a:solidFill>
                            </wps:spPr>
                            <wps:txbx>
                              <w:txbxContent>
                                <w:p w14:paraId="5B462683" w14:textId="77777777" w:rsidR="009D0C1D" w:rsidRPr="00D77994" w:rsidRDefault="009D0C1D" w:rsidP="00E76FA1">
                                  <w:pPr>
                                    <w:rPr>
                                      <w:rFonts w:eastAsia="+mn-ea" w:cs="+mn-cs"/>
                                      <w:b/>
                                      <w:bCs/>
                                      <w:color w:val="343433"/>
                                      <w:kern w:val="24"/>
                                      <w:sz w:val="12"/>
                                      <w:szCs w:val="12"/>
                                    </w:rPr>
                                  </w:pPr>
                                  <w:r w:rsidRPr="00D77994">
                                    <w:rPr>
                                      <w:b/>
                                      <w:color w:val="343433"/>
                                      <w:sz w:val="12"/>
                                      <w:szCs w:val="22"/>
                                    </w:rPr>
                                    <w:t>Молекулярне ТМЧ для INH, FQ</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D2F73BE" id="_x0000_s1462" style="position:absolute;margin-left:175.7pt;margin-top:144.25pt;width:103.5pt;height:1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" fillcolor="#f8f6bb" stroked="f">
                      <v:textbox inset="0,0,0,0">
                        <w:txbxContent>
                          <w:p w14:paraId="5B462683" w14:textId="77777777" w:rsidR="009D0C1D" w:rsidRPr="00D77994" w:rsidRDefault="009D0C1D" w:rsidP="00E76FA1">
                            <w:pPr>
                              <w:rPr>
                                <w:rFonts w:eastAsia="+mn-ea" w:cs="+mn-cs"/>
                                <w:b/>
                                <w:bCs/>
                                <w:color w:val="343433"/>
                                <w:kern w:val="24"/>
                                <w:sz w:val="12"/>
                                <w:szCs w:val="12"/>
                              </w:rPr>
                            </w:pPr>
                            <w:r w:rsidRPr="00D77994">
                              <w:rPr>
                                <w:b/>
                                <w:color w:val="343433"/>
                                <w:sz w:val="12"/>
                                <w:szCs w:val="22"/>
                              </w:rPr>
                              <w:t>Молекулярне ТМЧ для INH, FQ</w:t>
                            </w:r>
                          </w:p>
                        </w:txbxContent>
                      </v:textbox>
                    </v:rect>
                  </w:pict>
                </mc:Fallback>
              </mc:AlternateContent>
            </w:r>
            <w:r w:rsidR="00E76FA1">
              <w:rPr>
                <w:noProof/>
              </w:rPr>
              <mc:AlternateContent>
                <mc:Choice Requires="wps">
                  <w:drawing>
                    <wp:anchor distT="0" distB="0" distL="114300" distR="114300" simplePos="0" relativeHeight="251811840" behindDoc="0" locked="0" layoutInCell="1" allowOverlap="1" wp14:anchorId="39FE56FF" wp14:editId="5C1861E3">
                      <wp:simplePos x="0" y="0"/>
                      <wp:positionH relativeFrom="column">
                        <wp:posOffset>7749374</wp:posOffset>
                      </wp:positionH>
                      <wp:positionV relativeFrom="paragraph">
                        <wp:posOffset>741045</wp:posOffset>
                      </wp:positionV>
                      <wp:extent cx="345881" cy="85090"/>
                      <wp:effectExtent l="0" t="0" r="0" b="0"/>
                      <wp:wrapNone/>
                      <wp:docPr id="1758179286" name="Прямокутник 16"/>
                      <wp:cNvGraphicFramePr/>
                      <a:graphic xmlns:a="http://schemas.openxmlformats.org/drawingml/2006/main">
                        <a:graphicData uri="http://schemas.microsoft.com/office/word/2010/wordprocessingShape">
                          <wps:wsp>
                            <wps:cNvSpPr/>
                            <wps:spPr>
                              <a:xfrm>
                                <a:off x="0" y="0"/>
                                <a:ext cx="345881" cy="85090"/>
                              </a:xfrm>
                              <a:prstGeom prst="rect">
                                <a:avLst/>
                              </a:prstGeom>
                              <a:solidFill>
                                <a:srgbClr val="FFFFFF"/>
                              </a:solidFill>
                            </wps:spPr>
                            <wps:txbx>
                              <w:txbxContent>
                                <w:p w14:paraId="2840733A" w14:textId="77777777" w:rsidR="009D0C1D" w:rsidRPr="00E76FA1" w:rsidRDefault="009D0C1D" w:rsidP="00E76FA1">
                                  <w:pPr>
                                    <w:jc w:val="center"/>
                                    <w:rPr>
                                      <w:rFonts w:eastAsia="+mn-ea" w:cs="+mn-cs"/>
                                      <w:b/>
                                      <w:bCs/>
                                      <w:color w:val="4071AF"/>
                                      <w:kern w:val="24"/>
                                      <w:sz w:val="14"/>
                                      <w:szCs w:val="14"/>
                                    </w:rPr>
                                  </w:pPr>
                                  <w:r>
                                    <w:rPr>
                                      <w:b/>
                                      <w:color w:val="4071AF"/>
                                      <w:sz w:val="14"/>
                                    </w:rPr>
                                    <w:t>G</w:t>
                                  </w:r>
                                  <w:r>
                                    <w:rPr>
                                      <w:b/>
                                      <w:color w:val="5C823D"/>
                                      <w:sz w:val="14"/>
                                    </w:rPr>
                                    <w:t>C</w:t>
                                  </w:r>
                                  <w:r>
                                    <w:rPr>
                                      <w:b/>
                                      <w:color w:val="F6CC40"/>
                                      <w:sz w:val="14"/>
                                    </w:rPr>
                                    <w:t>A</w:t>
                                  </w:r>
                                  <w:r>
                                    <w:rPr>
                                      <w:b/>
                                      <w:color w:val="E16640"/>
                                      <w:sz w:val="14"/>
                                    </w:rPr>
                                    <w:t>T</w:t>
                                  </w:r>
                                </w:p>
                              </w:txbxContent>
                            </wps:txbx>
                            <wps:bodyPr wrap="square" lIns="0" tIns="0" rIns="0" bIns="0">
                              <a:noAutofit/>
                            </wps:bodyPr>
                          </wps:wsp>
                        </a:graphicData>
                      </a:graphic>
                      <wp14:sizeRelH relativeFrom="margin">
                        <wp14:pctWidth>0</wp14:pctWidth>
                      </wp14:sizeRelH>
                    </wp:anchor>
                  </w:drawing>
                </mc:Choice>
                <mc:Fallback>
                  <w:pict>
                    <v:rect w14:anchorId="39FE56FF" id="_x0000_s1463" style="position:absolute;margin-left:610.2pt;margin-top:58.35pt;width:27.25pt;height:6.7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" stroked="f">
                      <v:textbox inset="0,0,0,0">
                        <w:txbxContent>
                          <w:p w14:paraId="2840733A" w14:textId="77777777" w:rsidR="009D0C1D" w:rsidRPr="00E76FA1" w:rsidRDefault="009D0C1D" w:rsidP="00E76FA1">
                            <w:pPr>
                              <w:jc w:val="center"/>
                              <w:rPr>
                                <w:rFonts w:eastAsia="+mn-ea" w:cs="+mn-cs"/>
                                <w:b/>
                                <w:bCs/>
                                <w:color w:val="4071AF"/>
                                <w:kern w:val="24"/>
                                <w:sz w:val="14"/>
                                <w:szCs w:val="14"/>
                              </w:rPr>
                            </w:pPr>
                            <w:r>
                              <w:rPr>
                                <w:b/>
                                <w:color w:val="4071AF"/>
                                <w:sz w:val="14"/>
                              </w:rPr>
                              <w:t>G</w:t>
                            </w:r>
                            <w:r>
                              <w:rPr>
                                <w:b/>
                                <w:color w:val="5C823D"/>
                                <w:sz w:val="14"/>
                              </w:rPr>
                              <w:t>C</w:t>
                            </w:r>
                            <w:r>
                              <w:rPr>
                                <w:b/>
                                <w:color w:val="F6CC40"/>
                                <w:sz w:val="14"/>
                              </w:rPr>
                              <w:t>A</w:t>
                            </w:r>
                            <w:r>
                              <w:rPr>
                                <w:b/>
                                <w:color w:val="E16640"/>
                                <w:sz w:val="14"/>
                              </w:rPr>
                              <w:t>T</w:t>
                            </w:r>
                          </w:p>
                        </w:txbxContent>
                      </v:textbox>
                    </v:rect>
                  </w:pict>
                </mc:Fallback>
              </mc:AlternateContent>
            </w:r>
            <w:r w:rsidR="00E76FA1">
              <w:rPr>
                <w:noProof/>
              </w:rPr>
              <mc:AlternateContent>
                <mc:Choice Requires="wps">
                  <w:drawing>
                    <wp:anchor distT="0" distB="0" distL="114300" distR="114300" simplePos="0" relativeHeight="251810816" behindDoc="0" locked="0" layoutInCell="1" allowOverlap="1" wp14:anchorId="578E7856" wp14:editId="6390B42A">
                      <wp:simplePos x="0" y="0"/>
                      <wp:positionH relativeFrom="column">
                        <wp:posOffset>7440295</wp:posOffset>
                      </wp:positionH>
                      <wp:positionV relativeFrom="paragraph">
                        <wp:posOffset>57150</wp:posOffset>
                      </wp:positionV>
                      <wp:extent cx="249555" cy="103505"/>
                      <wp:effectExtent l="0" t="0" r="0" b="0"/>
                      <wp:wrapNone/>
                      <wp:docPr id="1870413601" name="Прямокутник 15"/>
                      <wp:cNvGraphicFramePr/>
                      <a:graphic xmlns:a="http://schemas.openxmlformats.org/drawingml/2006/main">
                        <a:graphicData uri="http://schemas.microsoft.com/office/word/2010/wordprocessingShape">
                          <wps:wsp>
                            <wps:cNvSpPr/>
                            <wps:spPr>
                              <a:xfrm>
                                <a:off x="0" y="0"/>
                                <a:ext cx="249555" cy="103505"/>
                              </a:xfrm>
                              <a:prstGeom prst="rect">
                                <a:avLst/>
                              </a:prstGeom>
                              <a:solidFill>
                                <a:srgbClr val="FAA41C"/>
                              </a:solidFill>
                            </wps:spPr>
                            <wps:txbx>
                              <w:txbxContent>
                                <w:p w14:paraId="21778373" w14:textId="77777777" w:rsidR="009D0C1D" w:rsidRPr="00E76FA1" w:rsidRDefault="009D0C1D" w:rsidP="00E76FA1">
                                  <w:pPr>
                                    <w:rPr>
                                      <w:rFonts w:eastAsia="+mn-ea" w:cs="+mn-cs"/>
                                      <w:b/>
                                      <w:bCs/>
                                      <w:color w:val="FFFFFF"/>
                                      <w:kern w:val="24"/>
                                      <w:sz w:val="13"/>
                                      <w:szCs w:val="13"/>
                                    </w:rPr>
                                  </w:pPr>
                                  <w:r>
                                    <w:rPr>
                                      <w:b/>
                                      <w:color w:val="FFFFFF"/>
                                      <w:sz w:val="13"/>
                                    </w:rPr>
                                    <w:t>ЛС-ТБ</w:t>
                                  </w:r>
                                </w:p>
                              </w:txbxContent>
                            </wps:txbx>
                            <wps:bodyPr wrap="none" lIns="0" tIns="0" rIns="0" bIns="0">
                              <a:noAutofit/>
                            </wps:bodyPr>
                          </wps:wsp>
                        </a:graphicData>
                      </a:graphic>
                    </wp:anchor>
                  </w:drawing>
                </mc:Choice>
                <mc:Fallback>
                  <w:pict>
                    <v:rect w14:anchorId="578E7856" id="_x0000_s1464" style="position:absolute;margin-left:585.85pt;margin-top:4.5pt;width:19.65pt;height:8.15pt;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" fillcolor="#faa41c" stroked="f">
                      <v:textbox inset="0,0,0,0">
                        <w:txbxContent>
                          <w:p w14:paraId="21778373" w14:textId="77777777" w:rsidR="009D0C1D" w:rsidRPr="00E76FA1" w:rsidRDefault="009D0C1D" w:rsidP="00E76FA1">
                            <w:pPr>
                              <w:rPr>
                                <w:rFonts w:eastAsia="+mn-ea" w:cs="+mn-cs"/>
                                <w:b/>
                                <w:bCs/>
                                <w:color w:val="FFFFFF"/>
                                <w:kern w:val="24"/>
                                <w:sz w:val="13"/>
                                <w:szCs w:val="13"/>
                              </w:rPr>
                            </w:pPr>
                            <w:r>
                              <w:rPr>
                                <w:b/>
                                <w:color w:val="FFFFFF"/>
                                <w:sz w:val="13"/>
                              </w:rPr>
                              <w:t>ЛС-ТБ</w:t>
                            </w:r>
                          </w:p>
                        </w:txbxContent>
                      </v:textbox>
                    </v:rect>
                  </w:pict>
                </mc:Fallback>
              </mc:AlternateContent>
            </w:r>
            <w:r w:rsidR="00E76FA1">
              <w:rPr>
                <w:noProof/>
              </w:rPr>
              <mc:AlternateContent>
                <mc:Choice Requires="wps">
                  <w:drawing>
                    <wp:anchor distT="0" distB="0" distL="114300" distR="114300" simplePos="0" relativeHeight="251799552" behindDoc="0" locked="0" layoutInCell="1" allowOverlap="1" wp14:anchorId="783B4AEA" wp14:editId="5784B240">
                      <wp:simplePos x="0" y="0"/>
                      <wp:positionH relativeFrom="column">
                        <wp:posOffset>3380105</wp:posOffset>
                      </wp:positionH>
                      <wp:positionV relativeFrom="paragraph">
                        <wp:posOffset>986790</wp:posOffset>
                      </wp:positionV>
                      <wp:extent cx="1694180" cy="381000"/>
                      <wp:effectExtent l="0" t="0" r="1270" b="0"/>
                      <wp:wrapNone/>
                      <wp:docPr id="559764735" name="Прямокутник 4"/>
                      <wp:cNvGraphicFramePr/>
                      <a:graphic xmlns:a="http://schemas.openxmlformats.org/drawingml/2006/main">
                        <a:graphicData uri="http://schemas.microsoft.com/office/word/2010/wordprocessingShape">
                          <wps:wsp>
                            <wps:cNvSpPr/>
                            <wps:spPr>
                              <a:xfrm>
                                <a:off x="0" y="0"/>
                                <a:ext cx="1694180" cy="381000"/>
                              </a:xfrm>
                              <a:prstGeom prst="rect">
                                <a:avLst/>
                              </a:prstGeom>
                              <a:solidFill>
                                <a:srgbClr val="E2E2E2"/>
                              </a:solidFill>
                            </wps:spPr>
                            <wps:txbx>
                              <w:txbxContent>
                                <w:p w14:paraId="60532354" w14:textId="77777777" w:rsidR="009D0C1D" w:rsidRPr="00D77994" w:rsidRDefault="009D0C1D" w:rsidP="00E76FA1">
                                  <w:pPr>
                                    <w:spacing w:line="297" w:lineRule="auto"/>
                                    <w:jc w:val="center"/>
                                    <w:rPr>
                                      <w:rFonts w:eastAsia="+mn-ea" w:cs="+mn-cs"/>
                                      <w:b/>
                                      <w:bCs/>
                                      <w:color w:val="343433"/>
                                      <w:kern w:val="24"/>
                                      <w:sz w:val="11"/>
                                      <w:szCs w:val="11"/>
                                    </w:rPr>
                                  </w:pPr>
                                  <w:r w:rsidRPr="00D77994">
                                    <w:rPr>
                                      <w:b/>
                                      <w:color w:val="343433"/>
                                      <w:sz w:val="11"/>
                                      <w:szCs w:val="22"/>
                                    </w:rPr>
                                    <w:t>Забрати 1 або 2 зразки</w:t>
                                  </w:r>
                                  <w:r w:rsidRPr="00D77994">
                                    <w:rPr>
                                      <w:b/>
                                      <w:color w:val="0099D6"/>
                                      <w:sz w:val="12"/>
                                      <w:szCs w:val="22"/>
                                      <w:vertAlign w:val="superscript"/>
                                    </w:rPr>
                                    <w:t xml:space="preserve">b </w:t>
                                  </w:r>
                                  <w:r w:rsidRPr="00D77994">
                                    <w:rPr>
                                      <w:b/>
                                      <w:color w:val="343433"/>
                                      <w:sz w:val="11"/>
                                      <w:szCs w:val="22"/>
                                    </w:rPr>
                                    <w:t>Провести молекулярне ТМЧ</w:t>
                                  </w:r>
                                  <w:r w:rsidRPr="00D77994">
                                    <w:rPr>
                                      <w:b/>
                                      <w:color w:val="0099D6"/>
                                      <w:sz w:val="12"/>
                                      <w:szCs w:val="22"/>
                                      <w:vertAlign w:val="superscript"/>
                                    </w:rPr>
                                    <w:t xml:space="preserve">c </w:t>
                                  </w:r>
                                  <w:r w:rsidRPr="00D77994">
                                    <w:rPr>
                                      <w:b/>
                                      <w:color w:val="343433"/>
                                      <w:sz w:val="11"/>
                                      <w:szCs w:val="22"/>
                                    </w:rPr>
                                    <w:t>Провести культуральне та фенотипове ТМЧ</w:t>
                                  </w:r>
                                  <w:r w:rsidRPr="00D77994">
                                    <w:rPr>
                                      <w:b/>
                                      <w:color w:val="0099D6"/>
                                      <w:sz w:val="12"/>
                                      <w:szCs w:val="22"/>
                                      <w:vertAlign w:val="superscript"/>
                                    </w:rPr>
                                    <w:t>d</w:t>
                                  </w:r>
                                </w:p>
                              </w:txbxContent>
                            </wps:txbx>
                            <wps:bodyPr lIns="0" tIns="0" rIns="0" bIns="0">
                              <a:noAutofit/>
                            </wps:bodyPr>
                          </wps:wsp>
                        </a:graphicData>
                      </a:graphic>
                    </wp:anchor>
                  </w:drawing>
                </mc:Choice>
                <mc:Fallback>
                  <w:pict>
                    <v:rect w14:anchorId="783B4AEA" id="_x0000_s1465" style="position:absolute;margin-left:266.15pt;margin-top:77.7pt;width:133.4pt;height:30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" fillcolor="#e2e2e2" stroked="f">
                      <v:textbox inset="0,0,0,0">
                        <w:txbxContent>
                          <w:p w14:paraId="60532354" w14:textId="77777777" w:rsidR="009D0C1D" w:rsidRPr="00D77994" w:rsidRDefault="009D0C1D" w:rsidP="00E76FA1">
                            <w:pPr>
                              <w:spacing w:line="297" w:lineRule="auto"/>
                              <w:jc w:val="center"/>
                              <w:rPr>
                                <w:rFonts w:eastAsia="+mn-ea" w:cs="+mn-cs"/>
                                <w:b/>
                                <w:bCs/>
                                <w:color w:val="343433"/>
                                <w:kern w:val="24"/>
                                <w:sz w:val="11"/>
                                <w:szCs w:val="11"/>
                              </w:rPr>
                            </w:pPr>
                            <w:r w:rsidRPr="00D77994">
                              <w:rPr>
                                <w:b/>
                                <w:color w:val="343433"/>
                                <w:sz w:val="11"/>
                                <w:szCs w:val="22"/>
                              </w:rPr>
                              <w:t>Забрати 1 або 2 зразки</w:t>
                            </w:r>
                            <w:r w:rsidRPr="00D77994">
                              <w:rPr>
                                <w:b/>
                                <w:color w:val="0099D6"/>
                                <w:sz w:val="12"/>
                                <w:szCs w:val="22"/>
                                <w:vertAlign w:val="superscript"/>
                              </w:rPr>
                              <w:t xml:space="preserve">b </w:t>
                            </w:r>
                            <w:r w:rsidRPr="00D77994">
                              <w:rPr>
                                <w:b/>
                                <w:color w:val="343433"/>
                                <w:sz w:val="11"/>
                                <w:szCs w:val="22"/>
                              </w:rPr>
                              <w:t>Провести молекулярне ТМЧ</w:t>
                            </w:r>
                            <w:r w:rsidRPr="00D77994">
                              <w:rPr>
                                <w:b/>
                                <w:color w:val="0099D6"/>
                                <w:sz w:val="12"/>
                                <w:szCs w:val="22"/>
                                <w:vertAlign w:val="superscript"/>
                              </w:rPr>
                              <w:t xml:space="preserve">c </w:t>
                            </w:r>
                            <w:r w:rsidRPr="00D77994">
                              <w:rPr>
                                <w:b/>
                                <w:color w:val="343433"/>
                                <w:sz w:val="11"/>
                                <w:szCs w:val="22"/>
                              </w:rPr>
                              <w:t>Провести культуральне та фенотипове ТМЧ</w:t>
                            </w:r>
                            <w:r w:rsidRPr="00D77994">
                              <w:rPr>
                                <w:b/>
                                <w:color w:val="0099D6"/>
                                <w:sz w:val="12"/>
                                <w:szCs w:val="22"/>
                                <w:vertAlign w:val="superscript"/>
                              </w:rPr>
                              <w:t>d</w:t>
                            </w:r>
                          </w:p>
                        </w:txbxContent>
                      </v:textbox>
                    </v:rect>
                  </w:pict>
                </mc:Fallback>
              </mc:AlternateContent>
            </w:r>
            <w:r w:rsidR="00E76FA1">
              <w:rPr>
                <w:noProof/>
              </w:rPr>
              <mc:AlternateContent>
                <mc:Choice Requires="wps">
                  <w:drawing>
                    <wp:anchor distT="0" distB="0" distL="114300" distR="114300" simplePos="0" relativeHeight="251798528" behindDoc="0" locked="0" layoutInCell="1" allowOverlap="1" wp14:anchorId="72D2D1C3" wp14:editId="09F4ECC2">
                      <wp:simplePos x="0" y="0"/>
                      <wp:positionH relativeFrom="column">
                        <wp:posOffset>3127730</wp:posOffset>
                      </wp:positionH>
                      <wp:positionV relativeFrom="paragraph">
                        <wp:posOffset>364592</wp:posOffset>
                      </wp:positionV>
                      <wp:extent cx="2237232" cy="368808"/>
                      <wp:effectExtent l="0" t="0" r="0" b="0"/>
                      <wp:wrapNone/>
                      <wp:docPr id="26992927" name="Прямокутник 3"/>
                      <wp:cNvGraphicFramePr/>
                      <a:graphic xmlns:a="http://schemas.openxmlformats.org/drawingml/2006/main">
                        <a:graphicData uri="http://schemas.microsoft.com/office/word/2010/wordprocessingShape">
                          <wps:wsp>
                            <wps:cNvSpPr/>
                            <wps:spPr>
                              <a:xfrm>
                                <a:off x="0" y="0"/>
                                <a:ext cx="2237232" cy="368808"/>
                              </a:xfrm>
                              <a:prstGeom prst="rect">
                                <a:avLst/>
                              </a:prstGeom>
                              <a:solidFill>
                                <a:srgbClr val="FFFFFF"/>
                              </a:solidFill>
                            </wps:spPr>
                            <wps:txbx>
                              <w:txbxContent>
                                <w:p w14:paraId="746B747A" w14:textId="77777777" w:rsidR="009D0C1D" w:rsidRPr="00D77994" w:rsidRDefault="009D0C1D" w:rsidP="00E76FA1">
                                  <w:pPr>
                                    <w:spacing w:line="297" w:lineRule="auto"/>
                                    <w:jc w:val="center"/>
                                    <w:rPr>
                                      <w:rFonts w:eastAsia="+mn-ea" w:cs="+mn-cs"/>
                                      <w:b/>
                                      <w:bCs/>
                                      <w:color w:val="343433"/>
                                      <w:kern w:val="24"/>
                                      <w:sz w:val="11"/>
                                      <w:szCs w:val="11"/>
                                    </w:rPr>
                                  </w:pPr>
                                  <w:r w:rsidRPr="00D77994">
                                    <w:rPr>
                                      <w:b/>
                                      <w:color w:val="343433"/>
                                      <w:sz w:val="11"/>
                                      <w:szCs w:val="22"/>
                                    </w:rPr>
                                    <w:t>Усі особи з RIF-чутливим ТБ з ризиком ЛС-ТБ</w:t>
                                  </w:r>
                                  <w:r w:rsidRPr="00D77994">
                                    <w:rPr>
                                      <w:b/>
                                      <w:color w:val="0099D6"/>
                                      <w:sz w:val="12"/>
                                      <w:szCs w:val="22"/>
                                      <w:vertAlign w:val="superscript"/>
                                    </w:rPr>
                                    <w:t xml:space="preserve">a </w:t>
                                  </w:r>
                                  <w:r w:rsidRPr="00D77994">
                                    <w:rPr>
                                      <w:b/>
                                      <w:color w:val="343433"/>
                                      <w:sz w:val="11"/>
                                      <w:szCs w:val="22"/>
                                    </w:rPr>
                                    <w:t>(включаючи усіх осіб з Нрез-ТБ) Лікувати відповідно до національних керівних принципів</w:t>
                                  </w:r>
                                </w:p>
                              </w:txbxContent>
                            </wps:txbx>
                            <wps:bodyPr lIns="0" tIns="0" rIns="0" bIns="0">
                              <a:noAutofit/>
                            </wps:bodyPr>
                          </wps:wsp>
                        </a:graphicData>
                      </a:graphic>
                    </wp:anchor>
                  </w:drawing>
                </mc:Choice>
                <mc:Fallback>
                  <w:pict>
                    <v:rect w14:anchorId="72D2D1C3" id="_x0000_s1466" style="position:absolute;margin-left:246.3pt;margin-top:28.7pt;width:176.15pt;height:29.0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" stroked="f">
                      <v:textbox inset="0,0,0,0">
                        <w:txbxContent>
                          <w:p w14:paraId="746B747A" w14:textId="77777777" w:rsidR="009D0C1D" w:rsidRPr="00D77994" w:rsidRDefault="009D0C1D" w:rsidP="00E76FA1">
                            <w:pPr>
                              <w:spacing w:line="297" w:lineRule="auto"/>
                              <w:jc w:val="center"/>
                              <w:rPr>
                                <w:rFonts w:eastAsia="+mn-ea" w:cs="+mn-cs"/>
                                <w:b/>
                                <w:bCs/>
                                <w:color w:val="343433"/>
                                <w:kern w:val="24"/>
                                <w:sz w:val="11"/>
                                <w:szCs w:val="11"/>
                              </w:rPr>
                            </w:pPr>
                            <w:r w:rsidRPr="00D77994">
                              <w:rPr>
                                <w:b/>
                                <w:color w:val="343433"/>
                                <w:sz w:val="11"/>
                                <w:szCs w:val="22"/>
                              </w:rPr>
                              <w:t>Усі особи з RIF-чутливим ТБ з ризиком ЛС-ТБ</w:t>
                            </w:r>
                            <w:r w:rsidRPr="00D77994">
                              <w:rPr>
                                <w:b/>
                                <w:color w:val="0099D6"/>
                                <w:sz w:val="12"/>
                                <w:szCs w:val="22"/>
                                <w:vertAlign w:val="superscript"/>
                              </w:rPr>
                              <w:t xml:space="preserve">a </w:t>
                            </w:r>
                            <w:r w:rsidRPr="00D77994">
                              <w:rPr>
                                <w:b/>
                                <w:color w:val="343433"/>
                                <w:sz w:val="11"/>
                                <w:szCs w:val="22"/>
                              </w:rPr>
                              <w:t>(включаючи усіх осіб з Нрез-ТБ) Лікувати відповідно до національних керівних принципів</w:t>
                            </w:r>
                          </w:p>
                        </w:txbxContent>
                      </v:textbox>
                    </v:rect>
                  </w:pict>
                </mc:Fallback>
              </mc:AlternateContent>
            </w:r>
            <w:r w:rsidR="00E76FA1">
              <w:rPr>
                <w:noProof/>
              </w:rPr>
              <w:drawing>
                <wp:inline distT="0" distB="0" distL="0" distR="0" wp14:anchorId="36F405B4" wp14:editId="70445308">
                  <wp:extent cx="8296910" cy="542861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49"/>
                          <a:stretch/>
                        </pic:blipFill>
                        <pic:spPr>
                          <a:xfrm>
                            <a:off x="0" y="0"/>
                            <a:ext cx="8296910" cy="5428615"/>
                          </a:xfrm>
                          <a:prstGeom prst="rect">
                            <a:avLst/>
                          </a:prstGeom>
                        </pic:spPr>
                      </pic:pic>
                    </a:graphicData>
                  </a:graphic>
                </wp:inline>
              </w:drawing>
            </w:r>
          </w:p>
        </w:tc>
      </w:tr>
    </w:tbl>
    <w:tbl>
      <w:tblPr>
        <w:tblOverlap w:val="never"/>
        <w:tblW w:w="0" w:type="auto"/>
        <w:tblLayout w:type="fixed"/>
        <w:tblCellMar>
          <w:left w:w="10" w:type="dxa"/>
          <w:right w:w="10" w:type="dxa"/>
        </w:tblCellMar>
        <w:tblLook w:val="0000" w:firstRow="0" w:lastRow="0" w:firstColumn="0" w:lastColumn="0" w:noHBand="0" w:noVBand="0"/>
      </w:tblPr>
      <w:tblGrid>
        <w:gridCol w:w="206"/>
      </w:tblGrid>
      <w:tr w:rsidR="00366CB9" w14:paraId="0D01F5F7" w14:textId="77777777">
        <w:trPr>
          <w:trHeight w:hRule="exact" w:val="614"/>
        </w:trPr>
        <w:tc>
          <w:tcPr>
            <w:tcW w:w="206" w:type="dxa"/>
            <w:shd w:val="clear" w:color="auto" w:fill="FFFFFF"/>
            <w:textDirection w:val="tbRl"/>
          </w:tcPr>
          <w:p w14:paraId="51FA5E56" w14:textId="77777777" w:rsidR="00366CB9" w:rsidRDefault="009D0C1D" w:rsidP="00425523">
            <w:pPr>
              <w:pStyle w:val="a6"/>
              <w:framePr w:w="206" w:h="5390" w:wrap="none" w:vAnchor="page" w:hAnchor="page" w:x="676" w:y="763"/>
              <w:shd w:val="clear" w:color="auto" w:fill="auto"/>
              <w:rPr>
                <w:sz w:val="15"/>
                <w:szCs w:val="15"/>
              </w:rPr>
            </w:pPr>
            <w:r>
              <w:rPr>
                <w:b w:val="0"/>
                <w:color w:val="019648"/>
                <w:sz w:val="15"/>
              </w:rPr>
              <w:t>144</w:t>
            </w:r>
          </w:p>
        </w:tc>
      </w:tr>
      <w:tr w:rsidR="00366CB9" w14:paraId="53F195CF" w14:textId="77777777" w:rsidTr="00D77994">
        <w:trPr>
          <w:trHeight w:hRule="exact" w:val="5482"/>
        </w:trPr>
        <w:tc>
          <w:tcPr>
            <w:tcW w:w="206" w:type="dxa"/>
            <w:shd w:val="clear" w:color="auto" w:fill="FFFFFF"/>
            <w:textDirection w:val="tbRl"/>
          </w:tcPr>
          <w:p w14:paraId="1F45CDB7" w14:textId="77777777" w:rsidR="00366CB9" w:rsidRDefault="009D0C1D" w:rsidP="00425523">
            <w:pPr>
              <w:pStyle w:val="a6"/>
              <w:framePr w:w="206" w:h="5390" w:wrap="none" w:vAnchor="page" w:hAnchor="page" w:x="676" w:y="763"/>
              <w:shd w:val="clear" w:color="auto" w:fill="auto"/>
              <w:rPr>
                <w:sz w:val="15"/>
                <w:szCs w:val="15"/>
              </w:rPr>
            </w:pPr>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p>
        </w:tc>
      </w:tr>
    </w:tbl>
    <w:p w14:paraId="760D061B" w14:textId="1EC0732D" w:rsidR="00366CB9" w:rsidRDefault="00366CB9" w:rsidP="00425523">
      <w:pPr>
        <w:spacing w:line="1" w:lineRule="exact"/>
        <w:sectPr w:rsidR="00366CB9" w:rsidSect="00FE22F4">
          <w:footerReference w:type="even" r:id="rId150"/>
          <w:pgSz w:w="16840" w:h="11913" w:orient="landscape"/>
          <w:pgMar w:top="1386" w:right="2278" w:bottom="851" w:left="1496" w:header="0" w:footer="6" w:gutter="0"/>
          <w:paperSrc w:first="15" w:other="15"/>
          <w:cols w:space="720"/>
          <w:noEndnote/>
          <w:docGrid w:linePitch="360"/>
        </w:sectPr>
      </w:pPr>
    </w:p>
    <w:p w14:paraId="6CB026D4" w14:textId="77777777" w:rsidR="00366CB9" w:rsidRDefault="00366CB9" w:rsidP="00425523">
      <w:pPr>
        <w:spacing w:line="1" w:lineRule="exact"/>
      </w:pPr>
    </w:p>
    <w:p w14:paraId="3CCE77F2" w14:textId="77777777" w:rsidR="00366CB9" w:rsidRDefault="009D0C1D" w:rsidP="00FE22F4">
      <w:pPr>
        <w:pStyle w:val="50"/>
        <w:shd w:val="clear" w:color="auto" w:fill="auto"/>
        <w:spacing w:line="266" w:lineRule="auto"/>
        <w:jc w:val="both"/>
      </w:pPr>
      <w:r>
        <w:t>ЛС-ТБ: лікарсько-стійкий туберкульоз; ТМЧ: тестування медикаментозної чутливості; Нрез-ТБ: чутливий до рифампіцину, резистентний до ізоніазиду туберкульоз; MC-aNAAT: автоматизований аналіз ампліфікації нуклеїнових кислот середньої складності; mWRD: молекулярний експрес-тест для діагностики туберкульозу, рекомендований ВООЗ; СНП: секвенування наступного покоління; SL-LPA: аналіз олігонуклеотидними зондами для препаратів другої лінії; НРЛ: наднаціональна референс-лабораторія; ТБ: туберкульоз; ВООЗ: Всесвітня організація охорони здоров’я.</w:t>
      </w:r>
    </w:p>
    <w:p w14:paraId="57DC4C2A" w14:textId="77777777" w:rsidR="00366CB9" w:rsidRDefault="009D0C1D" w:rsidP="00FE22F4">
      <w:pPr>
        <w:pStyle w:val="50"/>
        <w:shd w:val="clear" w:color="auto" w:fill="auto"/>
        <w:spacing w:line="266" w:lineRule="auto"/>
        <w:jc w:val="both"/>
      </w:pPr>
      <w:r>
        <w:t>Лікарські засоби: AMK: амікацин; BDQ: бедаквілін; CFZ: клофазимін; CS: циклосерин; DLM: деламанід; EMB: етамбутол; FQ: фторхінолон; INH: ізоніазид; LZD: лінезолід; Pa: претоманід; PZA: піразинамід; RIF: рифампіцин; STR: стрептоміцин.</w:t>
      </w:r>
    </w:p>
    <w:p w14:paraId="3962CB83" w14:textId="6FD79289" w:rsidR="00366CB9" w:rsidRDefault="009D0C1D" w:rsidP="00FE22F4">
      <w:pPr>
        <w:pStyle w:val="50"/>
        <w:shd w:val="clear" w:color="auto" w:fill="auto"/>
        <w:spacing w:line="266" w:lineRule="auto"/>
        <w:ind w:left="180" w:hanging="180"/>
        <w:jc w:val="both"/>
      </w:pPr>
      <w:r>
        <w:rPr>
          <w:vertAlign w:val="superscript"/>
        </w:rPr>
        <w:t>a</w:t>
      </w:r>
      <w:r w:rsidR="00D77994">
        <w:tab/>
      </w:r>
      <w:r>
        <w:t>Особам з ТБ необхідно негайно призначити схему лікування лікарсько-чутливого ТБ або Нрез-ТБ відповідно до національних керівних принципів та рекомендацій ВООЗ (</w:t>
      </w:r>
      <w:hyperlink w:anchor="bookmark193" w:tooltip="Поточний документ">
        <w:r w:rsidR="00366CB9">
          <w:t>7</w:t>
        </w:r>
      </w:hyperlink>
      <w:r>
        <w:t xml:space="preserve">, </w:t>
      </w:r>
      <w:hyperlink w:anchor="bookmark201" w:tooltip="Поточний документ">
        <w:r w:rsidR="00366CB9">
          <w:t>100</w:t>
        </w:r>
      </w:hyperlink>
      <w:r>
        <w:t>). До осіб з високим ризиком ЛС-ТБ належать ті, хто отримував лікування; проживає в регіонах з високою ймовірністю резистентності до RIF, INH або FQ (≥ 5 %), або належать до підгруп, у яких ймовірність такої резистентності є високою; або мають в анамнезі контакт з особою з ЛС-ТБ або особою, яка не відповідає на лікування препаратами першої лінії, включаючи осіб з позитивним результатом мазка після 2 місяців (або більше) лікування, а також ті, у кого лікування виявилось неефективним.</w:t>
      </w:r>
    </w:p>
    <w:p w14:paraId="1E263BC8" w14:textId="17006969" w:rsidR="00366CB9" w:rsidRDefault="009D0C1D" w:rsidP="00FE22F4">
      <w:pPr>
        <w:pStyle w:val="50"/>
        <w:shd w:val="clear" w:color="auto" w:fill="auto"/>
        <w:spacing w:line="266" w:lineRule="auto"/>
        <w:ind w:left="180" w:hanging="180"/>
        <w:jc w:val="both"/>
      </w:pPr>
      <w:r>
        <w:rPr>
          <w:vertAlign w:val="superscript"/>
        </w:rPr>
        <w:t>b</w:t>
      </w:r>
      <w:r w:rsidR="00D77994">
        <w:tab/>
      </w:r>
      <w:r>
        <w:t>Якщо молекулярне та фенотипове тестування проводиться в одній лабораторії, одного зразка може бути достатньо. Якщо тестування проводиться у двох лабораторіях, слід зібрати два зразки, а молекулярне та фенотипове тестування проводити паралельно.</w:t>
      </w:r>
    </w:p>
    <w:p w14:paraId="3BD01D4E" w14:textId="22564364" w:rsidR="00366CB9" w:rsidRDefault="009D0C1D" w:rsidP="00FE22F4">
      <w:pPr>
        <w:pStyle w:val="50"/>
        <w:shd w:val="clear" w:color="auto" w:fill="auto"/>
        <w:spacing w:line="266" w:lineRule="auto"/>
        <w:ind w:left="180" w:hanging="180"/>
        <w:jc w:val="both"/>
      </w:pPr>
      <w:r>
        <w:rPr>
          <w:vertAlign w:val="superscript"/>
        </w:rPr>
        <w:t>c</w:t>
      </w:r>
      <w:r w:rsidR="00D77994">
        <w:tab/>
      </w:r>
      <w:r>
        <w:t>ВООЗ рекомендує отримати результати швидкого ТМЧ до початку лікування, хоча це тестування не має затримувати початок лікування. Швидкі mWRD для виявлення резистентності до FQ включають Xpert MTB/XDR та SL-LPA; для виявлення резистентності до INH –ь Xpert MTB/XDR, FL-LPA та MC-aNAAT, а для виявлення резистентності до PZA – тест Genoscholar PZA-TB II. Тести цільового СНП можуть давати результати для BDQ, FQ, LZD, INH, PZA, EMB, CFZ, AMK, STR та RIF.</w:t>
      </w:r>
    </w:p>
    <w:p w14:paraId="3A011546" w14:textId="0F813487" w:rsidR="00366CB9" w:rsidRDefault="009D0C1D" w:rsidP="00FE22F4">
      <w:pPr>
        <w:pStyle w:val="50"/>
        <w:shd w:val="clear" w:color="auto" w:fill="auto"/>
        <w:spacing w:line="266" w:lineRule="auto"/>
        <w:ind w:left="180" w:hanging="180"/>
        <w:jc w:val="both"/>
      </w:pPr>
      <w:r>
        <w:rPr>
          <w:vertAlign w:val="superscript"/>
        </w:rPr>
        <w:t>d</w:t>
      </w:r>
      <w:r w:rsidR="00D77994">
        <w:tab/>
      </w:r>
      <w:r>
        <w:t>Фенотипове ТМЧ необхідно проводити для кожного лікарського засобу в рамках схеми лікування, для якого представлені точні та відтворювані методи. Представлені надійні методи фенотипового ТМЧ для RIF, INH, PZA, FQ, BDQ, CFZ, Pa, CS, LZD, AMK та DLM (</w:t>
      </w:r>
      <w:hyperlink r:id="rId151" w:history="1">
        <w:r w:rsidR="00366CB9">
          <w:rPr>
            <w:b/>
            <w:sz w:val="18"/>
          </w:rPr>
          <w:t>Вебдодаток C</w:t>
        </w:r>
      </w:hyperlink>
      <w:r>
        <w:t>). Не слід затягувати початок лікування в очікуванні результатів фенотипового ТМЧ.</w:t>
      </w:r>
    </w:p>
    <w:p w14:paraId="5699F366" w14:textId="3AA64F20" w:rsidR="00366CB9" w:rsidRDefault="009D0C1D" w:rsidP="00FE22F4">
      <w:pPr>
        <w:pStyle w:val="50"/>
        <w:shd w:val="clear" w:color="auto" w:fill="auto"/>
        <w:spacing w:line="266" w:lineRule="auto"/>
        <w:ind w:left="180" w:hanging="180"/>
        <w:jc w:val="both"/>
      </w:pPr>
      <w:r>
        <w:rPr>
          <w:vertAlign w:val="superscript"/>
        </w:rPr>
        <w:t>e</w:t>
      </w:r>
      <w:r w:rsidR="00D77994">
        <w:tab/>
      </w:r>
      <w:r>
        <w:t>Див. додаткову інформацію про скориговані схеми лікування у публікації «Консолідовані настанови ВООЗ з лікування ЛС-ТБ (</w:t>
      </w:r>
      <w:hyperlink w:anchor="bookmark193" w:tooltip="Поточний документ">
        <w:r w:rsidR="00366CB9">
          <w:t>7</w:t>
        </w:r>
      </w:hyperlink>
      <w:r>
        <w:t>) та лікарсько-чутливого ТБ» (</w:t>
      </w:r>
      <w:hyperlink w:anchor="bookmark201" w:tooltip="Поточний документ">
        <w:r w:rsidR="00366CB9">
          <w:t>100</w:t>
        </w:r>
      </w:hyperlink>
      <w:r>
        <w:t>).</w:t>
      </w:r>
    </w:p>
    <w:p w14:paraId="6B1B6924" w14:textId="4CE643FA" w:rsidR="00366CB9" w:rsidRDefault="009D0C1D" w:rsidP="00FE22F4">
      <w:pPr>
        <w:pStyle w:val="50"/>
        <w:shd w:val="clear" w:color="auto" w:fill="auto"/>
        <w:spacing w:line="266" w:lineRule="auto"/>
        <w:ind w:left="180" w:hanging="180"/>
        <w:jc w:val="both"/>
      </w:pPr>
      <w:r>
        <w:rPr>
          <w:vertAlign w:val="superscript"/>
        </w:rPr>
        <w:t>f</w:t>
      </w:r>
      <w:r w:rsidR="00D77994">
        <w:tab/>
      </w:r>
      <w:r>
        <w:t>При ЛС-ТБ необхідно забрати зразок та направити його на фенотипове ТМЧ, якщо воно ще не проводилось, як описано у примітці 4. За наявності тестів цільового СНП зразок необхідно направити на тестування на виявлення резистентності до додаткових лікарських засобів для певних груп ризику відповідно до національних керівних принципів.</w:t>
      </w:r>
    </w:p>
    <w:p w14:paraId="159D8929" w14:textId="4B88D6E6" w:rsidR="00366CB9" w:rsidRDefault="009D0C1D" w:rsidP="00FE22F4">
      <w:pPr>
        <w:pStyle w:val="50"/>
        <w:shd w:val="clear" w:color="auto" w:fill="auto"/>
        <w:spacing w:after="340" w:line="266" w:lineRule="auto"/>
        <w:ind w:left="180" w:hanging="180"/>
        <w:jc w:val="both"/>
      </w:pPr>
      <w:r>
        <w:rPr>
          <w:vertAlign w:val="superscript"/>
        </w:rPr>
        <w:t>g</w:t>
      </w:r>
      <w:r w:rsidR="00D77994">
        <w:tab/>
      </w:r>
      <w:r>
        <w:t>У разі підозри на резистентність до конкретного лікарського засобу та відсутності ТМЧ для цих лікарських засобів у країні в лабораторіях необхідно встановити механізми зберігання ізоляту та його відправлення до НРЛ ВООЗ з ТМЧ.</w:t>
      </w:r>
    </w:p>
    <w:p w14:paraId="57A39FC4" w14:textId="77777777" w:rsidR="00366CB9" w:rsidRPr="00263242" w:rsidRDefault="009D0C1D" w:rsidP="00FE22F4">
      <w:pPr>
        <w:pStyle w:val="60"/>
        <w:shd w:val="clear" w:color="auto" w:fill="auto"/>
        <w:spacing w:after="260" w:line="240" w:lineRule="auto"/>
        <w:jc w:val="both"/>
        <w:rPr>
          <w:i/>
          <w:iCs/>
        </w:rPr>
      </w:pPr>
      <w:r>
        <w:rPr>
          <w:i/>
          <w:color w:val="019648"/>
        </w:rPr>
        <w:t>Схема прийняття рішень для Алгоритму 3 – Подальше тестування для осіб з рифампіцин-чутливим ТБ, у яких спостерігається ризик резистентності до інших лікарських засобів</w:t>
      </w:r>
    </w:p>
    <w:p w14:paraId="3B35130C" w14:textId="77777777" w:rsidR="00366CB9" w:rsidRPr="00D77994" w:rsidRDefault="009D0C1D" w:rsidP="00FE22F4">
      <w:pPr>
        <w:pStyle w:val="1"/>
        <w:numPr>
          <w:ilvl w:val="0"/>
          <w:numId w:val="40"/>
        </w:numPr>
        <w:shd w:val="clear" w:color="auto" w:fill="auto"/>
        <w:tabs>
          <w:tab w:val="left" w:pos="318"/>
        </w:tabs>
        <w:spacing w:after="80" w:line="326" w:lineRule="auto"/>
        <w:ind w:left="300" w:hanging="300"/>
        <w:jc w:val="both"/>
        <w:rPr>
          <w:sz w:val="18"/>
          <w:szCs w:val="18"/>
        </w:rPr>
      </w:pPr>
      <w:r w:rsidRPr="00D77994">
        <w:rPr>
          <w:sz w:val="18"/>
          <w:szCs w:val="18"/>
        </w:rPr>
        <w:t>Особі необхідно негайно призначити схему лікування RIF-чутливого ТБ відповідно до національних керівних принципів (</w:t>
      </w:r>
      <w:hyperlink w:anchor="bookmark201" w:tooltip="Поточний документ">
        <w:r w:rsidR="00366CB9" w:rsidRPr="00D77994">
          <w:rPr>
            <w:sz w:val="18"/>
            <w:szCs w:val="18"/>
          </w:rPr>
          <w:t>100</w:t>
        </w:r>
      </w:hyperlink>
      <w:r w:rsidRPr="00D77994">
        <w:rPr>
          <w:sz w:val="18"/>
          <w:szCs w:val="18"/>
        </w:rPr>
        <w:t>). Особам з Нрез-ТБ необхідно призначати схему лікування Нрез-ТБ (</w:t>
      </w:r>
      <w:hyperlink w:anchor="bookmark201" w:tooltip="Поточний документ">
        <w:r w:rsidR="00366CB9" w:rsidRPr="00D77994">
          <w:rPr>
            <w:sz w:val="18"/>
            <w:szCs w:val="18"/>
          </w:rPr>
          <w:t>99, 100</w:t>
        </w:r>
      </w:hyperlink>
      <w:r w:rsidRPr="00D77994">
        <w:rPr>
          <w:sz w:val="18"/>
          <w:szCs w:val="18"/>
        </w:rPr>
        <w:t>).</w:t>
      </w:r>
    </w:p>
    <w:p w14:paraId="7E287BF6" w14:textId="77777777" w:rsidR="00366CB9" w:rsidRPr="00D77994" w:rsidRDefault="009D0C1D" w:rsidP="00FE22F4">
      <w:pPr>
        <w:pStyle w:val="1"/>
        <w:numPr>
          <w:ilvl w:val="0"/>
          <w:numId w:val="40"/>
        </w:numPr>
        <w:shd w:val="clear" w:color="auto" w:fill="auto"/>
        <w:tabs>
          <w:tab w:val="left" w:pos="318"/>
        </w:tabs>
        <w:spacing w:after="80" w:line="324" w:lineRule="auto"/>
        <w:ind w:left="300" w:hanging="300"/>
        <w:jc w:val="both"/>
        <w:rPr>
          <w:sz w:val="18"/>
          <w:szCs w:val="18"/>
        </w:rPr>
      </w:pPr>
      <w:r w:rsidRPr="00D77994">
        <w:rPr>
          <w:sz w:val="18"/>
          <w:szCs w:val="18"/>
        </w:rPr>
        <w:t>Якщо молекулярне та фенотипове тестування проводяться в одній лабораторії, одного зразка може бути достатньо. Якщо тестування проводиться у двох лабораторіях, необхідно забрати два зразки та провести паралельне молекулярне та фенотипове тестування. За необхідності, зразки мокротиння або ізоляти необхідно доставити до відповідної дослідницької лабораторії.</w:t>
      </w:r>
    </w:p>
    <w:p w14:paraId="72288CF1" w14:textId="77777777" w:rsidR="00366CB9" w:rsidRPr="00D77994" w:rsidRDefault="009D0C1D" w:rsidP="00FE22F4">
      <w:pPr>
        <w:pStyle w:val="1"/>
        <w:numPr>
          <w:ilvl w:val="0"/>
          <w:numId w:val="40"/>
        </w:numPr>
        <w:shd w:val="clear" w:color="auto" w:fill="auto"/>
        <w:tabs>
          <w:tab w:val="left" w:pos="318"/>
        </w:tabs>
        <w:spacing w:after="40" w:line="324" w:lineRule="auto"/>
        <w:jc w:val="both"/>
        <w:rPr>
          <w:sz w:val="18"/>
          <w:szCs w:val="18"/>
        </w:rPr>
      </w:pPr>
      <w:r w:rsidRPr="00D77994">
        <w:rPr>
          <w:sz w:val="18"/>
          <w:szCs w:val="18"/>
        </w:rPr>
        <w:t>Необхідно паралельно проводити молекулярне тестування та посів.</w:t>
      </w:r>
    </w:p>
    <w:p w14:paraId="18B3EE11" w14:textId="77777777" w:rsidR="00366CB9" w:rsidRPr="00D77994" w:rsidRDefault="009D0C1D" w:rsidP="00FE22F4">
      <w:pPr>
        <w:pStyle w:val="1"/>
        <w:numPr>
          <w:ilvl w:val="0"/>
          <w:numId w:val="41"/>
        </w:numPr>
        <w:shd w:val="clear" w:color="auto" w:fill="auto"/>
        <w:tabs>
          <w:tab w:val="left" w:pos="608"/>
        </w:tabs>
        <w:spacing w:line="324" w:lineRule="auto"/>
        <w:ind w:firstLine="300"/>
        <w:jc w:val="both"/>
        <w:rPr>
          <w:sz w:val="18"/>
          <w:szCs w:val="18"/>
        </w:rPr>
      </w:pPr>
      <w:r w:rsidRPr="00D77994">
        <w:rPr>
          <w:sz w:val="18"/>
          <w:szCs w:val="18"/>
        </w:rPr>
        <w:t>Якщо застосовуються тести цільового СНП:</w:t>
      </w:r>
    </w:p>
    <w:p w14:paraId="49C0C709" w14:textId="77777777" w:rsidR="00366CB9" w:rsidRPr="00D77994" w:rsidRDefault="009D0C1D" w:rsidP="00FE22F4">
      <w:pPr>
        <w:pStyle w:val="1"/>
        <w:numPr>
          <w:ilvl w:val="0"/>
          <w:numId w:val="42"/>
        </w:numPr>
        <w:shd w:val="clear" w:color="auto" w:fill="auto"/>
        <w:tabs>
          <w:tab w:val="left" w:pos="826"/>
        </w:tabs>
        <w:spacing w:line="324" w:lineRule="auto"/>
        <w:ind w:left="820" w:hanging="240"/>
        <w:jc w:val="both"/>
        <w:rPr>
          <w:sz w:val="18"/>
          <w:szCs w:val="18"/>
        </w:rPr>
      </w:pPr>
      <w:r w:rsidRPr="00D77994">
        <w:rPr>
          <w:sz w:val="18"/>
          <w:szCs w:val="18"/>
        </w:rPr>
        <w:t xml:space="preserve">Лікування необхідно коригувати та, за необхідності, провести фенотипове ТМЧ у разі позитивного результату посіву відповідно до </w:t>
      </w:r>
      <w:hyperlink w:anchor="bookmark178" w:tooltip="Поточний документ">
        <w:r w:rsidR="00366CB9" w:rsidRPr="00D77994">
          <w:rPr>
            <w:b/>
            <w:sz w:val="18"/>
            <w:szCs w:val="18"/>
          </w:rPr>
          <w:t>Таблиці 6.1</w:t>
        </w:r>
      </w:hyperlink>
      <w:r w:rsidRPr="00D77994">
        <w:rPr>
          <w:sz w:val="18"/>
          <w:szCs w:val="18"/>
        </w:rPr>
        <w:t xml:space="preserve">. Примітка: результати секвенування дають інформацію про одночасне застосування кількох лікарських засобів; однак, для спрощення, у </w:t>
      </w:r>
      <w:hyperlink w:anchor="bookmark178" w:tooltip="Поточний документ">
        <w:r w:rsidR="00366CB9" w:rsidRPr="00D77994">
          <w:rPr>
            <w:b/>
            <w:sz w:val="18"/>
            <w:szCs w:val="18"/>
          </w:rPr>
          <w:t>Таблиці 6.1</w:t>
        </w:r>
      </w:hyperlink>
      <w:r w:rsidRPr="00D77994">
        <w:rPr>
          <w:sz w:val="18"/>
          <w:szCs w:val="18"/>
        </w:rPr>
        <w:t xml:space="preserve"> застосовується підхід до тлумачення результатів тесту цільового СНП, хоча при розробці схеми лікування необхідно враховувати всі результати.</w:t>
      </w:r>
    </w:p>
    <w:p w14:paraId="03A07B57" w14:textId="77777777" w:rsidR="00366CB9" w:rsidRDefault="00366CB9" w:rsidP="00425523">
      <w:pPr>
        <w:spacing w:line="1" w:lineRule="exact"/>
        <w:sectPr w:rsidR="00366CB9" w:rsidSect="00FE22F4">
          <w:pgSz w:w="11913" w:h="16840"/>
          <w:pgMar w:top="1469" w:right="1378" w:bottom="851" w:left="1372" w:header="0" w:footer="6" w:gutter="0"/>
          <w:paperSrc w:first="15" w:other="15"/>
          <w:cols w:space="720"/>
          <w:noEndnote/>
          <w:docGrid w:linePitch="360"/>
        </w:sectPr>
      </w:pPr>
    </w:p>
    <w:p w14:paraId="3EA86EA1" w14:textId="77777777" w:rsidR="00366CB9" w:rsidRDefault="00366CB9" w:rsidP="00425523">
      <w:pPr>
        <w:spacing w:line="1" w:lineRule="exact"/>
      </w:pPr>
    </w:p>
    <w:p w14:paraId="5EA8EEE7" w14:textId="1CD2FA78" w:rsidR="00366CB9" w:rsidRPr="00D77994" w:rsidRDefault="009D0C1D" w:rsidP="00FE22F4">
      <w:pPr>
        <w:pStyle w:val="1"/>
        <w:shd w:val="clear" w:color="auto" w:fill="auto"/>
        <w:spacing w:line="324" w:lineRule="auto"/>
        <w:ind w:left="820" w:hanging="240"/>
        <w:jc w:val="both"/>
        <w:rPr>
          <w:sz w:val="18"/>
          <w:szCs w:val="18"/>
        </w:rPr>
      </w:pPr>
      <w:r w:rsidRPr="00D77994">
        <w:rPr>
          <w:sz w:val="18"/>
          <w:szCs w:val="18"/>
        </w:rPr>
        <w:t xml:space="preserve">ii. </w:t>
      </w:r>
      <w:r w:rsidR="00D77994">
        <w:tab/>
      </w:r>
      <w:r w:rsidRPr="00D77994">
        <w:rPr>
          <w:sz w:val="18"/>
          <w:szCs w:val="18"/>
        </w:rPr>
        <w:t>Якщо результат тесту цільового СНП є невизначеним, тест необхідно повторити зі свіжим зразком, а рішення щодо лікування має бути засновано на клінічних оцінках, епідеміологічній ситуації та результатах фенотипового ТМЧ.</w:t>
      </w:r>
    </w:p>
    <w:p w14:paraId="11E1FAA6" w14:textId="77777777" w:rsidR="00366CB9" w:rsidRPr="00D77994" w:rsidRDefault="009D0C1D" w:rsidP="00FE22F4">
      <w:pPr>
        <w:pStyle w:val="1"/>
        <w:numPr>
          <w:ilvl w:val="0"/>
          <w:numId w:val="41"/>
        </w:numPr>
        <w:shd w:val="clear" w:color="auto" w:fill="auto"/>
        <w:tabs>
          <w:tab w:val="left" w:pos="622"/>
        </w:tabs>
        <w:spacing w:line="324" w:lineRule="auto"/>
        <w:ind w:firstLine="300"/>
        <w:jc w:val="both"/>
        <w:rPr>
          <w:sz w:val="18"/>
          <w:szCs w:val="18"/>
        </w:rPr>
      </w:pPr>
      <w:r w:rsidRPr="00D77994">
        <w:rPr>
          <w:sz w:val="18"/>
          <w:szCs w:val="18"/>
        </w:rPr>
        <w:t>При застосуванні подальшого молекулярного тесту, рекомендованого ВООЗ, відмінного від тесту цільового СНП:</w:t>
      </w:r>
    </w:p>
    <w:p w14:paraId="255966E8" w14:textId="77777777" w:rsidR="00366CB9" w:rsidRPr="00D77994" w:rsidRDefault="009D0C1D" w:rsidP="00FE22F4">
      <w:pPr>
        <w:pStyle w:val="1"/>
        <w:numPr>
          <w:ilvl w:val="0"/>
          <w:numId w:val="43"/>
        </w:numPr>
        <w:shd w:val="clear" w:color="auto" w:fill="auto"/>
        <w:tabs>
          <w:tab w:val="left" w:pos="826"/>
        </w:tabs>
        <w:spacing w:line="324" w:lineRule="auto"/>
        <w:ind w:left="820" w:hanging="240"/>
        <w:jc w:val="both"/>
        <w:rPr>
          <w:sz w:val="18"/>
          <w:szCs w:val="18"/>
        </w:rPr>
      </w:pPr>
      <w:r w:rsidRPr="00D77994">
        <w:rPr>
          <w:sz w:val="18"/>
          <w:szCs w:val="18"/>
        </w:rPr>
        <w:t>Для особи з Риф-ТБ, виявленим за допомогою молекулярного (наприклад, Xpert Ultra або Truenat) або фенотипового ТМЧ, але для якої відсутні результати для INH та яка має високий ризик Нрез-ТБ, процес необхідно розпочати з етапу 1 нижче.</w:t>
      </w:r>
    </w:p>
    <w:p w14:paraId="71CD9963" w14:textId="4A2C7700" w:rsidR="00366CB9" w:rsidRPr="00D77994" w:rsidRDefault="009D0C1D" w:rsidP="00FE22F4">
      <w:pPr>
        <w:pStyle w:val="1"/>
        <w:shd w:val="clear" w:color="auto" w:fill="auto"/>
        <w:spacing w:line="324" w:lineRule="auto"/>
        <w:ind w:left="820" w:hanging="240"/>
        <w:jc w:val="both"/>
        <w:rPr>
          <w:sz w:val="18"/>
          <w:szCs w:val="18"/>
        </w:rPr>
      </w:pPr>
      <w:r w:rsidRPr="00D77994">
        <w:rPr>
          <w:sz w:val="18"/>
          <w:szCs w:val="18"/>
        </w:rPr>
        <w:t xml:space="preserve">ii. </w:t>
      </w:r>
      <w:r w:rsidR="00D77994">
        <w:tab/>
      </w:r>
      <w:r w:rsidRPr="00D77994">
        <w:rPr>
          <w:sz w:val="18"/>
          <w:szCs w:val="18"/>
        </w:rPr>
        <w:t>Для особи, яка пройшла початковий тест на ТБ, що включав результати RIF та INH (наприклад, застосовувався MC-a NAAT) в Алгоритмі 1, процес необхідно розпочати з етапу 4 нижче.</w:t>
      </w:r>
    </w:p>
    <w:p w14:paraId="77825343" w14:textId="2AA32AFD" w:rsidR="00366CB9" w:rsidRPr="00D77994" w:rsidRDefault="009D0C1D" w:rsidP="00FE22F4">
      <w:pPr>
        <w:pStyle w:val="1"/>
        <w:shd w:val="clear" w:color="auto" w:fill="auto"/>
        <w:spacing w:line="324" w:lineRule="auto"/>
        <w:ind w:left="1080" w:hanging="260"/>
        <w:jc w:val="both"/>
        <w:rPr>
          <w:sz w:val="18"/>
          <w:szCs w:val="18"/>
        </w:rPr>
      </w:pPr>
      <w:r w:rsidRPr="00D77994">
        <w:rPr>
          <w:sz w:val="18"/>
          <w:szCs w:val="18"/>
        </w:rPr>
        <w:t xml:space="preserve">1. </w:t>
      </w:r>
      <w:r w:rsidR="00D77994">
        <w:tab/>
      </w:r>
      <w:r w:rsidRPr="00D77994">
        <w:rPr>
          <w:sz w:val="18"/>
          <w:szCs w:val="18"/>
        </w:rPr>
        <w:t>Зразок хорошої якості необхідно забрати та доставити до дослідницької лабораторії для молекулярного або фенотипового тестування на виявлення резистентності до INH:</w:t>
      </w:r>
    </w:p>
    <w:p w14:paraId="5DC12B8C" w14:textId="4910891E" w:rsidR="00366CB9" w:rsidRPr="00D77994" w:rsidRDefault="00FE22F4" w:rsidP="00FE22F4">
      <w:pPr>
        <w:pStyle w:val="1"/>
        <w:shd w:val="clear" w:color="auto" w:fill="auto"/>
        <w:spacing w:line="324" w:lineRule="auto"/>
        <w:ind w:left="1340" w:hanging="260"/>
        <w:jc w:val="both"/>
        <w:rPr>
          <w:sz w:val="18"/>
          <w:szCs w:val="18"/>
        </w:rPr>
      </w:pPr>
      <w:r w:rsidRPr="00D77994">
        <w:rPr>
          <w:color w:val="019648"/>
          <w:sz w:val="18"/>
          <w:szCs w:val="18"/>
        </w:rPr>
        <w:sym w:font="Wingdings" w:char="F09F"/>
      </w:r>
      <w:r w:rsidRPr="00D77994">
        <w:rPr>
          <w:color w:val="019648"/>
          <w:sz w:val="18"/>
          <w:szCs w:val="18"/>
        </w:rPr>
        <w:t xml:space="preserve"> </w:t>
      </w:r>
      <w:r w:rsidR="00D77994">
        <w:tab/>
      </w:r>
      <w:r w:rsidRPr="00D77994">
        <w:rPr>
          <w:sz w:val="18"/>
          <w:szCs w:val="18"/>
        </w:rPr>
        <w:t>Тестування може проходити у два етапи: виявлення резистентності до INH, а потім виявлення резистентності до FQ. Двоетапний процес застосовується, коли MC-aNAAT або FL-LPA використовуються для виявлення Нрез-ТБ, а потім LC-aNAAT або SL-LPA для виявлення резистентності до FQ. Наразі застосовується одноетапний процес з використанням «першого за класом» LC-aNAAT, що одночасно виявляє резистентність як до INH, так і до FQ.</w:t>
      </w:r>
    </w:p>
    <w:p w14:paraId="56B07D96" w14:textId="280945F9" w:rsidR="00366CB9" w:rsidRPr="00D77994" w:rsidRDefault="00FE22F4" w:rsidP="00FE22F4">
      <w:pPr>
        <w:pStyle w:val="1"/>
        <w:shd w:val="clear" w:color="auto" w:fill="auto"/>
        <w:spacing w:line="324" w:lineRule="auto"/>
        <w:ind w:left="1340" w:hanging="260"/>
        <w:jc w:val="both"/>
        <w:rPr>
          <w:sz w:val="18"/>
          <w:szCs w:val="18"/>
        </w:rPr>
      </w:pPr>
      <w:r w:rsidRPr="00D77994">
        <w:rPr>
          <w:color w:val="019648"/>
          <w:sz w:val="18"/>
          <w:szCs w:val="18"/>
        </w:rPr>
        <w:sym w:font="Wingdings" w:char="F09F"/>
      </w:r>
      <w:r w:rsidRPr="00D77994">
        <w:rPr>
          <w:color w:val="019648"/>
          <w:sz w:val="18"/>
          <w:szCs w:val="18"/>
        </w:rPr>
        <w:t xml:space="preserve"> </w:t>
      </w:r>
      <w:r w:rsidR="00D77994">
        <w:tab/>
      </w:r>
      <w:r w:rsidRPr="00D77994">
        <w:rPr>
          <w:sz w:val="18"/>
          <w:szCs w:val="18"/>
        </w:rPr>
        <w:t>Фенотипове ТМЧ застосовується для визначення резистентності до INH через чутливість; залежно від тесту, він може витримувати прибл. 15 % резистентних зразків (</w:t>
      </w:r>
      <w:hyperlink w:anchor="bookmark80" w:tooltip="Поточний документ">
        <w:r w:rsidRPr="00D77994">
          <w:rPr>
            <w:b/>
            <w:sz w:val="18"/>
            <w:szCs w:val="18"/>
          </w:rPr>
          <w:t>Таблиця 3.3</w:t>
        </w:r>
      </w:hyperlink>
      <w:r w:rsidRPr="00D77994">
        <w:rPr>
          <w:sz w:val="18"/>
          <w:szCs w:val="18"/>
        </w:rPr>
        <w:t>). Фенотипове ТМЧ буде ефективним у разі високого ризику Нрез-ТБ. Молекулярні та фенотипові тести необхідно розпочинати паралельно; важливо розпочинати новий тест без очікування результатів попереднього.</w:t>
      </w:r>
    </w:p>
    <w:p w14:paraId="4BCEDAA1" w14:textId="1FE14E52" w:rsidR="00366CB9" w:rsidRPr="00D77994" w:rsidRDefault="00FE22F4" w:rsidP="00FE22F4">
      <w:pPr>
        <w:pStyle w:val="1"/>
        <w:shd w:val="clear" w:color="auto" w:fill="auto"/>
        <w:spacing w:after="240" w:line="324" w:lineRule="auto"/>
        <w:ind w:left="1340" w:hanging="260"/>
        <w:jc w:val="both"/>
        <w:rPr>
          <w:sz w:val="18"/>
          <w:szCs w:val="18"/>
        </w:rPr>
      </w:pPr>
      <w:r w:rsidRPr="00D77994">
        <w:rPr>
          <w:color w:val="019648"/>
          <w:sz w:val="18"/>
          <w:szCs w:val="18"/>
        </w:rPr>
        <w:sym w:font="Wingdings" w:char="F09F"/>
      </w:r>
      <w:r w:rsidRPr="00D77994">
        <w:rPr>
          <w:color w:val="019648"/>
          <w:sz w:val="18"/>
          <w:szCs w:val="18"/>
        </w:rPr>
        <w:t xml:space="preserve"> </w:t>
      </w:r>
      <w:r w:rsidR="00D77994">
        <w:tab/>
      </w:r>
      <w:r w:rsidRPr="00D77994">
        <w:rPr>
          <w:sz w:val="18"/>
          <w:szCs w:val="18"/>
        </w:rPr>
        <w:t>Для отримання результату культурального фенотипового ТМЧ для INH потрібно 3-8 тижнів. Фенотипове ТМЧ може застосовуватись для оцінки осіб з чутливістю до INH, особливо в популяціях з високою клінічною передбачуваністю щодо резистентності до INH.</w:t>
      </w:r>
    </w:p>
    <w:p w14:paraId="59A624FC" w14:textId="77777777" w:rsidR="00366CB9" w:rsidRPr="00156AC1" w:rsidRDefault="009D0C1D" w:rsidP="00FE22F4">
      <w:pPr>
        <w:pStyle w:val="af"/>
        <w:shd w:val="clear" w:color="auto" w:fill="auto"/>
        <w:spacing w:after="240" w:line="240" w:lineRule="auto"/>
        <w:rPr>
          <w:b/>
          <w:bCs/>
        </w:rPr>
      </w:pPr>
      <w:bookmarkStart w:id="181" w:name="bookmark178"/>
      <w:r>
        <w:rPr>
          <w:b/>
        </w:rPr>
        <w:t>Таблиця 6.1. Коригування лікування та подальше ТМЧ на виявлення Нрез-ТБ на основі результатів цільового СНП</w:t>
      </w:r>
      <w:bookmarkEnd w:id="181"/>
    </w:p>
    <w:tbl>
      <w:tblPr>
        <w:tblOverlap w:val="never"/>
        <w:tblW w:w="0" w:type="auto"/>
        <w:tblLayout w:type="fixed"/>
        <w:tblCellMar>
          <w:left w:w="10" w:type="dxa"/>
          <w:right w:w="10" w:type="dxa"/>
        </w:tblCellMar>
        <w:tblLook w:val="0000" w:firstRow="0" w:lastRow="0" w:firstColumn="0" w:lastColumn="0" w:noHBand="0" w:noVBand="0"/>
      </w:tblPr>
      <w:tblGrid>
        <w:gridCol w:w="1134"/>
        <w:gridCol w:w="1592"/>
        <w:gridCol w:w="2194"/>
        <w:gridCol w:w="4214"/>
      </w:tblGrid>
      <w:tr w:rsidR="00366CB9" w:rsidRPr="00156AC1" w14:paraId="22B311F1" w14:textId="77777777" w:rsidTr="00361D58">
        <w:trPr>
          <w:trHeight w:hRule="exact" w:val="965"/>
        </w:trPr>
        <w:tc>
          <w:tcPr>
            <w:tcW w:w="113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55E5B0DC" w14:textId="77777777" w:rsidR="00366CB9" w:rsidRPr="00D77994" w:rsidRDefault="009D0C1D" w:rsidP="00D8531F">
            <w:pPr>
              <w:pStyle w:val="a6"/>
              <w:shd w:val="clear" w:color="auto" w:fill="auto"/>
              <w:rPr>
                <w:sz w:val="18"/>
                <w:szCs w:val="24"/>
              </w:rPr>
            </w:pPr>
            <w:r w:rsidRPr="00D77994">
              <w:rPr>
                <w:color w:val="FFFFFF"/>
                <w:sz w:val="18"/>
                <w:szCs w:val="24"/>
              </w:rPr>
              <w:t>Лікарський засіб</w:t>
            </w:r>
          </w:p>
        </w:tc>
        <w:tc>
          <w:tcPr>
            <w:tcW w:w="1592"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67BED58A" w14:textId="77777777" w:rsidR="00366CB9" w:rsidRPr="00D77994" w:rsidRDefault="009D0C1D" w:rsidP="00D8531F">
            <w:pPr>
              <w:pStyle w:val="a6"/>
              <w:shd w:val="clear" w:color="auto" w:fill="auto"/>
              <w:spacing w:line="276" w:lineRule="auto"/>
              <w:rPr>
                <w:sz w:val="18"/>
                <w:szCs w:val="24"/>
              </w:rPr>
            </w:pPr>
            <w:r w:rsidRPr="00D77994">
              <w:rPr>
                <w:color w:val="FFFFFF"/>
                <w:sz w:val="18"/>
                <w:szCs w:val="24"/>
              </w:rPr>
              <w:t>Результат цільового СНП</w:t>
            </w:r>
          </w:p>
        </w:tc>
        <w:tc>
          <w:tcPr>
            <w:tcW w:w="219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F13055F" w14:textId="77777777" w:rsidR="00366CB9" w:rsidRPr="00D77994" w:rsidRDefault="009D0C1D" w:rsidP="00D8531F">
            <w:pPr>
              <w:pStyle w:val="a6"/>
              <w:shd w:val="clear" w:color="auto" w:fill="auto"/>
              <w:spacing w:line="276" w:lineRule="auto"/>
              <w:rPr>
                <w:sz w:val="18"/>
                <w:szCs w:val="24"/>
              </w:rPr>
            </w:pPr>
            <w:r w:rsidRPr="00D77994">
              <w:rPr>
                <w:color w:val="FFFFFF"/>
                <w:sz w:val="18"/>
                <w:szCs w:val="24"/>
              </w:rPr>
              <w:t>Чи потрібне фенотипове ТМЧ для конкретного лікарського засобу?</w:t>
            </w:r>
          </w:p>
        </w:tc>
        <w:tc>
          <w:tcPr>
            <w:tcW w:w="421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7C1D91D" w14:textId="77777777" w:rsidR="00366CB9" w:rsidRPr="00D77994" w:rsidRDefault="009D0C1D" w:rsidP="00D8531F">
            <w:pPr>
              <w:pStyle w:val="a6"/>
              <w:shd w:val="clear" w:color="auto" w:fill="auto"/>
              <w:rPr>
                <w:sz w:val="18"/>
                <w:szCs w:val="24"/>
              </w:rPr>
            </w:pPr>
            <w:r w:rsidRPr="00D77994">
              <w:rPr>
                <w:color w:val="FFFFFF"/>
                <w:sz w:val="18"/>
                <w:szCs w:val="24"/>
              </w:rPr>
              <w:t>Дія: коригування лікування</w:t>
            </w:r>
          </w:p>
        </w:tc>
      </w:tr>
      <w:tr w:rsidR="00366CB9" w14:paraId="3A1722B0" w14:textId="77777777" w:rsidTr="00361D58">
        <w:trPr>
          <w:trHeight w:hRule="exact" w:val="979"/>
        </w:trPr>
        <w:tc>
          <w:tcPr>
            <w:tcW w:w="1134" w:type="dxa"/>
            <w:tcBorders>
              <w:top w:val="single" w:sz="8" w:space="0" w:color="00B050"/>
            </w:tcBorders>
            <w:shd w:val="clear" w:color="auto" w:fill="FFFFFF"/>
          </w:tcPr>
          <w:p w14:paraId="4AC40D50" w14:textId="77777777" w:rsidR="00366CB9" w:rsidRPr="00D77994" w:rsidRDefault="009D0C1D" w:rsidP="00D8531F">
            <w:pPr>
              <w:pStyle w:val="a6"/>
              <w:shd w:val="clear" w:color="auto" w:fill="auto"/>
              <w:spacing w:before="100"/>
              <w:ind w:firstLine="140"/>
              <w:rPr>
                <w:sz w:val="18"/>
                <w:szCs w:val="24"/>
              </w:rPr>
            </w:pPr>
            <w:r w:rsidRPr="00D77994">
              <w:rPr>
                <w:b w:val="0"/>
                <w:color w:val="000000"/>
                <w:sz w:val="18"/>
                <w:szCs w:val="24"/>
              </w:rPr>
              <w:t>RIF</w:t>
            </w:r>
          </w:p>
        </w:tc>
        <w:tc>
          <w:tcPr>
            <w:tcW w:w="1592" w:type="dxa"/>
            <w:tcBorders>
              <w:top w:val="single" w:sz="8" w:space="0" w:color="00B050"/>
              <w:bottom w:val="single" w:sz="8" w:space="0" w:color="00B050"/>
            </w:tcBorders>
            <w:shd w:val="clear" w:color="auto" w:fill="FFFFFF"/>
          </w:tcPr>
          <w:p w14:paraId="5E3F89D5" w14:textId="77777777" w:rsidR="00366CB9" w:rsidRPr="00D77994" w:rsidRDefault="009D0C1D" w:rsidP="00D8531F">
            <w:pPr>
              <w:pStyle w:val="a6"/>
              <w:shd w:val="clear" w:color="auto" w:fill="auto"/>
              <w:spacing w:before="100"/>
              <w:rPr>
                <w:sz w:val="18"/>
                <w:szCs w:val="24"/>
              </w:rPr>
            </w:pPr>
            <w:r w:rsidRPr="00D77994">
              <w:rPr>
                <w:b w:val="0"/>
                <w:color w:val="000000"/>
                <w:sz w:val="18"/>
                <w:szCs w:val="24"/>
              </w:rPr>
              <w:t>Резистентний</w:t>
            </w:r>
          </w:p>
        </w:tc>
        <w:tc>
          <w:tcPr>
            <w:tcW w:w="2194" w:type="dxa"/>
            <w:tcBorders>
              <w:top w:val="single" w:sz="8" w:space="0" w:color="00B050"/>
              <w:bottom w:val="single" w:sz="8" w:space="0" w:color="00B050"/>
            </w:tcBorders>
            <w:shd w:val="clear" w:color="auto" w:fill="FFFFFF"/>
          </w:tcPr>
          <w:p w14:paraId="46978D11" w14:textId="77777777" w:rsidR="00366CB9" w:rsidRPr="00D77994" w:rsidRDefault="009D0C1D" w:rsidP="00D8531F">
            <w:pPr>
              <w:pStyle w:val="a6"/>
              <w:shd w:val="clear" w:color="auto" w:fill="auto"/>
              <w:spacing w:before="100"/>
              <w:rPr>
                <w:sz w:val="18"/>
                <w:szCs w:val="24"/>
              </w:rPr>
            </w:pPr>
            <w:r w:rsidRPr="00D77994">
              <w:rPr>
                <w:b w:val="0"/>
                <w:color w:val="000000"/>
                <w:sz w:val="18"/>
                <w:szCs w:val="24"/>
              </w:rPr>
              <w:t>Ні</w:t>
            </w:r>
          </w:p>
        </w:tc>
        <w:tc>
          <w:tcPr>
            <w:tcW w:w="4214" w:type="dxa"/>
            <w:tcBorders>
              <w:top w:val="single" w:sz="8" w:space="0" w:color="00B050"/>
              <w:bottom w:val="single" w:sz="8" w:space="0" w:color="00B050"/>
            </w:tcBorders>
            <w:shd w:val="clear" w:color="auto" w:fill="FFFFFF"/>
          </w:tcPr>
          <w:p w14:paraId="3F0B931A" w14:textId="77777777" w:rsidR="00366CB9" w:rsidRPr="00D77994" w:rsidRDefault="009D0C1D" w:rsidP="00D8531F">
            <w:pPr>
              <w:pStyle w:val="a6"/>
              <w:shd w:val="clear" w:color="auto" w:fill="auto"/>
              <w:spacing w:line="271" w:lineRule="auto"/>
              <w:rPr>
                <w:sz w:val="18"/>
                <w:szCs w:val="24"/>
              </w:rPr>
            </w:pPr>
            <w:r w:rsidRPr="00D77994">
              <w:rPr>
                <w:b w:val="0"/>
                <w:color w:val="000000"/>
                <w:sz w:val="18"/>
                <w:szCs w:val="24"/>
              </w:rPr>
              <w:t>Перейти на схему лікування МЛС/Риф-ТБ, враховуючи будь-яку виявлену резистентність до інших лікарських засобів – див. Алгоритм 2а</w:t>
            </w:r>
          </w:p>
        </w:tc>
      </w:tr>
      <w:tr w:rsidR="00366CB9" w14:paraId="20597714" w14:textId="77777777" w:rsidTr="00361D58">
        <w:trPr>
          <w:trHeight w:hRule="exact" w:val="1234"/>
        </w:trPr>
        <w:tc>
          <w:tcPr>
            <w:tcW w:w="1134" w:type="dxa"/>
            <w:tcBorders>
              <w:bottom w:val="single" w:sz="8" w:space="0" w:color="00B050"/>
            </w:tcBorders>
            <w:shd w:val="clear" w:color="auto" w:fill="FFFFFF"/>
          </w:tcPr>
          <w:p w14:paraId="249A9667" w14:textId="77777777" w:rsidR="00366CB9" w:rsidRPr="00D77994" w:rsidRDefault="00366CB9" w:rsidP="00D8531F">
            <w:pPr>
              <w:rPr>
                <w:sz w:val="18"/>
              </w:rPr>
            </w:pPr>
          </w:p>
        </w:tc>
        <w:tc>
          <w:tcPr>
            <w:tcW w:w="1592" w:type="dxa"/>
            <w:tcBorders>
              <w:top w:val="single" w:sz="8" w:space="0" w:color="00B050"/>
              <w:bottom w:val="single" w:sz="8" w:space="0" w:color="00B050"/>
            </w:tcBorders>
            <w:shd w:val="clear" w:color="auto" w:fill="FFFFFF"/>
          </w:tcPr>
          <w:p w14:paraId="5988A670" w14:textId="77777777" w:rsidR="00366CB9" w:rsidRPr="00D77994" w:rsidRDefault="009D0C1D" w:rsidP="00D8531F">
            <w:pPr>
              <w:pStyle w:val="a6"/>
              <w:shd w:val="clear" w:color="auto" w:fill="auto"/>
              <w:spacing w:before="100"/>
              <w:rPr>
                <w:sz w:val="18"/>
                <w:szCs w:val="24"/>
              </w:rPr>
            </w:pPr>
            <w:r w:rsidRPr="00D77994">
              <w:rPr>
                <w:b w:val="0"/>
                <w:color w:val="000000"/>
                <w:sz w:val="18"/>
                <w:szCs w:val="24"/>
              </w:rPr>
              <w:t>Чутливий</w:t>
            </w:r>
          </w:p>
        </w:tc>
        <w:tc>
          <w:tcPr>
            <w:tcW w:w="2194" w:type="dxa"/>
            <w:tcBorders>
              <w:top w:val="single" w:sz="8" w:space="0" w:color="00B050"/>
              <w:bottom w:val="single" w:sz="8" w:space="0" w:color="00B050"/>
            </w:tcBorders>
            <w:shd w:val="clear" w:color="auto" w:fill="FFFFFF"/>
          </w:tcPr>
          <w:p w14:paraId="6A65F94A" w14:textId="77777777" w:rsidR="00366CB9" w:rsidRPr="00D77994" w:rsidRDefault="009D0C1D" w:rsidP="00D8531F">
            <w:pPr>
              <w:pStyle w:val="a6"/>
              <w:shd w:val="clear" w:color="auto" w:fill="auto"/>
              <w:spacing w:before="100"/>
              <w:rPr>
                <w:sz w:val="18"/>
                <w:szCs w:val="24"/>
              </w:rPr>
            </w:pPr>
            <w:r w:rsidRPr="00D77994">
              <w:rPr>
                <w:b w:val="0"/>
                <w:color w:val="000000"/>
                <w:sz w:val="18"/>
                <w:szCs w:val="24"/>
              </w:rPr>
              <w:t>Ні</w:t>
            </w:r>
          </w:p>
        </w:tc>
        <w:tc>
          <w:tcPr>
            <w:tcW w:w="4214" w:type="dxa"/>
            <w:tcBorders>
              <w:top w:val="single" w:sz="8" w:space="0" w:color="00B050"/>
              <w:bottom w:val="single" w:sz="8" w:space="0" w:color="00B050"/>
            </w:tcBorders>
            <w:shd w:val="clear" w:color="auto" w:fill="FFFFFF"/>
          </w:tcPr>
          <w:p w14:paraId="65198D95" w14:textId="77777777" w:rsidR="00366CB9" w:rsidRPr="00D77994" w:rsidRDefault="009D0C1D" w:rsidP="00D8531F">
            <w:pPr>
              <w:pStyle w:val="a6"/>
              <w:shd w:val="clear" w:color="auto" w:fill="auto"/>
              <w:spacing w:line="271" w:lineRule="auto"/>
              <w:rPr>
                <w:sz w:val="18"/>
                <w:szCs w:val="24"/>
              </w:rPr>
            </w:pPr>
            <w:r w:rsidRPr="00D77994">
              <w:rPr>
                <w:b w:val="0"/>
                <w:color w:val="000000"/>
                <w:sz w:val="18"/>
                <w:szCs w:val="24"/>
              </w:rPr>
              <w:t>Продовжувати схему лікування препаратами першої лінії, включаючи RIF, за відсутності іншої резистентності; в іншому випадку застосовувати індивідуальну схему</w:t>
            </w:r>
          </w:p>
        </w:tc>
      </w:tr>
    </w:tbl>
    <w:p w14:paraId="233A0DF6" w14:textId="77777777" w:rsidR="00366CB9" w:rsidRDefault="00366CB9" w:rsidP="00425523">
      <w:pPr>
        <w:spacing w:line="1" w:lineRule="exact"/>
        <w:sectPr w:rsidR="00366CB9" w:rsidSect="00F03360">
          <w:footerReference w:type="even" r:id="rId152"/>
          <w:type w:val="nextColumn"/>
          <w:pgSz w:w="11913" w:h="16840"/>
          <w:pgMar w:top="1469" w:right="1378" w:bottom="851" w:left="1372" w:header="0" w:footer="6" w:gutter="0"/>
          <w:paperSrc w:first="15" w:other="15"/>
          <w:cols w:space="720"/>
          <w:noEndnote/>
          <w:docGrid w:linePitch="360"/>
        </w:sectPr>
      </w:pPr>
    </w:p>
    <w:p w14:paraId="05366C17"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134"/>
        <w:gridCol w:w="1578"/>
        <w:gridCol w:w="2194"/>
        <w:gridCol w:w="4200"/>
      </w:tblGrid>
      <w:tr w:rsidR="00366CB9" w14:paraId="56366237" w14:textId="77777777" w:rsidTr="00361D58">
        <w:trPr>
          <w:trHeight w:hRule="exact" w:val="965"/>
        </w:trPr>
        <w:tc>
          <w:tcPr>
            <w:tcW w:w="113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13DD5A0B" w14:textId="77777777" w:rsidR="00366CB9" w:rsidRPr="00D8531F" w:rsidRDefault="009D0C1D" w:rsidP="00D8531F">
            <w:pPr>
              <w:pStyle w:val="a6"/>
              <w:shd w:val="clear" w:color="auto" w:fill="auto"/>
              <w:rPr>
                <w:sz w:val="18"/>
                <w:szCs w:val="24"/>
              </w:rPr>
            </w:pPr>
            <w:r w:rsidRPr="00D8531F">
              <w:rPr>
                <w:color w:val="FFFFFF"/>
                <w:sz w:val="18"/>
                <w:szCs w:val="24"/>
              </w:rPr>
              <w:t>Лікарський засіб</w:t>
            </w:r>
          </w:p>
        </w:tc>
        <w:tc>
          <w:tcPr>
            <w:tcW w:w="1578"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2DD40781" w14:textId="77777777" w:rsidR="00366CB9" w:rsidRPr="00D8531F" w:rsidRDefault="009D0C1D" w:rsidP="00D8531F">
            <w:pPr>
              <w:pStyle w:val="a6"/>
              <w:shd w:val="clear" w:color="auto" w:fill="auto"/>
              <w:spacing w:line="276" w:lineRule="auto"/>
              <w:rPr>
                <w:sz w:val="18"/>
                <w:szCs w:val="24"/>
              </w:rPr>
            </w:pPr>
            <w:r w:rsidRPr="00D8531F">
              <w:rPr>
                <w:color w:val="FFFFFF"/>
                <w:sz w:val="18"/>
                <w:szCs w:val="24"/>
              </w:rPr>
              <w:t>Результат цільового СНП</w:t>
            </w:r>
          </w:p>
        </w:tc>
        <w:tc>
          <w:tcPr>
            <w:tcW w:w="2194"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3A30997C" w14:textId="77777777" w:rsidR="00366CB9" w:rsidRPr="00D8531F" w:rsidRDefault="009D0C1D" w:rsidP="00D8531F">
            <w:pPr>
              <w:pStyle w:val="a6"/>
              <w:shd w:val="clear" w:color="auto" w:fill="auto"/>
              <w:spacing w:line="276" w:lineRule="auto"/>
              <w:rPr>
                <w:sz w:val="18"/>
                <w:szCs w:val="24"/>
              </w:rPr>
            </w:pPr>
            <w:r w:rsidRPr="00D8531F">
              <w:rPr>
                <w:color w:val="FFFFFF"/>
                <w:sz w:val="18"/>
                <w:szCs w:val="24"/>
              </w:rPr>
              <w:t>Чи потрібне фенотипове ТМЧ для конкретного лікарського засобу?</w:t>
            </w:r>
          </w:p>
        </w:tc>
        <w:tc>
          <w:tcPr>
            <w:tcW w:w="4200" w:type="dxa"/>
            <w:tcBorders>
              <w:top w:val="single" w:sz="8" w:space="0" w:color="00B050"/>
              <w:left w:val="single" w:sz="8" w:space="0" w:color="00B050"/>
              <w:bottom w:val="single" w:sz="8" w:space="0" w:color="00B050"/>
              <w:right w:val="single" w:sz="8" w:space="0" w:color="00B050"/>
            </w:tcBorders>
            <w:shd w:val="clear" w:color="auto" w:fill="62A86A"/>
            <w:vAlign w:val="center"/>
          </w:tcPr>
          <w:p w14:paraId="757CF7AB" w14:textId="77777777" w:rsidR="00366CB9" w:rsidRPr="00D8531F" w:rsidRDefault="009D0C1D" w:rsidP="00D8531F">
            <w:pPr>
              <w:pStyle w:val="a6"/>
              <w:shd w:val="clear" w:color="auto" w:fill="auto"/>
              <w:rPr>
                <w:sz w:val="18"/>
                <w:szCs w:val="24"/>
              </w:rPr>
            </w:pPr>
            <w:r w:rsidRPr="00D8531F">
              <w:rPr>
                <w:color w:val="FFFFFF"/>
                <w:sz w:val="18"/>
                <w:szCs w:val="24"/>
              </w:rPr>
              <w:t>Дія: коригування лікування</w:t>
            </w:r>
          </w:p>
        </w:tc>
      </w:tr>
      <w:tr w:rsidR="00366CB9" w14:paraId="26172B64" w14:textId="77777777" w:rsidTr="00361D58">
        <w:trPr>
          <w:trHeight w:hRule="exact" w:val="715"/>
        </w:trPr>
        <w:tc>
          <w:tcPr>
            <w:tcW w:w="1134" w:type="dxa"/>
            <w:tcBorders>
              <w:top w:val="single" w:sz="8" w:space="0" w:color="00B050"/>
            </w:tcBorders>
            <w:shd w:val="clear" w:color="auto" w:fill="FFFFFF"/>
            <w:vAlign w:val="center"/>
          </w:tcPr>
          <w:p w14:paraId="7F62C4FF" w14:textId="77777777" w:rsidR="00366CB9" w:rsidRPr="00D8531F" w:rsidRDefault="009D0C1D" w:rsidP="00FE22F4">
            <w:pPr>
              <w:pStyle w:val="a6"/>
              <w:shd w:val="clear" w:color="auto" w:fill="auto"/>
              <w:rPr>
                <w:sz w:val="18"/>
                <w:szCs w:val="24"/>
              </w:rPr>
            </w:pPr>
            <w:r w:rsidRPr="00D8531F">
              <w:rPr>
                <w:b w:val="0"/>
                <w:color w:val="000000"/>
                <w:sz w:val="18"/>
                <w:szCs w:val="24"/>
              </w:rPr>
              <w:t>INH</w:t>
            </w:r>
          </w:p>
        </w:tc>
        <w:tc>
          <w:tcPr>
            <w:tcW w:w="1578" w:type="dxa"/>
            <w:tcBorders>
              <w:top w:val="single" w:sz="8" w:space="0" w:color="00B050"/>
            </w:tcBorders>
            <w:shd w:val="clear" w:color="auto" w:fill="FFFFFF"/>
            <w:vAlign w:val="center"/>
          </w:tcPr>
          <w:p w14:paraId="0B2C75DB" w14:textId="77777777" w:rsidR="00366CB9" w:rsidRPr="00D8531F" w:rsidRDefault="009D0C1D" w:rsidP="00FE22F4">
            <w:pPr>
              <w:pStyle w:val="a6"/>
              <w:shd w:val="clear" w:color="auto" w:fill="auto"/>
              <w:rPr>
                <w:sz w:val="18"/>
                <w:szCs w:val="24"/>
              </w:rPr>
            </w:pPr>
            <w:r w:rsidRPr="00D8531F">
              <w:rPr>
                <w:b w:val="0"/>
                <w:color w:val="000000"/>
                <w:sz w:val="18"/>
                <w:szCs w:val="24"/>
              </w:rPr>
              <w:t>Резистентний</w:t>
            </w:r>
          </w:p>
        </w:tc>
        <w:tc>
          <w:tcPr>
            <w:tcW w:w="2194" w:type="dxa"/>
            <w:tcBorders>
              <w:top w:val="single" w:sz="8" w:space="0" w:color="00B050"/>
            </w:tcBorders>
            <w:shd w:val="clear" w:color="auto" w:fill="FFFFFF"/>
            <w:vAlign w:val="center"/>
          </w:tcPr>
          <w:p w14:paraId="43B218EB" w14:textId="77777777" w:rsidR="00366CB9" w:rsidRPr="00D8531F" w:rsidRDefault="009D0C1D" w:rsidP="00FE22F4">
            <w:pPr>
              <w:pStyle w:val="a6"/>
              <w:shd w:val="clear" w:color="auto" w:fill="auto"/>
              <w:rPr>
                <w:sz w:val="18"/>
                <w:szCs w:val="24"/>
              </w:rPr>
            </w:pPr>
            <w:r w:rsidRPr="00D8531F">
              <w:rPr>
                <w:b w:val="0"/>
                <w:color w:val="000000"/>
                <w:sz w:val="18"/>
                <w:szCs w:val="24"/>
              </w:rPr>
              <w:t>Ні</w:t>
            </w:r>
          </w:p>
        </w:tc>
        <w:tc>
          <w:tcPr>
            <w:tcW w:w="4200" w:type="dxa"/>
            <w:tcBorders>
              <w:top w:val="single" w:sz="8" w:space="0" w:color="00B050"/>
              <w:bottom w:val="single" w:sz="8" w:space="0" w:color="00B050"/>
            </w:tcBorders>
            <w:shd w:val="clear" w:color="auto" w:fill="FFFFFF"/>
            <w:vAlign w:val="bottom"/>
          </w:tcPr>
          <w:p w14:paraId="2272B85A" w14:textId="77777777" w:rsidR="00366CB9" w:rsidRPr="00D8531F" w:rsidRDefault="009D0C1D" w:rsidP="00FE22F4">
            <w:pPr>
              <w:pStyle w:val="a6"/>
              <w:shd w:val="clear" w:color="auto" w:fill="auto"/>
              <w:spacing w:line="271" w:lineRule="auto"/>
              <w:rPr>
                <w:sz w:val="18"/>
                <w:szCs w:val="24"/>
              </w:rPr>
            </w:pPr>
            <w:r w:rsidRPr="00D8531F">
              <w:rPr>
                <w:b w:val="0"/>
                <w:color w:val="000000"/>
                <w:sz w:val="18"/>
                <w:szCs w:val="24"/>
              </w:rPr>
              <w:t>Перейти на схему лікування Нрез-ТБ за відсутності іншої резистентності</w:t>
            </w:r>
          </w:p>
        </w:tc>
      </w:tr>
      <w:tr w:rsidR="00366CB9" w14:paraId="3055ABD8" w14:textId="77777777" w:rsidTr="00361D58">
        <w:trPr>
          <w:trHeight w:hRule="exact" w:val="710"/>
        </w:trPr>
        <w:tc>
          <w:tcPr>
            <w:tcW w:w="1134" w:type="dxa"/>
            <w:shd w:val="clear" w:color="auto" w:fill="FFFFFF"/>
          </w:tcPr>
          <w:p w14:paraId="61E854DF" w14:textId="77777777" w:rsidR="00366CB9" w:rsidRPr="00D8531F" w:rsidRDefault="00366CB9" w:rsidP="00FE22F4">
            <w:pPr>
              <w:rPr>
                <w:sz w:val="18"/>
              </w:rPr>
            </w:pPr>
          </w:p>
        </w:tc>
        <w:tc>
          <w:tcPr>
            <w:tcW w:w="1578" w:type="dxa"/>
            <w:tcBorders>
              <w:bottom w:val="single" w:sz="8" w:space="0" w:color="00B050"/>
            </w:tcBorders>
            <w:shd w:val="clear" w:color="auto" w:fill="FFFFFF"/>
          </w:tcPr>
          <w:p w14:paraId="290CDC09" w14:textId="77777777" w:rsidR="00366CB9" w:rsidRPr="00D8531F" w:rsidRDefault="00366CB9" w:rsidP="00FE22F4">
            <w:pPr>
              <w:rPr>
                <w:sz w:val="18"/>
              </w:rPr>
            </w:pPr>
          </w:p>
        </w:tc>
        <w:tc>
          <w:tcPr>
            <w:tcW w:w="2194" w:type="dxa"/>
            <w:tcBorders>
              <w:bottom w:val="single" w:sz="8" w:space="0" w:color="00B050"/>
            </w:tcBorders>
            <w:shd w:val="clear" w:color="auto" w:fill="FFFFFF"/>
          </w:tcPr>
          <w:p w14:paraId="6D6203C2" w14:textId="77777777" w:rsidR="00366CB9" w:rsidRPr="00D8531F" w:rsidRDefault="00366CB9" w:rsidP="00FE22F4">
            <w:pPr>
              <w:rPr>
                <w:sz w:val="18"/>
              </w:rPr>
            </w:pPr>
          </w:p>
        </w:tc>
        <w:tc>
          <w:tcPr>
            <w:tcW w:w="4200" w:type="dxa"/>
            <w:tcBorders>
              <w:top w:val="single" w:sz="8" w:space="0" w:color="00B050"/>
              <w:bottom w:val="single" w:sz="8" w:space="0" w:color="00B050"/>
            </w:tcBorders>
            <w:shd w:val="clear" w:color="auto" w:fill="FFFFFF"/>
            <w:vAlign w:val="bottom"/>
          </w:tcPr>
          <w:p w14:paraId="6437160C" w14:textId="77777777" w:rsidR="00366CB9" w:rsidRPr="00D8531F" w:rsidRDefault="009D0C1D" w:rsidP="00FE22F4">
            <w:pPr>
              <w:pStyle w:val="a6"/>
              <w:shd w:val="clear" w:color="auto" w:fill="auto"/>
              <w:spacing w:line="271" w:lineRule="auto"/>
              <w:rPr>
                <w:sz w:val="18"/>
                <w:szCs w:val="24"/>
              </w:rPr>
            </w:pPr>
            <w:r w:rsidRPr="00D8531F">
              <w:rPr>
                <w:b w:val="0"/>
                <w:color w:val="000000"/>
                <w:sz w:val="18"/>
                <w:szCs w:val="24"/>
              </w:rPr>
              <w:t>Якщо виявлено резистентність до FQ або PZA, перейти на індивідуальну схему</w:t>
            </w:r>
          </w:p>
        </w:tc>
      </w:tr>
      <w:tr w:rsidR="00366CB9" w14:paraId="67A8D46A" w14:textId="77777777" w:rsidTr="00361D58">
        <w:trPr>
          <w:trHeight w:hRule="exact" w:val="970"/>
        </w:trPr>
        <w:tc>
          <w:tcPr>
            <w:tcW w:w="1134" w:type="dxa"/>
            <w:tcBorders>
              <w:bottom w:val="single" w:sz="8" w:space="0" w:color="00B050"/>
            </w:tcBorders>
            <w:shd w:val="clear" w:color="auto" w:fill="FFFFFF"/>
          </w:tcPr>
          <w:p w14:paraId="61AE3D02" w14:textId="77777777" w:rsidR="00366CB9" w:rsidRPr="00D8531F" w:rsidRDefault="00366CB9" w:rsidP="00FE22F4">
            <w:pPr>
              <w:rPr>
                <w:sz w:val="18"/>
              </w:rPr>
            </w:pPr>
          </w:p>
        </w:tc>
        <w:tc>
          <w:tcPr>
            <w:tcW w:w="1578" w:type="dxa"/>
            <w:tcBorders>
              <w:top w:val="single" w:sz="8" w:space="0" w:color="00B050"/>
              <w:bottom w:val="single" w:sz="8" w:space="0" w:color="00B050"/>
            </w:tcBorders>
            <w:shd w:val="clear" w:color="auto" w:fill="FFFFFF"/>
          </w:tcPr>
          <w:p w14:paraId="746750C3" w14:textId="77777777" w:rsidR="00366CB9" w:rsidRPr="00D8531F" w:rsidRDefault="009D0C1D" w:rsidP="00FE22F4">
            <w:pPr>
              <w:pStyle w:val="a6"/>
              <w:shd w:val="clear" w:color="auto" w:fill="auto"/>
              <w:spacing w:before="100"/>
              <w:rPr>
                <w:sz w:val="18"/>
                <w:szCs w:val="24"/>
              </w:rPr>
            </w:pPr>
            <w:r w:rsidRPr="00D8531F">
              <w:rPr>
                <w:b w:val="0"/>
                <w:color w:val="000000"/>
                <w:sz w:val="18"/>
                <w:szCs w:val="24"/>
              </w:rPr>
              <w:t>Чутливий</w:t>
            </w:r>
          </w:p>
        </w:tc>
        <w:tc>
          <w:tcPr>
            <w:tcW w:w="2194" w:type="dxa"/>
            <w:tcBorders>
              <w:top w:val="single" w:sz="8" w:space="0" w:color="00B050"/>
              <w:bottom w:val="single" w:sz="8" w:space="0" w:color="00B050"/>
            </w:tcBorders>
            <w:shd w:val="clear" w:color="auto" w:fill="FFFFFF"/>
          </w:tcPr>
          <w:p w14:paraId="3A923D47" w14:textId="77777777" w:rsidR="00366CB9" w:rsidRPr="00D8531F" w:rsidRDefault="009D0C1D" w:rsidP="00FE22F4">
            <w:pPr>
              <w:pStyle w:val="a6"/>
              <w:shd w:val="clear" w:color="auto" w:fill="auto"/>
              <w:spacing w:before="100"/>
              <w:rPr>
                <w:sz w:val="18"/>
                <w:szCs w:val="24"/>
              </w:rPr>
            </w:pPr>
            <w:r w:rsidRPr="00D8531F">
              <w:rPr>
                <w:b w:val="0"/>
                <w:color w:val="000000"/>
                <w:sz w:val="18"/>
                <w:szCs w:val="24"/>
              </w:rPr>
              <w:t>Так</w:t>
            </w:r>
          </w:p>
        </w:tc>
        <w:tc>
          <w:tcPr>
            <w:tcW w:w="4200" w:type="dxa"/>
            <w:tcBorders>
              <w:top w:val="single" w:sz="8" w:space="0" w:color="00B050"/>
              <w:bottom w:val="single" w:sz="8" w:space="0" w:color="00B050"/>
            </w:tcBorders>
            <w:shd w:val="clear" w:color="auto" w:fill="FFFFFF"/>
            <w:vAlign w:val="bottom"/>
          </w:tcPr>
          <w:p w14:paraId="1745B120" w14:textId="77777777" w:rsidR="00366CB9" w:rsidRPr="00D8531F" w:rsidRDefault="009D0C1D" w:rsidP="00FE22F4">
            <w:pPr>
              <w:pStyle w:val="a6"/>
              <w:shd w:val="clear" w:color="auto" w:fill="auto"/>
              <w:spacing w:line="271" w:lineRule="auto"/>
              <w:rPr>
                <w:sz w:val="18"/>
                <w:szCs w:val="24"/>
              </w:rPr>
            </w:pPr>
            <w:r w:rsidRPr="00D8531F">
              <w:rPr>
                <w:b w:val="0"/>
                <w:color w:val="000000"/>
                <w:sz w:val="18"/>
                <w:szCs w:val="24"/>
              </w:rPr>
              <w:t>Продовжувати схему лікування препаратами першої лінії за відсутності іншої резистентності; в іншому випадку застосовувати індивідуальну схему</w:t>
            </w:r>
          </w:p>
        </w:tc>
      </w:tr>
      <w:tr w:rsidR="00366CB9" w14:paraId="0289E391" w14:textId="77777777" w:rsidTr="00361D58">
        <w:trPr>
          <w:trHeight w:hRule="exact" w:val="706"/>
        </w:trPr>
        <w:tc>
          <w:tcPr>
            <w:tcW w:w="1134" w:type="dxa"/>
            <w:tcBorders>
              <w:top w:val="single" w:sz="8" w:space="0" w:color="00B050"/>
            </w:tcBorders>
            <w:shd w:val="clear" w:color="auto" w:fill="FFFFFF"/>
            <w:vAlign w:val="center"/>
          </w:tcPr>
          <w:p w14:paraId="52E9E4C3" w14:textId="77777777" w:rsidR="00366CB9" w:rsidRPr="00D8531F" w:rsidRDefault="009D0C1D" w:rsidP="00FE22F4">
            <w:pPr>
              <w:pStyle w:val="a6"/>
              <w:shd w:val="clear" w:color="auto" w:fill="auto"/>
              <w:rPr>
                <w:sz w:val="18"/>
                <w:szCs w:val="24"/>
              </w:rPr>
            </w:pPr>
            <w:r w:rsidRPr="00D8531F">
              <w:rPr>
                <w:b w:val="0"/>
                <w:color w:val="000000"/>
                <w:sz w:val="18"/>
                <w:szCs w:val="24"/>
              </w:rPr>
              <w:t>EMB</w:t>
            </w:r>
          </w:p>
        </w:tc>
        <w:tc>
          <w:tcPr>
            <w:tcW w:w="1578" w:type="dxa"/>
            <w:tcBorders>
              <w:top w:val="single" w:sz="8" w:space="0" w:color="00B050"/>
            </w:tcBorders>
            <w:shd w:val="clear" w:color="auto" w:fill="FFFFFF"/>
            <w:vAlign w:val="center"/>
          </w:tcPr>
          <w:p w14:paraId="71F9E926" w14:textId="77777777" w:rsidR="00366CB9" w:rsidRPr="00D8531F" w:rsidRDefault="009D0C1D" w:rsidP="00FE22F4">
            <w:pPr>
              <w:pStyle w:val="a6"/>
              <w:shd w:val="clear" w:color="auto" w:fill="auto"/>
              <w:rPr>
                <w:sz w:val="18"/>
                <w:szCs w:val="24"/>
              </w:rPr>
            </w:pPr>
            <w:r w:rsidRPr="00D8531F">
              <w:rPr>
                <w:b w:val="0"/>
                <w:color w:val="000000"/>
                <w:sz w:val="18"/>
                <w:szCs w:val="24"/>
              </w:rPr>
              <w:t>Резистентний</w:t>
            </w:r>
          </w:p>
        </w:tc>
        <w:tc>
          <w:tcPr>
            <w:tcW w:w="2194" w:type="dxa"/>
            <w:tcBorders>
              <w:top w:val="single" w:sz="8" w:space="0" w:color="00B050"/>
            </w:tcBorders>
            <w:shd w:val="clear" w:color="auto" w:fill="FFFFFF"/>
            <w:vAlign w:val="center"/>
          </w:tcPr>
          <w:p w14:paraId="1B724E9E" w14:textId="77777777" w:rsidR="00366CB9" w:rsidRPr="00D8531F" w:rsidRDefault="009D0C1D" w:rsidP="00FE22F4">
            <w:pPr>
              <w:pStyle w:val="a6"/>
              <w:shd w:val="clear" w:color="auto" w:fill="auto"/>
              <w:rPr>
                <w:sz w:val="18"/>
                <w:szCs w:val="24"/>
              </w:rPr>
            </w:pPr>
            <w:r w:rsidRPr="00D8531F">
              <w:rPr>
                <w:b w:val="0"/>
                <w:color w:val="000000"/>
                <w:sz w:val="18"/>
                <w:szCs w:val="24"/>
              </w:rPr>
              <w:t>Ні</w:t>
            </w:r>
          </w:p>
        </w:tc>
        <w:tc>
          <w:tcPr>
            <w:tcW w:w="4200" w:type="dxa"/>
            <w:tcBorders>
              <w:top w:val="single" w:sz="8" w:space="0" w:color="00B050"/>
              <w:bottom w:val="single" w:sz="8" w:space="0" w:color="00B050"/>
            </w:tcBorders>
            <w:shd w:val="clear" w:color="auto" w:fill="FFFFFF"/>
            <w:vAlign w:val="bottom"/>
          </w:tcPr>
          <w:p w14:paraId="0B3EC7F6" w14:textId="77777777" w:rsidR="00366CB9" w:rsidRPr="00D8531F" w:rsidRDefault="009D0C1D" w:rsidP="00FE22F4">
            <w:pPr>
              <w:pStyle w:val="a6"/>
              <w:shd w:val="clear" w:color="auto" w:fill="auto"/>
              <w:spacing w:line="271" w:lineRule="auto"/>
              <w:rPr>
                <w:sz w:val="18"/>
                <w:szCs w:val="24"/>
              </w:rPr>
            </w:pPr>
            <w:r w:rsidRPr="00D8531F">
              <w:rPr>
                <w:b w:val="0"/>
                <w:color w:val="000000"/>
                <w:sz w:val="18"/>
                <w:szCs w:val="24"/>
              </w:rPr>
              <w:t>Якщо резистентність виявлено під час фази продовження, продовжувати RH</w:t>
            </w:r>
          </w:p>
        </w:tc>
      </w:tr>
      <w:tr w:rsidR="00366CB9" w14:paraId="071B6DAA" w14:textId="77777777" w:rsidTr="00361D58">
        <w:trPr>
          <w:trHeight w:hRule="exact" w:val="1229"/>
        </w:trPr>
        <w:tc>
          <w:tcPr>
            <w:tcW w:w="1134" w:type="dxa"/>
            <w:shd w:val="clear" w:color="auto" w:fill="FFFFFF"/>
          </w:tcPr>
          <w:p w14:paraId="7EEBD1D1" w14:textId="77777777" w:rsidR="00366CB9" w:rsidRPr="00D8531F" w:rsidRDefault="00366CB9" w:rsidP="00FE22F4">
            <w:pPr>
              <w:rPr>
                <w:sz w:val="18"/>
              </w:rPr>
            </w:pPr>
          </w:p>
        </w:tc>
        <w:tc>
          <w:tcPr>
            <w:tcW w:w="1578" w:type="dxa"/>
            <w:tcBorders>
              <w:bottom w:val="single" w:sz="8" w:space="0" w:color="00B050"/>
            </w:tcBorders>
            <w:shd w:val="clear" w:color="auto" w:fill="FFFFFF"/>
          </w:tcPr>
          <w:p w14:paraId="37DD3C36" w14:textId="77777777" w:rsidR="00366CB9" w:rsidRPr="00D8531F" w:rsidRDefault="00366CB9" w:rsidP="00FE22F4">
            <w:pPr>
              <w:rPr>
                <w:sz w:val="18"/>
              </w:rPr>
            </w:pPr>
          </w:p>
        </w:tc>
        <w:tc>
          <w:tcPr>
            <w:tcW w:w="2194" w:type="dxa"/>
            <w:tcBorders>
              <w:bottom w:val="single" w:sz="8" w:space="0" w:color="00B050"/>
            </w:tcBorders>
            <w:shd w:val="clear" w:color="auto" w:fill="FFFFFF"/>
          </w:tcPr>
          <w:p w14:paraId="3D5BA2C8" w14:textId="77777777" w:rsidR="00366CB9" w:rsidRPr="00D8531F" w:rsidRDefault="00366CB9" w:rsidP="00FE22F4">
            <w:pPr>
              <w:rPr>
                <w:sz w:val="18"/>
              </w:rPr>
            </w:pPr>
          </w:p>
        </w:tc>
        <w:tc>
          <w:tcPr>
            <w:tcW w:w="4200" w:type="dxa"/>
            <w:tcBorders>
              <w:top w:val="single" w:sz="8" w:space="0" w:color="00B050"/>
              <w:bottom w:val="single" w:sz="8" w:space="0" w:color="00B050"/>
            </w:tcBorders>
            <w:shd w:val="clear" w:color="auto" w:fill="FFFFFF"/>
            <w:vAlign w:val="bottom"/>
          </w:tcPr>
          <w:p w14:paraId="7F80B136" w14:textId="77777777" w:rsidR="00366CB9" w:rsidRPr="00D8531F" w:rsidRDefault="009D0C1D" w:rsidP="00FE22F4">
            <w:pPr>
              <w:pStyle w:val="a6"/>
              <w:shd w:val="clear" w:color="auto" w:fill="auto"/>
              <w:spacing w:line="276" w:lineRule="auto"/>
              <w:rPr>
                <w:sz w:val="18"/>
                <w:szCs w:val="24"/>
              </w:rPr>
            </w:pPr>
            <w:r w:rsidRPr="00D8531F">
              <w:rPr>
                <w:b w:val="0"/>
                <w:color w:val="000000"/>
                <w:sz w:val="18"/>
                <w:szCs w:val="24"/>
              </w:rPr>
              <w:t>Якщо резистентність виявлено під час інтенсивної фази, провести клінічну оцінку (враховуючи інші результати) та ретельне спостереження</w:t>
            </w:r>
          </w:p>
        </w:tc>
      </w:tr>
      <w:tr w:rsidR="00366CB9" w14:paraId="4E4231BF" w14:textId="77777777" w:rsidTr="00361D58">
        <w:trPr>
          <w:trHeight w:hRule="exact" w:val="970"/>
        </w:trPr>
        <w:tc>
          <w:tcPr>
            <w:tcW w:w="1134" w:type="dxa"/>
            <w:tcBorders>
              <w:bottom w:val="single" w:sz="8" w:space="0" w:color="00B050"/>
            </w:tcBorders>
            <w:shd w:val="clear" w:color="auto" w:fill="FFFFFF"/>
          </w:tcPr>
          <w:p w14:paraId="424ACEC7" w14:textId="77777777" w:rsidR="00366CB9" w:rsidRPr="00D8531F" w:rsidRDefault="00366CB9" w:rsidP="00FE22F4">
            <w:pPr>
              <w:rPr>
                <w:sz w:val="18"/>
              </w:rPr>
            </w:pPr>
          </w:p>
        </w:tc>
        <w:tc>
          <w:tcPr>
            <w:tcW w:w="1578" w:type="dxa"/>
            <w:tcBorders>
              <w:top w:val="single" w:sz="8" w:space="0" w:color="00B050"/>
              <w:bottom w:val="single" w:sz="8" w:space="0" w:color="00B050"/>
            </w:tcBorders>
            <w:shd w:val="clear" w:color="auto" w:fill="FFFFFF"/>
          </w:tcPr>
          <w:p w14:paraId="4AEB6EBA" w14:textId="77777777" w:rsidR="00366CB9" w:rsidRPr="00D8531F" w:rsidRDefault="009D0C1D" w:rsidP="00FE22F4">
            <w:pPr>
              <w:pStyle w:val="a6"/>
              <w:shd w:val="clear" w:color="auto" w:fill="auto"/>
              <w:spacing w:before="100"/>
              <w:rPr>
                <w:sz w:val="18"/>
                <w:szCs w:val="24"/>
              </w:rPr>
            </w:pPr>
            <w:r w:rsidRPr="00D8531F">
              <w:rPr>
                <w:b w:val="0"/>
                <w:color w:val="000000"/>
                <w:sz w:val="18"/>
                <w:szCs w:val="24"/>
              </w:rPr>
              <w:t>Чутливий</w:t>
            </w:r>
          </w:p>
        </w:tc>
        <w:tc>
          <w:tcPr>
            <w:tcW w:w="2194" w:type="dxa"/>
            <w:tcBorders>
              <w:top w:val="single" w:sz="8" w:space="0" w:color="00B050"/>
              <w:bottom w:val="single" w:sz="8" w:space="0" w:color="00B050"/>
            </w:tcBorders>
            <w:shd w:val="clear" w:color="auto" w:fill="FFFFFF"/>
          </w:tcPr>
          <w:p w14:paraId="4503A585" w14:textId="77777777" w:rsidR="00366CB9" w:rsidRPr="00D8531F" w:rsidRDefault="009D0C1D" w:rsidP="00FE22F4">
            <w:pPr>
              <w:pStyle w:val="a6"/>
              <w:shd w:val="clear" w:color="auto" w:fill="auto"/>
              <w:spacing w:before="100"/>
              <w:rPr>
                <w:sz w:val="18"/>
                <w:szCs w:val="24"/>
              </w:rPr>
            </w:pPr>
            <w:r w:rsidRPr="00D8531F">
              <w:rPr>
                <w:b w:val="0"/>
                <w:color w:val="000000"/>
                <w:sz w:val="18"/>
                <w:szCs w:val="24"/>
              </w:rPr>
              <w:t>Ні</w:t>
            </w:r>
          </w:p>
        </w:tc>
        <w:tc>
          <w:tcPr>
            <w:tcW w:w="4200" w:type="dxa"/>
            <w:tcBorders>
              <w:top w:val="single" w:sz="8" w:space="0" w:color="00B050"/>
              <w:bottom w:val="single" w:sz="8" w:space="0" w:color="00B050"/>
            </w:tcBorders>
            <w:shd w:val="clear" w:color="auto" w:fill="FFFFFF"/>
            <w:vAlign w:val="bottom"/>
          </w:tcPr>
          <w:p w14:paraId="37F1B1E3" w14:textId="77777777" w:rsidR="00366CB9" w:rsidRPr="00D8531F" w:rsidRDefault="009D0C1D" w:rsidP="00FE22F4">
            <w:pPr>
              <w:pStyle w:val="a6"/>
              <w:shd w:val="clear" w:color="auto" w:fill="auto"/>
              <w:spacing w:line="271" w:lineRule="auto"/>
              <w:rPr>
                <w:sz w:val="18"/>
                <w:szCs w:val="24"/>
              </w:rPr>
            </w:pPr>
            <w:r w:rsidRPr="00D8531F">
              <w:rPr>
                <w:b w:val="0"/>
                <w:color w:val="000000"/>
                <w:sz w:val="18"/>
                <w:szCs w:val="24"/>
              </w:rPr>
              <w:t>Продовжувати схему лікування препаратами першої лінії за відсутності іншої резистентності; в іншому випадку застосовувати індивідуальну схему</w:t>
            </w:r>
          </w:p>
        </w:tc>
      </w:tr>
      <w:tr w:rsidR="00366CB9" w14:paraId="77C9E529" w14:textId="77777777" w:rsidTr="00361D58">
        <w:trPr>
          <w:trHeight w:hRule="exact" w:val="706"/>
        </w:trPr>
        <w:tc>
          <w:tcPr>
            <w:tcW w:w="1134" w:type="dxa"/>
            <w:tcBorders>
              <w:top w:val="single" w:sz="8" w:space="0" w:color="00B050"/>
            </w:tcBorders>
            <w:shd w:val="clear" w:color="auto" w:fill="FFFFFF"/>
            <w:vAlign w:val="center"/>
          </w:tcPr>
          <w:p w14:paraId="5C7B55E2" w14:textId="77777777" w:rsidR="00366CB9" w:rsidRPr="00D8531F" w:rsidRDefault="009D0C1D" w:rsidP="00FE22F4">
            <w:pPr>
              <w:pStyle w:val="a6"/>
              <w:shd w:val="clear" w:color="auto" w:fill="auto"/>
              <w:rPr>
                <w:sz w:val="18"/>
                <w:szCs w:val="24"/>
              </w:rPr>
            </w:pPr>
            <w:r w:rsidRPr="00D8531F">
              <w:rPr>
                <w:b w:val="0"/>
                <w:color w:val="000000"/>
                <w:sz w:val="18"/>
                <w:szCs w:val="24"/>
              </w:rPr>
              <w:t>PZA</w:t>
            </w:r>
          </w:p>
        </w:tc>
        <w:tc>
          <w:tcPr>
            <w:tcW w:w="1578" w:type="dxa"/>
            <w:tcBorders>
              <w:top w:val="single" w:sz="8" w:space="0" w:color="00B050"/>
            </w:tcBorders>
            <w:shd w:val="clear" w:color="auto" w:fill="FFFFFF"/>
            <w:vAlign w:val="center"/>
          </w:tcPr>
          <w:p w14:paraId="029AB5B8" w14:textId="77777777" w:rsidR="00366CB9" w:rsidRPr="00D8531F" w:rsidRDefault="009D0C1D" w:rsidP="00FE22F4">
            <w:pPr>
              <w:pStyle w:val="a6"/>
              <w:shd w:val="clear" w:color="auto" w:fill="auto"/>
              <w:rPr>
                <w:sz w:val="18"/>
                <w:szCs w:val="24"/>
              </w:rPr>
            </w:pPr>
            <w:r w:rsidRPr="00D8531F">
              <w:rPr>
                <w:b w:val="0"/>
                <w:color w:val="000000"/>
                <w:sz w:val="18"/>
                <w:szCs w:val="24"/>
              </w:rPr>
              <w:t>Резистентний</w:t>
            </w:r>
          </w:p>
        </w:tc>
        <w:tc>
          <w:tcPr>
            <w:tcW w:w="2194" w:type="dxa"/>
            <w:tcBorders>
              <w:top w:val="single" w:sz="8" w:space="0" w:color="00B050"/>
            </w:tcBorders>
            <w:shd w:val="clear" w:color="auto" w:fill="FFFFFF"/>
            <w:vAlign w:val="center"/>
          </w:tcPr>
          <w:p w14:paraId="0439F591" w14:textId="77777777" w:rsidR="00366CB9" w:rsidRPr="00D8531F" w:rsidRDefault="009D0C1D" w:rsidP="00FE22F4">
            <w:pPr>
              <w:pStyle w:val="a6"/>
              <w:shd w:val="clear" w:color="auto" w:fill="auto"/>
              <w:rPr>
                <w:sz w:val="18"/>
                <w:szCs w:val="24"/>
              </w:rPr>
            </w:pPr>
            <w:r w:rsidRPr="00D8531F">
              <w:rPr>
                <w:b w:val="0"/>
                <w:color w:val="000000"/>
                <w:sz w:val="18"/>
                <w:szCs w:val="24"/>
              </w:rPr>
              <w:t>Ні</w:t>
            </w:r>
          </w:p>
        </w:tc>
        <w:tc>
          <w:tcPr>
            <w:tcW w:w="4200" w:type="dxa"/>
            <w:tcBorders>
              <w:top w:val="single" w:sz="8" w:space="0" w:color="00B050"/>
              <w:bottom w:val="single" w:sz="8" w:space="0" w:color="00B050"/>
            </w:tcBorders>
            <w:shd w:val="clear" w:color="auto" w:fill="FFFFFF"/>
            <w:vAlign w:val="bottom"/>
          </w:tcPr>
          <w:p w14:paraId="3E8E651D" w14:textId="77777777" w:rsidR="00366CB9" w:rsidRPr="00D8531F" w:rsidRDefault="009D0C1D" w:rsidP="00FE22F4">
            <w:pPr>
              <w:pStyle w:val="a6"/>
              <w:shd w:val="clear" w:color="auto" w:fill="auto"/>
              <w:spacing w:line="271" w:lineRule="auto"/>
              <w:rPr>
                <w:sz w:val="18"/>
                <w:szCs w:val="24"/>
              </w:rPr>
            </w:pPr>
            <w:r w:rsidRPr="00D8531F">
              <w:rPr>
                <w:b w:val="0"/>
                <w:color w:val="000000"/>
                <w:sz w:val="18"/>
                <w:szCs w:val="24"/>
              </w:rPr>
              <w:t>Якщо резистентність виявлено під час фази продовження, продовжувати RH</w:t>
            </w:r>
          </w:p>
        </w:tc>
      </w:tr>
      <w:tr w:rsidR="00366CB9" w14:paraId="7623C1E9" w14:textId="77777777" w:rsidTr="00361D58">
        <w:trPr>
          <w:trHeight w:hRule="exact" w:val="1229"/>
        </w:trPr>
        <w:tc>
          <w:tcPr>
            <w:tcW w:w="1134" w:type="dxa"/>
            <w:shd w:val="clear" w:color="auto" w:fill="FFFFFF"/>
          </w:tcPr>
          <w:p w14:paraId="17694C6F" w14:textId="77777777" w:rsidR="00366CB9" w:rsidRPr="00D8531F" w:rsidRDefault="00366CB9" w:rsidP="00FE22F4">
            <w:pPr>
              <w:rPr>
                <w:sz w:val="18"/>
              </w:rPr>
            </w:pPr>
          </w:p>
        </w:tc>
        <w:tc>
          <w:tcPr>
            <w:tcW w:w="1578" w:type="dxa"/>
            <w:tcBorders>
              <w:bottom w:val="single" w:sz="8" w:space="0" w:color="00B050"/>
            </w:tcBorders>
            <w:shd w:val="clear" w:color="auto" w:fill="FFFFFF"/>
          </w:tcPr>
          <w:p w14:paraId="3DA5FF96" w14:textId="77777777" w:rsidR="00366CB9" w:rsidRPr="00D8531F" w:rsidRDefault="00366CB9" w:rsidP="00FE22F4">
            <w:pPr>
              <w:rPr>
                <w:sz w:val="18"/>
              </w:rPr>
            </w:pPr>
          </w:p>
        </w:tc>
        <w:tc>
          <w:tcPr>
            <w:tcW w:w="2194" w:type="dxa"/>
            <w:tcBorders>
              <w:bottom w:val="single" w:sz="8" w:space="0" w:color="00B050"/>
            </w:tcBorders>
            <w:shd w:val="clear" w:color="auto" w:fill="FFFFFF"/>
          </w:tcPr>
          <w:p w14:paraId="244AFF5A" w14:textId="77777777" w:rsidR="00366CB9" w:rsidRPr="00D8531F" w:rsidRDefault="00366CB9" w:rsidP="00FE22F4">
            <w:pPr>
              <w:rPr>
                <w:sz w:val="18"/>
              </w:rPr>
            </w:pPr>
          </w:p>
        </w:tc>
        <w:tc>
          <w:tcPr>
            <w:tcW w:w="4200" w:type="dxa"/>
            <w:tcBorders>
              <w:top w:val="single" w:sz="8" w:space="0" w:color="00B050"/>
              <w:bottom w:val="single" w:sz="8" w:space="0" w:color="00B050"/>
            </w:tcBorders>
            <w:shd w:val="clear" w:color="auto" w:fill="FFFFFF"/>
            <w:vAlign w:val="bottom"/>
          </w:tcPr>
          <w:p w14:paraId="6C32DBB6" w14:textId="77777777" w:rsidR="00366CB9" w:rsidRPr="00D8531F" w:rsidRDefault="009D0C1D" w:rsidP="00FE22F4">
            <w:pPr>
              <w:pStyle w:val="a6"/>
              <w:shd w:val="clear" w:color="auto" w:fill="auto"/>
              <w:spacing w:line="276" w:lineRule="auto"/>
              <w:rPr>
                <w:sz w:val="18"/>
                <w:szCs w:val="24"/>
              </w:rPr>
            </w:pPr>
            <w:r w:rsidRPr="00D8531F">
              <w:rPr>
                <w:b w:val="0"/>
                <w:color w:val="000000"/>
                <w:sz w:val="18"/>
                <w:szCs w:val="24"/>
              </w:rPr>
              <w:t>Якщо резистентність виявлено під час інтенсивної фази, провести клінічну оцінку (враховуючи інші результати) та ретельне спостереження</w:t>
            </w:r>
          </w:p>
        </w:tc>
      </w:tr>
      <w:tr w:rsidR="00366CB9" w14:paraId="20C3496E" w14:textId="77777777" w:rsidTr="00361D58">
        <w:trPr>
          <w:trHeight w:hRule="exact" w:val="970"/>
        </w:trPr>
        <w:tc>
          <w:tcPr>
            <w:tcW w:w="1134" w:type="dxa"/>
            <w:tcBorders>
              <w:bottom w:val="single" w:sz="8" w:space="0" w:color="00B050"/>
            </w:tcBorders>
            <w:shd w:val="clear" w:color="auto" w:fill="FFFFFF"/>
          </w:tcPr>
          <w:p w14:paraId="54D2FDF5" w14:textId="77777777" w:rsidR="00366CB9" w:rsidRPr="00D8531F" w:rsidRDefault="00366CB9" w:rsidP="00FE22F4">
            <w:pPr>
              <w:rPr>
                <w:sz w:val="18"/>
              </w:rPr>
            </w:pPr>
          </w:p>
        </w:tc>
        <w:tc>
          <w:tcPr>
            <w:tcW w:w="1578" w:type="dxa"/>
            <w:tcBorders>
              <w:top w:val="single" w:sz="8" w:space="0" w:color="00B050"/>
              <w:bottom w:val="single" w:sz="8" w:space="0" w:color="00B050"/>
            </w:tcBorders>
            <w:shd w:val="clear" w:color="auto" w:fill="FFFFFF"/>
          </w:tcPr>
          <w:p w14:paraId="3D6572A6" w14:textId="77777777" w:rsidR="00366CB9" w:rsidRPr="00D8531F" w:rsidRDefault="009D0C1D" w:rsidP="00FE22F4">
            <w:pPr>
              <w:pStyle w:val="a6"/>
              <w:shd w:val="clear" w:color="auto" w:fill="auto"/>
              <w:spacing w:before="100"/>
              <w:rPr>
                <w:sz w:val="18"/>
                <w:szCs w:val="24"/>
              </w:rPr>
            </w:pPr>
            <w:r w:rsidRPr="00D8531F">
              <w:rPr>
                <w:b w:val="0"/>
                <w:color w:val="000000"/>
                <w:sz w:val="18"/>
                <w:szCs w:val="24"/>
              </w:rPr>
              <w:t>Чутливий</w:t>
            </w:r>
          </w:p>
        </w:tc>
        <w:tc>
          <w:tcPr>
            <w:tcW w:w="2194" w:type="dxa"/>
            <w:tcBorders>
              <w:top w:val="single" w:sz="8" w:space="0" w:color="00B050"/>
              <w:bottom w:val="single" w:sz="8" w:space="0" w:color="00B050"/>
            </w:tcBorders>
            <w:shd w:val="clear" w:color="auto" w:fill="FFFFFF"/>
          </w:tcPr>
          <w:p w14:paraId="77EC318E" w14:textId="77777777" w:rsidR="00366CB9" w:rsidRPr="00D8531F" w:rsidRDefault="009D0C1D" w:rsidP="00FE22F4">
            <w:pPr>
              <w:pStyle w:val="a6"/>
              <w:shd w:val="clear" w:color="auto" w:fill="auto"/>
              <w:spacing w:before="100"/>
              <w:rPr>
                <w:sz w:val="18"/>
                <w:szCs w:val="24"/>
              </w:rPr>
            </w:pPr>
            <w:r w:rsidRPr="00D8531F">
              <w:rPr>
                <w:b w:val="0"/>
                <w:color w:val="000000"/>
                <w:sz w:val="18"/>
                <w:szCs w:val="24"/>
              </w:rPr>
              <w:t>Ні</w:t>
            </w:r>
          </w:p>
        </w:tc>
        <w:tc>
          <w:tcPr>
            <w:tcW w:w="4200" w:type="dxa"/>
            <w:tcBorders>
              <w:top w:val="single" w:sz="8" w:space="0" w:color="00B050"/>
              <w:bottom w:val="single" w:sz="8" w:space="0" w:color="00B050"/>
            </w:tcBorders>
            <w:shd w:val="clear" w:color="auto" w:fill="FFFFFF"/>
            <w:vAlign w:val="bottom"/>
          </w:tcPr>
          <w:p w14:paraId="3B35F9F7" w14:textId="77777777" w:rsidR="00366CB9" w:rsidRPr="00D8531F" w:rsidRDefault="009D0C1D" w:rsidP="00FE22F4">
            <w:pPr>
              <w:pStyle w:val="a6"/>
              <w:shd w:val="clear" w:color="auto" w:fill="auto"/>
              <w:spacing w:line="276" w:lineRule="auto"/>
              <w:rPr>
                <w:sz w:val="18"/>
                <w:szCs w:val="24"/>
              </w:rPr>
            </w:pPr>
            <w:r w:rsidRPr="00D8531F">
              <w:rPr>
                <w:b w:val="0"/>
                <w:color w:val="000000"/>
                <w:sz w:val="18"/>
                <w:szCs w:val="24"/>
              </w:rPr>
              <w:t>Продовжувати схему лікування препаратами першої лінії за відсутності іншої резистентності; в іншому випадку застосовувати індивідуальну схему</w:t>
            </w:r>
          </w:p>
        </w:tc>
      </w:tr>
      <w:tr w:rsidR="00366CB9" w14:paraId="41992579" w14:textId="77777777" w:rsidTr="00361D58">
        <w:trPr>
          <w:trHeight w:hRule="exact" w:val="1488"/>
        </w:trPr>
        <w:tc>
          <w:tcPr>
            <w:tcW w:w="1134" w:type="dxa"/>
            <w:tcBorders>
              <w:top w:val="single" w:sz="8" w:space="0" w:color="00B050"/>
            </w:tcBorders>
            <w:shd w:val="clear" w:color="auto" w:fill="FFFFFF"/>
          </w:tcPr>
          <w:p w14:paraId="7EE4CC7C" w14:textId="77777777" w:rsidR="00366CB9" w:rsidRPr="00D8531F" w:rsidRDefault="009D0C1D" w:rsidP="00FE22F4">
            <w:pPr>
              <w:pStyle w:val="a6"/>
              <w:shd w:val="clear" w:color="auto" w:fill="auto"/>
              <w:spacing w:before="100"/>
              <w:rPr>
                <w:sz w:val="18"/>
                <w:szCs w:val="24"/>
              </w:rPr>
            </w:pPr>
            <w:r w:rsidRPr="00D8531F">
              <w:rPr>
                <w:b w:val="0"/>
                <w:color w:val="000000"/>
                <w:sz w:val="18"/>
                <w:szCs w:val="24"/>
              </w:rPr>
              <w:t>FQ</w:t>
            </w:r>
          </w:p>
        </w:tc>
        <w:tc>
          <w:tcPr>
            <w:tcW w:w="1578" w:type="dxa"/>
            <w:tcBorders>
              <w:top w:val="single" w:sz="8" w:space="0" w:color="00B050"/>
            </w:tcBorders>
            <w:shd w:val="clear" w:color="auto" w:fill="FFFFFF"/>
          </w:tcPr>
          <w:p w14:paraId="2A85B4D9" w14:textId="77777777" w:rsidR="00366CB9" w:rsidRPr="00D8531F" w:rsidRDefault="009D0C1D" w:rsidP="00FE22F4">
            <w:pPr>
              <w:pStyle w:val="a6"/>
              <w:shd w:val="clear" w:color="auto" w:fill="auto"/>
              <w:spacing w:before="100"/>
              <w:rPr>
                <w:sz w:val="18"/>
                <w:szCs w:val="24"/>
              </w:rPr>
            </w:pPr>
            <w:r w:rsidRPr="00D8531F">
              <w:rPr>
                <w:b w:val="0"/>
                <w:color w:val="000000"/>
                <w:sz w:val="18"/>
                <w:szCs w:val="24"/>
              </w:rPr>
              <w:t>Резистентний</w:t>
            </w:r>
          </w:p>
        </w:tc>
        <w:tc>
          <w:tcPr>
            <w:tcW w:w="2194" w:type="dxa"/>
            <w:tcBorders>
              <w:top w:val="single" w:sz="8" w:space="0" w:color="00B050"/>
            </w:tcBorders>
            <w:shd w:val="clear" w:color="auto" w:fill="FFFFFF"/>
          </w:tcPr>
          <w:p w14:paraId="6677AFC9" w14:textId="77777777" w:rsidR="00366CB9" w:rsidRPr="00D8531F" w:rsidRDefault="009D0C1D" w:rsidP="00FE22F4">
            <w:pPr>
              <w:pStyle w:val="a6"/>
              <w:shd w:val="clear" w:color="auto" w:fill="auto"/>
              <w:spacing w:before="100"/>
              <w:rPr>
                <w:sz w:val="18"/>
                <w:szCs w:val="24"/>
              </w:rPr>
            </w:pPr>
            <w:r w:rsidRPr="00D8531F">
              <w:rPr>
                <w:b w:val="0"/>
                <w:color w:val="000000"/>
                <w:sz w:val="18"/>
                <w:szCs w:val="24"/>
              </w:rPr>
              <w:t>Ні</w:t>
            </w:r>
          </w:p>
        </w:tc>
        <w:tc>
          <w:tcPr>
            <w:tcW w:w="4200" w:type="dxa"/>
            <w:tcBorders>
              <w:top w:val="single" w:sz="8" w:space="0" w:color="00B050"/>
              <w:bottom w:val="single" w:sz="8" w:space="0" w:color="00B050"/>
            </w:tcBorders>
            <w:shd w:val="clear" w:color="auto" w:fill="FFFFFF"/>
            <w:vAlign w:val="bottom"/>
          </w:tcPr>
          <w:p w14:paraId="189FB2C0" w14:textId="77777777" w:rsidR="00366CB9" w:rsidRPr="00D8531F" w:rsidRDefault="009D0C1D" w:rsidP="00FE22F4">
            <w:pPr>
              <w:pStyle w:val="a6"/>
              <w:shd w:val="clear" w:color="auto" w:fill="auto"/>
              <w:spacing w:line="271" w:lineRule="auto"/>
              <w:rPr>
                <w:sz w:val="18"/>
                <w:szCs w:val="24"/>
              </w:rPr>
            </w:pPr>
            <w:r w:rsidRPr="00D8531F">
              <w:rPr>
                <w:b w:val="0"/>
                <w:color w:val="000000"/>
                <w:sz w:val="18"/>
                <w:szCs w:val="24"/>
              </w:rPr>
              <w:t>Якщо особа отримує 4-місячну схему лікування на основі FQ (наприклад, HPMZ), перейти на HRZE, якщо не виявлено іншої резистентності; в іншому випадку застосовувати індивідуальну схему</w:t>
            </w:r>
          </w:p>
        </w:tc>
      </w:tr>
      <w:tr w:rsidR="00366CB9" w14:paraId="356800E5" w14:textId="77777777" w:rsidTr="00361D58">
        <w:trPr>
          <w:trHeight w:hRule="exact" w:val="970"/>
        </w:trPr>
        <w:tc>
          <w:tcPr>
            <w:tcW w:w="1134" w:type="dxa"/>
            <w:shd w:val="clear" w:color="auto" w:fill="FFFFFF"/>
          </w:tcPr>
          <w:p w14:paraId="2B3F75DD" w14:textId="77777777" w:rsidR="00366CB9" w:rsidRPr="00D8531F" w:rsidRDefault="00366CB9" w:rsidP="00FE22F4">
            <w:pPr>
              <w:rPr>
                <w:sz w:val="18"/>
              </w:rPr>
            </w:pPr>
          </w:p>
        </w:tc>
        <w:tc>
          <w:tcPr>
            <w:tcW w:w="1578" w:type="dxa"/>
            <w:tcBorders>
              <w:bottom w:val="single" w:sz="8" w:space="0" w:color="00B050"/>
            </w:tcBorders>
            <w:shd w:val="clear" w:color="auto" w:fill="FFFFFF"/>
          </w:tcPr>
          <w:p w14:paraId="3C997022" w14:textId="77777777" w:rsidR="00366CB9" w:rsidRPr="00D8531F" w:rsidRDefault="00366CB9" w:rsidP="00FE22F4">
            <w:pPr>
              <w:rPr>
                <w:sz w:val="18"/>
              </w:rPr>
            </w:pPr>
          </w:p>
        </w:tc>
        <w:tc>
          <w:tcPr>
            <w:tcW w:w="2194" w:type="dxa"/>
            <w:tcBorders>
              <w:bottom w:val="single" w:sz="8" w:space="0" w:color="00B050"/>
            </w:tcBorders>
            <w:shd w:val="clear" w:color="auto" w:fill="FFFFFF"/>
          </w:tcPr>
          <w:p w14:paraId="656FA1D0" w14:textId="77777777" w:rsidR="00366CB9" w:rsidRPr="00D8531F" w:rsidRDefault="00366CB9" w:rsidP="00FE22F4">
            <w:pPr>
              <w:rPr>
                <w:sz w:val="18"/>
              </w:rPr>
            </w:pPr>
          </w:p>
        </w:tc>
        <w:tc>
          <w:tcPr>
            <w:tcW w:w="4200" w:type="dxa"/>
            <w:tcBorders>
              <w:top w:val="single" w:sz="8" w:space="0" w:color="00B050"/>
              <w:bottom w:val="single" w:sz="8" w:space="0" w:color="00B050"/>
            </w:tcBorders>
            <w:shd w:val="clear" w:color="auto" w:fill="FFFFFF"/>
            <w:vAlign w:val="bottom"/>
          </w:tcPr>
          <w:p w14:paraId="069FA420" w14:textId="77777777" w:rsidR="00366CB9" w:rsidRPr="00D8531F" w:rsidRDefault="009D0C1D" w:rsidP="00FE22F4">
            <w:pPr>
              <w:pStyle w:val="a6"/>
              <w:shd w:val="clear" w:color="auto" w:fill="auto"/>
              <w:spacing w:line="271" w:lineRule="auto"/>
              <w:rPr>
                <w:sz w:val="18"/>
                <w:szCs w:val="24"/>
              </w:rPr>
            </w:pPr>
            <w:r w:rsidRPr="00D8531F">
              <w:rPr>
                <w:b w:val="0"/>
                <w:color w:val="000000"/>
                <w:sz w:val="18"/>
                <w:szCs w:val="24"/>
              </w:rPr>
              <w:t>Якщо особа отримує схему лікування Нрез-ТБ, відмінити FQ та застосовувати індивідуальну схему на основі клінічної оцінки</w:t>
            </w:r>
          </w:p>
        </w:tc>
      </w:tr>
      <w:tr w:rsidR="00366CB9" w14:paraId="75E40D97" w14:textId="77777777" w:rsidTr="00361D58">
        <w:trPr>
          <w:trHeight w:hRule="exact" w:val="965"/>
        </w:trPr>
        <w:tc>
          <w:tcPr>
            <w:tcW w:w="1134" w:type="dxa"/>
            <w:tcBorders>
              <w:bottom w:val="single" w:sz="8" w:space="0" w:color="00B050"/>
            </w:tcBorders>
            <w:shd w:val="clear" w:color="auto" w:fill="FFFFFF"/>
          </w:tcPr>
          <w:p w14:paraId="71F71D8A" w14:textId="77777777" w:rsidR="00366CB9" w:rsidRPr="00D8531F" w:rsidRDefault="00366CB9" w:rsidP="00FE22F4">
            <w:pPr>
              <w:rPr>
                <w:sz w:val="18"/>
              </w:rPr>
            </w:pPr>
          </w:p>
        </w:tc>
        <w:tc>
          <w:tcPr>
            <w:tcW w:w="1578" w:type="dxa"/>
            <w:tcBorders>
              <w:top w:val="single" w:sz="8" w:space="0" w:color="00B050"/>
              <w:bottom w:val="single" w:sz="8" w:space="0" w:color="00B050"/>
            </w:tcBorders>
            <w:shd w:val="clear" w:color="auto" w:fill="FFFFFF"/>
          </w:tcPr>
          <w:p w14:paraId="30353ADC" w14:textId="77777777" w:rsidR="00366CB9" w:rsidRPr="00D8531F" w:rsidRDefault="009D0C1D" w:rsidP="00FE22F4">
            <w:pPr>
              <w:pStyle w:val="a6"/>
              <w:shd w:val="clear" w:color="auto" w:fill="auto"/>
              <w:spacing w:before="100"/>
              <w:rPr>
                <w:sz w:val="18"/>
                <w:szCs w:val="24"/>
              </w:rPr>
            </w:pPr>
            <w:r w:rsidRPr="00D8531F">
              <w:rPr>
                <w:b w:val="0"/>
                <w:color w:val="000000"/>
                <w:sz w:val="18"/>
                <w:szCs w:val="24"/>
              </w:rPr>
              <w:t>Чутливий</w:t>
            </w:r>
          </w:p>
        </w:tc>
        <w:tc>
          <w:tcPr>
            <w:tcW w:w="2194" w:type="dxa"/>
            <w:tcBorders>
              <w:top w:val="single" w:sz="8" w:space="0" w:color="00B050"/>
              <w:bottom w:val="single" w:sz="8" w:space="0" w:color="00B050"/>
            </w:tcBorders>
            <w:shd w:val="clear" w:color="auto" w:fill="FFFFFF"/>
          </w:tcPr>
          <w:p w14:paraId="051FC9FD" w14:textId="77777777" w:rsidR="00366CB9" w:rsidRPr="00D8531F" w:rsidRDefault="009D0C1D" w:rsidP="00FE22F4">
            <w:pPr>
              <w:pStyle w:val="a6"/>
              <w:shd w:val="clear" w:color="auto" w:fill="auto"/>
              <w:spacing w:before="100"/>
              <w:rPr>
                <w:sz w:val="18"/>
                <w:szCs w:val="24"/>
              </w:rPr>
            </w:pPr>
            <w:r w:rsidRPr="00D8531F">
              <w:rPr>
                <w:b w:val="0"/>
                <w:color w:val="000000"/>
                <w:sz w:val="18"/>
                <w:szCs w:val="24"/>
              </w:rPr>
              <w:t>Ні</w:t>
            </w:r>
          </w:p>
        </w:tc>
        <w:tc>
          <w:tcPr>
            <w:tcW w:w="4200" w:type="dxa"/>
            <w:tcBorders>
              <w:top w:val="single" w:sz="8" w:space="0" w:color="00B050"/>
              <w:bottom w:val="single" w:sz="8" w:space="0" w:color="00B050"/>
            </w:tcBorders>
            <w:shd w:val="clear" w:color="auto" w:fill="FFFFFF"/>
            <w:vAlign w:val="bottom"/>
          </w:tcPr>
          <w:p w14:paraId="2F94AE00" w14:textId="77777777" w:rsidR="00366CB9" w:rsidRPr="00D8531F" w:rsidRDefault="009D0C1D" w:rsidP="00FE22F4">
            <w:pPr>
              <w:pStyle w:val="a6"/>
              <w:shd w:val="clear" w:color="auto" w:fill="auto"/>
              <w:spacing w:line="271" w:lineRule="auto"/>
              <w:rPr>
                <w:sz w:val="18"/>
                <w:szCs w:val="24"/>
              </w:rPr>
            </w:pPr>
            <w:r w:rsidRPr="00D8531F">
              <w:rPr>
                <w:b w:val="0"/>
                <w:color w:val="000000"/>
                <w:sz w:val="18"/>
                <w:szCs w:val="24"/>
              </w:rPr>
              <w:t>FQ необхідно застосовувати тільки за потреби (4-місячна схема лікування препаратами першої лінії або схема лікування Нрез-ТБ)</w:t>
            </w:r>
          </w:p>
        </w:tc>
      </w:tr>
      <w:tr w:rsidR="00366CB9" w14:paraId="0F451CB8" w14:textId="77777777" w:rsidTr="00361D58">
        <w:trPr>
          <w:trHeight w:hRule="exact" w:val="1450"/>
        </w:trPr>
        <w:tc>
          <w:tcPr>
            <w:tcW w:w="9106" w:type="dxa"/>
            <w:gridSpan w:val="4"/>
            <w:tcBorders>
              <w:top w:val="single" w:sz="8" w:space="0" w:color="00B050"/>
            </w:tcBorders>
            <w:shd w:val="clear" w:color="auto" w:fill="FFFFFF"/>
            <w:vAlign w:val="bottom"/>
          </w:tcPr>
          <w:p w14:paraId="48EA40A8" w14:textId="77777777" w:rsidR="00366CB9" w:rsidRDefault="009D0C1D" w:rsidP="00FE22F4">
            <w:pPr>
              <w:pStyle w:val="a6"/>
              <w:shd w:val="clear" w:color="auto" w:fill="auto"/>
              <w:spacing w:after="40" w:line="266" w:lineRule="auto"/>
              <w:jc w:val="both"/>
              <w:rPr>
                <w:sz w:val="17"/>
                <w:szCs w:val="17"/>
              </w:rPr>
            </w:pPr>
            <w:r>
              <w:rPr>
                <w:b w:val="0"/>
                <w:color w:val="000000"/>
                <w:sz w:val="17"/>
              </w:rPr>
              <w:t>ТМЧ: тестування медикаментозної чутливості; Нрез-ТБ: чутливий до рифампіцину, резистентний до ізоніазиду туберкульоз; МЛС/Риф-ТБ: туберкульоз із множинною лікарською стійкістю або рифампіцин-резистентний туберкульоз; СНП: секвенування наступного покоління; ТБ: туберкульоз.</w:t>
            </w:r>
          </w:p>
          <w:p w14:paraId="5DBF4EF6" w14:textId="77777777" w:rsidR="00366CB9" w:rsidRDefault="009D0C1D" w:rsidP="00FE22F4">
            <w:pPr>
              <w:pStyle w:val="a6"/>
              <w:shd w:val="clear" w:color="auto" w:fill="auto"/>
              <w:spacing w:line="266" w:lineRule="auto"/>
              <w:jc w:val="both"/>
              <w:rPr>
                <w:sz w:val="17"/>
                <w:szCs w:val="17"/>
              </w:rPr>
            </w:pPr>
            <w:r>
              <w:rPr>
                <w:b w:val="0"/>
                <w:color w:val="000000"/>
                <w:sz w:val="17"/>
              </w:rPr>
              <w:t>Лікарські засоби та схеми: EMB: етамбутол; FQ: фторхінолон; HPMZ: ізоніазид (H), рифапентин (P), моксифлоксацин (M) та піразинамід (Z); HRZE: ізоніазид (H), рифампіцин (R), піразинамід (Z) та етамбутол (E); INH: ізоніазид; PZA: піразинамід; RH: рифампіцин (R) та ізоніазид (H); RIF: рифампіцин.</w:t>
            </w:r>
          </w:p>
        </w:tc>
      </w:tr>
    </w:tbl>
    <w:p w14:paraId="696B8127"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5C46ABDA" w14:textId="77777777" w:rsidR="00366CB9" w:rsidRDefault="00366CB9" w:rsidP="00425523">
      <w:pPr>
        <w:spacing w:line="1" w:lineRule="exact"/>
      </w:pPr>
    </w:p>
    <w:p w14:paraId="1E3BBF9C" w14:textId="77777777" w:rsidR="00366CB9" w:rsidRPr="00D8531F" w:rsidRDefault="009D0C1D" w:rsidP="00FE22F4">
      <w:pPr>
        <w:pStyle w:val="1"/>
        <w:numPr>
          <w:ilvl w:val="0"/>
          <w:numId w:val="44"/>
        </w:numPr>
        <w:shd w:val="clear" w:color="auto" w:fill="auto"/>
        <w:tabs>
          <w:tab w:val="left" w:pos="1178"/>
        </w:tabs>
        <w:spacing w:line="324" w:lineRule="auto"/>
        <w:ind w:left="1100" w:hanging="240"/>
        <w:jc w:val="both"/>
        <w:rPr>
          <w:sz w:val="18"/>
          <w:szCs w:val="18"/>
        </w:rPr>
      </w:pPr>
      <w:r w:rsidRPr="00D8531F">
        <w:rPr>
          <w:sz w:val="18"/>
          <w:szCs w:val="18"/>
        </w:rPr>
        <w:t>Якщо резистентність до INH не виявлено, необхідно продовжувати схему лікування препаратами першої лінії відповідно до національних керівних принципів:</w:t>
      </w:r>
    </w:p>
    <w:p w14:paraId="75328F59" w14:textId="2C1EAAC9" w:rsidR="00366CB9" w:rsidRPr="00D8531F" w:rsidRDefault="00FE22F4" w:rsidP="00FE22F4">
      <w:pPr>
        <w:pStyle w:val="1"/>
        <w:shd w:val="clear" w:color="auto" w:fill="auto"/>
        <w:spacing w:line="324" w:lineRule="auto"/>
        <w:ind w:left="1360" w:hanging="260"/>
        <w:jc w:val="both"/>
        <w:rPr>
          <w:sz w:val="18"/>
          <w:szCs w:val="18"/>
        </w:rPr>
      </w:pPr>
      <w:r w:rsidRPr="00D8531F">
        <w:rPr>
          <w:color w:val="019648"/>
          <w:sz w:val="18"/>
          <w:szCs w:val="18"/>
        </w:rPr>
        <w:sym w:font="Wingdings" w:char="F09F"/>
      </w:r>
      <w:r w:rsidRPr="00D8531F">
        <w:rPr>
          <w:color w:val="019648"/>
          <w:sz w:val="18"/>
          <w:szCs w:val="18"/>
        </w:rPr>
        <w:t xml:space="preserve"> </w:t>
      </w:r>
      <w:r w:rsidR="00D8531F">
        <w:tab/>
      </w:r>
      <w:r w:rsidRPr="00D8531F">
        <w:rPr>
          <w:sz w:val="18"/>
          <w:szCs w:val="18"/>
        </w:rPr>
        <w:t>Додаткове ТМЧ необхідно проводити відповідно до національних керівних принципів:</w:t>
      </w:r>
    </w:p>
    <w:p w14:paraId="2FB234B5" w14:textId="0D4AFDDF" w:rsidR="00366CB9" w:rsidRPr="00D8531F" w:rsidRDefault="00FE22F4" w:rsidP="00FE22F4">
      <w:pPr>
        <w:pStyle w:val="1"/>
        <w:shd w:val="clear" w:color="auto" w:fill="auto"/>
        <w:spacing w:line="324" w:lineRule="auto"/>
        <w:ind w:left="1360" w:hanging="260"/>
        <w:jc w:val="both"/>
        <w:rPr>
          <w:sz w:val="18"/>
          <w:szCs w:val="18"/>
        </w:rPr>
      </w:pPr>
      <w:r w:rsidRPr="00D8531F">
        <w:rPr>
          <w:color w:val="019648"/>
          <w:sz w:val="18"/>
          <w:szCs w:val="18"/>
        </w:rPr>
        <w:sym w:font="Wingdings" w:char="F09F"/>
      </w:r>
      <w:r w:rsidRPr="00D8531F">
        <w:rPr>
          <w:color w:val="019648"/>
          <w:sz w:val="18"/>
          <w:szCs w:val="18"/>
        </w:rPr>
        <w:t xml:space="preserve"> </w:t>
      </w:r>
      <w:r w:rsidR="00D8531F">
        <w:tab/>
      </w:r>
      <w:r w:rsidRPr="00D8531F">
        <w:rPr>
          <w:sz w:val="18"/>
          <w:szCs w:val="18"/>
        </w:rPr>
        <w:t>Необхідно розглянути можливість запиту додаткового молекулярного або фенотипового ТМЧ на виявлення резистентності до INH у разі ризику Нрез-ТБ, незважаючи на результат mWRD.</w:t>
      </w:r>
    </w:p>
    <w:p w14:paraId="629CC278" w14:textId="77777777" w:rsidR="00366CB9" w:rsidRPr="00D8531F" w:rsidRDefault="009D0C1D" w:rsidP="00FE22F4">
      <w:pPr>
        <w:pStyle w:val="1"/>
        <w:numPr>
          <w:ilvl w:val="0"/>
          <w:numId w:val="44"/>
        </w:numPr>
        <w:shd w:val="clear" w:color="auto" w:fill="auto"/>
        <w:tabs>
          <w:tab w:val="left" w:pos="1178"/>
        </w:tabs>
        <w:spacing w:line="324" w:lineRule="auto"/>
        <w:ind w:firstLine="860"/>
        <w:jc w:val="both"/>
        <w:rPr>
          <w:sz w:val="18"/>
          <w:szCs w:val="18"/>
        </w:rPr>
      </w:pPr>
      <w:r w:rsidRPr="00D8531F">
        <w:rPr>
          <w:sz w:val="18"/>
          <w:szCs w:val="18"/>
        </w:rPr>
        <w:t>У разі виявлення резистентності до INH:</w:t>
      </w:r>
    </w:p>
    <w:p w14:paraId="32DD50B5" w14:textId="77777777" w:rsidR="00366CB9" w:rsidRPr="00D8531F" w:rsidRDefault="009D0C1D" w:rsidP="00FE22F4">
      <w:pPr>
        <w:pStyle w:val="1"/>
        <w:numPr>
          <w:ilvl w:val="0"/>
          <w:numId w:val="45"/>
        </w:numPr>
        <w:shd w:val="clear" w:color="auto" w:fill="auto"/>
        <w:tabs>
          <w:tab w:val="left" w:pos="1413"/>
        </w:tabs>
        <w:spacing w:line="324" w:lineRule="auto"/>
        <w:ind w:left="1360" w:hanging="260"/>
        <w:jc w:val="both"/>
        <w:rPr>
          <w:sz w:val="18"/>
          <w:szCs w:val="18"/>
        </w:rPr>
      </w:pPr>
      <w:r w:rsidRPr="00D8531F">
        <w:rPr>
          <w:sz w:val="18"/>
          <w:szCs w:val="18"/>
        </w:rPr>
        <w:t>LC-aNAAT одночасно визначає резистентність до INH та FQ. Якщо резистентність до FQ не виявлено, необхідно виконати етапи 3b та 5; якщо резистентність до FQ виявлено, необхідно виконати етапи 3d(ii) та 5; а якщо результат для FQ невідомий або неефективний, необхідно виконати етап 3c.</w:t>
      </w:r>
    </w:p>
    <w:p w14:paraId="6F6E04CC" w14:textId="77777777" w:rsidR="00366CB9" w:rsidRPr="00D8531F" w:rsidRDefault="009D0C1D" w:rsidP="00FE22F4">
      <w:pPr>
        <w:pStyle w:val="1"/>
        <w:numPr>
          <w:ilvl w:val="0"/>
          <w:numId w:val="45"/>
        </w:numPr>
        <w:shd w:val="clear" w:color="auto" w:fill="auto"/>
        <w:tabs>
          <w:tab w:val="left" w:pos="1422"/>
        </w:tabs>
        <w:spacing w:line="324" w:lineRule="auto"/>
        <w:ind w:left="1100"/>
        <w:jc w:val="both"/>
        <w:rPr>
          <w:sz w:val="18"/>
          <w:szCs w:val="18"/>
        </w:rPr>
      </w:pPr>
      <w:r w:rsidRPr="00D8531F">
        <w:rPr>
          <w:sz w:val="18"/>
          <w:szCs w:val="18"/>
        </w:rPr>
        <w:t>Необхідно розпочати схему лікування Нрез-ТБ (</w:t>
      </w:r>
      <w:hyperlink w:anchor="bookmark193" w:tooltip="Поточний документ">
        <w:r w:rsidR="00366CB9" w:rsidRPr="00D8531F">
          <w:rPr>
            <w:sz w:val="18"/>
            <w:szCs w:val="18"/>
          </w:rPr>
          <w:t>7</w:t>
        </w:r>
      </w:hyperlink>
      <w:r w:rsidRPr="00D8531F">
        <w:rPr>
          <w:sz w:val="18"/>
          <w:szCs w:val="18"/>
        </w:rPr>
        <w:t>):</w:t>
      </w:r>
    </w:p>
    <w:p w14:paraId="6ABAE62A" w14:textId="6FC5433B" w:rsidR="00366CB9" w:rsidRPr="00D8531F" w:rsidRDefault="009D0C1D" w:rsidP="00FE22F4">
      <w:pPr>
        <w:pStyle w:val="1"/>
        <w:shd w:val="clear" w:color="auto" w:fill="auto"/>
        <w:spacing w:line="324" w:lineRule="auto"/>
        <w:ind w:left="1620" w:hanging="260"/>
        <w:jc w:val="both"/>
        <w:rPr>
          <w:sz w:val="18"/>
          <w:szCs w:val="18"/>
        </w:rPr>
      </w:pPr>
      <w:r w:rsidRPr="00D8531F">
        <w:rPr>
          <w:sz w:val="18"/>
          <w:szCs w:val="18"/>
        </w:rPr>
        <w:t xml:space="preserve">i. </w:t>
      </w:r>
      <w:r w:rsidR="00D8531F">
        <w:tab/>
      </w:r>
      <w:r w:rsidRPr="00D8531F">
        <w:rPr>
          <w:sz w:val="18"/>
          <w:szCs w:val="18"/>
        </w:rPr>
        <w:t>Відсутні чіткі докази того, що додавання INH у звичайних дозах є ефективним або шкідливим. Для зручності осіб, які отримують лікування, та для зручності застосування, для лікування Нрез-ТБ разом із LFX можна застосовувати фіксовану комбінацію INH/RIF/EMB/PZA (HREZ) у таблетках.</w:t>
      </w:r>
    </w:p>
    <w:p w14:paraId="1F1CD45E" w14:textId="56712BD9" w:rsidR="00366CB9" w:rsidRPr="00D8531F" w:rsidRDefault="009D0C1D" w:rsidP="00FE22F4">
      <w:pPr>
        <w:pStyle w:val="1"/>
        <w:shd w:val="clear" w:color="auto" w:fill="auto"/>
        <w:spacing w:line="324" w:lineRule="auto"/>
        <w:ind w:left="1620" w:hanging="260"/>
        <w:jc w:val="both"/>
        <w:rPr>
          <w:sz w:val="18"/>
          <w:szCs w:val="18"/>
        </w:rPr>
      </w:pPr>
      <w:r w:rsidRPr="00D8531F">
        <w:rPr>
          <w:sz w:val="18"/>
          <w:szCs w:val="18"/>
        </w:rPr>
        <w:t xml:space="preserve">ii. </w:t>
      </w:r>
      <w:r w:rsidR="00D8531F">
        <w:tab/>
      </w:r>
      <w:r w:rsidRPr="00D8531F">
        <w:rPr>
          <w:sz w:val="18"/>
          <w:szCs w:val="18"/>
        </w:rPr>
        <w:t xml:space="preserve">Нові дані вказують на те, що особи зі штамами лише з мутаціями промотора </w:t>
      </w:r>
      <w:r w:rsidRPr="00D8531F">
        <w:rPr>
          <w:i/>
          <w:iCs/>
          <w:sz w:val="18"/>
          <w:szCs w:val="18"/>
        </w:rPr>
        <w:t>inhA</w:t>
      </w:r>
      <w:r w:rsidRPr="00D8531F">
        <w:rPr>
          <w:sz w:val="18"/>
          <w:szCs w:val="18"/>
        </w:rPr>
        <w:t xml:space="preserve"> та відповідним незначним збільшенням мінімальної інгібуючої концентрації (МІК) можуть отримати користь від високих доз INH. Таким чином, додатковий INH – до максимальної дози 15 мг/кг на добу – може застосовуватись зі схемою лікування Нрез-ТБ для таких ізолятів. Додаткова цінність INH у схемі, навіть при вищій дозі, знижується зі збільшенням МІК.</w:t>
      </w:r>
    </w:p>
    <w:p w14:paraId="300BDE56" w14:textId="77777777" w:rsidR="00366CB9" w:rsidRPr="00D8531F" w:rsidRDefault="009D0C1D" w:rsidP="00FE22F4">
      <w:pPr>
        <w:pStyle w:val="1"/>
        <w:numPr>
          <w:ilvl w:val="0"/>
          <w:numId w:val="45"/>
        </w:numPr>
        <w:shd w:val="clear" w:color="auto" w:fill="auto"/>
        <w:tabs>
          <w:tab w:val="left" w:pos="1394"/>
        </w:tabs>
        <w:spacing w:line="324" w:lineRule="auto"/>
        <w:ind w:left="1360" w:hanging="260"/>
        <w:jc w:val="both"/>
        <w:rPr>
          <w:sz w:val="18"/>
          <w:szCs w:val="18"/>
        </w:rPr>
      </w:pPr>
      <w:r w:rsidRPr="00D8531F">
        <w:rPr>
          <w:sz w:val="18"/>
          <w:szCs w:val="18"/>
        </w:rPr>
        <w:t>Зразок необхідно перенаправити від особи з лабораторно підтвердженим Нрез-ТБ для молекулярного (наприклад, LC-aNAAT або SL-LPA) або фенотипового ТМЧ для FQ та PZA. Примітка: якщо тест Xpert MTB/XDR застосовувався на етапі 1, результат для FQ вже буде доступним, та застосовується етап 6d.</w:t>
      </w:r>
    </w:p>
    <w:p w14:paraId="525D47F5" w14:textId="4280BED2" w:rsidR="00366CB9" w:rsidRPr="00D8531F" w:rsidRDefault="009D0C1D" w:rsidP="00FE22F4">
      <w:pPr>
        <w:pStyle w:val="1"/>
        <w:shd w:val="clear" w:color="auto" w:fill="auto"/>
        <w:spacing w:line="324" w:lineRule="auto"/>
        <w:ind w:left="1620" w:hanging="260"/>
        <w:jc w:val="both"/>
        <w:rPr>
          <w:sz w:val="18"/>
          <w:szCs w:val="18"/>
        </w:rPr>
      </w:pPr>
      <w:r w:rsidRPr="00D8531F">
        <w:rPr>
          <w:sz w:val="18"/>
          <w:szCs w:val="18"/>
        </w:rPr>
        <w:t xml:space="preserve">i. </w:t>
      </w:r>
      <w:r w:rsidR="00D8531F">
        <w:tab/>
      </w:r>
      <w:r w:rsidRPr="00D8531F">
        <w:rPr>
          <w:sz w:val="18"/>
          <w:szCs w:val="18"/>
        </w:rPr>
        <w:t>Оптимальним є молекулярне тестування на виявлення резистентності до FQ. При використанні для безпосереднього тестування зразків мокротиння, LC-aNAAT та SL-LPA виявляють 93 % та 86 % осіб з резистентністю до FQ відповідно (</w:t>
      </w:r>
      <w:hyperlink w:anchor="bookmark81" w:tooltip="Поточний документ">
        <w:r w:rsidR="00366CB9" w:rsidRPr="00D8531F">
          <w:rPr>
            <w:b/>
            <w:sz w:val="18"/>
            <w:szCs w:val="18"/>
          </w:rPr>
          <w:t>Таблиця 3.4</w:t>
        </w:r>
      </w:hyperlink>
      <w:r w:rsidRPr="00D8531F">
        <w:rPr>
          <w:sz w:val="18"/>
          <w:szCs w:val="18"/>
        </w:rPr>
        <w:t>):</w:t>
      </w:r>
    </w:p>
    <w:p w14:paraId="5F9E5D1D" w14:textId="1EA45FCE" w:rsidR="00366CB9" w:rsidRPr="00D8531F" w:rsidRDefault="00FE22F4" w:rsidP="00FE22F4">
      <w:pPr>
        <w:pStyle w:val="1"/>
        <w:shd w:val="clear" w:color="auto" w:fill="auto"/>
        <w:spacing w:line="324" w:lineRule="auto"/>
        <w:ind w:left="1860" w:hanging="240"/>
        <w:jc w:val="both"/>
        <w:rPr>
          <w:sz w:val="18"/>
          <w:szCs w:val="18"/>
        </w:rPr>
      </w:pPr>
      <w:r w:rsidRPr="00D8531F">
        <w:rPr>
          <w:color w:val="019648"/>
          <w:sz w:val="18"/>
          <w:szCs w:val="18"/>
        </w:rPr>
        <w:sym w:font="Wingdings" w:char="F09F"/>
      </w:r>
      <w:r w:rsidRPr="00D8531F">
        <w:rPr>
          <w:color w:val="019648"/>
          <w:sz w:val="18"/>
          <w:szCs w:val="18"/>
        </w:rPr>
        <w:t xml:space="preserve"> </w:t>
      </w:r>
      <w:r w:rsidR="00D8531F">
        <w:tab/>
      </w:r>
      <w:r w:rsidRPr="00D8531F">
        <w:rPr>
          <w:sz w:val="18"/>
          <w:szCs w:val="18"/>
        </w:rPr>
        <w:t xml:space="preserve">LC-aNAAT дають швидкі результати та застосовуються на периферійному рівні. «Перший за класом» тест, Xpert MTB/XDR, виявляє резистентність до FQ низького рівня при виявленні мутацій </w:t>
      </w:r>
      <w:r w:rsidRPr="00D8531F">
        <w:rPr>
          <w:i/>
          <w:sz w:val="18"/>
          <w:szCs w:val="18"/>
        </w:rPr>
        <w:t>gyrA</w:t>
      </w:r>
      <w:r w:rsidRPr="00D8531F">
        <w:rPr>
          <w:sz w:val="18"/>
          <w:szCs w:val="18"/>
        </w:rPr>
        <w:t xml:space="preserve"> A90V, </w:t>
      </w:r>
      <w:r w:rsidRPr="00D8531F">
        <w:rPr>
          <w:i/>
          <w:sz w:val="18"/>
          <w:szCs w:val="18"/>
        </w:rPr>
        <w:t>gyrA</w:t>
      </w:r>
      <w:r w:rsidRPr="00D8531F">
        <w:rPr>
          <w:sz w:val="18"/>
          <w:szCs w:val="18"/>
        </w:rPr>
        <w:t xml:space="preserve"> </w:t>
      </w:r>
      <w:r w:rsidRPr="00D8531F">
        <w:rPr>
          <w:i/>
          <w:sz w:val="18"/>
          <w:szCs w:val="18"/>
        </w:rPr>
        <w:t>S91P</w:t>
      </w:r>
      <w:r w:rsidRPr="00D8531F">
        <w:rPr>
          <w:sz w:val="18"/>
          <w:szCs w:val="18"/>
        </w:rPr>
        <w:t xml:space="preserve"> та </w:t>
      </w:r>
      <w:r w:rsidRPr="00D8531F">
        <w:rPr>
          <w:i/>
          <w:sz w:val="18"/>
          <w:szCs w:val="18"/>
        </w:rPr>
        <w:t>gyrA</w:t>
      </w:r>
      <w:r w:rsidRPr="00D8531F">
        <w:rPr>
          <w:sz w:val="18"/>
          <w:szCs w:val="18"/>
        </w:rPr>
        <w:t xml:space="preserve"> </w:t>
      </w:r>
      <w:r w:rsidRPr="00D8531F">
        <w:rPr>
          <w:i/>
          <w:sz w:val="18"/>
          <w:szCs w:val="18"/>
        </w:rPr>
        <w:t>D94A</w:t>
      </w:r>
      <w:r w:rsidRPr="00D8531F">
        <w:rPr>
          <w:sz w:val="18"/>
          <w:szCs w:val="18"/>
        </w:rPr>
        <w:t xml:space="preserve"> при температурі плавлення зондів (</w:t>
      </w:r>
      <w:hyperlink w:anchor="bookmark200" w:tooltip="Поточний документ">
        <w:r w:rsidRPr="00D8531F">
          <w:rPr>
            <w:sz w:val="18"/>
            <w:szCs w:val="18"/>
          </w:rPr>
          <w:t>92</w:t>
        </w:r>
      </w:hyperlink>
      <w:r w:rsidRPr="00D8531F">
        <w:rPr>
          <w:sz w:val="18"/>
          <w:szCs w:val="18"/>
        </w:rPr>
        <w:t>). Для підтвердження можливої цінності високих доз MFX для таких осіб необхідно провести фенотипове ТЛЧ при клінічній критичній точці для MFX.</w:t>
      </w:r>
    </w:p>
    <w:p w14:paraId="59671CF1" w14:textId="7CBA4439" w:rsidR="00366CB9" w:rsidRPr="00D8531F" w:rsidRDefault="00FE22F4" w:rsidP="00FE22F4">
      <w:pPr>
        <w:pStyle w:val="1"/>
        <w:shd w:val="clear" w:color="auto" w:fill="auto"/>
        <w:spacing w:line="324" w:lineRule="auto"/>
        <w:ind w:left="1860" w:hanging="240"/>
        <w:jc w:val="both"/>
        <w:rPr>
          <w:sz w:val="18"/>
          <w:szCs w:val="18"/>
        </w:rPr>
      </w:pPr>
      <w:r w:rsidRPr="00D8531F">
        <w:rPr>
          <w:color w:val="019648"/>
          <w:sz w:val="18"/>
          <w:szCs w:val="18"/>
        </w:rPr>
        <w:sym w:font="Wingdings" w:char="F09F"/>
      </w:r>
      <w:r w:rsidRPr="00D8531F">
        <w:rPr>
          <w:color w:val="019648"/>
          <w:sz w:val="18"/>
          <w:szCs w:val="18"/>
        </w:rPr>
        <w:t xml:space="preserve"> </w:t>
      </w:r>
      <w:r w:rsidR="00D8531F">
        <w:tab/>
      </w:r>
      <w:r w:rsidRPr="00D8531F">
        <w:rPr>
          <w:sz w:val="18"/>
          <w:szCs w:val="18"/>
        </w:rPr>
        <w:t>Діагностична точність SL-LPA є подібною безпосередньо на мокротинні або культивованих ізолятах. SL-LPA можна застосовувати з позитивними або негативними результатами зразків мазка, не дивлячись на вищий рівень невизначеності при тестуванні негативних результатів зразків мазка.</w:t>
      </w:r>
    </w:p>
    <w:p w14:paraId="63CE299B" w14:textId="4A680297" w:rsidR="00366CB9" w:rsidRPr="00D8531F" w:rsidRDefault="00FE22F4" w:rsidP="00FE22F4">
      <w:pPr>
        <w:pStyle w:val="1"/>
        <w:shd w:val="clear" w:color="auto" w:fill="auto"/>
        <w:spacing w:line="324" w:lineRule="auto"/>
        <w:ind w:left="1860" w:hanging="240"/>
        <w:jc w:val="both"/>
        <w:rPr>
          <w:sz w:val="18"/>
          <w:szCs w:val="18"/>
        </w:rPr>
      </w:pPr>
      <w:r w:rsidRPr="00D8531F">
        <w:rPr>
          <w:color w:val="019648"/>
          <w:sz w:val="18"/>
          <w:szCs w:val="18"/>
        </w:rPr>
        <w:sym w:font="Wingdings" w:char="F09F"/>
      </w:r>
      <w:r w:rsidRPr="00D8531F">
        <w:rPr>
          <w:color w:val="019648"/>
          <w:sz w:val="18"/>
          <w:szCs w:val="18"/>
        </w:rPr>
        <w:t xml:space="preserve"> </w:t>
      </w:r>
      <w:r w:rsidR="00D8531F">
        <w:tab/>
      </w:r>
      <w:r w:rsidRPr="00D8531F">
        <w:rPr>
          <w:sz w:val="18"/>
          <w:szCs w:val="18"/>
        </w:rPr>
        <w:t>Незважаючи на хорошу специфічність та чутливість LC-aNAAT та SL-LPA для виявлення резистентності до FQ, фенотипове ТМЧ може повністю виключати резистентність до окремих FQ. Зокрема, фенотипове ТМЧ може бути корисним при високій клінічній передбачуваності щодо резистентності до FQ для виключення резистентності, коли SL-LPA не виявляє мутацій, пов’язаних з резистентністю.</w:t>
      </w:r>
    </w:p>
    <w:p w14:paraId="771F1A43"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7F3F7F50" w14:textId="77777777" w:rsidR="00366CB9" w:rsidRDefault="00366CB9" w:rsidP="00425523">
      <w:pPr>
        <w:spacing w:line="1" w:lineRule="exact"/>
      </w:pPr>
    </w:p>
    <w:p w14:paraId="42040D62" w14:textId="77777777" w:rsidR="00366CB9" w:rsidRPr="00D8531F" w:rsidRDefault="009D0C1D" w:rsidP="00B3067A">
      <w:pPr>
        <w:pStyle w:val="1"/>
        <w:numPr>
          <w:ilvl w:val="0"/>
          <w:numId w:val="45"/>
        </w:numPr>
        <w:shd w:val="clear" w:color="auto" w:fill="auto"/>
        <w:tabs>
          <w:tab w:val="left" w:pos="1422"/>
        </w:tabs>
        <w:spacing w:line="324" w:lineRule="auto"/>
        <w:ind w:left="1100"/>
        <w:jc w:val="both"/>
        <w:rPr>
          <w:sz w:val="18"/>
          <w:szCs w:val="18"/>
        </w:rPr>
      </w:pPr>
      <w:bookmarkStart w:id="182" w:name="bookmark179"/>
      <w:r w:rsidRPr="00D8531F">
        <w:rPr>
          <w:sz w:val="18"/>
          <w:szCs w:val="18"/>
        </w:rPr>
        <w:t>Результати резистентності до FQ необхідно переглянути:</w:t>
      </w:r>
      <w:bookmarkEnd w:id="182"/>
    </w:p>
    <w:p w14:paraId="3082430B" w14:textId="02F931DA" w:rsidR="00366CB9" w:rsidRPr="00D8531F" w:rsidRDefault="009D0C1D" w:rsidP="00B3067A">
      <w:pPr>
        <w:pStyle w:val="1"/>
        <w:shd w:val="clear" w:color="auto" w:fill="auto"/>
        <w:spacing w:line="324" w:lineRule="auto"/>
        <w:ind w:left="1620" w:hanging="240"/>
        <w:rPr>
          <w:sz w:val="18"/>
          <w:szCs w:val="18"/>
        </w:rPr>
      </w:pPr>
      <w:r w:rsidRPr="00D8531F">
        <w:rPr>
          <w:sz w:val="18"/>
          <w:szCs w:val="18"/>
        </w:rPr>
        <w:t xml:space="preserve">i. </w:t>
      </w:r>
      <w:r w:rsidR="00D8531F">
        <w:tab/>
      </w:r>
      <w:r w:rsidRPr="00D8531F">
        <w:rPr>
          <w:sz w:val="18"/>
          <w:szCs w:val="18"/>
        </w:rPr>
        <w:t>Якщо резистентність до FQ не виявлено, необхідно продовжувати схему лікування Нрез-ТБ на основі LFX.</w:t>
      </w:r>
    </w:p>
    <w:p w14:paraId="2C18F823" w14:textId="5D86CB9C" w:rsidR="00156AC1" w:rsidRPr="00D8531F" w:rsidRDefault="009D0C1D" w:rsidP="00D8531F">
      <w:pPr>
        <w:pStyle w:val="1"/>
        <w:shd w:val="clear" w:color="auto" w:fill="auto"/>
        <w:tabs>
          <w:tab w:val="left" w:pos="1701"/>
        </w:tabs>
        <w:spacing w:line="324" w:lineRule="auto"/>
        <w:ind w:left="1380"/>
        <w:rPr>
          <w:sz w:val="18"/>
          <w:szCs w:val="18"/>
        </w:rPr>
      </w:pPr>
      <w:r w:rsidRPr="00D8531F">
        <w:rPr>
          <w:sz w:val="18"/>
          <w:szCs w:val="18"/>
        </w:rPr>
        <w:t xml:space="preserve">ii. </w:t>
      </w:r>
      <w:r w:rsidR="00D8531F">
        <w:tab/>
      </w:r>
      <w:r w:rsidRPr="00D8531F">
        <w:rPr>
          <w:sz w:val="18"/>
          <w:szCs w:val="18"/>
        </w:rPr>
        <w:t xml:space="preserve">У разі виявлення резистентності до FQ. </w:t>
      </w:r>
    </w:p>
    <w:p w14:paraId="1052B9B1" w14:textId="050D3994" w:rsidR="00366CB9" w:rsidRPr="00D8531F" w:rsidRDefault="00FE22F4" w:rsidP="00156AC1">
      <w:pPr>
        <w:pStyle w:val="1"/>
        <w:shd w:val="clear" w:color="auto" w:fill="auto"/>
        <w:spacing w:line="324" w:lineRule="auto"/>
        <w:ind w:left="1860" w:hanging="238"/>
        <w:jc w:val="both"/>
        <w:rPr>
          <w:sz w:val="18"/>
          <w:szCs w:val="18"/>
        </w:rPr>
      </w:pPr>
      <w:r w:rsidRPr="00D8531F">
        <w:rPr>
          <w:color w:val="019648"/>
          <w:sz w:val="18"/>
          <w:szCs w:val="18"/>
        </w:rPr>
        <w:sym w:font="Wingdings" w:char="F09F"/>
      </w:r>
      <w:r w:rsidRPr="00D8531F">
        <w:rPr>
          <w:color w:val="019648"/>
          <w:sz w:val="18"/>
          <w:szCs w:val="18"/>
        </w:rPr>
        <w:t xml:space="preserve"> </w:t>
      </w:r>
      <w:r w:rsidR="00D8531F">
        <w:tab/>
      </w:r>
      <w:r w:rsidRPr="00D8531F">
        <w:rPr>
          <w:sz w:val="18"/>
          <w:szCs w:val="18"/>
        </w:rPr>
        <w:t>LFX необхідно відмінити, а натомість ввести 6-місячну схему лікування (INH)/RIF/EMB/PZA; тобто 6(H)REZ, де «(H)» означає, що INH є необов’язковим, або індивідуальну схему лікування Нрез-ТБ.</w:t>
      </w:r>
    </w:p>
    <w:p w14:paraId="50AA73B9" w14:textId="39F29D79" w:rsidR="00366CB9" w:rsidRPr="00D8531F" w:rsidRDefault="00FE22F4" w:rsidP="00156AC1">
      <w:pPr>
        <w:pStyle w:val="1"/>
        <w:shd w:val="clear" w:color="auto" w:fill="auto"/>
        <w:spacing w:line="324" w:lineRule="auto"/>
        <w:ind w:left="1860" w:hanging="238"/>
        <w:jc w:val="both"/>
        <w:rPr>
          <w:sz w:val="18"/>
          <w:szCs w:val="18"/>
        </w:rPr>
      </w:pPr>
      <w:r w:rsidRPr="00D8531F">
        <w:rPr>
          <w:color w:val="019648"/>
          <w:sz w:val="18"/>
          <w:szCs w:val="18"/>
        </w:rPr>
        <w:sym w:font="Wingdings" w:char="F09F"/>
      </w:r>
      <w:r w:rsidRPr="00D8531F">
        <w:rPr>
          <w:color w:val="019648"/>
          <w:sz w:val="18"/>
          <w:szCs w:val="18"/>
        </w:rPr>
        <w:t xml:space="preserve"> </w:t>
      </w:r>
      <w:r w:rsidR="00D8531F">
        <w:tab/>
      </w:r>
      <w:r w:rsidRPr="00D8531F">
        <w:rPr>
          <w:sz w:val="18"/>
          <w:szCs w:val="18"/>
        </w:rPr>
        <w:t xml:space="preserve">Зразок необхідно перенаправити на ТМЧ для PZA, якщо в країні представлено надійне ТМЧ для PZA. Варіанти включають HC-rNAAT, фенотипове ТМЧ в рамках системи MGIT та секвенування </w:t>
      </w:r>
      <w:r w:rsidRPr="00D8531F">
        <w:rPr>
          <w:i/>
          <w:iCs/>
          <w:sz w:val="18"/>
          <w:szCs w:val="18"/>
        </w:rPr>
        <w:t>pncA</w:t>
      </w:r>
      <w:r w:rsidRPr="00D8531F">
        <w:rPr>
          <w:sz w:val="18"/>
          <w:szCs w:val="18"/>
        </w:rPr>
        <w:t>. Див. детальну інформацію у методологічному керівництві ВООЗ щодо тестування медикаментозної чутливості лікарських засобів, що застосовуються при лікуванні ТБ (</w:t>
      </w:r>
      <w:hyperlink r:id="rId153" w:history="1">
        <w:r w:rsidRPr="00D8531F">
          <w:rPr>
            <w:b/>
            <w:sz w:val="18"/>
            <w:szCs w:val="18"/>
          </w:rPr>
          <w:t>Вебдодаток C</w:t>
        </w:r>
      </w:hyperlink>
      <w:r w:rsidRPr="00D8531F">
        <w:rPr>
          <w:sz w:val="18"/>
          <w:szCs w:val="18"/>
        </w:rPr>
        <w:t>).</w:t>
      </w:r>
    </w:p>
    <w:p w14:paraId="3626516E" w14:textId="636A36DE" w:rsidR="00366CB9" w:rsidRPr="00D8531F" w:rsidRDefault="00FE22F4" w:rsidP="00156AC1">
      <w:pPr>
        <w:pStyle w:val="1"/>
        <w:shd w:val="clear" w:color="auto" w:fill="auto"/>
        <w:spacing w:line="324" w:lineRule="auto"/>
        <w:ind w:left="1860" w:hanging="238"/>
        <w:jc w:val="both"/>
        <w:rPr>
          <w:sz w:val="18"/>
          <w:szCs w:val="18"/>
        </w:rPr>
      </w:pPr>
      <w:r w:rsidRPr="00D8531F">
        <w:rPr>
          <w:color w:val="019648"/>
          <w:sz w:val="18"/>
          <w:szCs w:val="18"/>
        </w:rPr>
        <w:sym w:font="Wingdings" w:char="F09F"/>
      </w:r>
      <w:r w:rsidRPr="00D8531F">
        <w:rPr>
          <w:color w:val="019648"/>
          <w:sz w:val="18"/>
          <w:szCs w:val="18"/>
        </w:rPr>
        <w:t xml:space="preserve"> </w:t>
      </w:r>
      <w:r w:rsidR="00D8531F">
        <w:tab/>
      </w:r>
      <w:r w:rsidRPr="00D8531F">
        <w:rPr>
          <w:sz w:val="18"/>
          <w:szCs w:val="18"/>
        </w:rPr>
        <w:t>Якщо резистентність до PZA не виявлено або якщо ТМЧ для PZA недоступно, необхідно продовжувати схему, розроблену на основі результатів попереднього ТМЧ.</w:t>
      </w:r>
    </w:p>
    <w:p w14:paraId="770EBEE7" w14:textId="62C12F5B" w:rsidR="00366CB9" w:rsidRPr="00D8531F" w:rsidRDefault="00FE22F4" w:rsidP="00156AC1">
      <w:pPr>
        <w:pStyle w:val="1"/>
        <w:shd w:val="clear" w:color="auto" w:fill="auto"/>
        <w:spacing w:line="324" w:lineRule="auto"/>
        <w:ind w:left="1860" w:hanging="238"/>
        <w:jc w:val="both"/>
        <w:rPr>
          <w:sz w:val="18"/>
          <w:szCs w:val="18"/>
        </w:rPr>
      </w:pPr>
      <w:r w:rsidRPr="00D8531F">
        <w:rPr>
          <w:color w:val="019648"/>
          <w:sz w:val="18"/>
          <w:szCs w:val="18"/>
        </w:rPr>
        <w:sym w:font="Wingdings" w:char="F09F"/>
      </w:r>
      <w:r w:rsidRPr="00D8531F">
        <w:rPr>
          <w:color w:val="019648"/>
          <w:sz w:val="18"/>
          <w:szCs w:val="18"/>
        </w:rPr>
        <w:t xml:space="preserve"> </w:t>
      </w:r>
      <w:r w:rsidR="00D8531F">
        <w:tab/>
      </w:r>
      <w:r w:rsidRPr="00D8531F">
        <w:rPr>
          <w:sz w:val="18"/>
          <w:szCs w:val="18"/>
        </w:rPr>
        <w:t>Якщо резистентність до PZA виявлено, можуть знадобитись індивідуальні схеми лікування, особливо якщо виявлено резистентність як до FQ, так і до PZA.</w:t>
      </w:r>
    </w:p>
    <w:p w14:paraId="0BBE8ADF" w14:textId="77777777" w:rsidR="00366CB9" w:rsidRPr="00D8531F" w:rsidRDefault="009D0C1D" w:rsidP="00B3067A">
      <w:pPr>
        <w:pStyle w:val="1"/>
        <w:numPr>
          <w:ilvl w:val="0"/>
          <w:numId w:val="44"/>
        </w:numPr>
        <w:shd w:val="clear" w:color="auto" w:fill="auto"/>
        <w:tabs>
          <w:tab w:val="left" w:pos="1178"/>
        </w:tabs>
        <w:spacing w:line="324" w:lineRule="auto"/>
        <w:ind w:left="1100" w:hanging="240"/>
        <w:jc w:val="both"/>
        <w:rPr>
          <w:sz w:val="18"/>
          <w:szCs w:val="18"/>
        </w:rPr>
      </w:pPr>
      <w:r w:rsidRPr="00D8531F">
        <w:rPr>
          <w:sz w:val="18"/>
          <w:szCs w:val="18"/>
        </w:rPr>
        <w:t>Якщо результат для INH не можна тлумачити або він є недійсним, необхідно повторити LC-aNAAT, MC-aNAAT або FL-LPA зі свіжим зразком. Необхідно розглянути можливість посіву та молекулярного або фенотипового ТМЧ для INH на ізоляті у разі ризику Нрез-ТБ.</w:t>
      </w:r>
    </w:p>
    <w:p w14:paraId="27E256AB" w14:textId="77777777" w:rsidR="00366CB9" w:rsidRPr="00D8531F" w:rsidRDefault="009D0C1D" w:rsidP="00B3067A">
      <w:pPr>
        <w:pStyle w:val="1"/>
        <w:numPr>
          <w:ilvl w:val="0"/>
          <w:numId w:val="44"/>
        </w:numPr>
        <w:shd w:val="clear" w:color="auto" w:fill="auto"/>
        <w:tabs>
          <w:tab w:val="left" w:pos="1178"/>
        </w:tabs>
        <w:spacing w:after="240" w:line="324" w:lineRule="auto"/>
        <w:ind w:left="1100" w:hanging="240"/>
        <w:jc w:val="both"/>
        <w:rPr>
          <w:sz w:val="18"/>
          <w:szCs w:val="18"/>
        </w:rPr>
      </w:pPr>
      <w:r w:rsidRPr="00D8531F">
        <w:rPr>
          <w:sz w:val="18"/>
          <w:szCs w:val="18"/>
        </w:rPr>
        <w:t>Для всіх осіб з ТБ контроль лікування повинен включати забір зразків для посіву, як описано у керівних принципах ВООЗ. Для будь-якого позитивного зразка посіву, що свідчить про неефективне лікування, необхідно провести фенотипове ТМЧ, якщо воно представлено. ТМЧ має включати принаймні тестування на виявлення резистентності до INH та RIF для осіб, які отримують схеми лікування препаратами першої лінії, а також до RIF, FQ та PZA (за наявності) для осіб, які отримують схеми лікування Нрез-ТБ. У разі потреби схему слід змінити залежно від результатів ТМЧ.</w:t>
      </w:r>
    </w:p>
    <w:p w14:paraId="3123A6CE" w14:textId="77777777" w:rsidR="00366CB9" w:rsidRDefault="009D0C1D" w:rsidP="00B3067A">
      <w:pPr>
        <w:pStyle w:val="22"/>
        <w:numPr>
          <w:ilvl w:val="0"/>
          <w:numId w:val="32"/>
        </w:numPr>
        <w:shd w:val="clear" w:color="auto" w:fill="auto"/>
        <w:tabs>
          <w:tab w:val="left" w:pos="682"/>
        </w:tabs>
        <w:spacing w:after="200" w:line="240" w:lineRule="auto"/>
        <w:jc w:val="both"/>
      </w:pPr>
      <w:bookmarkStart w:id="183" w:name="bookmark180"/>
      <w:bookmarkStart w:id="184" w:name="bookmark181"/>
      <w:r>
        <w:t>Невідповідні результати</w:t>
      </w:r>
      <w:bookmarkEnd w:id="183"/>
      <w:bookmarkEnd w:id="184"/>
    </w:p>
    <w:p w14:paraId="3FC2E7A8" w14:textId="77777777" w:rsidR="00366CB9" w:rsidRDefault="009D0C1D" w:rsidP="00B3067A">
      <w:pPr>
        <w:pStyle w:val="80"/>
        <w:shd w:val="clear" w:color="auto" w:fill="auto"/>
        <w:jc w:val="both"/>
      </w:pPr>
      <w:r>
        <w:t>Тлумачення невідповідних результатів</w:t>
      </w:r>
    </w:p>
    <w:p w14:paraId="333DE210" w14:textId="77777777" w:rsidR="00366CB9" w:rsidRPr="00D8531F" w:rsidRDefault="009D0C1D" w:rsidP="00B3067A">
      <w:pPr>
        <w:pStyle w:val="1"/>
        <w:shd w:val="clear" w:color="auto" w:fill="auto"/>
        <w:spacing w:after="200" w:line="324" w:lineRule="auto"/>
        <w:jc w:val="both"/>
        <w:rPr>
          <w:sz w:val="18"/>
          <w:szCs w:val="18"/>
        </w:rPr>
      </w:pPr>
      <w:r w:rsidRPr="00D8531F">
        <w:rPr>
          <w:sz w:val="18"/>
          <w:szCs w:val="18"/>
        </w:rPr>
        <w:t xml:space="preserve">Коли для однієї особи проводиться більше одного тесту, можливі невідповідні результати можуть призвести до діагностичних проблем. Важливо спочатку виключити можливі адміністративні помилки (неправильне маркування або заміну зразків), переглянувши тести, проведені одночасно або приблизно в один і той же час. Важливо також переглядати анамнез пацієнта, оскільки так можна виявити більше одного штаму </w:t>
      </w:r>
      <w:r w:rsidRPr="00D8531F">
        <w:rPr>
          <w:i/>
          <w:iCs/>
          <w:sz w:val="18"/>
          <w:szCs w:val="18"/>
        </w:rPr>
        <w:t>Mtb</w:t>
      </w:r>
      <w:r w:rsidRPr="00D8531F">
        <w:rPr>
          <w:sz w:val="18"/>
          <w:szCs w:val="18"/>
        </w:rPr>
        <w:t>. Також можливі технічні проблеми – хоча очікується, що тести будуть проводитися подібним чином, вони не є ідентичними; крім того, мінливість між зразками ускладнює проблему. Кожен невідповідний результат потрібно буде досліджувати в кожному конкретному випадку. Нижче наведено кілька прикладів.</w:t>
      </w:r>
    </w:p>
    <w:p w14:paraId="681644F8" w14:textId="1C352656" w:rsidR="00366CB9" w:rsidRPr="00D8531F" w:rsidRDefault="009D0C1D" w:rsidP="00B3067A">
      <w:pPr>
        <w:pStyle w:val="1"/>
        <w:shd w:val="clear" w:color="auto" w:fill="auto"/>
        <w:spacing w:line="326" w:lineRule="auto"/>
        <w:ind w:left="320" w:hanging="320"/>
        <w:jc w:val="both"/>
        <w:rPr>
          <w:sz w:val="18"/>
          <w:szCs w:val="18"/>
        </w:rPr>
      </w:pPr>
      <w:r w:rsidRPr="00D8531F">
        <w:rPr>
          <w:sz w:val="18"/>
          <w:szCs w:val="18"/>
        </w:rPr>
        <w:t xml:space="preserve">1. </w:t>
      </w:r>
      <w:r w:rsidR="00D8531F">
        <w:tab/>
      </w:r>
      <w:r w:rsidRPr="00D8531F">
        <w:rPr>
          <w:sz w:val="18"/>
          <w:szCs w:val="18"/>
        </w:rPr>
        <w:t>Якщо результат mWRD (наприклад, Xpert Ultra) – «MTBC виявлено», а результат подальшого FL-LPA – «MTB не виявлено» або «не тлумачиться»:</w:t>
      </w:r>
    </w:p>
    <w:p w14:paraId="3960D109"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5240122C" w14:textId="77777777" w:rsidR="00366CB9" w:rsidRDefault="00366CB9" w:rsidP="00425523">
      <w:pPr>
        <w:spacing w:line="1" w:lineRule="exact"/>
      </w:pPr>
    </w:p>
    <w:p w14:paraId="7F05FBE5" w14:textId="77777777" w:rsidR="00366CB9" w:rsidRPr="00D8531F" w:rsidRDefault="009D0C1D" w:rsidP="00B3067A">
      <w:pPr>
        <w:pStyle w:val="1"/>
        <w:numPr>
          <w:ilvl w:val="0"/>
          <w:numId w:val="46"/>
        </w:numPr>
        <w:shd w:val="clear" w:color="auto" w:fill="auto"/>
        <w:tabs>
          <w:tab w:val="left" w:pos="624"/>
        </w:tabs>
        <w:spacing w:line="326" w:lineRule="auto"/>
        <w:ind w:left="560" w:hanging="260"/>
        <w:jc w:val="both"/>
        <w:rPr>
          <w:sz w:val="18"/>
          <w:szCs w:val="18"/>
        </w:rPr>
      </w:pPr>
      <w:r w:rsidRPr="00D8531F">
        <w:rPr>
          <w:sz w:val="18"/>
          <w:szCs w:val="18"/>
        </w:rPr>
        <w:t>mWRD, рекомендовані для виявлення ТБ, демонструють нижчу LoD, ніж FL-LPA; таким чином, FL-LPA може не виявити ТБ у зразках з позитивним результатом mWRD та з малим числом бацил. Наприклад, за оцінками, лише прибл. 80 % зразків з результатом «MTBC виявлено» за допомогою Xpert MTB/RIF дадуть результат FL-LPA, що можна тлумачити.</w:t>
      </w:r>
    </w:p>
    <w:p w14:paraId="239D7F32" w14:textId="77777777" w:rsidR="00366CB9" w:rsidRPr="00D8531F" w:rsidRDefault="009D0C1D" w:rsidP="00B3067A">
      <w:pPr>
        <w:pStyle w:val="1"/>
        <w:numPr>
          <w:ilvl w:val="0"/>
          <w:numId w:val="46"/>
        </w:numPr>
        <w:shd w:val="clear" w:color="auto" w:fill="auto"/>
        <w:tabs>
          <w:tab w:val="left" w:pos="639"/>
        </w:tabs>
        <w:spacing w:line="326" w:lineRule="auto"/>
        <w:ind w:left="560" w:hanging="260"/>
        <w:jc w:val="both"/>
        <w:rPr>
          <w:sz w:val="18"/>
          <w:szCs w:val="18"/>
        </w:rPr>
      </w:pPr>
      <w:r w:rsidRPr="00D8531F">
        <w:rPr>
          <w:sz w:val="18"/>
          <w:szCs w:val="18"/>
        </w:rPr>
        <w:t>Початковий результат mWRD необхідно використовувати для прийняття рішень щодо лікування в очікуванні додаткового тестування.</w:t>
      </w:r>
    </w:p>
    <w:p w14:paraId="6C257681" w14:textId="77777777" w:rsidR="00366CB9" w:rsidRPr="00D8531F" w:rsidRDefault="009D0C1D" w:rsidP="00B3067A">
      <w:pPr>
        <w:pStyle w:val="1"/>
        <w:numPr>
          <w:ilvl w:val="0"/>
          <w:numId w:val="46"/>
        </w:numPr>
        <w:shd w:val="clear" w:color="auto" w:fill="auto"/>
        <w:tabs>
          <w:tab w:val="left" w:pos="605"/>
        </w:tabs>
        <w:spacing w:line="326" w:lineRule="auto"/>
        <w:ind w:left="560" w:hanging="260"/>
        <w:jc w:val="both"/>
        <w:rPr>
          <w:sz w:val="18"/>
          <w:szCs w:val="18"/>
        </w:rPr>
      </w:pPr>
      <w:r w:rsidRPr="00D8531F">
        <w:rPr>
          <w:sz w:val="18"/>
          <w:szCs w:val="18"/>
        </w:rPr>
        <w:t>Подальші дії можуть включати подання зразка на посів та молекулярне або фенотипове тестування відновленого ізоляту, а також оцінку можливості лабораторної або канцелярської помилки.</w:t>
      </w:r>
    </w:p>
    <w:p w14:paraId="74402ECB" w14:textId="77777777" w:rsidR="00366CB9" w:rsidRPr="00D8531F" w:rsidRDefault="009D0C1D" w:rsidP="00B3067A">
      <w:pPr>
        <w:pStyle w:val="1"/>
        <w:numPr>
          <w:ilvl w:val="0"/>
          <w:numId w:val="47"/>
        </w:numPr>
        <w:shd w:val="clear" w:color="auto" w:fill="auto"/>
        <w:tabs>
          <w:tab w:val="left" w:pos="334"/>
        </w:tabs>
        <w:spacing w:line="326" w:lineRule="auto"/>
        <w:ind w:left="300" w:hanging="300"/>
        <w:jc w:val="both"/>
        <w:rPr>
          <w:sz w:val="18"/>
          <w:szCs w:val="18"/>
        </w:rPr>
      </w:pPr>
      <w:r w:rsidRPr="00D8531F">
        <w:rPr>
          <w:sz w:val="18"/>
          <w:szCs w:val="18"/>
        </w:rPr>
        <w:t>Якщо початковий результат mWRD – «MTBC виявлено, резистентність до RIF не виявлено», а зразок є резистентним до RIF за допомогою FL-LPA:</w:t>
      </w:r>
    </w:p>
    <w:p w14:paraId="5D500C5E" w14:textId="77777777" w:rsidR="00366CB9" w:rsidRPr="00D8531F" w:rsidRDefault="009D0C1D" w:rsidP="00B3067A">
      <w:pPr>
        <w:pStyle w:val="1"/>
        <w:numPr>
          <w:ilvl w:val="0"/>
          <w:numId w:val="48"/>
        </w:numPr>
        <w:shd w:val="clear" w:color="auto" w:fill="auto"/>
        <w:tabs>
          <w:tab w:val="left" w:pos="624"/>
        </w:tabs>
        <w:spacing w:line="324" w:lineRule="auto"/>
        <w:ind w:left="560" w:hanging="260"/>
        <w:jc w:val="both"/>
        <w:rPr>
          <w:sz w:val="18"/>
          <w:szCs w:val="18"/>
        </w:rPr>
      </w:pPr>
      <w:r w:rsidRPr="00D8531F">
        <w:rPr>
          <w:sz w:val="18"/>
          <w:szCs w:val="18"/>
        </w:rPr>
        <w:t>Рішення щодо лікування повинні бути засновані на результаті FL-LPA (тобто на песимістичному сценарії).</w:t>
      </w:r>
    </w:p>
    <w:p w14:paraId="62F75E45" w14:textId="77777777" w:rsidR="00366CB9" w:rsidRPr="00D8531F" w:rsidRDefault="009D0C1D" w:rsidP="00B3067A">
      <w:pPr>
        <w:pStyle w:val="1"/>
        <w:numPr>
          <w:ilvl w:val="0"/>
          <w:numId w:val="48"/>
        </w:numPr>
        <w:shd w:val="clear" w:color="auto" w:fill="auto"/>
        <w:tabs>
          <w:tab w:val="left" w:pos="639"/>
        </w:tabs>
        <w:spacing w:line="324" w:lineRule="auto"/>
        <w:ind w:left="560" w:hanging="260"/>
        <w:jc w:val="both"/>
        <w:rPr>
          <w:sz w:val="18"/>
          <w:szCs w:val="18"/>
        </w:rPr>
      </w:pPr>
      <w:r w:rsidRPr="00D8531F">
        <w:rPr>
          <w:sz w:val="18"/>
          <w:szCs w:val="18"/>
        </w:rPr>
        <w:t xml:space="preserve">Цей результат може буде рідкісним, оскільки обидва аналізи оцінюють одну й ту саму ділянку гена </w:t>
      </w:r>
      <w:r w:rsidRPr="00D8531F">
        <w:rPr>
          <w:i/>
          <w:iCs/>
          <w:sz w:val="18"/>
          <w:szCs w:val="18"/>
        </w:rPr>
        <w:t>rpoB</w:t>
      </w:r>
      <w:r w:rsidRPr="00D8531F">
        <w:rPr>
          <w:sz w:val="18"/>
          <w:szCs w:val="18"/>
        </w:rPr>
        <w:t>. Повідомлялось про невідповідність у mWRD для RIF-чутливого ТБ та невідповідність у FL-LPA для RIF-резистентного ТБ, але даних недостатньо, щоб оцінити частоту такої невідповідності.</w:t>
      </w:r>
    </w:p>
    <w:p w14:paraId="46E85B07" w14:textId="77777777" w:rsidR="00366CB9" w:rsidRPr="00D8531F" w:rsidRDefault="009D0C1D" w:rsidP="00B3067A">
      <w:pPr>
        <w:pStyle w:val="1"/>
        <w:numPr>
          <w:ilvl w:val="0"/>
          <w:numId w:val="48"/>
        </w:numPr>
        <w:shd w:val="clear" w:color="auto" w:fill="auto"/>
        <w:tabs>
          <w:tab w:val="left" w:pos="605"/>
        </w:tabs>
        <w:spacing w:line="324" w:lineRule="auto"/>
        <w:ind w:left="560" w:hanging="260"/>
        <w:jc w:val="both"/>
        <w:rPr>
          <w:sz w:val="18"/>
          <w:szCs w:val="18"/>
        </w:rPr>
      </w:pPr>
      <w:r w:rsidRPr="00D8531F">
        <w:rPr>
          <w:sz w:val="18"/>
          <w:szCs w:val="18"/>
        </w:rPr>
        <w:t>FL-LPA є більш чутливим для виявлення резистентності до RIF, ніж більшість mWRD у гетерорезистентних популяціях (тобто сумішах чутливих та резистентних бактерій). Тест включає гібридизаційні зонди, специфічні як для поширених мутованих послідовностей, так і для послідовностей дикого типу у бактеріальному геномі. При застосовування Xpert Ultra криві температури плавлення зонда можуть виявити гетерорезистентні популяції (наприклад, подвійний пік).</w:t>
      </w:r>
    </w:p>
    <w:p w14:paraId="5AF8ECD7" w14:textId="77777777" w:rsidR="00366CB9" w:rsidRPr="00D8531F" w:rsidRDefault="009D0C1D" w:rsidP="00B3067A">
      <w:pPr>
        <w:pStyle w:val="1"/>
        <w:numPr>
          <w:ilvl w:val="0"/>
          <w:numId w:val="48"/>
        </w:numPr>
        <w:shd w:val="clear" w:color="auto" w:fill="auto"/>
        <w:tabs>
          <w:tab w:val="left" w:pos="639"/>
        </w:tabs>
        <w:spacing w:line="324" w:lineRule="auto"/>
        <w:ind w:left="560" w:hanging="260"/>
        <w:jc w:val="both"/>
        <w:rPr>
          <w:sz w:val="18"/>
          <w:szCs w:val="18"/>
        </w:rPr>
      </w:pPr>
      <w:r w:rsidRPr="00D8531F">
        <w:rPr>
          <w:sz w:val="18"/>
          <w:szCs w:val="18"/>
        </w:rPr>
        <w:t>Подальші дії можуть включати секвенування ДНК, фенотипове ТМЧ та оцінку можливості лабораторної або канцелярської помилки.</w:t>
      </w:r>
    </w:p>
    <w:p w14:paraId="1AA2D105" w14:textId="77777777" w:rsidR="00366CB9" w:rsidRPr="00D8531F" w:rsidRDefault="009D0C1D" w:rsidP="00B3067A">
      <w:pPr>
        <w:pStyle w:val="1"/>
        <w:numPr>
          <w:ilvl w:val="0"/>
          <w:numId w:val="47"/>
        </w:numPr>
        <w:shd w:val="clear" w:color="auto" w:fill="auto"/>
        <w:tabs>
          <w:tab w:val="left" w:pos="334"/>
        </w:tabs>
        <w:spacing w:line="322" w:lineRule="auto"/>
        <w:ind w:left="300" w:hanging="300"/>
        <w:jc w:val="both"/>
        <w:rPr>
          <w:sz w:val="18"/>
          <w:szCs w:val="18"/>
        </w:rPr>
      </w:pPr>
      <w:r w:rsidRPr="00D8531F">
        <w:rPr>
          <w:sz w:val="18"/>
          <w:szCs w:val="18"/>
        </w:rPr>
        <w:t>Якщо результат MC-aNAAT – «MTBC виявлено, резистентність до RIF не виявлено, резистентність до INH виявлено», але результат LC-aNAAT – «чутливий до INH»:</w:t>
      </w:r>
    </w:p>
    <w:p w14:paraId="73396948" w14:textId="77777777" w:rsidR="00366CB9" w:rsidRPr="00D8531F" w:rsidRDefault="009D0C1D" w:rsidP="00B3067A">
      <w:pPr>
        <w:pStyle w:val="1"/>
        <w:numPr>
          <w:ilvl w:val="0"/>
          <w:numId w:val="49"/>
        </w:numPr>
        <w:shd w:val="clear" w:color="auto" w:fill="auto"/>
        <w:tabs>
          <w:tab w:val="left" w:pos="624"/>
        </w:tabs>
        <w:spacing w:line="324" w:lineRule="auto"/>
        <w:ind w:left="560" w:hanging="260"/>
        <w:jc w:val="both"/>
        <w:rPr>
          <w:sz w:val="18"/>
          <w:szCs w:val="18"/>
        </w:rPr>
      </w:pPr>
      <w:r w:rsidRPr="00D8531F">
        <w:rPr>
          <w:sz w:val="18"/>
          <w:szCs w:val="18"/>
        </w:rPr>
        <w:t xml:space="preserve">Цей результат може бути рідкісним, оскільки обидва аналізи оцінюють одну й ту саму ділянку генів </w:t>
      </w:r>
      <w:r w:rsidRPr="00D8531F">
        <w:rPr>
          <w:i/>
          <w:sz w:val="18"/>
          <w:szCs w:val="18"/>
        </w:rPr>
        <w:t>katG</w:t>
      </w:r>
      <w:r w:rsidRPr="00D8531F">
        <w:rPr>
          <w:sz w:val="18"/>
          <w:szCs w:val="18"/>
        </w:rPr>
        <w:t xml:space="preserve"> та </w:t>
      </w:r>
      <w:r w:rsidRPr="00D8531F">
        <w:rPr>
          <w:i/>
          <w:sz w:val="18"/>
          <w:szCs w:val="18"/>
        </w:rPr>
        <w:t>inhA</w:t>
      </w:r>
      <w:r w:rsidRPr="00D8531F">
        <w:rPr>
          <w:sz w:val="18"/>
          <w:szCs w:val="18"/>
        </w:rPr>
        <w:t>.</w:t>
      </w:r>
    </w:p>
    <w:p w14:paraId="7C88DF65" w14:textId="77777777" w:rsidR="00366CB9" w:rsidRPr="00D8531F" w:rsidRDefault="009D0C1D" w:rsidP="00B3067A">
      <w:pPr>
        <w:pStyle w:val="1"/>
        <w:numPr>
          <w:ilvl w:val="0"/>
          <w:numId w:val="49"/>
        </w:numPr>
        <w:shd w:val="clear" w:color="auto" w:fill="auto"/>
        <w:tabs>
          <w:tab w:val="left" w:pos="639"/>
        </w:tabs>
        <w:spacing w:line="324" w:lineRule="auto"/>
        <w:ind w:left="560" w:hanging="260"/>
        <w:jc w:val="both"/>
        <w:rPr>
          <w:sz w:val="18"/>
          <w:szCs w:val="18"/>
        </w:rPr>
      </w:pPr>
      <w:r w:rsidRPr="00D8531F">
        <w:rPr>
          <w:sz w:val="18"/>
          <w:szCs w:val="18"/>
        </w:rPr>
        <w:t>Більш імовірною причиною є існування гетерорезистентних популяцій (тобто сумішей чутливих та резистентних бактерій), особливо у разі високого тягаря епідемії, де ризик інфекції є високим. Під час перегляду температур плавлення зондів LC-aNAAT (</w:t>
      </w:r>
      <w:hyperlink w:anchor="bookmark200" w:tooltip="Поточний документ">
        <w:r w:rsidR="00366CB9" w:rsidRPr="00D8531F">
          <w:rPr>
            <w:sz w:val="18"/>
            <w:szCs w:val="18"/>
          </w:rPr>
          <w:t>92</w:t>
        </w:r>
      </w:hyperlink>
      <w:r w:rsidRPr="00D8531F">
        <w:rPr>
          <w:sz w:val="18"/>
          <w:szCs w:val="18"/>
        </w:rPr>
        <w:t>) можна виявити таку можливість (наприклад, подвійний пік).</w:t>
      </w:r>
    </w:p>
    <w:p w14:paraId="29EF29CB" w14:textId="77777777" w:rsidR="00366CB9" w:rsidRPr="00D8531F" w:rsidRDefault="009D0C1D" w:rsidP="00B3067A">
      <w:pPr>
        <w:pStyle w:val="1"/>
        <w:numPr>
          <w:ilvl w:val="0"/>
          <w:numId w:val="49"/>
        </w:numPr>
        <w:shd w:val="clear" w:color="auto" w:fill="auto"/>
        <w:tabs>
          <w:tab w:val="left" w:pos="605"/>
        </w:tabs>
        <w:spacing w:line="324" w:lineRule="auto"/>
        <w:ind w:left="560" w:hanging="260"/>
        <w:jc w:val="both"/>
        <w:rPr>
          <w:sz w:val="18"/>
          <w:szCs w:val="18"/>
        </w:rPr>
      </w:pPr>
      <w:r w:rsidRPr="00D8531F">
        <w:rPr>
          <w:sz w:val="18"/>
          <w:szCs w:val="18"/>
        </w:rPr>
        <w:t>Подальші дії можуть включати секвенування ДНК, фенотипове ТМЧ та оцінку можливості лабораторної або канцелярської помилки.</w:t>
      </w:r>
    </w:p>
    <w:p w14:paraId="57230D36" w14:textId="77777777" w:rsidR="00366CB9" w:rsidRPr="00D8531F" w:rsidRDefault="009D0C1D" w:rsidP="00B3067A">
      <w:pPr>
        <w:pStyle w:val="1"/>
        <w:numPr>
          <w:ilvl w:val="0"/>
          <w:numId w:val="49"/>
        </w:numPr>
        <w:shd w:val="clear" w:color="auto" w:fill="auto"/>
        <w:tabs>
          <w:tab w:val="left" w:pos="639"/>
        </w:tabs>
        <w:spacing w:line="324" w:lineRule="auto"/>
        <w:ind w:left="560" w:hanging="260"/>
        <w:jc w:val="both"/>
        <w:rPr>
          <w:sz w:val="18"/>
          <w:szCs w:val="18"/>
        </w:rPr>
      </w:pPr>
      <w:r w:rsidRPr="00D8531F">
        <w:rPr>
          <w:sz w:val="18"/>
          <w:szCs w:val="18"/>
        </w:rPr>
        <w:t>Ризик Нрез-ТБ необхідно оцінити повторно; якщо причиною є не високий ризик Нрез-ТБ або помилки введення (наприклад, неправильне маркування), рішення щодо лікування повинні враховувати песимістичний сценарій та бути засновані на результаті MC-aNAAT.</w:t>
      </w:r>
    </w:p>
    <w:p w14:paraId="76BEC0DB" w14:textId="77777777" w:rsidR="00366CB9" w:rsidRPr="00D8531F" w:rsidRDefault="009D0C1D" w:rsidP="00B3067A">
      <w:pPr>
        <w:pStyle w:val="1"/>
        <w:numPr>
          <w:ilvl w:val="0"/>
          <w:numId w:val="47"/>
        </w:numPr>
        <w:shd w:val="clear" w:color="auto" w:fill="auto"/>
        <w:tabs>
          <w:tab w:val="left" w:pos="334"/>
        </w:tabs>
        <w:spacing w:line="326" w:lineRule="auto"/>
        <w:ind w:left="300" w:hanging="300"/>
        <w:jc w:val="both"/>
        <w:rPr>
          <w:sz w:val="18"/>
          <w:szCs w:val="18"/>
        </w:rPr>
      </w:pPr>
      <w:r w:rsidRPr="00D8531F">
        <w:rPr>
          <w:sz w:val="18"/>
          <w:szCs w:val="18"/>
        </w:rPr>
        <w:t>Якщо результат MC-aNAAT – «MTBC виявлено, резистентність до RIF не виявлено, резистентність до INH не виявлено», а зразок є резистентним до INH за допомогою LC-aNAAT:</w:t>
      </w:r>
    </w:p>
    <w:p w14:paraId="0EF99583" w14:textId="77777777" w:rsidR="00366CB9" w:rsidRPr="00D8531F" w:rsidRDefault="009D0C1D" w:rsidP="00B3067A">
      <w:pPr>
        <w:pStyle w:val="1"/>
        <w:numPr>
          <w:ilvl w:val="0"/>
          <w:numId w:val="50"/>
        </w:numPr>
        <w:shd w:val="clear" w:color="auto" w:fill="auto"/>
        <w:tabs>
          <w:tab w:val="left" w:pos="624"/>
        </w:tabs>
        <w:spacing w:line="324" w:lineRule="auto"/>
        <w:ind w:left="560" w:hanging="260"/>
        <w:jc w:val="both"/>
        <w:rPr>
          <w:sz w:val="18"/>
          <w:szCs w:val="18"/>
        </w:rPr>
      </w:pPr>
      <w:r w:rsidRPr="00D8531F">
        <w:rPr>
          <w:sz w:val="18"/>
          <w:szCs w:val="18"/>
        </w:rPr>
        <w:t>Рішення щодо лікування повинні бути засновані на результаті LC-aNAAT (тобто на песимістичному сценарії).</w:t>
      </w:r>
    </w:p>
    <w:p w14:paraId="17E97120" w14:textId="77777777" w:rsidR="00366CB9" w:rsidRPr="00D8531F" w:rsidRDefault="009D0C1D" w:rsidP="00B3067A">
      <w:pPr>
        <w:pStyle w:val="1"/>
        <w:numPr>
          <w:ilvl w:val="0"/>
          <w:numId w:val="50"/>
        </w:numPr>
        <w:shd w:val="clear" w:color="auto" w:fill="auto"/>
        <w:tabs>
          <w:tab w:val="left" w:pos="639"/>
        </w:tabs>
        <w:spacing w:line="324" w:lineRule="auto"/>
        <w:ind w:left="560" w:hanging="260"/>
        <w:jc w:val="both"/>
        <w:rPr>
          <w:sz w:val="18"/>
          <w:szCs w:val="18"/>
        </w:rPr>
      </w:pPr>
      <w:r w:rsidRPr="00D8531F">
        <w:rPr>
          <w:sz w:val="18"/>
          <w:szCs w:val="18"/>
        </w:rPr>
        <w:t xml:space="preserve">Цей результат може бути рідкісним, оскільки обидва аналізи оцінюють одну й ту саму ділянку генів </w:t>
      </w:r>
      <w:r w:rsidRPr="00D8531F">
        <w:rPr>
          <w:i/>
          <w:sz w:val="18"/>
          <w:szCs w:val="18"/>
        </w:rPr>
        <w:t>katG</w:t>
      </w:r>
      <w:r w:rsidRPr="00D8531F">
        <w:rPr>
          <w:sz w:val="18"/>
          <w:szCs w:val="18"/>
        </w:rPr>
        <w:t xml:space="preserve"> та </w:t>
      </w:r>
      <w:r w:rsidRPr="00D8531F">
        <w:rPr>
          <w:i/>
          <w:sz w:val="18"/>
          <w:szCs w:val="18"/>
        </w:rPr>
        <w:t>inhA</w:t>
      </w:r>
      <w:r w:rsidRPr="00D8531F">
        <w:rPr>
          <w:sz w:val="18"/>
          <w:szCs w:val="18"/>
        </w:rPr>
        <w:t xml:space="preserve">. Однак LC-aNAAT є більш чутливими для виявлення резистентності до INH, бо він включає додаткові гени-мішені (міжгенні області </w:t>
      </w:r>
      <w:r w:rsidRPr="00D8531F">
        <w:rPr>
          <w:i/>
          <w:sz w:val="18"/>
          <w:szCs w:val="18"/>
        </w:rPr>
        <w:t>fabG1</w:t>
      </w:r>
      <w:r w:rsidRPr="00D8531F">
        <w:rPr>
          <w:sz w:val="18"/>
          <w:szCs w:val="18"/>
        </w:rPr>
        <w:t xml:space="preserve"> та </w:t>
      </w:r>
      <w:r w:rsidRPr="00D8531F">
        <w:rPr>
          <w:i/>
          <w:sz w:val="18"/>
          <w:szCs w:val="18"/>
        </w:rPr>
        <w:t>oxyR</w:t>
      </w:r>
      <w:r w:rsidRPr="00D8531F">
        <w:rPr>
          <w:sz w:val="18"/>
          <w:szCs w:val="18"/>
        </w:rPr>
        <w:t>-</w:t>
      </w:r>
      <w:r w:rsidRPr="00D8531F">
        <w:rPr>
          <w:i/>
          <w:sz w:val="18"/>
          <w:szCs w:val="18"/>
        </w:rPr>
        <w:t>ahpC</w:t>
      </w:r>
      <w:r w:rsidRPr="00D8531F">
        <w:rPr>
          <w:sz w:val="18"/>
          <w:szCs w:val="18"/>
        </w:rPr>
        <w:t>).</w:t>
      </w:r>
    </w:p>
    <w:p w14:paraId="71A58461"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75D4806F" w14:textId="77777777" w:rsidR="00366CB9" w:rsidRDefault="00366CB9" w:rsidP="00425523">
      <w:pPr>
        <w:spacing w:line="1" w:lineRule="exact"/>
      </w:pPr>
    </w:p>
    <w:p w14:paraId="7450249F" w14:textId="77777777" w:rsidR="00366CB9" w:rsidRPr="00D8531F" w:rsidRDefault="009D0C1D" w:rsidP="00B3067A">
      <w:pPr>
        <w:pStyle w:val="1"/>
        <w:numPr>
          <w:ilvl w:val="0"/>
          <w:numId w:val="51"/>
        </w:numPr>
        <w:shd w:val="clear" w:color="auto" w:fill="auto"/>
        <w:tabs>
          <w:tab w:val="left" w:pos="609"/>
        </w:tabs>
        <w:spacing w:line="322" w:lineRule="auto"/>
        <w:ind w:left="580" w:hanging="260"/>
        <w:jc w:val="both"/>
        <w:rPr>
          <w:sz w:val="18"/>
          <w:szCs w:val="18"/>
        </w:rPr>
      </w:pPr>
      <w:bookmarkStart w:id="185" w:name="bookmark182"/>
      <w:r w:rsidRPr="00D8531F">
        <w:rPr>
          <w:sz w:val="18"/>
          <w:szCs w:val="18"/>
        </w:rPr>
        <w:t>Наявність гетерорезистентних популяцій (тобто сумішей чутливих та резистентних бактерій) є ще однією можливою причиною, особливо у разі високого ризику передачі інфекції. Під час перегляду температур плавлення зондів LC-aNAAT можна виявити таку можливість (наприклад, подвійний пік).</w:t>
      </w:r>
      <w:bookmarkEnd w:id="185"/>
    </w:p>
    <w:p w14:paraId="4199E32B" w14:textId="77777777" w:rsidR="00366CB9" w:rsidRPr="00D8531F" w:rsidRDefault="009D0C1D" w:rsidP="00B3067A">
      <w:pPr>
        <w:pStyle w:val="1"/>
        <w:numPr>
          <w:ilvl w:val="0"/>
          <w:numId w:val="52"/>
        </w:numPr>
        <w:shd w:val="clear" w:color="auto" w:fill="auto"/>
        <w:tabs>
          <w:tab w:val="left" w:pos="642"/>
        </w:tabs>
        <w:spacing w:line="322" w:lineRule="auto"/>
        <w:ind w:left="580" w:hanging="260"/>
        <w:jc w:val="both"/>
        <w:rPr>
          <w:sz w:val="18"/>
          <w:szCs w:val="18"/>
        </w:rPr>
      </w:pPr>
      <w:r w:rsidRPr="00D8531F">
        <w:rPr>
          <w:sz w:val="18"/>
          <w:szCs w:val="18"/>
        </w:rPr>
        <w:t>Подальші дії можуть включати секвенування ДНК, фенотипове ТМЧ та оцінку можливості лабораторної або канцелярської помилки.</w:t>
      </w:r>
    </w:p>
    <w:p w14:paraId="47ACC8C1" w14:textId="77777777" w:rsidR="00366CB9" w:rsidRPr="00D8531F" w:rsidRDefault="009D0C1D" w:rsidP="00B3067A">
      <w:pPr>
        <w:pStyle w:val="1"/>
        <w:numPr>
          <w:ilvl w:val="0"/>
          <w:numId w:val="53"/>
        </w:numPr>
        <w:shd w:val="clear" w:color="auto" w:fill="auto"/>
        <w:tabs>
          <w:tab w:val="left" w:pos="318"/>
        </w:tabs>
        <w:spacing w:line="322" w:lineRule="auto"/>
        <w:ind w:left="320" w:hanging="320"/>
        <w:jc w:val="both"/>
        <w:rPr>
          <w:sz w:val="18"/>
          <w:szCs w:val="18"/>
        </w:rPr>
      </w:pPr>
      <w:r w:rsidRPr="00D8531F">
        <w:rPr>
          <w:sz w:val="18"/>
          <w:szCs w:val="18"/>
        </w:rPr>
        <w:t>Якщо цільове СНП виявляє резистентність, а інші молекулярні тести демонструють чутливість (або навпаки):</w:t>
      </w:r>
    </w:p>
    <w:p w14:paraId="4A9E6FAD" w14:textId="2527C8FB" w:rsidR="00366CB9" w:rsidRPr="00D8531F" w:rsidRDefault="009D0C1D" w:rsidP="00B3067A">
      <w:pPr>
        <w:pStyle w:val="1"/>
        <w:shd w:val="clear" w:color="auto" w:fill="auto"/>
        <w:spacing w:line="324" w:lineRule="auto"/>
        <w:ind w:left="580" w:hanging="260"/>
        <w:jc w:val="both"/>
        <w:rPr>
          <w:sz w:val="18"/>
          <w:szCs w:val="18"/>
        </w:rPr>
      </w:pPr>
      <w:r w:rsidRPr="00D8531F">
        <w:rPr>
          <w:sz w:val="18"/>
          <w:szCs w:val="18"/>
        </w:rPr>
        <w:t xml:space="preserve">a. </w:t>
      </w:r>
      <w:r w:rsidR="00D8531F">
        <w:tab/>
      </w:r>
      <w:r w:rsidRPr="00D8531F">
        <w:rPr>
          <w:sz w:val="18"/>
          <w:szCs w:val="18"/>
        </w:rPr>
        <w:t>Результати необхідно перевірити, щоб впевнитись, чи мутація, виявлена за допомогою цільового СНП, знаходиться в області, не охопленій іншим молекулярним тестом. Якщо це так, цільове СНП необхідно вважати остаточним результатом.</w:t>
      </w:r>
    </w:p>
    <w:p w14:paraId="3B2F1857" w14:textId="5539EDD0" w:rsidR="00366CB9" w:rsidRPr="00D8531F" w:rsidRDefault="009D0C1D" w:rsidP="00B3067A">
      <w:pPr>
        <w:pStyle w:val="1"/>
        <w:shd w:val="clear" w:color="auto" w:fill="auto"/>
        <w:spacing w:line="324" w:lineRule="auto"/>
        <w:ind w:left="580" w:hanging="260"/>
        <w:jc w:val="both"/>
        <w:rPr>
          <w:sz w:val="18"/>
          <w:szCs w:val="18"/>
        </w:rPr>
      </w:pPr>
      <w:r w:rsidRPr="00D8531F">
        <w:rPr>
          <w:sz w:val="18"/>
          <w:szCs w:val="18"/>
        </w:rPr>
        <w:t xml:space="preserve">b. </w:t>
      </w:r>
      <w:r w:rsidR="00D8531F">
        <w:tab/>
      </w:r>
      <w:r w:rsidRPr="00D8531F">
        <w:rPr>
          <w:sz w:val="18"/>
          <w:szCs w:val="18"/>
        </w:rPr>
        <w:t>Результати необхідно перевірити, щоб впевнитись, чи є мутація синонімічною мутацією, виявленою за допомогою цільового СНП. Якщо це так, результат іншого молекулярного тесту є неправильним.</w:t>
      </w:r>
    </w:p>
    <w:p w14:paraId="18C588F1" w14:textId="77777777" w:rsidR="00366CB9" w:rsidRPr="00D8531F" w:rsidRDefault="009D0C1D" w:rsidP="00B3067A">
      <w:pPr>
        <w:pStyle w:val="1"/>
        <w:numPr>
          <w:ilvl w:val="0"/>
          <w:numId w:val="54"/>
        </w:numPr>
        <w:shd w:val="clear" w:color="auto" w:fill="auto"/>
        <w:tabs>
          <w:tab w:val="left" w:pos="609"/>
        </w:tabs>
        <w:spacing w:after="360" w:line="324" w:lineRule="auto"/>
        <w:ind w:left="580" w:hanging="260"/>
        <w:jc w:val="both"/>
        <w:rPr>
          <w:sz w:val="18"/>
          <w:szCs w:val="18"/>
        </w:rPr>
      </w:pPr>
      <w:r w:rsidRPr="00D8531F">
        <w:rPr>
          <w:sz w:val="18"/>
          <w:szCs w:val="18"/>
        </w:rPr>
        <w:t>Результати необхідно перевірити, щоб впевнитись, чи було виявлено гетерорезистентність за допомогою цільового СНП. Якщо це так, для лікування необхідно використовувати профіль з найбільшою резистентністю. Цільове СНП краще усуває гетерорезистентність, ніж інші молекулярні тести.</w:t>
      </w:r>
    </w:p>
    <w:p w14:paraId="6D233607" w14:textId="77777777" w:rsidR="00366CB9" w:rsidRDefault="009D0C1D" w:rsidP="00B3067A">
      <w:pPr>
        <w:pStyle w:val="22"/>
        <w:numPr>
          <w:ilvl w:val="0"/>
          <w:numId w:val="55"/>
        </w:numPr>
        <w:shd w:val="clear" w:color="auto" w:fill="auto"/>
        <w:tabs>
          <w:tab w:val="left" w:pos="678"/>
        </w:tabs>
        <w:spacing w:after="140" w:line="240" w:lineRule="auto"/>
        <w:jc w:val="both"/>
      </w:pPr>
      <w:bookmarkStart w:id="186" w:name="bookmark184"/>
      <w:bookmarkStart w:id="187" w:name="bookmark185"/>
      <w:bookmarkStart w:id="188" w:name="bookmark183"/>
      <w:r>
        <w:t>Алгоритм 4 – Тестування на виявлення туберкульозної інфекції</w:t>
      </w:r>
      <w:bookmarkEnd w:id="186"/>
      <w:bookmarkEnd w:id="187"/>
      <w:bookmarkEnd w:id="188"/>
    </w:p>
    <w:p w14:paraId="7ADC9862" w14:textId="77777777" w:rsidR="00366CB9" w:rsidRPr="00D8531F" w:rsidRDefault="009D0C1D" w:rsidP="00B3067A">
      <w:pPr>
        <w:pStyle w:val="1"/>
        <w:shd w:val="clear" w:color="auto" w:fill="auto"/>
        <w:spacing w:after="140" w:line="324" w:lineRule="auto"/>
        <w:jc w:val="both"/>
        <w:rPr>
          <w:sz w:val="18"/>
          <w:szCs w:val="18"/>
        </w:rPr>
      </w:pPr>
      <w:r w:rsidRPr="00D8531F">
        <w:rPr>
          <w:sz w:val="18"/>
          <w:szCs w:val="18"/>
        </w:rPr>
        <w:t>ВООЗ опублікувала інтегрований алгоритм ПЛТ у контактів (у віці &lt; 5 років), людей, які живуть з ВІЛ, та інших груп ризику як Модуль 1 керівних принципів (</w:t>
      </w:r>
      <w:hyperlink w:anchor="bookmark196" w:tooltip="Поточний документ">
        <w:r w:rsidR="00366CB9" w:rsidRPr="00D8531F">
          <w:rPr>
            <w:sz w:val="18"/>
            <w:szCs w:val="18"/>
          </w:rPr>
          <w:t>17</w:t>
        </w:r>
      </w:hyperlink>
      <w:r w:rsidRPr="00D8531F">
        <w:rPr>
          <w:sz w:val="18"/>
          <w:szCs w:val="18"/>
        </w:rPr>
        <w:t>). Для ВІЛ-позитивних побутових контактів у віці від 5 років рекомендується тестування на виявлення туберкульозної інфекції в рамках їхнього лікування. Враховуючи, що у контактів також є ризик ТБ, інтеграція тестування на виявлення туберкульозної інфекції зі скринінгом на ТБ була б важливим етапом для покращення впровадження.</w:t>
      </w:r>
    </w:p>
    <w:p w14:paraId="7BCEF2E4" w14:textId="77777777" w:rsidR="00366CB9" w:rsidRPr="00D8531F" w:rsidRDefault="009D0C1D" w:rsidP="00B3067A">
      <w:pPr>
        <w:pStyle w:val="1"/>
        <w:shd w:val="clear" w:color="auto" w:fill="auto"/>
        <w:spacing w:after="140" w:line="324" w:lineRule="auto"/>
        <w:jc w:val="both"/>
        <w:rPr>
          <w:sz w:val="18"/>
          <w:szCs w:val="18"/>
        </w:rPr>
      </w:pPr>
      <w:r w:rsidRPr="00D8531F">
        <w:rPr>
          <w:sz w:val="18"/>
          <w:szCs w:val="18"/>
        </w:rPr>
        <w:t>Під час першого візиту, щойно буде виявлено особу з ризиком з ТБ, ця особа повинна пройти скринінг на ТБ для визначення необхідності обстеження на ТБ, а також на туберкульозну інфекцію (</w:t>
      </w:r>
      <w:hyperlink w:anchor="bookmark186" w:tooltip="Поточний документ">
        <w:r w:rsidR="00366CB9" w:rsidRPr="00D8531F">
          <w:rPr>
            <w:b/>
            <w:sz w:val="18"/>
            <w:szCs w:val="18"/>
          </w:rPr>
          <w:t>рис. 6.7</w:t>
        </w:r>
      </w:hyperlink>
      <w:r w:rsidRPr="00D8531F">
        <w:rPr>
          <w:sz w:val="18"/>
          <w:szCs w:val="18"/>
        </w:rPr>
        <w:t>). Дітям у віці до 5 років та людям, які живуть з ВІЛ, не потрібне тестування на виявлення туберкульозної інфекції; для цих груп ПЛТ може бути розпочато, якщо можна виключити ТБ. Скринінг на ТБ можна проводити, наприклад, шляхом оцінки симптомів ТБ або використання більш чутливих інструментів, рекомендованих ВООЗ, таких як РОГК, з комп’ютерним виявленням або без нього, mWRD або С-реактивний білок (він застосовується лише до людей, які живуть з ВІЛ) (</w:t>
      </w:r>
      <w:hyperlink w:anchor="bookmark198" w:tooltip="Поточний документ">
        <w:r w:rsidR="00366CB9" w:rsidRPr="00D8531F">
          <w:rPr>
            <w:sz w:val="18"/>
            <w:szCs w:val="18"/>
          </w:rPr>
          <w:t>55</w:t>
        </w:r>
      </w:hyperlink>
      <w:r w:rsidRPr="00D8531F">
        <w:rPr>
          <w:sz w:val="18"/>
          <w:szCs w:val="18"/>
        </w:rPr>
        <w:t>). Послідовне скринінгове та діагностичне тестування (спочатку на ТБ, потім на туберкульозну інфекцію) може призвести до суттєвих затримок або втрат під час тестування на виявлення туберкульозної інфекції, особливо якщо ці завдання виконуються різними фахівцями у сфері охорони здоров’я або в різних місцях. Отже, під час першого візиту необхідно поєднувати скринінг на ТБ з тестуванням на виявлення туберкульозної інфекції. Особи з симптомами ТБ повинні пройти подальше обстеження якомога швидше, як правило, під час одного візиту (</w:t>
      </w:r>
      <w:hyperlink w:anchor="bookmark193" w:tooltip="Поточний документ">
        <w:r w:rsidR="00366CB9" w:rsidRPr="00D8531F">
          <w:rPr>
            <w:sz w:val="18"/>
            <w:szCs w:val="18"/>
          </w:rPr>
          <w:t>5</w:t>
        </w:r>
      </w:hyperlink>
      <w:r w:rsidRPr="00D8531F">
        <w:rPr>
          <w:sz w:val="18"/>
          <w:szCs w:val="18"/>
        </w:rPr>
        <w:t>). Якщо представлено тестування на виявлення ТБ на місці, а ТБ підтверджено, необхідно негайно призначити лікування ТБ, хоча в багатьох випадках це малоймовірно.</w:t>
      </w:r>
    </w:p>
    <w:p w14:paraId="4D490871" w14:textId="77777777" w:rsidR="00366CB9" w:rsidRPr="00D8531F" w:rsidRDefault="009D0C1D" w:rsidP="00B3067A">
      <w:pPr>
        <w:pStyle w:val="1"/>
        <w:shd w:val="clear" w:color="auto" w:fill="auto"/>
        <w:spacing w:line="322" w:lineRule="auto"/>
        <w:jc w:val="both"/>
        <w:rPr>
          <w:sz w:val="18"/>
          <w:szCs w:val="18"/>
        </w:rPr>
      </w:pPr>
      <w:r w:rsidRPr="00D8531F">
        <w:rPr>
          <w:sz w:val="18"/>
          <w:szCs w:val="18"/>
        </w:rPr>
        <w:t>Другий візит може бути оптимізовано для такого: зчитування результатів TST або TBST або отримання результату IGRA; перегляд результатів мікробіологічних тестів на виявлення ТБ, якщо у особи був позитивний результат скринінгу на ТБ та було подано зразки для тестування на виявлення ТБ; проведення клінічної оцінки для виключення ТБ або перед початком лікування ТБ; та початок ПЛТ або лікування ТБ. Цей другий візит необхідно</w:t>
      </w:r>
    </w:p>
    <w:p w14:paraId="05D5BB62"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73825A64" w14:textId="77777777" w:rsidR="00366CB9" w:rsidRDefault="00366CB9" w:rsidP="00425523">
      <w:pPr>
        <w:spacing w:line="1" w:lineRule="exact"/>
      </w:pPr>
    </w:p>
    <w:p w14:paraId="6AD2AC94" w14:textId="77777777" w:rsidR="00366CB9" w:rsidRPr="00D8531F" w:rsidRDefault="009D0C1D" w:rsidP="00B3067A">
      <w:pPr>
        <w:pStyle w:val="1"/>
        <w:shd w:val="clear" w:color="auto" w:fill="auto"/>
        <w:spacing w:after="140" w:line="324" w:lineRule="auto"/>
        <w:jc w:val="both"/>
        <w:rPr>
          <w:sz w:val="18"/>
          <w:szCs w:val="18"/>
        </w:rPr>
      </w:pPr>
      <w:r w:rsidRPr="00D8531F">
        <w:rPr>
          <w:sz w:val="18"/>
          <w:szCs w:val="18"/>
        </w:rPr>
        <w:t>проводити через 48-72 години після тесту. Якщо тест на виявлення туберкульозної інфекції дає негативний результат, особу можна виписати; однак може знадобитися повторний тест на виявлення туберкульозної інфекції, якщо початковий тест дасть негативний результат, особливо у осіб, які нещодавно заразились або мають супутню вірусну інфекцію. Якщо тест на виявлення туберкульозної інфекції дає позитивний результат у контактів, у яких спочатку не спостерігалось симптомів, або у яких спостерігались симптоми, але у яких ТБ було виключено, особу необхідно повторно обстежити на необхідність негайного початку ПЛТ (</w:t>
      </w:r>
      <w:hyperlink w:anchor="bookmark186" w:tooltip="Поточний документ">
        <w:r w:rsidR="00366CB9" w:rsidRPr="00D8531F">
          <w:rPr>
            <w:b/>
            <w:sz w:val="18"/>
            <w:szCs w:val="18"/>
          </w:rPr>
          <w:t>рис. 6.7</w:t>
        </w:r>
      </w:hyperlink>
      <w:r w:rsidRPr="00D8531F">
        <w:rPr>
          <w:sz w:val="18"/>
          <w:szCs w:val="18"/>
        </w:rPr>
        <w:t>). Не дивлячись на можливі позитивні результати тестів на виявлення туберкульозної інфекції за наявності ТБ, їхня низька точність вказує на те, що ці тести не рекомендовані для скринінгу або в рамках діагностики при підозрі на ТБ; це необхідно підкреслювати під час підготовки фахівців у сфері охорони здоров’я.</w:t>
      </w:r>
    </w:p>
    <w:p w14:paraId="2F33AC84" w14:textId="77777777" w:rsidR="00366CB9" w:rsidRPr="00D8531F" w:rsidRDefault="009D0C1D" w:rsidP="00B3067A">
      <w:pPr>
        <w:pStyle w:val="1"/>
        <w:shd w:val="clear" w:color="auto" w:fill="auto"/>
        <w:spacing w:line="324" w:lineRule="auto"/>
        <w:jc w:val="both"/>
        <w:rPr>
          <w:sz w:val="18"/>
          <w:szCs w:val="18"/>
        </w:rPr>
      </w:pPr>
      <w:r w:rsidRPr="00D8531F">
        <w:rPr>
          <w:sz w:val="18"/>
          <w:szCs w:val="18"/>
        </w:rPr>
        <w:t>Пропонується проводити тести на виявлення туберкульозної інфекції для осіб, які відповідають вимогам, на ранніх стадіях оцінки осіб з ризиком ТБ (тобто під час першого візиту), оскільки це допоможе зменшити затримки з початком відповідного лікування; також результат тесту може допомогти визначити найкращий план дій для більшості обстежених осіб. Якщо у особи не спостерігається симптомів під час скринінгу, обстеження для виключення ТБ все ще може бути виправданим, а РОГК підвищує чутливість у таких ситуаціях. В ідеалі, усі ці заходи слід проводити в один день, щоб ПЛТ можна було призначити під час другого візиту, щойно будуть доступні результати тестування. Оскільки у більшості осіб із симптомами ТБ не очікується ТБ, відкладення тестування на виявлення туберкульозної інфекції (наприклад, після подальшої діагностики) у таких осіб може призвести до суттєвих втрат.</w:t>
      </w:r>
    </w:p>
    <w:p w14:paraId="6C6E1C71"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574608BF"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14:paraId="528DC4EA" w14:textId="77777777" w:rsidTr="00E76FA1">
        <w:trPr>
          <w:trHeight w:hRule="exact" w:val="1138"/>
        </w:trPr>
        <w:tc>
          <w:tcPr>
            <w:tcW w:w="9106" w:type="dxa"/>
            <w:shd w:val="clear" w:color="auto" w:fill="FFFFFF"/>
          </w:tcPr>
          <w:p w14:paraId="34CA5E3B" w14:textId="77777777" w:rsidR="00366CB9" w:rsidRPr="00156AC1" w:rsidRDefault="009D0C1D" w:rsidP="00B3067A">
            <w:pPr>
              <w:pStyle w:val="a6"/>
              <w:shd w:val="clear" w:color="auto" w:fill="auto"/>
              <w:rPr>
                <w:sz w:val="24"/>
                <w:szCs w:val="24"/>
              </w:rPr>
            </w:pPr>
            <w:bookmarkStart w:id="189" w:name="bookmark186"/>
            <w:r>
              <w:rPr>
                <w:color w:val="636466"/>
                <w:sz w:val="24"/>
              </w:rPr>
              <w:t>Рис. 6.7. Алгоритм для людиноцентричної допомоги проти ТБ; комплексна оцінка інфекцій та захворювань за наявності та при рекомендації тестування на виявлення туберкульозної інфекції</w:t>
            </w:r>
            <w:r>
              <w:rPr>
                <w:color w:val="636466"/>
                <w:sz w:val="24"/>
                <w:vertAlign w:val="superscript"/>
              </w:rPr>
              <w:t>a</w:t>
            </w:r>
            <w:bookmarkEnd w:id="189"/>
          </w:p>
        </w:tc>
      </w:tr>
      <w:tr w:rsidR="00366CB9" w14:paraId="50F7E99F" w14:textId="77777777" w:rsidTr="00E76FA1">
        <w:trPr>
          <w:trHeight w:hRule="exact" w:val="7982"/>
        </w:trPr>
        <w:tc>
          <w:tcPr>
            <w:tcW w:w="9106" w:type="dxa"/>
            <w:shd w:val="clear" w:color="auto" w:fill="FFFFFF"/>
          </w:tcPr>
          <w:p w14:paraId="23C829CA" w14:textId="07F6356D" w:rsidR="00366CB9" w:rsidRDefault="00361D58" w:rsidP="00B3067A">
            <w:pPr>
              <w:rPr>
                <w:sz w:val="2"/>
                <w:szCs w:val="2"/>
              </w:rPr>
            </w:pPr>
            <w:r>
              <w:rPr>
                <w:noProof/>
              </w:rPr>
              <mc:AlternateContent>
                <mc:Choice Requires="wps">
                  <w:drawing>
                    <wp:anchor distT="0" distB="0" distL="114300" distR="114300" simplePos="0" relativeHeight="251812864" behindDoc="0" locked="0" layoutInCell="1" allowOverlap="1" wp14:anchorId="2DF22ED9" wp14:editId="7A62ACE4">
                      <wp:simplePos x="0" y="0"/>
                      <wp:positionH relativeFrom="column">
                        <wp:posOffset>2856230</wp:posOffset>
                      </wp:positionH>
                      <wp:positionV relativeFrom="paragraph">
                        <wp:posOffset>96520</wp:posOffset>
                      </wp:positionV>
                      <wp:extent cx="1778000" cy="373380"/>
                      <wp:effectExtent l="0" t="0" r="0" b="7620"/>
                      <wp:wrapNone/>
                      <wp:docPr id="377292214" name="Прямокутник 3"/>
                      <wp:cNvGraphicFramePr/>
                      <a:graphic xmlns:a="http://schemas.openxmlformats.org/drawingml/2006/main">
                        <a:graphicData uri="http://schemas.microsoft.com/office/word/2010/wordprocessingShape">
                          <wps:wsp>
                            <wps:cNvSpPr/>
                            <wps:spPr>
                              <a:xfrm>
                                <a:off x="0" y="0"/>
                                <a:ext cx="1778000" cy="373380"/>
                              </a:xfrm>
                              <a:prstGeom prst="rect">
                                <a:avLst/>
                              </a:prstGeom>
                              <a:solidFill>
                                <a:srgbClr val="019549"/>
                              </a:solidFill>
                            </wps:spPr>
                            <wps:txbx>
                              <w:txbxContent>
                                <w:p w14:paraId="0A6A7572" w14:textId="77777777" w:rsidR="009D0C1D" w:rsidRPr="00D8531F" w:rsidRDefault="009D0C1D" w:rsidP="00E76FA1">
                                  <w:pPr>
                                    <w:jc w:val="center"/>
                                    <w:rPr>
                                      <w:rFonts w:ascii="Century Gothic" w:eastAsia="+mn-ea" w:hAnsi="Century Gothic" w:cs="+mn-cs"/>
                                      <w:b/>
                                      <w:bCs/>
                                      <w:color w:val="FFFFFF"/>
                                      <w:kern w:val="24"/>
                                      <w:sz w:val="14"/>
                                      <w:szCs w:val="14"/>
                                    </w:rPr>
                                  </w:pPr>
                                  <w:r w:rsidRPr="00D8531F">
                                    <w:rPr>
                                      <w:rFonts w:ascii="Century Gothic" w:hAnsi="Century Gothic"/>
                                      <w:b/>
                                      <w:color w:val="FFFFFF"/>
                                      <w:sz w:val="14"/>
                                      <w:szCs w:val="22"/>
                                    </w:rPr>
                                    <w:t>Скринінг на ТБ</w:t>
                                  </w:r>
                                  <w:r w:rsidRPr="00D8531F">
                                    <w:rPr>
                                      <w:rFonts w:ascii="Century Gothic" w:hAnsi="Century Gothic"/>
                                      <w:b/>
                                      <w:color w:val="FFFFFF"/>
                                      <w:sz w:val="14"/>
                                      <w:szCs w:val="22"/>
                                      <w:vertAlign w:val="superscript"/>
                                    </w:rPr>
                                    <w:t>b</w:t>
                                  </w:r>
                                  <w:r w:rsidRPr="00D8531F">
                                    <w:rPr>
                                      <w:rFonts w:ascii="Century Gothic" w:hAnsi="Century Gothic"/>
                                      <w:b/>
                                      <w:color w:val="FFFFFF"/>
                                      <w:sz w:val="14"/>
                                      <w:szCs w:val="22"/>
                                    </w:rPr>
                                    <w:t xml:space="preserve"> </w:t>
                                  </w:r>
                                  <w:r w:rsidRPr="00D8531F">
                                    <w:rPr>
                                      <w:rFonts w:ascii="Century Gothic" w:hAnsi="Century Gothic"/>
                                      <w:b/>
                                      <w:i/>
                                      <w:color w:val="FFFFFF"/>
                                      <w:sz w:val="14"/>
                                      <w:szCs w:val="22"/>
                                    </w:rPr>
                                    <w:t>та</w:t>
                                  </w:r>
                                  <w:r w:rsidRPr="00D8531F">
                                    <w:rPr>
                                      <w:rFonts w:ascii="Century Gothic" w:hAnsi="Century Gothic"/>
                                      <w:b/>
                                      <w:color w:val="FFFFFF"/>
                                      <w:sz w:val="14"/>
                                      <w:szCs w:val="22"/>
                                    </w:rPr>
                                    <w:t xml:space="preserve"> тест на виявлення ТБІ,</w:t>
                                  </w:r>
                                  <w:r w:rsidRPr="00D8531F">
                                    <w:rPr>
                                      <w:rFonts w:ascii="Century Gothic" w:hAnsi="Century Gothic"/>
                                      <w:b/>
                                      <w:color w:val="FFFFFF"/>
                                      <w:sz w:val="14"/>
                                      <w:szCs w:val="22"/>
                                      <w:vertAlign w:val="superscript"/>
                                    </w:rPr>
                                    <w:t>c</w:t>
                                  </w:r>
                                  <w:r w:rsidRPr="00D8531F">
                                    <w:rPr>
                                      <w:rFonts w:ascii="Century Gothic" w:hAnsi="Century Gothic"/>
                                      <w:b/>
                                      <w:color w:val="FFFFFF"/>
                                      <w:sz w:val="14"/>
                                      <w:szCs w:val="22"/>
                                    </w:rPr>
                                    <w:t xml:space="preserve"> включаючи РОГК, за наявності</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DF22ED9" id="_x0000_s1467" style="position:absolute;margin-left:224.9pt;margin-top:7.6pt;width:140pt;height:2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" fillcolor="#019549" stroked="f">
                      <v:textbox inset="0,0,0,0">
                        <w:txbxContent>
                          <w:p w14:paraId="0A6A7572" w14:textId="77777777" w:rsidR="009D0C1D" w:rsidRPr="00D8531F" w:rsidRDefault="009D0C1D" w:rsidP="00E76FA1">
                            <w:pPr>
                              <w:jc w:val="center"/>
                              <w:rPr>
                                <w:rFonts w:ascii="Century Gothic" w:eastAsia="+mn-ea" w:hAnsi="Century Gothic" w:cs="+mn-cs"/>
                                <w:b/>
                                <w:bCs/>
                                <w:color w:val="FFFFFF"/>
                                <w:kern w:val="24"/>
                                <w:sz w:val="14"/>
                                <w:szCs w:val="14"/>
                              </w:rPr>
                            </w:pPr>
                            <w:r w:rsidRPr="00D8531F">
                              <w:rPr>
                                <w:rFonts w:ascii="Century Gothic" w:hAnsi="Century Gothic"/>
                                <w:b/>
                                <w:color w:val="FFFFFF"/>
                                <w:sz w:val="14"/>
                                <w:szCs w:val="22"/>
                              </w:rPr>
                              <w:t>Скринінг на ТБ</w:t>
                            </w:r>
                            <w:r w:rsidRPr="00D8531F">
                              <w:rPr>
                                <w:rFonts w:ascii="Century Gothic" w:hAnsi="Century Gothic"/>
                                <w:b/>
                                <w:color w:val="FFFFFF"/>
                                <w:sz w:val="14"/>
                                <w:szCs w:val="22"/>
                                <w:vertAlign w:val="superscript"/>
                              </w:rPr>
                              <w:t>b</w:t>
                            </w:r>
                            <w:r w:rsidRPr="00D8531F">
                              <w:rPr>
                                <w:rFonts w:ascii="Century Gothic" w:hAnsi="Century Gothic"/>
                                <w:b/>
                                <w:color w:val="FFFFFF"/>
                                <w:sz w:val="14"/>
                                <w:szCs w:val="22"/>
                              </w:rPr>
                              <w:t xml:space="preserve"> </w:t>
                            </w:r>
                            <w:r w:rsidRPr="00D8531F">
                              <w:rPr>
                                <w:rFonts w:ascii="Century Gothic" w:hAnsi="Century Gothic"/>
                                <w:b/>
                                <w:i/>
                                <w:color w:val="FFFFFF"/>
                                <w:sz w:val="14"/>
                                <w:szCs w:val="22"/>
                              </w:rPr>
                              <w:t>та</w:t>
                            </w:r>
                            <w:r w:rsidRPr="00D8531F">
                              <w:rPr>
                                <w:rFonts w:ascii="Century Gothic" w:hAnsi="Century Gothic"/>
                                <w:b/>
                                <w:color w:val="FFFFFF"/>
                                <w:sz w:val="14"/>
                                <w:szCs w:val="22"/>
                              </w:rPr>
                              <w:t xml:space="preserve"> тест на виявлення ТБІ,</w:t>
                            </w:r>
                            <w:r w:rsidRPr="00D8531F">
                              <w:rPr>
                                <w:rFonts w:ascii="Century Gothic" w:hAnsi="Century Gothic"/>
                                <w:b/>
                                <w:color w:val="FFFFFF"/>
                                <w:sz w:val="14"/>
                                <w:szCs w:val="22"/>
                                <w:vertAlign w:val="superscript"/>
                              </w:rPr>
                              <w:t>c</w:t>
                            </w:r>
                            <w:r w:rsidRPr="00D8531F">
                              <w:rPr>
                                <w:rFonts w:ascii="Century Gothic" w:hAnsi="Century Gothic"/>
                                <w:b/>
                                <w:color w:val="FFFFFF"/>
                                <w:sz w:val="14"/>
                                <w:szCs w:val="22"/>
                              </w:rPr>
                              <w:t xml:space="preserve"> включаючи РОГК, за наявності</w:t>
                            </w:r>
                          </w:p>
                        </w:txbxContent>
                      </v:textbox>
                    </v:rect>
                  </w:pict>
                </mc:Fallback>
              </mc:AlternateContent>
            </w:r>
            <w:r w:rsidR="002A1DA2">
              <w:rPr>
                <w:noProof/>
              </w:rPr>
              <mc:AlternateContent>
                <mc:Choice Requires="wps">
                  <w:drawing>
                    <wp:anchor distT="0" distB="0" distL="114300" distR="114300" simplePos="0" relativeHeight="251824128" behindDoc="0" locked="0" layoutInCell="1" allowOverlap="1" wp14:anchorId="3FBBE881" wp14:editId="7FF09EC3">
                      <wp:simplePos x="0" y="0"/>
                      <wp:positionH relativeFrom="column">
                        <wp:posOffset>4791710</wp:posOffset>
                      </wp:positionH>
                      <wp:positionV relativeFrom="paragraph">
                        <wp:posOffset>4638040</wp:posOffset>
                      </wp:positionV>
                      <wp:extent cx="758825" cy="312420"/>
                      <wp:effectExtent l="0" t="0" r="3175" b="0"/>
                      <wp:wrapNone/>
                      <wp:docPr id="1740589692" name="Прямокутник 14"/>
                      <wp:cNvGraphicFramePr/>
                      <a:graphic xmlns:a="http://schemas.openxmlformats.org/drawingml/2006/main">
                        <a:graphicData uri="http://schemas.microsoft.com/office/word/2010/wordprocessingShape">
                          <wps:wsp>
                            <wps:cNvSpPr/>
                            <wps:spPr>
                              <a:xfrm>
                                <a:off x="0" y="0"/>
                                <a:ext cx="758825" cy="312420"/>
                              </a:xfrm>
                              <a:prstGeom prst="rect">
                                <a:avLst/>
                              </a:prstGeom>
                              <a:solidFill>
                                <a:srgbClr val="B4D4AB"/>
                              </a:solidFill>
                            </wps:spPr>
                            <wps:txbx>
                              <w:txbxContent>
                                <w:p w14:paraId="58800A6E" w14:textId="77777777" w:rsidR="009D0C1D" w:rsidRPr="002A1DA2" w:rsidRDefault="009D0C1D" w:rsidP="00E76FA1">
                                  <w:pPr>
                                    <w:jc w:val="center"/>
                                    <w:rPr>
                                      <w:rFonts w:ascii="Century Gothic" w:eastAsia="+mn-ea" w:hAnsi="Century Gothic" w:cs="+mn-cs"/>
                                      <w:b/>
                                      <w:bCs/>
                                      <w:color w:val="343433"/>
                                      <w:kern w:val="24"/>
                                      <w:sz w:val="14"/>
                                      <w:szCs w:val="14"/>
                                    </w:rPr>
                                  </w:pPr>
                                  <w:r w:rsidRPr="002A1DA2">
                                    <w:rPr>
                                      <w:rFonts w:ascii="Century Gothic" w:hAnsi="Century Gothic"/>
                                      <w:b/>
                                      <w:color w:val="343433"/>
                                      <w:sz w:val="14"/>
                                      <w:szCs w:val="22"/>
                                    </w:rPr>
                                    <w:t>Почати лікування ТБ</w:t>
                                  </w:r>
                                </w:p>
                              </w:txbxContent>
                            </wps:txbx>
                            <wps:bodyPr wrap="square" lIns="0" tIns="0" rIns="0" bIns="0">
                              <a:noAutofit/>
                            </wps:bodyPr>
                          </wps:wsp>
                        </a:graphicData>
                      </a:graphic>
                      <wp14:sizeRelV relativeFrom="margin">
                        <wp14:pctHeight>0</wp14:pctHeight>
                      </wp14:sizeRelV>
                    </wp:anchor>
                  </w:drawing>
                </mc:Choice>
                <mc:Fallback>
                  <w:pict>
                    <v:rect w14:anchorId="3FBBE881" id="_x0000_s1468" style="position:absolute;margin-left:377.3pt;margin-top:365.2pt;width:59.75pt;height:24.6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" fillcolor="#b4d4ab" stroked="f">
                      <v:textbox inset="0,0,0,0">
                        <w:txbxContent>
                          <w:p w14:paraId="58800A6E" w14:textId="77777777" w:rsidR="009D0C1D" w:rsidRPr="002A1DA2" w:rsidRDefault="009D0C1D" w:rsidP="00E76FA1">
                            <w:pPr>
                              <w:jc w:val="center"/>
                              <w:rPr>
                                <w:rFonts w:ascii="Century Gothic" w:eastAsia="+mn-ea" w:hAnsi="Century Gothic" w:cs="+mn-cs"/>
                                <w:b/>
                                <w:bCs/>
                                <w:color w:val="343433"/>
                                <w:kern w:val="24"/>
                                <w:sz w:val="14"/>
                                <w:szCs w:val="14"/>
                              </w:rPr>
                            </w:pPr>
                            <w:r w:rsidRPr="002A1DA2">
                              <w:rPr>
                                <w:rFonts w:ascii="Century Gothic" w:hAnsi="Century Gothic"/>
                                <w:b/>
                                <w:color w:val="343433"/>
                                <w:sz w:val="14"/>
                                <w:szCs w:val="22"/>
                              </w:rPr>
                              <w:t>Почати лікування ТБ</w:t>
                            </w:r>
                          </w:p>
                        </w:txbxContent>
                      </v:textbox>
                    </v:rect>
                  </w:pict>
                </mc:Fallback>
              </mc:AlternateContent>
            </w:r>
            <w:r w:rsidR="002A1DA2">
              <w:rPr>
                <w:noProof/>
              </w:rPr>
              <mc:AlternateContent>
                <mc:Choice Requires="wps">
                  <w:drawing>
                    <wp:anchor distT="0" distB="0" distL="114300" distR="114300" simplePos="0" relativeHeight="251823104" behindDoc="0" locked="0" layoutInCell="1" allowOverlap="1" wp14:anchorId="538FCD61" wp14:editId="0C6F9208">
                      <wp:simplePos x="0" y="0"/>
                      <wp:positionH relativeFrom="column">
                        <wp:posOffset>3528060</wp:posOffset>
                      </wp:positionH>
                      <wp:positionV relativeFrom="paragraph">
                        <wp:posOffset>4638040</wp:posOffset>
                      </wp:positionV>
                      <wp:extent cx="716280" cy="259080"/>
                      <wp:effectExtent l="0" t="0" r="7620" b="7620"/>
                      <wp:wrapNone/>
                      <wp:docPr id="1539205114" name="Прямокутник 13"/>
                      <wp:cNvGraphicFramePr/>
                      <a:graphic xmlns:a="http://schemas.openxmlformats.org/drawingml/2006/main">
                        <a:graphicData uri="http://schemas.microsoft.com/office/word/2010/wordprocessingShape">
                          <wps:wsp>
                            <wps:cNvSpPr/>
                            <wps:spPr>
                              <a:xfrm>
                                <a:off x="0" y="0"/>
                                <a:ext cx="716280" cy="259080"/>
                              </a:xfrm>
                              <a:prstGeom prst="rect">
                                <a:avLst/>
                              </a:prstGeom>
                              <a:solidFill>
                                <a:srgbClr val="B4D4AB"/>
                              </a:solidFill>
                            </wps:spPr>
                            <wps:txbx>
                              <w:txbxContent>
                                <w:p w14:paraId="79D5EEED" w14:textId="77777777" w:rsidR="009D0C1D" w:rsidRPr="002A1DA2" w:rsidRDefault="009D0C1D" w:rsidP="00E76FA1">
                                  <w:pPr>
                                    <w:rPr>
                                      <w:rFonts w:ascii="Century Gothic" w:eastAsia="+mn-ea" w:hAnsi="Century Gothic" w:cs="+mn-cs"/>
                                      <w:b/>
                                      <w:bCs/>
                                      <w:color w:val="343433"/>
                                      <w:kern w:val="24"/>
                                      <w:sz w:val="14"/>
                                      <w:szCs w:val="14"/>
                                    </w:rPr>
                                  </w:pPr>
                                  <w:r w:rsidRPr="002A1DA2">
                                    <w:rPr>
                                      <w:rFonts w:ascii="Century Gothic" w:hAnsi="Century Gothic"/>
                                      <w:b/>
                                      <w:color w:val="343433"/>
                                      <w:sz w:val="14"/>
                                      <w:szCs w:val="22"/>
                                    </w:rPr>
                                    <w:t xml:space="preserve">Розпочати </w:t>
                                  </w:r>
                                  <w:r w:rsidRPr="002A1DA2">
                                    <w:rPr>
                                      <w:rFonts w:ascii="Century Gothic" w:hAnsi="Century Gothic"/>
                                      <w:b/>
                                      <w:sz w:val="14"/>
                                      <w:szCs w:val="22"/>
                                    </w:rPr>
                                    <w:t>ПЛТ</w:t>
                                  </w:r>
                                  <w:r w:rsidRPr="002A1DA2">
                                    <w:rPr>
                                      <w:rFonts w:ascii="Century Gothic" w:hAnsi="Century Gothic"/>
                                      <w:b/>
                                      <w:color w:val="0099D6"/>
                                      <w:sz w:val="14"/>
                                      <w:szCs w:val="22"/>
                                      <w:vertAlign w:val="superscript"/>
                                    </w:rPr>
                                    <w:t>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38FCD61" id="_x0000_s1469" style="position:absolute;margin-left:277.8pt;margin-top:365.2pt;width:56.4pt;height:20.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" fillcolor="#b4d4ab" stroked="f">
                      <v:textbox inset="0,0,0,0">
                        <w:txbxContent>
                          <w:p w14:paraId="79D5EEED" w14:textId="77777777" w:rsidR="009D0C1D" w:rsidRPr="002A1DA2" w:rsidRDefault="009D0C1D" w:rsidP="00E76FA1">
                            <w:pPr>
                              <w:rPr>
                                <w:rFonts w:ascii="Century Gothic" w:eastAsia="+mn-ea" w:hAnsi="Century Gothic" w:cs="+mn-cs"/>
                                <w:b/>
                                <w:bCs/>
                                <w:color w:val="343433"/>
                                <w:kern w:val="24"/>
                                <w:sz w:val="14"/>
                                <w:szCs w:val="14"/>
                              </w:rPr>
                            </w:pPr>
                            <w:r w:rsidRPr="002A1DA2">
                              <w:rPr>
                                <w:rFonts w:ascii="Century Gothic" w:hAnsi="Century Gothic"/>
                                <w:b/>
                                <w:color w:val="343433"/>
                                <w:sz w:val="14"/>
                                <w:szCs w:val="22"/>
                              </w:rPr>
                              <w:t xml:space="preserve">Розпочати </w:t>
                            </w:r>
                            <w:r w:rsidRPr="002A1DA2">
                              <w:rPr>
                                <w:rFonts w:ascii="Century Gothic" w:hAnsi="Century Gothic"/>
                                <w:b/>
                                <w:sz w:val="14"/>
                                <w:szCs w:val="22"/>
                              </w:rPr>
                              <w:t>ПЛТ</w:t>
                            </w:r>
                            <w:r w:rsidRPr="002A1DA2">
                              <w:rPr>
                                <w:rFonts w:ascii="Century Gothic" w:hAnsi="Century Gothic"/>
                                <w:b/>
                                <w:color w:val="0099D6"/>
                                <w:sz w:val="14"/>
                                <w:szCs w:val="22"/>
                                <w:vertAlign w:val="superscript"/>
                              </w:rPr>
                              <w:t>g</w:t>
                            </w:r>
                          </w:p>
                        </w:txbxContent>
                      </v:textbox>
                    </v:rect>
                  </w:pict>
                </mc:Fallback>
              </mc:AlternateContent>
            </w:r>
            <w:r w:rsidR="002A1DA2">
              <w:rPr>
                <w:noProof/>
              </w:rPr>
              <mc:AlternateContent>
                <mc:Choice Requires="wps">
                  <w:drawing>
                    <wp:anchor distT="0" distB="0" distL="114300" distR="114300" simplePos="0" relativeHeight="251822080" behindDoc="0" locked="0" layoutInCell="1" allowOverlap="1" wp14:anchorId="32CA5E89" wp14:editId="52181563">
                      <wp:simplePos x="0" y="0"/>
                      <wp:positionH relativeFrom="column">
                        <wp:posOffset>1934210</wp:posOffset>
                      </wp:positionH>
                      <wp:positionV relativeFrom="paragraph">
                        <wp:posOffset>4592320</wp:posOffset>
                      </wp:positionV>
                      <wp:extent cx="1014730" cy="358140"/>
                      <wp:effectExtent l="0" t="0" r="0" b="3810"/>
                      <wp:wrapNone/>
                      <wp:docPr id="607456928" name="Прямокутник 12"/>
                      <wp:cNvGraphicFramePr/>
                      <a:graphic xmlns:a="http://schemas.openxmlformats.org/drawingml/2006/main">
                        <a:graphicData uri="http://schemas.microsoft.com/office/word/2010/wordprocessingShape">
                          <wps:wsp>
                            <wps:cNvSpPr/>
                            <wps:spPr>
                              <a:xfrm>
                                <a:off x="0" y="0"/>
                                <a:ext cx="1014730" cy="358140"/>
                              </a:xfrm>
                              <a:prstGeom prst="rect">
                                <a:avLst/>
                              </a:prstGeom>
                              <a:solidFill>
                                <a:srgbClr val="B4D4AB"/>
                              </a:solidFill>
                            </wps:spPr>
                            <wps:txbx>
                              <w:txbxContent>
                                <w:p w14:paraId="406A3AAC" w14:textId="77777777" w:rsidR="009D0C1D" w:rsidRPr="002A1DA2" w:rsidRDefault="009D0C1D" w:rsidP="00E76FA1">
                                  <w:pPr>
                                    <w:jc w:val="center"/>
                                    <w:rPr>
                                      <w:rFonts w:ascii="Century Gothic" w:eastAsia="+mn-ea" w:hAnsi="Century Gothic" w:cs="+mn-cs"/>
                                      <w:b/>
                                      <w:bCs/>
                                      <w:color w:val="343433"/>
                                      <w:kern w:val="24"/>
                                      <w:sz w:val="14"/>
                                      <w:szCs w:val="14"/>
                                    </w:rPr>
                                  </w:pPr>
                                  <w:r w:rsidRPr="002A1DA2">
                                    <w:rPr>
                                      <w:rFonts w:ascii="Century Gothic" w:hAnsi="Century Gothic"/>
                                      <w:b/>
                                      <w:color w:val="343433"/>
                                      <w:sz w:val="14"/>
                                      <w:szCs w:val="22"/>
                                    </w:rPr>
                                    <w:t xml:space="preserve">Виписати (або повторити тест на ТБІ </w:t>
                                  </w:r>
                                  <w:r w:rsidRPr="002A1DA2">
                                    <w:rPr>
                                      <w:rFonts w:ascii="Century Gothic" w:hAnsi="Century Gothic"/>
                                      <w:b/>
                                      <w:sz w:val="14"/>
                                      <w:szCs w:val="22"/>
                                    </w:rPr>
                                    <w:t>пізніше</w:t>
                                  </w:r>
                                  <w:r w:rsidRPr="002A1DA2">
                                    <w:rPr>
                                      <w:rFonts w:ascii="Century Gothic" w:hAnsi="Century Gothic"/>
                                      <w:b/>
                                      <w:color w:val="0099D6"/>
                                      <w:sz w:val="14"/>
                                      <w:szCs w:val="22"/>
                                      <w:vertAlign w:val="superscript"/>
                                    </w:rPr>
                                    <w:t>f</w:t>
                                  </w:r>
                                  <w:r w:rsidRPr="002A1DA2">
                                    <w:rPr>
                                      <w:rFonts w:ascii="Century Gothic" w:hAnsi="Century Gothic"/>
                                      <w:b/>
                                      <w:sz w:val="14"/>
                                      <w:szCs w:val="22"/>
                                    </w:rPr>
                                    <w:t>)</w:t>
                                  </w:r>
                                </w:p>
                              </w:txbxContent>
                            </wps:txbx>
                            <wps:bodyPr wrap="square" lIns="0" tIns="0" rIns="0" bIns="0">
                              <a:noAutofit/>
                            </wps:bodyPr>
                          </wps:wsp>
                        </a:graphicData>
                      </a:graphic>
                      <wp14:sizeRelV relativeFrom="margin">
                        <wp14:pctHeight>0</wp14:pctHeight>
                      </wp14:sizeRelV>
                    </wp:anchor>
                  </w:drawing>
                </mc:Choice>
                <mc:Fallback>
                  <w:pict>
                    <v:rect w14:anchorId="32CA5E89" id="_x0000_s1470" style="position:absolute;margin-left:152.3pt;margin-top:361.6pt;width:79.9pt;height:28.2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" fillcolor="#b4d4ab" stroked="f">
                      <v:textbox inset="0,0,0,0">
                        <w:txbxContent>
                          <w:p w14:paraId="406A3AAC" w14:textId="77777777" w:rsidR="009D0C1D" w:rsidRPr="002A1DA2" w:rsidRDefault="009D0C1D" w:rsidP="00E76FA1">
                            <w:pPr>
                              <w:jc w:val="center"/>
                              <w:rPr>
                                <w:rFonts w:ascii="Century Gothic" w:eastAsia="+mn-ea" w:hAnsi="Century Gothic" w:cs="+mn-cs"/>
                                <w:b/>
                                <w:bCs/>
                                <w:color w:val="343433"/>
                                <w:kern w:val="24"/>
                                <w:sz w:val="14"/>
                                <w:szCs w:val="14"/>
                              </w:rPr>
                            </w:pPr>
                            <w:r w:rsidRPr="002A1DA2">
                              <w:rPr>
                                <w:rFonts w:ascii="Century Gothic" w:hAnsi="Century Gothic"/>
                                <w:b/>
                                <w:color w:val="343433"/>
                                <w:sz w:val="14"/>
                                <w:szCs w:val="22"/>
                              </w:rPr>
                              <w:t xml:space="preserve">Виписати (або повторити тест на ТБІ </w:t>
                            </w:r>
                            <w:r w:rsidRPr="002A1DA2">
                              <w:rPr>
                                <w:rFonts w:ascii="Century Gothic" w:hAnsi="Century Gothic"/>
                                <w:b/>
                                <w:sz w:val="14"/>
                                <w:szCs w:val="22"/>
                              </w:rPr>
                              <w:t>пізніше</w:t>
                            </w:r>
                            <w:r w:rsidRPr="002A1DA2">
                              <w:rPr>
                                <w:rFonts w:ascii="Century Gothic" w:hAnsi="Century Gothic"/>
                                <w:b/>
                                <w:color w:val="0099D6"/>
                                <w:sz w:val="14"/>
                                <w:szCs w:val="22"/>
                                <w:vertAlign w:val="superscript"/>
                              </w:rPr>
                              <w:t>f</w:t>
                            </w:r>
                            <w:r w:rsidRPr="002A1DA2">
                              <w:rPr>
                                <w:rFonts w:ascii="Century Gothic" w:hAnsi="Century Gothic"/>
                                <w:b/>
                                <w:sz w:val="14"/>
                                <w:szCs w:val="22"/>
                              </w:rPr>
                              <w:t>)</w:t>
                            </w:r>
                          </w:p>
                        </w:txbxContent>
                      </v:textbox>
                    </v:rect>
                  </w:pict>
                </mc:Fallback>
              </mc:AlternateContent>
            </w:r>
            <w:r w:rsidR="002A1DA2">
              <w:rPr>
                <w:noProof/>
              </w:rPr>
              <mc:AlternateContent>
                <mc:Choice Requires="wps">
                  <w:drawing>
                    <wp:anchor distT="0" distB="0" distL="114300" distR="114300" simplePos="0" relativeHeight="251819008" behindDoc="0" locked="0" layoutInCell="1" allowOverlap="1" wp14:anchorId="7CD1CD33" wp14:editId="055A6559">
                      <wp:simplePos x="0" y="0"/>
                      <wp:positionH relativeFrom="column">
                        <wp:posOffset>3397250</wp:posOffset>
                      </wp:positionH>
                      <wp:positionV relativeFrom="paragraph">
                        <wp:posOffset>3258820</wp:posOffset>
                      </wp:positionV>
                      <wp:extent cx="922020" cy="335280"/>
                      <wp:effectExtent l="0" t="0" r="0" b="7620"/>
                      <wp:wrapNone/>
                      <wp:docPr id="1554754644" name="Прямокутник 9"/>
                      <wp:cNvGraphicFramePr/>
                      <a:graphic xmlns:a="http://schemas.openxmlformats.org/drawingml/2006/main">
                        <a:graphicData uri="http://schemas.microsoft.com/office/word/2010/wordprocessingShape">
                          <wps:wsp>
                            <wps:cNvSpPr/>
                            <wps:spPr>
                              <a:xfrm>
                                <a:off x="0" y="0"/>
                                <a:ext cx="922020" cy="335280"/>
                              </a:xfrm>
                              <a:prstGeom prst="rect">
                                <a:avLst/>
                              </a:prstGeom>
                              <a:solidFill>
                                <a:srgbClr val="B4D4AB"/>
                              </a:solidFill>
                            </wps:spPr>
                            <wps:txbx>
                              <w:txbxContent>
                                <w:p w14:paraId="301D7850" w14:textId="77777777" w:rsidR="009D0C1D" w:rsidRPr="002A1DA2" w:rsidRDefault="009D0C1D" w:rsidP="00E76FA1">
                                  <w:pPr>
                                    <w:rPr>
                                      <w:rFonts w:ascii="Century Gothic" w:eastAsia="+mn-ea" w:hAnsi="Century Gothic" w:cs="+mn-cs"/>
                                      <w:b/>
                                      <w:bCs/>
                                      <w:color w:val="343433"/>
                                      <w:kern w:val="24"/>
                                      <w:sz w:val="14"/>
                                      <w:szCs w:val="14"/>
                                    </w:rPr>
                                  </w:pPr>
                                  <w:r w:rsidRPr="002A1DA2">
                                    <w:rPr>
                                      <w:rFonts w:ascii="Century Gothic" w:hAnsi="Century Gothic"/>
                                      <w:b/>
                                      <w:color w:val="343433"/>
                                      <w:sz w:val="14"/>
                                      <w:szCs w:val="22"/>
                                    </w:rPr>
                                    <w:t>Позитивний результат тесту на ТБІ</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CD1CD33" id="_x0000_s1471" style="position:absolute;margin-left:267.5pt;margin-top:256.6pt;width:72.6pt;height:26.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" fillcolor="#b4d4ab" stroked="f">
                      <v:textbox inset="0,0,0,0">
                        <w:txbxContent>
                          <w:p w14:paraId="301D7850" w14:textId="77777777" w:rsidR="009D0C1D" w:rsidRPr="002A1DA2" w:rsidRDefault="009D0C1D" w:rsidP="00E76FA1">
                            <w:pPr>
                              <w:rPr>
                                <w:rFonts w:ascii="Century Gothic" w:eastAsia="+mn-ea" w:hAnsi="Century Gothic" w:cs="+mn-cs"/>
                                <w:b/>
                                <w:bCs/>
                                <w:color w:val="343433"/>
                                <w:kern w:val="24"/>
                                <w:sz w:val="14"/>
                                <w:szCs w:val="14"/>
                              </w:rPr>
                            </w:pPr>
                            <w:r w:rsidRPr="002A1DA2">
                              <w:rPr>
                                <w:rFonts w:ascii="Century Gothic" w:hAnsi="Century Gothic"/>
                                <w:b/>
                                <w:color w:val="343433"/>
                                <w:sz w:val="14"/>
                                <w:szCs w:val="22"/>
                              </w:rPr>
                              <w:t>Позитивний результат тесту на ТБІ</w:t>
                            </w:r>
                          </w:p>
                        </w:txbxContent>
                      </v:textbox>
                    </v:rect>
                  </w:pict>
                </mc:Fallback>
              </mc:AlternateContent>
            </w:r>
            <w:r w:rsidR="002A1DA2">
              <w:rPr>
                <w:noProof/>
              </w:rPr>
              <mc:AlternateContent>
                <mc:Choice Requires="wps">
                  <w:drawing>
                    <wp:anchor distT="0" distB="0" distL="114300" distR="114300" simplePos="0" relativeHeight="251817984" behindDoc="0" locked="0" layoutInCell="1" allowOverlap="1" wp14:anchorId="636CB070" wp14:editId="078E011D">
                      <wp:simplePos x="0" y="0"/>
                      <wp:positionH relativeFrom="column">
                        <wp:posOffset>1949450</wp:posOffset>
                      </wp:positionH>
                      <wp:positionV relativeFrom="paragraph">
                        <wp:posOffset>3258820</wp:posOffset>
                      </wp:positionV>
                      <wp:extent cx="930910" cy="335280"/>
                      <wp:effectExtent l="0" t="0" r="2540" b="7620"/>
                      <wp:wrapNone/>
                      <wp:docPr id="1363094962" name="Прямокутник 8"/>
                      <wp:cNvGraphicFramePr/>
                      <a:graphic xmlns:a="http://schemas.openxmlformats.org/drawingml/2006/main">
                        <a:graphicData uri="http://schemas.microsoft.com/office/word/2010/wordprocessingShape">
                          <wps:wsp>
                            <wps:cNvSpPr/>
                            <wps:spPr>
                              <a:xfrm>
                                <a:off x="0" y="0"/>
                                <a:ext cx="930910" cy="335280"/>
                              </a:xfrm>
                              <a:prstGeom prst="rect">
                                <a:avLst/>
                              </a:prstGeom>
                              <a:solidFill>
                                <a:srgbClr val="B4D4AB"/>
                              </a:solidFill>
                            </wps:spPr>
                            <wps:txbx>
                              <w:txbxContent>
                                <w:p w14:paraId="29E1D604" w14:textId="77777777" w:rsidR="009D0C1D" w:rsidRPr="002A1DA2" w:rsidRDefault="009D0C1D" w:rsidP="00E76FA1">
                                  <w:pPr>
                                    <w:rPr>
                                      <w:rFonts w:ascii="Century Gothic" w:eastAsia="+mn-ea" w:hAnsi="Century Gothic" w:cs="+mn-cs"/>
                                      <w:b/>
                                      <w:bCs/>
                                      <w:color w:val="343433"/>
                                      <w:kern w:val="24"/>
                                      <w:sz w:val="14"/>
                                      <w:szCs w:val="14"/>
                                    </w:rPr>
                                  </w:pPr>
                                  <w:r w:rsidRPr="002A1DA2">
                                    <w:rPr>
                                      <w:rFonts w:ascii="Century Gothic" w:hAnsi="Century Gothic"/>
                                      <w:b/>
                                      <w:color w:val="343433"/>
                                      <w:sz w:val="14"/>
                                      <w:szCs w:val="22"/>
                                    </w:rPr>
                                    <w:t>Негативний результат тесту на ТБІ</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36CB070" id="_x0000_s1472" style="position:absolute;margin-left:153.5pt;margin-top:256.6pt;width:73.3pt;height:26.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" fillcolor="#b4d4ab" stroked="f">
                      <v:textbox inset="0,0,0,0">
                        <w:txbxContent>
                          <w:p w14:paraId="29E1D604" w14:textId="77777777" w:rsidR="009D0C1D" w:rsidRPr="002A1DA2" w:rsidRDefault="009D0C1D" w:rsidP="00E76FA1">
                            <w:pPr>
                              <w:rPr>
                                <w:rFonts w:ascii="Century Gothic" w:eastAsia="+mn-ea" w:hAnsi="Century Gothic" w:cs="+mn-cs"/>
                                <w:b/>
                                <w:bCs/>
                                <w:color w:val="343433"/>
                                <w:kern w:val="24"/>
                                <w:sz w:val="14"/>
                                <w:szCs w:val="14"/>
                              </w:rPr>
                            </w:pPr>
                            <w:r w:rsidRPr="002A1DA2">
                              <w:rPr>
                                <w:rFonts w:ascii="Century Gothic" w:hAnsi="Century Gothic"/>
                                <w:b/>
                                <w:color w:val="343433"/>
                                <w:sz w:val="14"/>
                                <w:szCs w:val="22"/>
                              </w:rPr>
                              <w:t>Негативний результат тесту на ТБІ</w:t>
                            </w:r>
                          </w:p>
                        </w:txbxContent>
                      </v:textbox>
                    </v:rect>
                  </w:pict>
                </mc:Fallback>
              </mc:AlternateContent>
            </w:r>
            <w:r w:rsidR="002A1DA2">
              <w:rPr>
                <w:noProof/>
              </w:rPr>
              <mc:AlternateContent>
                <mc:Choice Requires="wps">
                  <w:drawing>
                    <wp:anchor distT="0" distB="0" distL="114300" distR="114300" simplePos="0" relativeHeight="251815936" behindDoc="0" locked="0" layoutInCell="1" allowOverlap="1" wp14:anchorId="68E0A887" wp14:editId="4BA6A739">
                      <wp:simplePos x="0" y="0"/>
                      <wp:positionH relativeFrom="column">
                        <wp:posOffset>2757170</wp:posOffset>
                      </wp:positionH>
                      <wp:positionV relativeFrom="paragraph">
                        <wp:posOffset>2405380</wp:posOffset>
                      </wp:positionV>
                      <wp:extent cx="770890" cy="205740"/>
                      <wp:effectExtent l="0" t="0" r="0" b="3810"/>
                      <wp:wrapNone/>
                      <wp:docPr id="949102273" name="Прямокутник 6"/>
                      <wp:cNvGraphicFramePr/>
                      <a:graphic xmlns:a="http://schemas.openxmlformats.org/drawingml/2006/main">
                        <a:graphicData uri="http://schemas.microsoft.com/office/word/2010/wordprocessingShape">
                          <wps:wsp>
                            <wps:cNvSpPr/>
                            <wps:spPr>
                              <a:xfrm>
                                <a:off x="0" y="0"/>
                                <a:ext cx="770890" cy="205740"/>
                              </a:xfrm>
                              <a:prstGeom prst="rect">
                                <a:avLst/>
                              </a:prstGeom>
                              <a:solidFill>
                                <a:srgbClr val="02944C"/>
                              </a:solidFill>
                            </wps:spPr>
                            <wps:txbx>
                              <w:txbxContent>
                                <w:p w14:paraId="0612EC26" w14:textId="77777777" w:rsidR="009D0C1D" w:rsidRPr="002A1DA2" w:rsidRDefault="009D0C1D" w:rsidP="00E76FA1">
                                  <w:pPr>
                                    <w:rPr>
                                      <w:rFonts w:ascii="Century Gothic" w:eastAsia="+mn-ea" w:hAnsi="Century Gothic" w:cs="+mn-cs"/>
                                      <w:b/>
                                      <w:bCs/>
                                      <w:color w:val="FFFFFF"/>
                                      <w:kern w:val="24"/>
                                      <w:sz w:val="14"/>
                                      <w:szCs w:val="14"/>
                                    </w:rPr>
                                  </w:pPr>
                                  <w:r w:rsidRPr="002A1DA2">
                                    <w:rPr>
                                      <w:rFonts w:ascii="Century Gothic" w:hAnsi="Century Gothic"/>
                                      <w:b/>
                                      <w:color w:val="FFFFFF"/>
                                      <w:sz w:val="14"/>
                                      <w:szCs w:val="22"/>
                                    </w:rPr>
                                    <w:t>Відсутність ТБ</w:t>
                                  </w:r>
                                  <w:r w:rsidRPr="002A1DA2">
                                    <w:rPr>
                                      <w:rFonts w:ascii="Century Gothic" w:hAnsi="Century Gothic"/>
                                      <w:b/>
                                      <w:color w:val="FFFFFF"/>
                                      <w:sz w:val="14"/>
                                      <w:szCs w:val="22"/>
                                      <w:vertAlign w:val="superscript"/>
                                    </w:rPr>
                                    <w:t>e</w:t>
                                  </w:r>
                                </w:p>
                              </w:txbxContent>
                            </wps:txbx>
                            <wps:bodyPr wrap="square" lIns="0" tIns="0" rIns="0" bIns="0">
                              <a:noAutofit/>
                            </wps:bodyPr>
                          </wps:wsp>
                        </a:graphicData>
                      </a:graphic>
                      <wp14:sizeRelV relativeFrom="margin">
                        <wp14:pctHeight>0</wp14:pctHeight>
                      </wp14:sizeRelV>
                    </wp:anchor>
                  </w:drawing>
                </mc:Choice>
                <mc:Fallback>
                  <w:pict>
                    <v:rect w14:anchorId="68E0A887" id="_x0000_s1473" style="position:absolute;margin-left:217.1pt;margin-top:189.4pt;width:60.7pt;height:16.2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" fillcolor="#02944c" stroked="f">
                      <v:textbox inset="0,0,0,0">
                        <w:txbxContent>
                          <w:p w14:paraId="0612EC26" w14:textId="77777777" w:rsidR="009D0C1D" w:rsidRPr="002A1DA2" w:rsidRDefault="009D0C1D" w:rsidP="00E76FA1">
                            <w:pPr>
                              <w:rPr>
                                <w:rFonts w:ascii="Century Gothic" w:eastAsia="+mn-ea" w:hAnsi="Century Gothic" w:cs="+mn-cs"/>
                                <w:b/>
                                <w:bCs/>
                                <w:color w:val="FFFFFF"/>
                                <w:kern w:val="24"/>
                                <w:sz w:val="14"/>
                                <w:szCs w:val="14"/>
                              </w:rPr>
                            </w:pPr>
                            <w:r w:rsidRPr="002A1DA2">
                              <w:rPr>
                                <w:rFonts w:ascii="Century Gothic" w:hAnsi="Century Gothic"/>
                                <w:b/>
                                <w:color w:val="FFFFFF"/>
                                <w:sz w:val="14"/>
                                <w:szCs w:val="22"/>
                              </w:rPr>
                              <w:t>Відсутність ТБ</w:t>
                            </w:r>
                            <w:r w:rsidRPr="002A1DA2">
                              <w:rPr>
                                <w:rFonts w:ascii="Century Gothic" w:hAnsi="Century Gothic"/>
                                <w:b/>
                                <w:color w:val="FFFFFF"/>
                                <w:sz w:val="14"/>
                                <w:szCs w:val="22"/>
                                <w:vertAlign w:val="superscript"/>
                              </w:rPr>
                              <w:t>e</w:t>
                            </w:r>
                          </w:p>
                        </w:txbxContent>
                      </v:textbox>
                    </v:rect>
                  </w:pict>
                </mc:Fallback>
              </mc:AlternateContent>
            </w:r>
            <w:r w:rsidR="00D8531F">
              <w:rPr>
                <w:noProof/>
              </w:rPr>
              <mc:AlternateContent>
                <mc:Choice Requires="wps">
                  <w:drawing>
                    <wp:anchor distT="0" distB="0" distL="114300" distR="114300" simplePos="0" relativeHeight="251821056" behindDoc="0" locked="0" layoutInCell="1" allowOverlap="1" wp14:anchorId="134C78BD" wp14:editId="62F77D6F">
                      <wp:simplePos x="0" y="0"/>
                      <wp:positionH relativeFrom="column">
                        <wp:posOffset>4631690</wp:posOffset>
                      </wp:positionH>
                      <wp:positionV relativeFrom="paragraph">
                        <wp:posOffset>1437640</wp:posOffset>
                      </wp:positionV>
                      <wp:extent cx="1000760" cy="411480"/>
                      <wp:effectExtent l="0" t="0" r="8890" b="7620"/>
                      <wp:wrapNone/>
                      <wp:docPr id="637468099" name="Прямокутник 11"/>
                      <wp:cNvGraphicFramePr/>
                      <a:graphic xmlns:a="http://schemas.openxmlformats.org/drawingml/2006/main">
                        <a:graphicData uri="http://schemas.microsoft.com/office/word/2010/wordprocessingShape">
                          <wps:wsp>
                            <wps:cNvSpPr/>
                            <wps:spPr>
                              <a:xfrm>
                                <a:off x="0" y="0"/>
                                <a:ext cx="1000760" cy="411480"/>
                              </a:xfrm>
                              <a:prstGeom prst="rect">
                                <a:avLst/>
                              </a:prstGeom>
                              <a:solidFill>
                                <a:srgbClr val="019549"/>
                              </a:solidFill>
                            </wps:spPr>
                            <wps:txbx>
                              <w:txbxContent>
                                <w:p w14:paraId="61D97E00" w14:textId="77777777" w:rsidR="009D0C1D" w:rsidRPr="00D8531F" w:rsidRDefault="009D0C1D" w:rsidP="00E76FA1">
                                  <w:pPr>
                                    <w:jc w:val="center"/>
                                    <w:rPr>
                                      <w:rFonts w:ascii="Century Gothic" w:eastAsia="+mn-ea" w:hAnsi="Century Gothic" w:cs="+mn-cs"/>
                                      <w:b/>
                                      <w:bCs/>
                                      <w:color w:val="FFFFFF"/>
                                      <w:kern w:val="24"/>
                                      <w:sz w:val="14"/>
                                      <w:szCs w:val="14"/>
                                    </w:rPr>
                                  </w:pPr>
                                  <w:r w:rsidRPr="00D8531F">
                                    <w:rPr>
                                      <w:rFonts w:ascii="Century Gothic" w:hAnsi="Century Gothic"/>
                                      <w:b/>
                                      <w:color w:val="FFFFFF"/>
                                      <w:sz w:val="14"/>
                                      <w:szCs w:val="22"/>
                                    </w:rPr>
                                    <w:t>Оцінити та обстежити на ТБ</w:t>
                                  </w:r>
                                  <w:r w:rsidRPr="00D8531F">
                                    <w:rPr>
                                      <w:rFonts w:ascii="Century Gothic" w:hAnsi="Century Gothic"/>
                                      <w:b/>
                                      <w:color w:val="FFFFFF"/>
                                      <w:sz w:val="14"/>
                                      <w:szCs w:val="22"/>
                                      <w:vertAlign w:val="superscript"/>
                                    </w:rPr>
                                    <w:t xml:space="preserve">d </w:t>
                                  </w:r>
                                  <w:r w:rsidRPr="00D8531F">
                                    <w:rPr>
                                      <w:rFonts w:ascii="Century Gothic" w:hAnsi="Century Gothic"/>
                                      <w:b/>
                                      <w:color w:val="FFFFFF"/>
                                      <w:sz w:val="14"/>
                                      <w:szCs w:val="22"/>
                                    </w:rPr>
                                    <w:t>(див. Модуль 3)</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34C78BD" id="_x0000_s1474" style="position:absolute;margin-left:364.7pt;margin-top:113.2pt;width:78.8pt;height:3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" fillcolor="#019549" stroked="f">
                      <v:textbox inset="0,0,0,0">
                        <w:txbxContent>
                          <w:p w14:paraId="61D97E00" w14:textId="77777777" w:rsidR="009D0C1D" w:rsidRPr="00D8531F" w:rsidRDefault="009D0C1D" w:rsidP="00E76FA1">
                            <w:pPr>
                              <w:jc w:val="center"/>
                              <w:rPr>
                                <w:rFonts w:ascii="Century Gothic" w:eastAsia="+mn-ea" w:hAnsi="Century Gothic" w:cs="+mn-cs"/>
                                <w:b/>
                                <w:bCs/>
                                <w:color w:val="FFFFFF"/>
                                <w:kern w:val="24"/>
                                <w:sz w:val="14"/>
                                <w:szCs w:val="14"/>
                              </w:rPr>
                            </w:pPr>
                            <w:r w:rsidRPr="00D8531F">
                              <w:rPr>
                                <w:rFonts w:ascii="Century Gothic" w:hAnsi="Century Gothic"/>
                                <w:b/>
                                <w:color w:val="FFFFFF"/>
                                <w:sz w:val="14"/>
                                <w:szCs w:val="22"/>
                              </w:rPr>
                              <w:t>Оцінити та обстежити на ТБ</w:t>
                            </w:r>
                            <w:r w:rsidRPr="00D8531F">
                              <w:rPr>
                                <w:rFonts w:ascii="Century Gothic" w:hAnsi="Century Gothic"/>
                                <w:b/>
                                <w:color w:val="FFFFFF"/>
                                <w:sz w:val="14"/>
                                <w:szCs w:val="22"/>
                                <w:vertAlign w:val="superscript"/>
                              </w:rPr>
                              <w:t xml:space="preserve">d </w:t>
                            </w:r>
                            <w:r w:rsidRPr="00D8531F">
                              <w:rPr>
                                <w:rFonts w:ascii="Century Gothic" w:hAnsi="Century Gothic"/>
                                <w:b/>
                                <w:color w:val="FFFFFF"/>
                                <w:sz w:val="14"/>
                                <w:szCs w:val="22"/>
                              </w:rPr>
                              <w:t>(див. Модуль 3)</w:t>
                            </w:r>
                          </w:p>
                        </w:txbxContent>
                      </v:textbox>
                    </v:rect>
                  </w:pict>
                </mc:Fallback>
              </mc:AlternateContent>
            </w:r>
            <w:r w:rsidR="00D8531F">
              <w:rPr>
                <w:noProof/>
              </w:rPr>
              <mc:AlternateContent>
                <mc:Choice Requires="wps">
                  <w:drawing>
                    <wp:anchor distT="0" distB="0" distL="114300" distR="114300" simplePos="0" relativeHeight="251820032" behindDoc="0" locked="0" layoutInCell="1" allowOverlap="1" wp14:anchorId="573C2179" wp14:editId="24ABA585">
                      <wp:simplePos x="0" y="0"/>
                      <wp:positionH relativeFrom="column">
                        <wp:posOffset>4715510</wp:posOffset>
                      </wp:positionH>
                      <wp:positionV relativeFrom="paragraph">
                        <wp:posOffset>759460</wp:posOffset>
                      </wp:positionV>
                      <wp:extent cx="916940" cy="373380"/>
                      <wp:effectExtent l="0" t="0" r="0" b="7620"/>
                      <wp:wrapNone/>
                      <wp:docPr id="1821944343" name="Прямокутник 10"/>
                      <wp:cNvGraphicFramePr/>
                      <a:graphic xmlns:a="http://schemas.openxmlformats.org/drawingml/2006/main">
                        <a:graphicData uri="http://schemas.microsoft.com/office/word/2010/wordprocessingShape">
                          <wps:wsp>
                            <wps:cNvSpPr/>
                            <wps:spPr>
                              <a:xfrm>
                                <a:off x="0" y="0"/>
                                <a:ext cx="916940" cy="373380"/>
                              </a:xfrm>
                              <a:prstGeom prst="rect">
                                <a:avLst/>
                              </a:prstGeom>
                              <a:solidFill>
                                <a:srgbClr val="019549"/>
                              </a:solidFill>
                            </wps:spPr>
                            <wps:txbx>
                              <w:txbxContent>
                                <w:p w14:paraId="34977B60" w14:textId="77777777" w:rsidR="009D0C1D" w:rsidRPr="00D8531F" w:rsidRDefault="009D0C1D" w:rsidP="00E76FA1">
                                  <w:pPr>
                                    <w:jc w:val="center"/>
                                    <w:rPr>
                                      <w:rFonts w:ascii="Century Gothic" w:eastAsia="+mn-ea" w:hAnsi="Century Gothic" w:cs="+mn-cs"/>
                                      <w:b/>
                                      <w:bCs/>
                                      <w:color w:val="FFFFFF"/>
                                      <w:kern w:val="24"/>
                                      <w:sz w:val="14"/>
                                      <w:szCs w:val="14"/>
                                    </w:rPr>
                                  </w:pPr>
                                  <w:r w:rsidRPr="00D8531F">
                                    <w:rPr>
                                      <w:rFonts w:ascii="Century Gothic" w:hAnsi="Century Gothic"/>
                                      <w:b/>
                                      <w:color w:val="FFFFFF"/>
                                      <w:sz w:val="14"/>
                                      <w:szCs w:val="22"/>
                                    </w:rPr>
                                    <w:t>Позитивний результат скринінгу на ТБ</w:t>
                                  </w:r>
                                </w:p>
                              </w:txbxContent>
                            </wps:txbx>
                            <wps:bodyPr wrap="square" lIns="0" tIns="0" rIns="0" bIns="0">
                              <a:noAutofit/>
                            </wps:bodyPr>
                          </wps:wsp>
                        </a:graphicData>
                      </a:graphic>
                      <wp14:sizeRelV relativeFrom="margin">
                        <wp14:pctHeight>0</wp14:pctHeight>
                      </wp14:sizeRelV>
                    </wp:anchor>
                  </w:drawing>
                </mc:Choice>
                <mc:Fallback>
                  <w:pict>
                    <v:rect w14:anchorId="573C2179" id="_x0000_s1475" style="position:absolute;margin-left:371.3pt;margin-top:59.8pt;width:72.2pt;height:29.4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" fillcolor="#019549" stroked="f">
                      <v:textbox inset="0,0,0,0">
                        <w:txbxContent>
                          <w:p w14:paraId="34977B60" w14:textId="77777777" w:rsidR="009D0C1D" w:rsidRPr="00D8531F" w:rsidRDefault="009D0C1D" w:rsidP="00E76FA1">
                            <w:pPr>
                              <w:jc w:val="center"/>
                              <w:rPr>
                                <w:rFonts w:ascii="Century Gothic" w:eastAsia="+mn-ea" w:hAnsi="Century Gothic" w:cs="+mn-cs"/>
                                <w:b/>
                                <w:bCs/>
                                <w:color w:val="FFFFFF"/>
                                <w:kern w:val="24"/>
                                <w:sz w:val="14"/>
                                <w:szCs w:val="14"/>
                              </w:rPr>
                            </w:pPr>
                            <w:r w:rsidRPr="00D8531F">
                              <w:rPr>
                                <w:rFonts w:ascii="Century Gothic" w:hAnsi="Century Gothic"/>
                                <w:b/>
                                <w:color w:val="FFFFFF"/>
                                <w:sz w:val="14"/>
                                <w:szCs w:val="22"/>
                              </w:rPr>
                              <w:t>Позитивний результат скринінгу на ТБ</w:t>
                            </w:r>
                          </w:p>
                        </w:txbxContent>
                      </v:textbox>
                    </v:rect>
                  </w:pict>
                </mc:Fallback>
              </mc:AlternateContent>
            </w:r>
            <w:r w:rsidR="00D8531F">
              <w:rPr>
                <w:noProof/>
              </w:rPr>
              <mc:AlternateContent>
                <mc:Choice Requires="wps">
                  <w:drawing>
                    <wp:anchor distT="0" distB="0" distL="114300" distR="114300" simplePos="0" relativeHeight="251813888" behindDoc="0" locked="0" layoutInCell="1" allowOverlap="1" wp14:anchorId="6675AA61" wp14:editId="0C34E37B">
                      <wp:simplePos x="0" y="0"/>
                      <wp:positionH relativeFrom="column">
                        <wp:posOffset>1934210</wp:posOffset>
                      </wp:positionH>
                      <wp:positionV relativeFrom="paragraph">
                        <wp:posOffset>759460</wp:posOffset>
                      </wp:positionV>
                      <wp:extent cx="770890" cy="373380"/>
                      <wp:effectExtent l="0" t="0" r="0" b="7620"/>
                      <wp:wrapNone/>
                      <wp:docPr id="687392177" name="Прямокутник 4"/>
                      <wp:cNvGraphicFramePr/>
                      <a:graphic xmlns:a="http://schemas.openxmlformats.org/drawingml/2006/main">
                        <a:graphicData uri="http://schemas.microsoft.com/office/word/2010/wordprocessingShape">
                          <wps:wsp>
                            <wps:cNvSpPr/>
                            <wps:spPr>
                              <a:xfrm>
                                <a:off x="0" y="0"/>
                                <a:ext cx="770890" cy="373380"/>
                              </a:xfrm>
                              <a:prstGeom prst="rect">
                                <a:avLst/>
                              </a:prstGeom>
                              <a:solidFill>
                                <a:srgbClr val="019549"/>
                              </a:solidFill>
                            </wps:spPr>
                            <wps:txbx>
                              <w:txbxContent>
                                <w:p w14:paraId="74790109" w14:textId="77777777" w:rsidR="009D0C1D" w:rsidRPr="00D8531F" w:rsidRDefault="009D0C1D" w:rsidP="00E76FA1">
                                  <w:pPr>
                                    <w:jc w:val="center"/>
                                    <w:rPr>
                                      <w:rFonts w:ascii="Century Gothic" w:eastAsia="+mn-ea" w:hAnsi="Century Gothic" w:cs="+mn-cs"/>
                                      <w:b/>
                                      <w:bCs/>
                                      <w:color w:val="FFFFFF"/>
                                      <w:kern w:val="24"/>
                                      <w:sz w:val="14"/>
                                      <w:szCs w:val="14"/>
                                    </w:rPr>
                                  </w:pPr>
                                  <w:r w:rsidRPr="00D8531F">
                                    <w:rPr>
                                      <w:rFonts w:ascii="Century Gothic" w:hAnsi="Century Gothic"/>
                                      <w:b/>
                                      <w:color w:val="FFFFFF"/>
                                      <w:sz w:val="14"/>
                                      <w:szCs w:val="22"/>
                                    </w:rPr>
                                    <w:t>Негативний результат скринінгу на ТБ</w:t>
                                  </w:r>
                                </w:p>
                              </w:txbxContent>
                            </wps:txbx>
                            <wps:bodyPr wrap="square" lIns="0" tIns="0" rIns="0" bIns="0">
                              <a:noAutofit/>
                            </wps:bodyPr>
                          </wps:wsp>
                        </a:graphicData>
                      </a:graphic>
                      <wp14:sizeRelV relativeFrom="margin">
                        <wp14:pctHeight>0</wp14:pctHeight>
                      </wp14:sizeRelV>
                    </wp:anchor>
                  </w:drawing>
                </mc:Choice>
                <mc:Fallback>
                  <w:pict>
                    <v:rect w14:anchorId="6675AA61" id="_x0000_s1476" style="position:absolute;margin-left:152.3pt;margin-top:59.8pt;width:60.7pt;height:29.4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" fillcolor="#019549" stroked="f">
                      <v:textbox inset="0,0,0,0">
                        <w:txbxContent>
                          <w:p w14:paraId="74790109" w14:textId="77777777" w:rsidR="009D0C1D" w:rsidRPr="00D8531F" w:rsidRDefault="009D0C1D" w:rsidP="00E76FA1">
                            <w:pPr>
                              <w:jc w:val="center"/>
                              <w:rPr>
                                <w:rFonts w:ascii="Century Gothic" w:eastAsia="+mn-ea" w:hAnsi="Century Gothic" w:cs="+mn-cs"/>
                                <w:b/>
                                <w:bCs/>
                                <w:color w:val="FFFFFF"/>
                                <w:kern w:val="24"/>
                                <w:sz w:val="14"/>
                                <w:szCs w:val="14"/>
                              </w:rPr>
                            </w:pPr>
                            <w:r w:rsidRPr="00D8531F">
                              <w:rPr>
                                <w:rFonts w:ascii="Century Gothic" w:hAnsi="Century Gothic"/>
                                <w:b/>
                                <w:color w:val="FFFFFF"/>
                                <w:sz w:val="14"/>
                                <w:szCs w:val="22"/>
                              </w:rPr>
                              <w:t>Негативний результат скринінгу на ТБ</w:t>
                            </w:r>
                          </w:p>
                        </w:txbxContent>
                      </v:textbox>
                    </v:rect>
                  </w:pict>
                </mc:Fallback>
              </mc:AlternateContent>
            </w:r>
            <w:r w:rsidR="00D8531F">
              <w:rPr>
                <w:noProof/>
              </w:rPr>
              <mc:AlternateContent>
                <mc:Choice Requires="wps">
                  <w:drawing>
                    <wp:anchor distT="0" distB="0" distL="114300" distR="114300" simplePos="0" relativeHeight="251816960" behindDoc="0" locked="0" layoutInCell="1" allowOverlap="1" wp14:anchorId="7042A5F9" wp14:editId="320656C0">
                      <wp:simplePos x="0" y="0"/>
                      <wp:positionH relativeFrom="column">
                        <wp:posOffset>44450</wp:posOffset>
                      </wp:positionH>
                      <wp:positionV relativeFrom="paragraph">
                        <wp:posOffset>3045460</wp:posOffset>
                      </wp:positionV>
                      <wp:extent cx="1715770" cy="1158240"/>
                      <wp:effectExtent l="0" t="0" r="0" b="3810"/>
                      <wp:wrapNone/>
                      <wp:docPr id="786200847" name="Прямокутник 7"/>
                      <wp:cNvGraphicFramePr/>
                      <a:graphic xmlns:a="http://schemas.openxmlformats.org/drawingml/2006/main">
                        <a:graphicData uri="http://schemas.microsoft.com/office/word/2010/wordprocessingShape">
                          <wps:wsp>
                            <wps:cNvSpPr/>
                            <wps:spPr>
                              <a:xfrm>
                                <a:off x="0" y="0"/>
                                <a:ext cx="1715770" cy="1158240"/>
                              </a:xfrm>
                              <a:prstGeom prst="rect">
                                <a:avLst/>
                              </a:prstGeom>
                              <a:solidFill>
                                <a:srgbClr val="FFFFFF"/>
                              </a:solidFill>
                            </wps:spPr>
                            <wps:txbx>
                              <w:txbxContent>
                                <w:p w14:paraId="7D4BB3C8" w14:textId="77777777" w:rsidR="009D0C1D" w:rsidRPr="00D8531F" w:rsidRDefault="009D0C1D" w:rsidP="00E76FA1">
                                  <w:pPr>
                                    <w:rPr>
                                      <w:rFonts w:ascii="Century Gothic" w:eastAsia="+mn-ea" w:hAnsi="Century Gothic" w:cs="+mn-cs"/>
                                      <w:b/>
                                      <w:bCs/>
                                      <w:color w:val="009548"/>
                                      <w:kern w:val="24"/>
                                      <w:sz w:val="18"/>
                                      <w:szCs w:val="18"/>
                                    </w:rPr>
                                  </w:pPr>
                                  <w:r w:rsidRPr="00D8531F">
                                    <w:rPr>
                                      <w:rFonts w:ascii="Century Gothic" w:hAnsi="Century Gothic"/>
                                      <w:b/>
                                      <w:color w:val="009548"/>
                                      <w:sz w:val="18"/>
                                      <w:szCs w:val="22"/>
                                    </w:rPr>
                                    <w:t>Візит 2</w:t>
                                  </w:r>
                                </w:p>
                                <w:p w14:paraId="5C3CF824" w14:textId="77777777" w:rsidR="009D0C1D" w:rsidRPr="00D8531F" w:rsidRDefault="009D0C1D" w:rsidP="00E76FA1">
                                  <w:pPr>
                                    <w:rPr>
                                      <w:rFonts w:ascii="Century Gothic" w:eastAsia="+mn-ea" w:hAnsi="Century Gothic" w:cs="+mn-cs"/>
                                      <w:b/>
                                      <w:bCs/>
                                      <w:color w:val="343433"/>
                                      <w:kern w:val="24"/>
                                      <w:sz w:val="14"/>
                                      <w:szCs w:val="14"/>
                                    </w:rPr>
                                  </w:pPr>
                                  <w:r w:rsidRPr="00D8531F">
                                    <w:rPr>
                                      <w:rFonts w:ascii="Century Gothic" w:hAnsi="Century Gothic"/>
                                      <w:b/>
                                      <w:color w:val="343433"/>
                                      <w:sz w:val="14"/>
                                      <w:szCs w:val="22"/>
                                    </w:rPr>
                                    <w:t>Результат тесту на виявлення туберкульозної інфекції</w:t>
                                  </w:r>
                                </w:p>
                                <w:p w14:paraId="2A0859EA" w14:textId="77777777" w:rsidR="009D0C1D" w:rsidRPr="00D8531F" w:rsidRDefault="009D0C1D" w:rsidP="00E76FA1">
                                  <w:pPr>
                                    <w:rPr>
                                      <w:rFonts w:ascii="Century Gothic" w:eastAsia="+mn-ea" w:hAnsi="Century Gothic" w:cs="+mn-cs"/>
                                      <w:b/>
                                      <w:bCs/>
                                      <w:color w:val="343433"/>
                                      <w:kern w:val="24"/>
                                      <w:sz w:val="14"/>
                                      <w:szCs w:val="14"/>
                                    </w:rPr>
                                  </w:pPr>
                                  <w:r w:rsidRPr="00D8531F">
                                    <w:rPr>
                                      <w:rFonts w:ascii="Century Gothic" w:hAnsi="Century Gothic"/>
                                      <w:b/>
                                      <w:color w:val="343433"/>
                                      <w:sz w:val="14"/>
                                      <w:szCs w:val="22"/>
                                    </w:rPr>
                                    <w:t>Результати тесту на ТБ (під час візиту 1) Обстежити на ТБ, якщо тест на ТБІ дає позитивний результат (та не проведений під час візиту 1) Розпочати ПЛТ або лікування ТБ</w:t>
                                  </w:r>
                                </w:p>
                              </w:txbxContent>
                            </wps:txbx>
                            <wps:bodyPr wrap="square" lIns="0" tIns="0" rIns="0" bIns="0">
                              <a:noAutofit/>
                            </wps:bodyPr>
                          </wps:wsp>
                        </a:graphicData>
                      </a:graphic>
                      <wp14:sizeRelV relativeFrom="margin">
                        <wp14:pctHeight>0</wp14:pctHeight>
                      </wp14:sizeRelV>
                    </wp:anchor>
                  </w:drawing>
                </mc:Choice>
                <mc:Fallback>
                  <w:pict>
                    <v:rect w14:anchorId="7042A5F9" id="_x0000_s1477" style="position:absolute;margin-left:3.5pt;margin-top:239.8pt;width:135.1pt;height:91.2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" stroked="f">
                      <v:textbox inset="0,0,0,0">
                        <w:txbxContent>
                          <w:p w14:paraId="7D4BB3C8" w14:textId="77777777" w:rsidR="009D0C1D" w:rsidRPr="00D8531F" w:rsidRDefault="009D0C1D" w:rsidP="00E76FA1">
                            <w:pPr>
                              <w:rPr>
                                <w:rFonts w:ascii="Century Gothic" w:eastAsia="+mn-ea" w:hAnsi="Century Gothic" w:cs="+mn-cs"/>
                                <w:b/>
                                <w:bCs/>
                                <w:color w:val="009548"/>
                                <w:kern w:val="24"/>
                                <w:sz w:val="18"/>
                                <w:szCs w:val="18"/>
                              </w:rPr>
                            </w:pPr>
                            <w:r w:rsidRPr="00D8531F">
                              <w:rPr>
                                <w:rFonts w:ascii="Century Gothic" w:hAnsi="Century Gothic"/>
                                <w:b/>
                                <w:color w:val="009548"/>
                                <w:sz w:val="18"/>
                                <w:szCs w:val="22"/>
                              </w:rPr>
                              <w:t>Візит 2</w:t>
                            </w:r>
                          </w:p>
                          <w:p w14:paraId="5C3CF824" w14:textId="77777777" w:rsidR="009D0C1D" w:rsidRPr="00D8531F" w:rsidRDefault="009D0C1D" w:rsidP="00E76FA1">
                            <w:pPr>
                              <w:rPr>
                                <w:rFonts w:ascii="Century Gothic" w:eastAsia="+mn-ea" w:hAnsi="Century Gothic" w:cs="+mn-cs"/>
                                <w:b/>
                                <w:bCs/>
                                <w:color w:val="343433"/>
                                <w:kern w:val="24"/>
                                <w:sz w:val="14"/>
                                <w:szCs w:val="14"/>
                              </w:rPr>
                            </w:pPr>
                            <w:r w:rsidRPr="00D8531F">
                              <w:rPr>
                                <w:rFonts w:ascii="Century Gothic" w:hAnsi="Century Gothic"/>
                                <w:b/>
                                <w:color w:val="343433"/>
                                <w:sz w:val="14"/>
                                <w:szCs w:val="22"/>
                              </w:rPr>
                              <w:t>Результат тесту на виявлення туберкульозної інфекції</w:t>
                            </w:r>
                          </w:p>
                          <w:p w14:paraId="2A0859EA" w14:textId="77777777" w:rsidR="009D0C1D" w:rsidRPr="00D8531F" w:rsidRDefault="009D0C1D" w:rsidP="00E76FA1">
                            <w:pPr>
                              <w:rPr>
                                <w:rFonts w:ascii="Century Gothic" w:eastAsia="+mn-ea" w:hAnsi="Century Gothic" w:cs="+mn-cs"/>
                                <w:b/>
                                <w:bCs/>
                                <w:color w:val="343433"/>
                                <w:kern w:val="24"/>
                                <w:sz w:val="14"/>
                                <w:szCs w:val="14"/>
                              </w:rPr>
                            </w:pPr>
                            <w:r w:rsidRPr="00D8531F">
                              <w:rPr>
                                <w:rFonts w:ascii="Century Gothic" w:hAnsi="Century Gothic"/>
                                <w:b/>
                                <w:color w:val="343433"/>
                                <w:sz w:val="14"/>
                                <w:szCs w:val="22"/>
                              </w:rPr>
                              <w:t>Результати тесту на ТБ (під час візиту 1) Обстежити на ТБ, якщо тест на ТБІ дає позитивний результат (та не проведений під час візиту 1) Розпочати ПЛТ або лікування ТБ</w:t>
                            </w:r>
                          </w:p>
                        </w:txbxContent>
                      </v:textbox>
                    </v:rect>
                  </w:pict>
                </mc:Fallback>
              </mc:AlternateContent>
            </w:r>
            <w:r w:rsidR="00D8531F">
              <w:rPr>
                <w:noProof/>
              </w:rPr>
              <mc:AlternateContent>
                <mc:Choice Requires="wps">
                  <w:drawing>
                    <wp:anchor distT="0" distB="0" distL="114300" distR="114300" simplePos="0" relativeHeight="251814912" behindDoc="0" locked="0" layoutInCell="1" allowOverlap="1" wp14:anchorId="30398CA8" wp14:editId="36487E7D">
                      <wp:simplePos x="0" y="0"/>
                      <wp:positionH relativeFrom="column">
                        <wp:posOffset>36830</wp:posOffset>
                      </wp:positionH>
                      <wp:positionV relativeFrom="paragraph">
                        <wp:posOffset>622300</wp:posOffset>
                      </wp:positionV>
                      <wp:extent cx="1365250" cy="1028700"/>
                      <wp:effectExtent l="0" t="0" r="6350" b="0"/>
                      <wp:wrapNone/>
                      <wp:docPr id="1644509339" name="Прямокутник 5"/>
                      <wp:cNvGraphicFramePr/>
                      <a:graphic xmlns:a="http://schemas.openxmlformats.org/drawingml/2006/main">
                        <a:graphicData uri="http://schemas.microsoft.com/office/word/2010/wordprocessingShape">
                          <wps:wsp>
                            <wps:cNvSpPr/>
                            <wps:spPr>
                              <a:xfrm>
                                <a:off x="0" y="0"/>
                                <a:ext cx="1365250" cy="1028700"/>
                              </a:xfrm>
                              <a:prstGeom prst="rect">
                                <a:avLst/>
                              </a:prstGeom>
                              <a:solidFill>
                                <a:srgbClr val="FFFFFF"/>
                              </a:solidFill>
                            </wps:spPr>
                            <wps:txbx>
                              <w:txbxContent>
                                <w:p w14:paraId="186F6FF3" w14:textId="77777777" w:rsidR="009D0C1D" w:rsidRPr="00D8531F" w:rsidRDefault="009D0C1D" w:rsidP="00E76FA1">
                                  <w:pPr>
                                    <w:rPr>
                                      <w:rFonts w:ascii="Century Gothic" w:eastAsia="+mn-ea" w:hAnsi="Century Gothic" w:cs="+mn-cs"/>
                                      <w:b/>
                                      <w:bCs/>
                                      <w:color w:val="009548"/>
                                      <w:kern w:val="24"/>
                                      <w:sz w:val="18"/>
                                      <w:szCs w:val="18"/>
                                    </w:rPr>
                                  </w:pPr>
                                  <w:r w:rsidRPr="00D8531F">
                                    <w:rPr>
                                      <w:rFonts w:ascii="Century Gothic" w:hAnsi="Century Gothic"/>
                                      <w:b/>
                                      <w:color w:val="009548"/>
                                      <w:sz w:val="18"/>
                                      <w:szCs w:val="22"/>
                                    </w:rPr>
                                    <w:t>Візит 1</w:t>
                                  </w:r>
                                </w:p>
                                <w:p w14:paraId="06268776" w14:textId="77777777" w:rsidR="009D0C1D" w:rsidRPr="00D8531F" w:rsidRDefault="009D0C1D" w:rsidP="00E76FA1">
                                  <w:pPr>
                                    <w:rPr>
                                      <w:rFonts w:ascii="Century Gothic" w:eastAsia="+mn-ea" w:hAnsi="Century Gothic" w:cs="+mn-cs"/>
                                      <w:b/>
                                      <w:bCs/>
                                      <w:color w:val="343433"/>
                                      <w:kern w:val="24"/>
                                      <w:sz w:val="14"/>
                                      <w:szCs w:val="14"/>
                                    </w:rPr>
                                  </w:pPr>
                                  <w:r w:rsidRPr="00D8531F">
                                    <w:rPr>
                                      <w:rFonts w:ascii="Century Gothic" w:hAnsi="Century Gothic"/>
                                      <w:b/>
                                      <w:color w:val="343433"/>
                                      <w:sz w:val="14"/>
                                      <w:szCs w:val="22"/>
                                    </w:rPr>
                                    <w:t>Тестування на виявлення туберкульозної інфекції</w:t>
                                  </w:r>
                                </w:p>
                                <w:p w14:paraId="0F27669A" w14:textId="77777777" w:rsidR="009D0C1D" w:rsidRPr="00D8531F" w:rsidRDefault="009D0C1D" w:rsidP="00E76FA1">
                                  <w:pPr>
                                    <w:rPr>
                                      <w:rFonts w:ascii="Century Gothic" w:eastAsia="+mn-ea" w:hAnsi="Century Gothic" w:cs="+mn-cs"/>
                                      <w:b/>
                                      <w:bCs/>
                                      <w:color w:val="343433"/>
                                      <w:kern w:val="24"/>
                                      <w:sz w:val="14"/>
                                      <w:szCs w:val="14"/>
                                    </w:rPr>
                                  </w:pPr>
                                  <w:r w:rsidRPr="00D8531F">
                                    <w:rPr>
                                      <w:rFonts w:ascii="Century Gothic" w:hAnsi="Century Gothic"/>
                                      <w:b/>
                                      <w:color w:val="343433"/>
                                      <w:sz w:val="14"/>
                                      <w:szCs w:val="22"/>
                                    </w:rPr>
                                    <w:t>Скринінг на ТБ</w:t>
                                  </w:r>
                                </w:p>
                                <w:p w14:paraId="7597E647" w14:textId="77777777" w:rsidR="009D0C1D" w:rsidRPr="00D8531F" w:rsidRDefault="009D0C1D" w:rsidP="00E76FA1">
                                  <w:pPr>
                                    <w:rPr>
                                      <w:rFonts w:ascii="Century Gothic" w:eastAsia="+mn-ea" w:hAnsi="Century Gothic" w:cs="+mn-cs"/>
                                      <w:b/>
                                      <w:bCs/>
                                      <w:color w:val="343433"/>
                                      <w:kern w:val="24"/>
                                      <w:sz w:val="14"/>
                                      <w:szCs w:val="14"/>
                                    </w:rPr>
                                  </w:pPr>
                                  <w:r w:rsidRPr="00D8531F">
                                    <w:rPr>
                                      <w:rFonts w:ascii="Century Gothic" w:hAnsi="Century Gothic"/>
                                      <w:b/>
                                      <w:color w:val="343433"/>
                                      <w:sz w:val="14"/>
                                      <w:szCs w:val="22"/>
                                    </w:rPr>
                                    <w:t>Обстежити на ТБ у разі позитивного результату скринінгу на ТБ</w:t>
                                  </w:r>
                                </w:p>
                              </w:txbxContent>
                            </wps:txbx>
                            <wps:bodyPr wrap="square" lIns="0" tIns="0" rIns="0" bIns="0">
                              <a:noAutofit/>
                            </wps:bodyPr>
                          </wps:wsp>
                        </a:graphicData>
                      </a:graphic>
                      <wp14:sizeRelV relativeFrom="margin">
                        <wp14:pctHeight>0</wp14:pctHeight>
                      </wp14:sizeRelV>
                    </wp:anchor>
                  </w:drawing>
                </mc:Choice>
                <mc:Fallback>
                  <w:pict>
                    <v:rect w14:anchorId="30398CA8" id="_x0000_s1478" style="position:absolute;margin-left:2.9pt;margin-top:49pt;width:107.5pt;height:81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" stroked="f">
                      <v:textbox inset="0,0,0,0">
                        <w:txbxContent>
                          <w:p w14:paraId="186F6FF3" w14:textId="77777777" w:rsidR="009D0C1D" w:rsidRPr="00D8531F" w:rsidRDefault="009D0C1D" w:rsidP="00E76FA1">
                            <w:pPr>
                              <w:rPr>
                                <w:rFonts w:ascii="Century Gothic" w:eastAsia="+mn-ea" w:hAnsi="Century Gothic" w:cs="+mn-cs"/>
                                <w:b/>
                                <w:bCs/>
                                <w:color w:val="009548"/>
                                <w:kern w:val="24"/>
                                <w:sz w:val="18"/>
                                <w:szCs w:val="18"/>
                              </w:rPr>
                            </w:pPr>
                            <w:r w:rsidRPr="00D8531F">
                              <w:rPr>
                                <w:rFonts w:ascii="Century Gothic" w:hAnsi="Century Gothic"/>
                                <w:b/>
                                <w:color w:val="009548"/>
                                <w:sz w:val="18"/>
                                <w:szCs w:val="22"/>
                              </w:rPr>
                              <w:t>Візит 1</w:t>
                            </w:r>
                          </w:p>
                          <w:p w14:paraId="06268776" w14:textId="77777777" w:rsidR="009D0C1D" w:rsidRPr="00D8531F" w:rsidRDefault="009D0C1D" w:rsidP="00E76FA1">
                            <w:pPr>
                              <w:rPr>
                                <w:rFonts w:ascii="Century Gothic" w:eastAsia="+mn-ea" w:hAnsi="Century Gothic" w:cs="+mn-cs"/>
                                <w:b/>
                                <w:bCs/>
                                <w:color w:val="343433"/>
                                <w:kern w:val="24"/>
                                <w:sz w:val="14"/>
                                <w:szCs w:val="14"/>
                              </w:rPr>
                            </w:pPr>
                            <w:r w:rsidRPr="00D8531F">
                              <w:rPr>
                                <w:rFonts w:ascii="Century Gothic" w:hAnsi="Century Gothic"/>
                                <w:b/>
                                <w:color w:val="343433"/>
                                <w:sz w:val="14"/>
                                <w:szCs w:val="22"/>
                              </w:rPr>
                              <w:t>Тестування на виявлення туберкульозної інфекції</w:t>
                            </w:r>
                          </w:p>
                          <w:p w14:paraId="0F27669A" w14:textId="77777777" w:rsidR="009D0C1D" w:rsidRPr="00D8531F" w:rsidRDefault="009D0C1D" w:rsidP="00E76FA1">
                            <w:pPr>
                              <w:rPr>
                                <w:rFonts w:ascii="Century Gothic" w:eastAsia="+mn-ea" w:hAnsi="Century Gothic" w:cs="+mn-cs"/>
                                <w:b/>
                                <w:bCs/>
                                <w:color w:val="343433"/>
                                <w:kern w:val="24"/>
                                <w:sz w:val="14"/>
                                <w:szCs w:val="14"/>
                              </w:rPr>
                            </w:pPr>
                            <w:r w:rsidRPr="00D8531F">
                              <w:rPr>
                                <w:rFonts w:ascii="Century Gothic" w:hAnsi="Century Gothic"/>
                                <w:b/>
                                <w:color w:val="343433"/>
                                <w:sz w:val="14"/>
                                <w:szCs w:val="22"/>
                              </w:rPr>
                              <w:t>Скринінг на ТБ</w:t>
                            </w:r>
                          </w:p>
                          <w:p w14:paraId="7597E647" w14:textId="77777777" w:rsidR="009D0C1D" w:rsidRPr="00D8531F" w:rsidRDefault="009D0C1D" w:rsidP="00E76FA1">
                            <w:pPr>
                              <w:rPr>
                                <w:rFonts w:ascii="Century Gothic" w:eastAsia="+mn-ea" w:hAnsi="Century Gothic" w:cs="+mn-cs"/>
                                <w:b/>
                                <w:bCs/>
                                <w:color w:val="343433"/>
                                <w:kern w:val="24"/>
                                <w:sz w:val="14"/>
                                <w:szCs w:val="14"/>
                              </w:rPr>
                            </w:pPr>
                            <w:r w:rsidRPr="00D8531F">
                              <w:rPr>
                                <w:rFonts w:ascii="Century Gothic" w:hAnsi="Century Gothic"/>
                                <w:b/>
                                <w:color w:val="343433"/>
                                <w:sz w:val="14"/>
                                <w:szCs w:val="22"/>
                              </w:rPr>
                              <w:t>Обстежити на ТБ у разі позитивного результату скринінгу на ТБ</w:t>
                            </w:r>
                          </w:p>
                        </w:txbxContent>
                      </v:textbox>
                    </v:rect>
                  </w:pict>
                </mc:Fallback>
              </mc:AlternateContent>
            </w:r>
            <w:r w:rsidR="00E76FA1">
              <w:rPr>
                <w:noProof/>
              </w:rPr>
              <w:drawing>
                <wp:inline distT="0" distB="0" distL="0" distR="0" wp14:anchorId="6A421BF0" wp14:editId="7A889E5A">
                  <wp:extent cx="5782310" cy="506857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54"/>
                          <a:stretch/>
                        </pic:blipFill>
                        <pic:spPr>
                          <a:xfrm>
                            <a:off x="0" y="0"/>
                            <a:ext cx="5782310" cy="5068570"/>
                          </a:xfrm>
                          <a:prstGeom prst="rect">
                            <a:avLst/>
                          </a:prstGeom>
                        </pic:spPr>
                      </pic:pic>
                    </a:graphicData>
                  </a:graphic>
                </wp:inline>
              </w:drawing>
            </w:r>
          </w:p>
        </w:tc>
      </w:tr>
    </w:tbl>
    <w:p w14:paraId="51CA5E4A" w14:textId="0A0CEEAC" w:rsidR="00366CB9" w:rsidRDefault="009D0C1D" w:rsidP="00B3067A">
      <w:pPr>
        <w:pStyle w:val="50"/>
        <w:shd w:val="clear" w:color="auto" w:fill="auto"/>
        <w:spacing w:before="180" w:line="266" w:lineRule="auto"/>
        <w:jc w:val="both"/>
      </w:pPr>
      <w:r>
        <w:t xml:space="preserve">РОГК: рентгенографія органів грудної клітини; IGRA: аналіз на вивільнення гамма-інтерферону; ЛЖВІЛ: люди, які живуть з вірусом імунодефіциту людини; ТБ: туберкульоз; ТБІ: туберкульозна інфекція; TBST: шкірний тест на антигени </w:t>
      </w:r>
      <w:r>
        <w:rPr>
          <w:i/>
        </w:rPr>
        <w:t>Mycobacterium tuberculosis</w:t>
      </w:r>
      <w:r>
        <w:t>; ПЛТ: профілактичне лікування ТБ; TST: шкірний туберкуліновий тест; ВООЗ: Всесвітня організація охорони здоров’я; WRD: експрес-тест для діагностики туберкульозу, рекомендований ВООЗ.</w:t>
      </w:r>
    </w:p>
    <w:p w14:paraId="5B901B71" w14:textId="0B9D1818" w:rsidR="00366CB9" w:rsidRDefault="009D0C1D" w:rsidP="002A1DA2">
      <w:pPr>
        <w:pStyle w:val="50"/>
        <w:shd w:val="clear" w:color="auto" w:fill="auto"/>
        <w:spacing w:line="266" w:lineRule="auto"/>
        <w:ind w:left="180" w:hanging="180"/>
        <w:jc w:val="both"/>
      </w:pPr>
      <w:r>
        <w:rPr>
          <w:vertAlign w:val="superscript"/>
        </w:rPr>
        <w:t>a</w:t>
      </w:r>
      <w:r w:rsidR="002A1DA2">
        <w:tab/>
      </w:r>
      <w:r>
        <w:t>Якщо тестування не представлено (або не вимагається через місцеву ситуацію), можна застосовувати алгоритм, наведений у оперативному довіднику ВООЗ з (</w:t>
      </w:r>
      <w:hyperlink w:anchor="bookmark197" w:tooltip="Поточний документ">
        <w:r w:rsidR="00366CB9">
          <w:t>41</w:t>
        </w:r>
      </w:hyperlink>
      <w:r>
        <w:t>) профілактики туберкульозу.</w:t>
      </w:r>
    </w:p>
    <w:p w14:paraId="4279A0BB" w14:textId="23245E4F" w:rsidR="00366CB9" w:rsidRDefault="009D0C1D" w:rsidP="002A1DA2">
      <w:pPr>
        <w:pStyle w:val="50"/>
        <w:shd w:val="clear" w:color="auto" w:fill="auto"/>
        <w:spacing w:line="266" w:lineRule="auto"/>
        <w:ind w:left="180" w:hanging="180"/>
        <w:jc w:val="both"/>
      </w:pPr>
      <w:r>
        <w:rPr>
          <w:vertAlign w:val="superscript"/>
        </w:rPr>
        <w:t>б</w:t>
      </w:r>
      <w:r w:rsidR="002A1DA2">
        <w:tab/>
      </w:r>
      <w:r>
        <w:t>Скринінг на ТБ проводили з використанням чотирьох симптомів ТБ (кашель, лихоманка, нічна пітливість і втрата ваги). Перевага віддається інструментам скринінгу, рекомендованим ВООЗ, з високою точністю; вони включають РОГК (з комп’ютерним виявленням або без нього), а для людей, які живуть з ВІЛ, mWRD або С-реактивний білок (</w:t>
      </w:r>
      <w:hyperlink w:anchor="bookmark198" w:tooltip="Поточний документ">
        <w:r w:rsidR="00366CB9">
          <w:t>54</w:t>
        </w:r>
      </w:hyperlink>
      <w:r>
        <w:t>).</w:t>
      </w:r>
    </w:p>
    <w:p w14:paraId="4F18083D" w14:textId="3D5C8253" w:rsidR="00366CB9" w:rsidRDefault="009D0C1D" w:rsidP="002A1DA2">
      <w:pPr>
        <w:pStyle w:val="50"/>
        <w:shd w:val="clear" w:color="auto" w:fill="auto"/>
        <w:spacing w:line="266" w:lineRule="auto"/>
        <w:ind w:left="180" w:hanging="180"/>
      </w:pPr>
      <w:r>
        <w:rPr>
          <w:vertAlign w:val="superscript"/>
        </w:rPr>
        <w:t>c</w:t>
      </w:r>
      <w:r w:rsidR="002A1DA2">
        <w:tab/>
      </w:r>
      <w:r>
        <w:t>Тести на виявлення туберкульозної інфекції охоплюють TST, IGRA й TBST.</w:t>
      </w:r>
    </w:p>
    <w:p w14:paraId="6800F1FC" w14:textId="0F54DB71" w:rsidR="00366CB9" w:rsidRDefault="009D0C1D" w:rsidP="002A1DA2">
      <w:pPr>
        <w:pStyle w:val="50"/>
        <w:shd w:val="clear" w:color="auto" w:fill="auto"/>
        <w:spacing w:line="266" w:lineRule="auto"/>
        <w:ind w:left="180" w:hanging="180"/>
        <w:jc w:val="both"/>
      </w:pPr>
      <w:r>
        <w:rPr>
          <w:vertAlign w:val="superscript"/>
        </w:rPr>
        <w:t>d</w:t>
      </w:r>
      <w:r w:rsidR="002A1DA2">
        <w:tab/>
      </w:r>
      <w:r>
        <w:t>Для виключення ТБ (включаючи позалегеневий ТБ) необхідно провести ретельну клінічну оцінку, що має включати РОГК, за можливості. Для діагностики ТБ необхідно застосовувати WRD, за можливості (</w:t>
      </w:r>
      <w:hyperlink w:anchor="bookmark201" w:tooltip="Поточний документ">
        <w:r w:rsidR="00366CB9">
          <w:t>101</w:t>
        </w:r>
      </w:hyperlink>
      <w:r>
        <w:t>).</w:t>
      </w:r>
    </w:p>
    <w:p w14:paraId="07504AFC" w14:textId="14E9F2E1" w:rsidR="00366CB9" w:rsidRDefault="009D0C1D" w:rsidP="002A1DA2">
      <w:pPr>
        <w:pStyle w:val="50"/>
        <w:shd w:val="clear" w:color="auto" w:fill="auto"/>
        <w:spacing w:line="266" w:lineRule="auto"/>
        <w:ind w:left="180" w:hanging="180"/>
        <w:jc w:val="both"/>
      </w:pPr>
      <w:r>
        <w:rPr>
          <w:vertAlign w:val="superscript"/>
        </w:rPr>
        <w:t>e</w:t>
      </w:r>
      <w:r w:rsidR="002A1DA2">
        <w:tab/>
      </w:r>
      <w:r>
        <w:t>Осіб, які пройшли скринінг із використанням лише симптомів, спочатку треба ретельно оцінити на наявність ТБ (зокрема на позалегеневий ТБ); скринінг повинен охоплювати РОГК, якщо це можливо, щоб виключити ТБ перед початком ПЛТ.</w:t>
      </w:r>
    </w:p>
    <w:p w14:paraId="2E595162" w14:textId="58DB479F" w:rsidR="00366CB9" w:rsidRDefault="009D0C1D" w:rsidP="002A1DA2">
      <w:pPr>
        <w:pStyle w:val="50"/>
        <w:shd w:val="clear" w:color="auto" w:fill="auto"/>
        <w:spacing w:line="266" w:lineRule="auto"/>
        <w:ind w:left="180" w:hanging="180"/>
        <w:jc w:val="both"/>
      </w:pPr>
      <w:r>
        <w:rPr>
          <w:vertAlign w:val="superscript"/>
        </w:rPr>
        <w:t>f</w:t>
      </w:r>
      <w:r w:rsidR="002A1DA2">
        <w:tab/>
      </w:r>
      <w:r>
        <w:t>У випадках, коли може існувати підозра, що результат тесту хибнонегативний (наприклад, супутня вірусна інфекція), повторне тестування може бути розглянуто за 30 днів.</w:t>
      </w:r>
    </w:p>
    <w:p w14:paraId="3393DA0B" w14:textId="31EE9E3C" w:rsidR="00366CB9" w:rsidRDefault="009D0C1D" w:rsidP="002A1DA2">
      <w:pPr>
        <w:pStyle w:val="50"/>
        <w:shd w:val="clear" w:color="auto" w:fill="auto"/>
        <w:spacing w:after="0" w:line="266" w:lineRule="auto"/>
        <w:ind w:left="180" w:hanging="180"/>
      </w:pPr>
      <w:r>
        <w:rPr>
          <w:vertAlign w:val="superscript"/>
        </w:rPr>
        <w:t>g</w:t>
      </w:r>
      <w:r w:rsidR="002A1DA2">
        <w:tab/>
      </w:r>
      <w:r>
        <w:t>Див. детальну інформацію про критерії включення та вибір схеми (</w:t>
      </w:r>
      <w:hyperlink w:anchor="bookmark193" w:tooltip="Поточний документ">
        <w:r w:rsidR="00366CB9">
          <w:t>14</w:t>
        </w:r>
      </w:hyperlink>
      <w:r>
        <w:t>).</w:t>
      </w:r>
    </w:p>
    <w:p w14:paraId="4A20AFBD"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6302B409" w14:textId="77777777" w:rsidR="00366CB9" w:rsidRDefault="00366CB9" w:rsidP="00425523">
      <w:pPr>
        <w:spacing w:line="1" w:lineRule="exact"/>
      </w:pPr>
    </w:p>
    <w:p w14:paraId="79C196F5" w14:textId="77777777" w:rsidR="00366CB9" w:rsidRPr="002A1DA2" w:rsidRDefault="009D0C1D" w:rsidP="00B3067A">
      <w:pPr>
        <w:pStyle w:val="1"/>
        <w:shd w:val="clear" w:color="auto" w:fill="auto"/>
        <w:spacing w:after="240" w:line="324" w:lineRule="auto"/>
        <w:jc w:val="both"/>
        <w:rPr>
          <w:sz w:val="18"/>
          <w:szCs w:val="18"/>
        </w:rPr>
      </w:pPr>
      <w:bookmarkStart w:id="190" w:name="bookmark187"/>
      <w:r w:rsidRPr="002A1DA2">
        <w:rPr>
          <w:sz w:val="18"/>
          <w:szCs w:val="18"/>
        </w:rPr>
        <w:t>Програмне рішення розпочати тестування на виявлення туберкульозної інфекції передбачає зобов’язання швидко розпочати ПЛТ за показанням. Отже, в рамках програми необхідно забезпечити належну організацію схем перенаправлення та медичних послуг перед початком тестування на виявлення туберкульозної інфекції, а також доступність механізмів клінічної оцінки, початку лікування та підтримки лікування (розділ 2). Перевагою шкірного тесту на виявлення туберкульозної інфекції (за допомогою TST або TBST) є можливість тестування та зчитування результату протягом 48 годин в рамках ЕТ. Мобільність витратних матеріалів та реактивність з контрольованою температурою, необхідних для тесту, передбачає можливість тестування вдома або у віддалених громадах. Однак ці переваги втрачаються, якщо подальша оцінка з метою виключення ТБ й надання ПЛТ не є однаково доступними. Отже, рішення щодо розширення доступу до тестування на виявлення туберкульозної інфекції має супроводжуватись зусиллями щодо розширення доступу до медичних послуг, необхідних для лікування пацієнтів з позитивними результатами тесту.</w:t>
      </w:r>
      <w:bookmarkEnd w:id="190"/>
    </w:p>
    <w:p w14:paraId="12C91F1B" w14:textId="77777777" w:rsidR="00366CB9" w:rsidRDefault="009D0C1D" w:rsidP="00B3067A">
      <w:pPr>
        <w:pStyle w:val="22"/>
        <w:numPr>
          <w:ilvl w:val="0"/>
          <w:numId w:val="55"/>
        </w:numPr>
        <w:shd w:val="clear" w:color="auto" w:fill="auto"/>
        <w:tabs>
          <w:tab w:val="left" w:pos="692"/>
        </w:tabs>
        <w:spacing w:line="240" w:lineRule="auto"/>
      </w:pPr>
      <w:bookmarkStart w:id="191" w:name="bookmark188"/>
      <w:bookmarkStart w:id="192" w:name="bookmark189"/>
      <w:r>
        <w:t>Ілюстративні комбінації алгоритмів</w:t>
      </w:r>
      <w:bookmarkEnd w:id="191"/>
      <w:bookmarkEnd w:id="192"/>
    </w:p>
    <w:p w14:paraId="48BB0A14" w14:textId="77777777" w:rsidR="00366CB9" w:rsidRPr="002A1DA2" w:rsidRDefault="009D0C1D" w:rsidP="00B3067A">
      <w:pPr>
        <w:pStyle w:val="1"/>
        <w:shd w:val="clear" w:color="auto" w:fill="auto"/>
        <w:spacing w:after="160" w:line="324" w:lineRule="auto"/>
        <w:jc w:val="both"/>
        <w:rPr>
          <w:sz w:val="18"/>
          <w:szCs w:val="18"/>
        </w:rPr>
      </w:pPr>
      <w:r w:rsidRPr="002A1DA2">
        <w:rPr>
          <w:sz w:val="18"/>
          <w:szCs w:val="18"/>
        </w:rPr>
        <w:t xml:space="preserve">Для кращого зрозуміння взаємопов’язаності алгоритмів для встановлення остаточного діагнозу див. ілюстративні сценарії на </w:t>
      </w:r>
      <w:hyperlink w:anchor="bookmark190" w:tooltip="Поточний документ">
        <w:r w:rsidR="00366CB9" w:rsidRPr="002A1DA2">
          <w:rPr>
            <w:b/>
            <w:sz w:val="18"/>
            <w:szCs w:val="18"/>
          </w:rPr>
          <w:t>рис. 6.8</w:t>
        </w:r>
      </w:hyperlink>
      <w:r w:rsidRPr="002A1DA2">
        <w:rPr>
          <w:sz w:val="18"/>
          <w:szCs w:val="18"/>
        </w:rPr>
        <w:t xml:space="preserve">, </w:t>
      </w:r>
      <w:hyperlink w:anchor="bookmark191" w:tooltip="Поточний документ">
        <w:r w:rsidR="00366CB9" w:rsidRPr="002A1DA2">
          <w:rPr>
            <w:b/>
            <w:sz w:val="18"/>
            <w:szCs w:val="18"/>
          </w:rPr>
          <w:t>рис. 6.9</w:t>
        </w:r>
      </w:hyperlink>
      <w:r w:rsidRPr="002A1DA2">
        <w:rPr>
          <w:sz w:val="18"/>
          <w:szCs w:val="18"/>
        </w:rPr>
        <w:t xml:space="preserve"> та </w:t>
      </w:r>
      <w:hyperlink w:anchor="bookmark192" w:tooltip="Поточний документ">
        <w:r w:rsidR="00366CB9" w:rsidRPr="002A1DA2">
          <w:rPr>
            <w:b/>
            <w:sz w:val="18"/>
            <w:szCs w:val="18"/>
          </w:rPr>
          <w:t>рис. 6.10</w:t>
        </w:r>
      </w:hyperlink>
      <w:r w:rsidRPr="002A1DA2">
        <w:rPr>
          <w:sz w:val="18"/>
          <w:szCs w:val="18"/>
        </w:rPr>
        <w:t>. Наведено три сценарії, що передбачають дві змодельовані схеми. Сценарії засновані на трьох епідеміологічних ситуаціях: високий ризик ТБ/ВІЛ, високий ризик Нрез-ТБ та високий ризик МЛС/Риф-ТБ. Ці приклади наведені лише для ілюстрації – вони не є конкретною рекомендацією. Представлено багато альтернативних комбінацій, що могли б дати той же результат; на вибір одного тесту впливатимуть такі фактори, як наявність, легкість застосування, підтримка продукту в країні та вартість.</w:t>
      </w:r>
    </w:p>
    <w:p w14:paraId="4A7E6EBE" w14:textId="77777777" w:rsidR="00366CB9" w:rsidRPr="002A1DA2" w:rsidRDefault="009D0C1D" w:rsidP="00B3067A">
      <w:pPr>
        <w:pStyle w:val="1"/>
        <w:shd w:val="clear" w:color="auto" w:fill="auto"/>
        <w:spacing w:line="324" w:lineRule="auto"/>
        <w:jc w:val="both"/>
        <w:rPr>
          <w:sz w:val="18"/>
          <w:szCs w:val="18"/>
        </w:rPr>
      </w:pPr>
      <w:r w:rsidRPr="002A1DA2">
        <w:rPr>
          <w:sz w:val="18"/>
          <w:szCs w:val="18"/>
        </w:rPr>
        <w:t>Алгоритми необхідно розробити з урахуванням існуючих лабораторних служб та мереж, щоб зразки можна було перенаправляти на відповідний рівень тестування, що не надається в лабораторіях периферійного рівня.</w:t>
      </w:r>
    </w:p>
    <w:p w14:paraId="6F6B41D1"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00C8E41E"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14:paraId="0853DCDD" w14:textId="77777777">
        <w:trPr>
          <w:trHeight w:hRule="exact" w:val="427"/>
        </w:trPr>
        <w:tc>
          <w:tcPr>
            <w:tcW w:w="9106" w:type="dxa"/>
            <w:shd w:val="clear" w:color="auto" w:fill="FFFFFF"/>
            <w:vAlign w:val="center"/>
          </w:tcPr>
          <w:p w14:paraId="35E409AC" w14:textId="77777777" w:rsidR="00366CB9" w:rsidRPr="00156AC1" w:rsidRDefault="009D0C1D" w:rsidP="00B3067A">
            <w:pPr>
              <w:pStyle w:val="a6"/>
              <w:shd w:val="clear" w:color="auto" w:fill="auto"/>
              <w:rPr>
                <w:sz w:val="24"/>
                <w:szCs w:val="24"/>
              </w:rPr>
            </w:pPr>
            <w:bookmarkStart w:id="193" w:name="bookmark190"/>
            <w:r>
              <w:rPr>
                <w:color w:val="636466"/>
                <w:sz w:val="24"/>
              </w:rPr>
              <w:t>Рис. 6.8. Сценарій 1: Високий ризик ТБ/ВІЛ</w:t>
            </w:r>
            <w:bookmarkEnd w:id="193"/>
          </w:p>
        </w:tc>
      </w:tr>
      <w:tr w:rsidR="00366CB9" w14:paraId="5C91F09C" w14:textId="77777777">
        <w:trPr>
          <w:trHeight w:hRule="exact" w:val="12427"/>
        </w:trPr>
        <w:tc>
          <w:tcPr>
            <w:tcW w:w="9106" w:type="dxa"/>
            <w:shd w:val="clear" w:color="auto" w:fill="FFFFFF"/>
          </w:tcPr>
          <w:p w14:paraId="144CACE8" w14:textId="19754926" w:rsidR="00366CB9" w:rsidRDefault="002A1DA2" w:rsidP="00B3067A">
            <w:pPr>
              <w:rPr>
                <w:sz w:val="2"/>
                <w:szCs w:val="2"/>
              </w:rPr>
            </w:pPr>
            <w:r>
              <w:rPr>
                <w:noProof/>
              </w:rPr>
              <mc:AlternateContent>
                <mc:Choice Requires="wps">
                  <w:drawing>
                    <wp:anchor distT="0" distB="0" distL="114300" distR="114300" simplePos="0" relativeHeight="251840512" behindDoc="0" locked="0" layoutInCell="1" allowOverlap="1" wp14:anchorId="37C69DC2" wp14:editId="58EA5D40">
                      <wp:simplePos x="0" y="0"/>
                      <wp:positionH relativeFrom="column">
                        <wp:posOffset>1736090</wp:posOffset>
                      </wp:positionH>
                      <wp:positionV relativeFrom="paragraph">
                        <wp:posOffset>7383145</wp:posOffset>
                      </wp:positionV>
                      <wp:extent cx="2200275" cy="190500"/>
                      <wp:effectExtent l="0" t="0" r="9525" b="0"/>
                      <wp:wrapNone/>
                      <wp:docPr id="1200834994" name="Прямокутник 17"/>
                      <wp:cNvGraphicFramePr/>
                      <a:graphic xmlns:a="http://schemas.openxmlformats.org/drawingml/2006/main">
                        <a:graphicData uri="http://schemas.microsoft.com/office/word/2010/wordprocessingShape">
                          <wps:wsp>
                            <wps:cNvSpPr/>
                            <wps:spPr>
                              <a:xfrm>
                                <a:off x="0" y="0"/>
                                <a:ext cx="2200275" cy="190500"/>
                              </a:xfrm>
                              <a:prstGeom prst="rect">
                                <a:avLst/>
                              </a:prstGeom>
                              <a:solidFill>
                                <a:srgbClr val="CCE9D7"/>
                              </a:solidFill>
                            </wps:spPr>
                            <wps:txbx>
                              <w:txbxContent>
                                <w:p w14:paraId="3994B556" w14:textId="3AE684D2"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Дитині призначили препарати першої лінії.</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7C69DC2" id="_x0000_s1479" style="position:absolute;margin-left:136.7pt;margin-top:581.35pt;width:173.25pt;height: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" fillcolor="#cce9d7" stroked="f">
                      <v:textbox inset="0,0,0,0">
                        <w:txbxContent>
                          <w:p w14:paraId="3994B556" w14:textId="3AE684D2"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Дитині призначили препарати першої лінії.</w:t>
                            </w:r>
                          </w:p>
                        </w:txbxContent>
                      </v:textbox>
                    </v:rect>
                  </w:pict>
                </mc:Fallback>
              </mc:AlternateContent>
            </w:r>
            <w:r>
              <w:rPr>
                <w:noProof/>
              </w:rPr>
              <mc:AlternateContent>
                <mc:Choice Requires="wps">
                  <w:drawing>
                    <wp:anchor distT="0" distB="0" distL="114300" distR="114300" simplePos="0" relativeHeight="251839488" behindDoc="0" locked="0" layoutInCell="1" allowOverlap="1" wp14:anchorId="628B5BE8" wp14:editId="5AD1B292">
                      <wp:simplePos x="0" y="0"/>
                      <wp:positionH relativeFrom="column">
                        <wp:posOffset>1362710</wp:posOffset>
                      </wp:positionH>
                      <wp:positionV relativeFrom="paragraph">
                        <wp:posOffset>6323965</wp:posOffset>
                      </wp:positionV>
                      <wp:extent cx="3329940" cy="771525"/>
                      <wp:effectExtent l="0" t="0" r="3810" b="9525"/>
                      <wp:wrapNone/>
                      <wp:docPr id="219048080" name="Прямокутник 16"/>
                      <wp:cNvGraphicFramePr/>
                      <a:graphic xmlns:a="http://schemas.openxmlformats.org/drawingml/2006/main">
                        <a:graphicData uri="http://schemas.microsoft.com/office/word/2010/wordprocessingShape">
                          <wps:wsp>
                            <wps:cNvSpPr/>
                            <wps:spPr>
                              <a:xfrm>
                                <a:off x="0" y="0"/>
                                <a:ext cx="3329940" cy="771525"/>
                              </a:xfrm>
                              <a:prstGeom prst="rect">
                                <a:avLst/>
                              </a:prstGeom>
                              <a:solidFill>
                                <a:srgbClr val="CCE9D7"/>
                              </a:solidFill>
                            </wps:spPr>
                            <wps:txbx>
                              <w:txbxContent>
                                <w:p w14:paraId="2C5603FD" w14:textId="77777777"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LF-LAM проводили негайно, але результат був негативним.</w:t>
                                  </w:r>
                                </w:p>
                                <w:p w14:paraId="7AE3DB0C" w14:textId="77777777"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Було представлено зразок калу (з підгузку дитини), а також можна було забрати зразок мокротиння. Обидва зразки було надіслано до лабораторії для тестування LC-aNAAT. Зразок мокротиння дав негативний результат, але зразок калу дав позитивний результат. Резистентність до RIF не виявлено.</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28B5BE8" id="_x0000_s1480" style="position:absolute;margin-left:107.3pt;margin-top:497.95pt;width:262.2pt;height:60.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" fillcolor="#cce9d7" stroked="f">
                      <v:textbox inset="0,0,0,0">
                        <w:txbxContent>
                          <w:p w14:paraId="2C5603FD" w14:textId="77777777"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LF-LAM проводили негайно, але результат був негативним.</w:t>
                            </w:r>
                          </w:p>
                          <w:p w14:paraId="7AE3DB0C" w14:textId="77777777"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Було представлено зразок калу (з підгузку дитини), а також можна було забрати зразок мокротиння. Обидва зразки було надіслано до лабораторії для тестування LC-aNAAT. Зразок мокротиння дав негативний результат, але зразок калу дав позитивний результат. Резистентність до RIF не виявлено.</w:t>
                            </w:r>
                          </w:p>
                        </w:txbxContent>
                      </v:textbox>
                    </v:rect>
                  </w:pict>
                </mc:Fallback>
              </mc:AlternateContent>
            </w:r>
            <w:r>
              <w:rPr>
                <w:noProof/>
              </w:rPr>
              <mc:AlternateContent>
                <mc:Choice Requires="wps">
                  <w:drawing>
                    <wp:anchor distT="0" distB="0" distL="114300" distR="114300" simplePos="0" relativeHeight="251835392" behindDoc="0" locked="0" layoutInCell="1" allowOverlap="1" wp14:anchorId="36FCCD67" wp14:editId="797F7106">
                      <wp:simplePos x="0" y="0"/>
                      <wp:positionH relativeFrom="column">
                        <wp:posOffset>318770</wp:posOffset>
                      </wp:positionH>
                      <wp:positionV relativeFrom="paragraph">
                        <wp:posOffset>4289425</wp:posOffset>
                      </wp:positionV>
                      <wp:extent cx="591185" cy="252730"/>
                      <wp:effectExtent l="0" t="0" r="0" b="0"/>
                      <wp:wrapNone/>
                      <wp:docPr id="205448621" name="Прямокутник 12"/>
                      <wp:cNvGraphicFramePr/>
                      <a:graphic xmlns:a="http://schemas.openxmlformats.org/drawingml/2006/main">
                        <a:graphicData uri="http://schemas.microsoft.com/office/word/2010/wordprocessingShape">
                          <wps:wsp>
                            <wps:cNvSpPr/>
                            <wps:spPr>
                              <a:xfrm>
                                <a:off x="0" y="0"/>
                                <a:ext cx="591185" cy="252730"/>
                              </a:xfrm>
                              <a:prstGeom prst="rect">
                                <a:avLst/>
                              </a:prstGeom>
                              <a:solidFill>
                                <a:srgbClr val="DEDEDE"/>
                              </a:solidFill>
                            </wps:spPr>
                            <wps:txbx>
                              <w:txbxContent>
                                <w:p w14:paraId="2201E2C2" w14:textId="77777777" w:rsidR="009D0C1D" w:rsidRPr="002A1DA2" w:rsidRDefault="009D0C1D" w:rsidP="00E76FA1">
                                  <w:pPr>
                                    <w:jc w:val="center"/>
                                    <w:rPr>
                                      <w:rFonts w:ascii="Century Gothic" w:eastAsia="+mn-ea" w:hAnsi="Century Gothic" w:cs="+mn-cs"/>
                                      <w:kern w:val="24"/>
                                      <w:sz w:val="14"/>
                                      <w:szCs w:val="14"/>
                                    </w:rPr>
                                  </w:pPr>
                                  <w:r w:rsidRPr="002A1DA2">
                                    <w:rPr>
                                      <w:rFonts w:ascii="Century Gothic" w:hAnsi="Century Gothic"/>
                                      <w:sz w:val="14"/>
                                      <w:szCs w:val="22"/>
                                    </w:rPr>
                                    <w:t>Районна лікарня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6FCCD67" id="_x0000_s1481" style="position:absolute;margin-left:25.1pt;margin-top:337.75pt;width:46.55pt;height:19.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" fillcolor="#dedede" stroked="f">
                      <v:textbox inset="0,0,0,0">
                        <w:txbxContent>
                          <w:p w14:paraId="2201E2C2" w14:textId="77777777" w:rsidR="009D0C1D" w:rsidRPr="002A1DA2" w:rsidRDefault="009D0C1D" w:rsidP="00E76FA1">
                            <w:pPr>
                              <w:jc w:val="center"/>
                              <w:rPr>
                                <w:rFonts w:ascii="Century Gothic" w:eastAsia="+mn-ea" w:hAnsi="Century Gothic" w:cs="+mn-cs"/>
                                <w:kern w:val="24"/>
                                <w:sz w:val="14"/>
                                <w:szCs w:val="14"/>
                              </w:rPr>
                            </w:pPr>
                            <w:r w:rsidRPr="002A1DA2">
                              <w:rPr>
                                <w:rFonts w:ascii="Century Gothic" w:hAnsi="Century Gothic"/>
                                <w:sz w:val="14"/>
                                <w:szCs w:val="22"/>
                              </w:rPr>
                              <w:t>Районна лікарня</w:t>
                            </w:r>
                          </w:p>
                        </w:txbxContent>
                      </v:textbox>
                    </v:rect>
                  </w:pict>
                </mc:Fallback>
              </mc:AlternateContent>
            </w:r>
            <w:r>
              <w:rPr>
                <w:noProof/>
              </w:rPr>
              <mc:AlternateContent>
                <mc:Choice Requires="wps">
                  <w:drawing>
                    <wp:anchor distT="0" distB="0" distL="114300" distR="114300" simplePos="0" relativeHeight="251834368" behindDoc="0" locked="0" layoutInCell="1" allowOverlap="1" wp14:anchorId="2D0D7071" wp14:editId="6F8BFB83">
                      <wp:simplePos x="0" y="0"/>
                      <wp:positionH relativeFrom="column">
                        <wp:posOffset>1347470</wp:posOffset>
                      </wp:positionH>
                      <wp:positionV relativeFrom="paragraph">
                        <wp:posOffset>3717925</wp:posOffset>
                      </wp:positionV>
                      <wp:extent cx="3878580" cy="255905"/>
                      <wp:effectExtent l="0" t="0" r="7620" b="0"/>
                      <wp:wrapNone/>
                      <wp:docPr id="881475341" name="Прямокутник 11"/>
                      <wp:cNvGraphicFramePr/>
                      <a:graphic xmlns:a="http://schemas.openxmlformats.org/drawingml/2006/main">
                        <a:graphicData uri="http://schemas.microsoft.com/office/word/2010/wordprocessingShape">
                          <wps:wsp>
                            <wps:cNvSpPr/>
                            <wps:spPr>
                              <a:xfrm>
                                <a:off x="0" y="0"/>
                                <a:ext cx="3878580" cy="255905"/>
                              </a:xfrm>
                              <a:prstGeom prst="rect">
                                <a:avLst/>
                              </a:prstGeom>
                              <a:solidFill>
                                <a:srgbClr val="F9CFD1"/>
                              </a:solidFill>
                            </wps:spPr>
                            <wps:txbx>
                              <w:txbxContent>
                                <w:p w14:paraId="6B9002F6" w14:textId="77777777"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Цей приклад демонструє важливість супутнього тестування у дитини, яка живе з ВІЛ.</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D0D7071" id="_x0000_s1482" style="position:absolute;margin-left:106.1pt;margin-top:292.75pt;width:305.4pt;height:20.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" fillcolor="#f9cfd1" stroked="f">
                      <v:textbox inset="0,0,0,0">
                        <w:txbxContent>
                          <w:p w14:paraId="6B9002F6" w14:textId="77777777"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Цей приклад демонструє важливість супутнього тестування у дитини, яка живе з ВІЛ.</w:t>
                            </w:r>
                          </w:p>
                        </w:txbxContent>
                      </v:textbox>
                    </v:rect>
                  </w:pict>
                </mc:Fallback>
              </mc:AlternateContent>
            </w:r>
            <w:r>
              <w:rPr>
                <w:noProof/>
              </w:rPr>
              <mc:AlternateContent>
                <mc:Choice Requires="wps">
                  <w:drawing>
                    <wp:anchor distT="0" distB="0" distL="114300" distR="114300" simplePos="0" relativeHeight="251833344" behindDoc="0" locked="0" layoutInCell="1" allowOverlap="1" wp14:anchorId="79DB4F92" wp14:editId="3C2AD92E">
                      <wp:simplePos x="0" y="0"/>
                      <wp:positionH relativeFrom="column">
                        <wp:posOffset>105410</wp:posOffset>
                      </wp:positionH>
                      <wp:positionV relativeFrom="paragraph">
                        <wp:posOffset>3740150</wp:posOffset>
                      </wp:positionV>
                      <wp:extent cx="1158240" cy="210185"/>
                      <wp:effectExtent l="0" t="0" r="3810" b="0"/>
                      <wp:wrapNone/>
                      <wp:docPr id="389776672" name="Прямокутник 10"/>
                      <wp:cNvGraphicFramePr/>
                      <a:graphic xmlns:a="http://schemas.openxmlformats.org/drawingml/2006/main">
                        <a:graphicData uri="http://schemas.microsoft.com/office/word/2010/wordprocessingShape">
                          <wps:wsp>
                            <wps:cNvSpPr/>
                            <wps:spPr>
                              <a:xfrm>
                                <a:off x="0" y="0"/>
                                <a:ext cx="1158240" cy="210185"/>
                              </a:xfrm>
                              <a:prstGeom prst="rect">
                                <a:avLst/>
                              </a:prstGeom>
                              <a:solidFill>
                                <a:srgbClr val="F59295"/>
                              </a:solidFill>
                            </wps:spPr>
                            <wps:txbx>
                              <w:txbxContent>
                                <w:p w14:paraId="4307A98F" w14:textId="77777777" w:rsidR="009D0C1D" w:rsidRPr="002A1DA2" w:rsidRDefault="009D0C1D" w:rsidP="00E76FA1">
                                  <w:pPr>
                                    <w:rPr>
                                      <w:rFonts w:ascii="Century Gothic" w:eastAsia="+mn-ea" w:hAnsi="Century Gothic" w:cs="+mn-cs"/>
                                      <w:b/>
                                      <w:bCs/>
                                      <w:kern w:val="24"/>
                                      <w:sz w:val="20"/>
                                      <w:szCs w:val="20"/>
                                    </w:rPr>
                                  </w:pPr>
                                  <w:r w:rsidRPr="002A1DA2">
                                    <w:rPr>
                                      <w:rFonts w:ascii="Century Gothic" w:hAnsi="Century Gothic"/>
                                      <w:b/>
                                      <w:sz w:val="20"/>
                                      <w:szCs w:val="22"/>
                                    </w:rPr>
                                    <w:t>МОДЕЛЮВАННЯ 2</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9DB4F92" id="_x0000_s1483" style="position:absolute;margin-left:8.3pt;margin-top:294.5pt;width:91.2pt;height:16.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" fillcolor="#f59295" stroked="f">
                      <v:textbox inset="0,0,0,0">
                        <w:txbxContent>
                          <w:p w14:paraId="4307A98F" w14:textId="77777777" w:rsidR="009D0C1D" w:rsidRPr="002A1DA2" w:rsidRDefault="009D0C1D" w:rsidP="00E76FA1">
                            <w:pPr>
                              <w:rPr>
                                <w:rFonts w:ascii="Century Gothic" w:eastAsia="+mn-ea" w:hAnsi="Century Gothic" w:cs="+mn-cs"/>
                                <w:b/>
                                <w:bCs/>
                                <w:kern w:val="24"/>
                                <w:sz w:val="20"/>
                                <w:szCs w:val="20"/>
                              </w:rPr>
                            </w:pPr>
                            <w:r w:rsidRPr="002A1DA2">
                              <w:rPr>
                                <w:rFonts w:ascii="Century Gothic" w:hAnsi="Century Gothic"/>
                                <w:b/>
                                <w:sz w:val="20"/>
                                <w:szCs w:val="22"/>
                              </w:rPr>
                              <w:t>МОДЕЛЮВАННЯ 2</w:t>
                            </w:r>
                          </w:p>
                        </w:txbxContent>
                      </v:textbox>
                    </v:rect>
                  </w:pict>
                </mc:Fallback>
              </mc:AlternateContent>
            </w:r>
            <w:r>
              <w:rPr>
                <w:noProof/>
              </w:rPr>
              <mc:AlternateContent>
                <mc:Choice Requires="wps">
                  <w:drawing>
                    <wp:anchor distT="0" distB="0" distL="114300" distR="114300" simplePos="0" relativeHeight="251832320" behindDoc="0" locked="0" layoutInCell="1" allowOverlap="1" wp14:anchorId="29F8A901" wp14:editId="7C295E27">
                      <wp:simplePos x="0" y="0"/>
                      <wp:positionH relativeFrom="column">
                        <wp:posOffset>4357370</wp:posOffset>
                      </wp:positionH>
                      <wp:positionV relativeFrom="paragraph">
                        <wp:posOffset>2559685</wp:posOffset>
                      </wp:positionV>
                      <wp:extent cx="868680" cy="434340"/>
                      <wp:effectExtent l="0" t="0" r="7620" b="3810"/>
                      <wp:wrapNone/>
                      <wp:docPr id="348014636" name="Прямокутник 9"/>
                      <wp:cNvGraphicFramePr/>
                      <a:graphic xmlns:a="http://schemas.openxmlformats.org/drawingml/2006/main">
                        <a:graphicData uri="http://schemas.microsoft.com/office/word/2010/wordprocessingShape">
                          <wps:wsp>
                            <wps:cNvSpPr/>
                            <wps:spPr>
                              <a:xfrm>
                                <a:off x="0" y="0"/>
                                <a:ext cx="868680" cy="434340"/>
                              </a:xfrm>
                              <a:prstGeom prst="rect">
                                <a:avLst/>
                              </a:prstGeom>
                              <a:solidFill>
                                <a:srgbClr val="CCE9D7"/>
                              </a:solidFill>
                            </wps:spPr>
                            <wps:txbx>
                              <w:txbxContent>
                                <w:p w14:paraId="3AD1917F" w14:textId="5991FB70"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Було призначено препарати першої лінії.</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9F8A901" id="_x0000_s1484" style="position:absolute;margin-left:343.1pt;margin-top:201.55pt;width:68.4pt;height:34.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" fillcolor="#cce9d7" stroked="f">
                      <v:textbox inset="0,0,0,0">
                        <w:txbxContent>
                          <w:p w14:paraId="3AD1917F" w14:textId="5991FB70"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Було призначено препарати першої лінії.</w:t>
                            </w:r>
                          </w:p>
                        </w:txbxContent>
                      </v:textbox>
                    </v:rect>
                  </w:pict>
                </mc:Fallback>
              </mc:AlternateContent>
            </w:r>
            <w:r>
              <w:rPr>
                <w:noProof/>
              </w:rPr>
              <mc:AlternateContent>
                <mc:Choice Requires="wps">
                  <w:drawing>
                    <wp:anchor distT="0" distB="0" distL="114300" distR="114300" simplePos="0" relativeHeight="251831296" behindDoc="0" locked="0" layoutInCell="1" allowOverlap="1" wp14:anchorId="475A09B7" wp14:editId="2FDD4792">
                      <wp:simplePos x="0" y="0"/>
                      <wp:positionH relativeFrom="column">
                        <wp:posOffset>1370330</wp:posOffset>
                      </wp:positionH>
                      <wp:positionV relativeFrom="paragraph">
                        <wp:posOffset>2559685</wp:posOffset>
                      </wp:positionV>
                      <wp:extent cx="2697480" cy="434340"/>
                      <wp:effectExtent l="0" t="0" r="7620" b="3810"/>
                      <wp:wrapNone/>
                      <wp:docPr id="1313150640" name="Прямокутник 8"/>
                      <wp:cNvGraphicFramePr/>
                      <a:graphic xmlns:a="http://schemas.openxmlformats.org/drawingml/2006/main">
                        <a:graphicData uri="http://schemas.microsoft.com/office/word/2010/wordprocessingShape">
                          <wps:wsp>
                            <wps:cNvSpPr/>
                            <wps:spPr>
                              <a:xfrm>
                                <a:off x="0" y="0"/>
                                <a:ext cx="2697480" cy="434340"/>
                              </a:xfrm>
                              <a:prstGeom prst="rect">
                                <a:avLst/>
                              </a:prstGeom>
                              <a:solidFill>
                                <a:srgbClr val="CCE9D7"/>
                              </a:solidFill>
                            </wps:spPr>
                            <wps:txbx>
                              <w:txbxContent>
                                <w:p w14:paraId="749D7601" w14:textId="77777777"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LF-LAM проводили негайно, але результат був негативним. Зразок надсилали в лабораторію для Xpert Ultra. Результат тесту був позитивним для чутливості до Mtb та RIF.</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75A09B7" id="_x0000_s1485" style="position:absolute;margin-left:107.9pt;margin-top:201.55pt;width:212.4pt;height:34.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" fillcolor="#cce9d7" stroked="f">
                      <v:textbox inset="0,0,0,0">
                        <w:txbxContent>
                          <w:p w14:paraId="749D7601" w14:textId="77777777"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LF-LAM проводили негайно, але результат був негативним. Зразок надсилали в лабораторію для Xpert Ultra. Результат тесту був позитивним для чутливості до Mtb та RIF.</w:t>
                            </w:r>
                          </w:p>
                        </w:txbxContent>
                      </v:textbox>
                    </v:rect>
                  </w:pict>
                </mc:Fallback>
              </mc:AlternateContent>
            </w:r>
            <w:r>
              <w:rPr>
                <w:noProof/>
              </w:rPr>
              <mc:AlternateContent>
                <mc:Choice Requires="wps">
                  <w:drawing>
                    <wp:anchor distT="0" distB="0" distL="114300" distR="114300" simplePos="0" relativeHeight="251830272" behindDoc="0" locked="0" layoutInCell="1" allowOverlap="1" wp14:anchorId="26CA7590" wp14:editId="191B2003">
                      <wp:simplePos x="0" y="0"/>
                      <wp:positionH relativeFrom="column">
                        <wp:posOffset>120650</wp:posOffset>
                      </wp:positionH>
                      <wp:positionV relativeFrom="paragraph">
                        <wp:posOffset>2506345</wp:posOffset>
                      </wp:positionV>
                      <wp:extent cx="976630" cy="740410"/>
                      <wp:effectExtent l="0" t="0" r="0" b="2540"/>
                      <wp:wrapNone/>
                      <wp:docPr id="1188081772" name="Прямокутник 7"/>
                      <wp:cNvGraphicFramePr/>
                      <a:graphic xmlns:a="http://schemas.openxmlformats.org/drawingml/2006/main">
                        <a:graphicData uri="http://schemas.microsoft.com/office/word/2010/wordprocessingShape">
                          <wps:wsp>
                            <wps:cNvSpPr/>
                            <wps:spPr>
                              <a:xfrm>
                                <a:off x="0" y="0"/>
                                <a:ext cx="976630" cy="740410"/>
                              </a:xfrm>
                              <a:prstGeom prst="rect">
                                <a:avLst/>
                              </a:prstGeom>
                              <a:solidFill>
                                <a:srgbClr val="CCE9D7"/>
                              </a:solidFill>
                            </wps:spPr>
                            <wps:txbx>
                              <w:txbxContent>
                                <w:p w14:paraId="77E3B13A" w14:textId="77777777"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Клініка надає тест LF-LAM. Xpert Ultra представлено у приміщеннях лабораторії.</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6CA7590" id="_x0000_s1486" style="position:absolute;margin-left:9.5pt;margin-top:197.35pt;width:76.9pt;height:5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" fillcolor="#cce9d7" stroked="f">
                      <v:textbox inset="0,0,0,0">
                        <w:txbxContent>
                          <w:p w14:paraId="77E3B13A" w14:textId="77777777"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Клініка надає тест LF-LAM. Xpert Ultra представлено у приміщеннях лабораторії.</w:t>
                            </w:r>
                          </w:p>
                        </w:txbxContent>
                      </v:textbox>
                    </v:rect>
                  </w:pict>
                </mc:Fallback>
              </mc:AlternateContent>
            </w:r>
            <w:r>
              <w:rPr>
                <w:noProof/>
              </w:rPr>
              <mc:AlternateContent>
                <mc:Choice Requires="wps">
                  <w:drawing>
                    <wp:anchor distT="0" distB="0" distL="114300" distR="114300" simplePos="0" relativeHeight="251826176" behindDoc="0" locked="0" layoutInCell="1" allowOverlap="1" wp14:anchorId="1C2D98AA" wp14:editId="4EC1BC32">
                      <wp:simplePos x="0" y="0"/>
                      <wp:positionH relativeFrom="column">
                        <wp:posOffset>1362710</wp:posOffset>
                      </wp:positionH>
                      <wp:positionV relativeFrom="paragraph">
                        <wp:posOffset>738505</wp:posOffset>
                      </wp:positionV>
                      <wp:extent cx="3483610" cy="304800"/>
                      <wp:effectExtent l="0" t="0" r="2540" b="0"/>
                      <wp:wrapNone/>
                      <wp:docPr id="977452447" name="Прямокутник 3"/>
                      <wp:cNvGraphicFramePr/>
                      <a:graphic xmlns:a="http://schemas.openxmlformats.org/drawingml/2006/main">
                        <a:graphicData uri="http://schemas.microsoft.com/office/word/2010/wordprocessingShape">
                          <wps:wsp>
                            <wps:cNvSpPr/>
                            <wps:spPr>
                              <a:xfrm>
                                <a:off x="0" y="0"/>
                                <a:ext cx="3483610" cy="304800"/>
                              </a:xfrm>
                              <a:prstGeom prst="rect">
                                <a:avLst/>
                              </a:prstGeom>
                              <a:solidFill>
                                <a:srgbClr val="F9CFD1"/>
                              </a:solidFill>
                            </wps:spPr>
                            <wps:txbx>
                              <w:txbxContent>
                                <w:p w14:paraId="159C5103" w14:textId="77777777"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Цей приклад демонструє важливість супутнього тестування в цій популяції та додаткову цінність Xpert Ultra у наданні результатів для RIF.</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C2D98AA" id="_x0000_s1487" style="position:absolute;margin-left:107.3pt;margin-top:58.15pt;width:274.3pt;height:2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" fillcolor="#f9cfd1" stroked="f">
                      <v:textbox inset="0,0,0,0">
                        <w:txbxContent>
                          <w:p w14:paraId="159C5103" w14:textId="77777777"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Цей приклад демонструє важливість супутнього тестування в цій популяції та додаткову цінність Xpert Ultra у наданні результатів для RIF.</w:t>
                            </w:r>
                          </w:p>
                        </w:txbxContent>
                      </v:textbox>
                    </v:rect>
                  </w:pict>
                </mc:Fallback>
              </mc:AlternateContent>
            </w:r>
            <w:r>
              <w:rPr>
                <w:noProof/>
              </w:rPr>
              <mc:AlternateContent>
                <mc:Choice Requires="wps">
                  <w:drawing>
                    <wp:anchor distT="0" distB="0" distL="114300" distR="114300" simplePos="0" relativeHeight="251825152" behindDoc="0" locked="0" layoutInCell="1" allowOverlap="1" wp14:anchorId="0DA424CA" wp14:editId="0D54E889">
                      <wp:simplePos x="0" y="0"/>
                      <wp:positionH relativeFrom="column">
                        <wp:posOffset>120650</wp:posOffset>
                      </wp:positionH>
                      <wp:positionV relativeFrom="paragraph">
                        <wp:posOffset>738505</wp:posOffset>
                      </wp:positionV>
                      <wp:extent cx="1143000" cy="304800"/>
                      <wp:effectExtent l="0" t="0" r="0" b="0"/>
                      <wp:wrapNone/>
                      <wp:docPr id="1717966190" name="Прямокутник 2"/>
                      <wp:cNvGraphicFramePr/>
                      <a:graphic xmlns:a="http://schemas.openxmlformats.org/drawingml/2006/main">
                        <a:graphicData uri="http://schemas.microsoft.com/office/word/2010/wordprocessingShape">
                          <wps:wsp>
                            <wps:cNvSpPr/>
                            <wps:spPr>
                              <a:xfrm>
                                <a:off x="0" y="0"/>
                                <a:ext cx="1143000" cy="304800"/>
                              </a:xfrm>
                              <a:prstGeom prst="rect">
                                <a:avLst/>
                              </a:prstGeom>
                              <a:solidFill>
                                <a:srgbClr val="F59295"/>
                              </a:solidFill>
                            </wps:spPr>
                            <wps:txbx>
                              <w:txbxContent>
                                <w:p w14:paraId="502D93B1" w14:textId="77777777" w:rsidR="009D0C1D" w:rsidRPr="002A1DA2" w:rsidRDefault="009D0C1D" w:rsidP="00E76FA1">
                                  <w:pPr>
                                    <w:rPr>
                                      <w:rFonts w:ascii="Century Gothic" w:eastAsia="+mn-ea" w:hAnsi="Century Gothic" w:cs="+mn-cs"/>
                                      <w:b/>
                                      <w:bCs/>
                                      <w:kern w:val="24"/>
                                      <w:sz w:val="20"/>
                                      <w:szCs w:val="20"/>
                                    </w:rPr>
                                  </w:pPr>
                                  <w:r w:rsidRPr="002A1DA2">
                                    <w:rPr>
                                      <w:rFonts w:ascii="Century Gothic" w:hAnsi="Century Gothic"/>
                                      <w:b/>
                                      <w:sz w:val="20"/>
                                      <w:szCs w:val="22"/>
                                    </w:rPr>
                                    <w:t>МОДЕЛЮВАННЯ 1</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DA424CA" id="_x0000_s1488" style="position:absolute;margin-left:9.5pt;margin-top:58.15pt;width:90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" fillcolor="#f59295" stroked="f">
                      <v:textbox inset="0,0,0,0">
                        <w:txbxContent>
                          <w:p w14:paraId="502D93B1" w14:textId="77777777" w:rsidR="009D0C1D" w:rsidRPr="002A1DA2" w:rsidRDefault="009D0C1D" w:rsidP="00E76FA1">
                            <w:pPr>
                              <w:rPr>
                                <w:rFonts w:ascii="Century Gothic" w:eastAsia="+mn-ea" w:hAnsi="Century Gothic" w:cs="+mn-cs"/>
                                <w:b/>
                                <w:bCs/>
                                <w:kern w:val="24"/>
                                <w:sz w:val="20"/>
                                <w:szCs w:val="20"/>
                              </w:rPr>
                            </w:pPr>
                            <w:r w:rsidRPr="002A1DA2">
                              <w:rPr>
                                <w:rFonts w:ascii="Century Gothic" w:hAnsi="Century Gothic"/>
                                <w:b/>
                                <w:sz w:val="20"/>
                                <w:szCs w:val="22"/>
                              </w:rPr>
                              <w:t>МОДЕЛЮВАННЯ 1</w:t>
                            </w:r>
                          </w:p>
                        </w:txbxContent>
                      </v:textbox>
                    </v:rect>
                  </w:pict>
                </mc:Fallback>
              </mc:AlternateContent>
            </w:r>
            <w:r w:rsidR="00E76FA1">
              <w:rPr>
                <w:noProof/>
              </w:rPr>
              <mc:AlternateContent>
                <mc:Choice Requires="wps">
                  <w:drawing>
                    <wp:anchor distT="0" distB="0" distL="114300" distR="114300" simplePos="0" relativeHeight="251827200" behindDoc="0" locked="0" layoutInCell="1" allowOverlap="1" wp14:anchorId="55166FEA" wp14:editId="2D426BE3">
                      <wp:simplePos x="0" y="0"/>
                      <wp:positionH relativeFrom="column">
                        <wp:posOffset>246380</wp:posOffset>
                      </wp:positionH>
                      <wp:positionV relativeFrom="paragraph">
                        <wp:posOffset>1304290</wp:posOffset>
                      </wp:positionV>
                      <wp:extent cx="743585" cy="243840"/>
                      <wp:effectExtent l="0" t="0" r="0" b="3810"/>
                      <wp:wrapNone/>
                      <wp:docPr id="2052676351" name="Прямокутник 4"/>
                      <wp:cNvGraphicFramePr/>
                      <a:graphic xmlns:a="http://schemas.openxmlformats.org/drawingml/2006/main">
                        <a:graphicData uri="http://schemas.microsoft.com/office/word/2010/wordprocessingShape">
                          <wps:wsp>
                            <wps:cNvSpPr/>
                            <wps:spPr>
                              <a:xfrm>
                                <a:off x="0" y="0"/>
                                <a:ext cx="743585" cy="243840"/>
                              </a:xfrm>
                              <a:prstGeom prst="rect">
                                <a:avLst/>
                              </a:prstGeom>
                              <a:solidFill>
                                <a:srgbClr val="DEDEDE"/>
                              </a:solidFill>
                            </wps:spPr>
                            <wps:txbx>
                              <w:txbxContent>
                                <w:p w14:paraId="34E74761" w14:textId="77777777" w:rsidR="009D0C1D" w:rsidRPr="002A1DA2" w:rsidRDefault="009D0C1D" w:rsidP="00E76FA1">
                                  <w:pPr>
                                    <w:jc w:val="center"/>
                                    <w:rPr>
                                      <w:rFonts w:ascii="Century Gothic" w:eastAsia="+mn-ea" w:hAnsi="Century Gothic" w:cs="+mn-cs"/>
                                      <w:kern w:val="24"/>
                                      <w:sz w:val="14"/>
                                      <w:szCs w:val="14"/>
                                    </w:rPr>
                                  </w:pPr>
                                  <w:r w:rsidRPr="002A1DA2">
                                    <w:rPr>
                                      <w:rFonts w:ascii="Century Gothic" w:hAnsi="Century Gothic"/>
                                      <w:sz w:val="14"/>
                                      <w:szCs w:val="22"/>
                                    </w:rPr>
                                    <w:t>Амбулаторна клініка з ВІЛ</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5166FEA" id="_x0000_s1489" style="position:absolute;margin-left:19.4pt;margin-top:102.7pt;width:58.55pt;height:19.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" fillcolor="#dedede" stroked="f">
                      <v:textbox inset="0,0,0,0">
                        <w:txbxContent>
                          <w:p w14:paraId="34E74761" w14:textId="77777777" w:rsidR="009D0C1D" w:rsidRPr="002A1DA2" w:rsidRDefault="009D0C1D" w:rsidP="00E76FA1">
                            <w:pPr>
                              <w:jc w:val="center"/>
                              <w:rPr>
                                <w:rFonts w:ascii="Century Gothic" w:eastAsia="+mn-ea" w:hAnsi="Century Gothic" w:cs="+mn-cs"/>
                                <w:kern w:val="24"/>
                                <w:sz w:val="14"/>
                                <w:szCs w:val="14"/>
                              </w:rPr>
                            </w:pPr>
                            <w:r w:rsidRPr="002A1DA2">
                              <w:rPr>
                                <w:rFonts w:ascii="Century Gothic" w:hAnsi="Century Gothic"/>
                                <w:sz w:val="14"/>
                                <w:szCs w:val="22"/>
                              </w:rPr>
                              <w:t>Амбулаторна клініка з ВІЛ</w:t>
                            </w:r>
                          </w:p>
                        </w:txbxContent>
                      </v:textbox>
                    </v:rect>
                  </w:pict>
                </mc:Fallback>
              </mc:AlternateContent>
            </w:r>
            <w:r w:rsidR="00E76FA1">
              <w:rPr>
                <w:noProof/>
              </w:rPr>
              <mc:AlternateContent>
                <mc:Choice Requires="wps">
                  <w:drawing>
                    <wp:anchor distT="0" distB="0" distL="114300" distR="114300" simplePos="0" relativeHeight="251828224" behindDoc="0" locked="0" layoutInCell="1" allowOverlap="1" wp14:anchorId="49402FBA" wp14:editId="2AFFAAA6">
                      <wp:simplePos x="0" y="0"/>
                      <wp:positionH relativeFrom="column">
                        <wp:posOffset>3255010</wp:posOffset>
                      </wp:positionH>
                      <wp:positionV relativeFrom="paragraph">
                        <wp:posOffset>1343660</wp:posOffset>
                      </wp:positionV>
                      <wp:extent cx="420370" cy="153670"/>
                      <wp:effectExtent l="0" t="0" r="0" b="0"/>
                      <wp:wrapNone/>
                      <wp:docPr id="1310889403" name="Прямокутник 5"/>
                      <wp:cNvGraphicFramePr/>
                      <a:graphic xmlns:a="http://schemas.openxmlformats.org/drawingml/2006/main">
                        <a:graphicData uri="http://schemas.microsoft.com/office/word/2010/wordprocessingShape">
                          <wps:wsp>
                            <wps:cNvSpPr/>
                            <wps:spPr>
                              <a:xfrm>
                                <a:off x="0" y="0"/>
                                <a:ext cx="420370" cy="153670"/>
                              </a:xfrm>
                              <a:prstGeom prst="rect">
                                <a:avLst/>
                              </a:prstGeom>
                              <a:solidFill>
                                <a:srgbClr val="FCF0F0"/>
                              </a:solidFill>
                            </wps:spPr>
                            <wps:txbx>
                              <w:txbxContent>
                                <w:p w14:paraId="43A2EA5F" w14:textId="77777777" w:rsidR="009D0C1D" w:rsidRPr="002A1DA2" w:rsidRDefault="009D0C1D" w:rsidP="00E76FA1">
                                  <w:pPr>
                                    <w:rPr>
                                      <w:rFonts w:ascii="Century Gothic" w:eastAsia="+mn-ea" w:hAnsi="Century Gothic" w:cs="+mn-cs"/>
                                      <w:b/>
                                      <w:bCs/>
                                      <w:kern w:val="24"/>
                                      <w:sz w:val="18"/>
                                      <w:szCs w:val="18"/>
                                    </w:rPr>
                                  </w:pPr>
                                  <w:r w:rsidRPr="002A1DA2">
                                    <w:rPr>
                                      <w:rFonts w:ascii="Century Gothic" w:hAnsi="Century Gothic"/>
                                      <w:b/>
                                      <w:sz w:val="18"/>
                                      <w:szCs w:val="22"/>
                                    </w:rPr>
                                    <w:t>25 хв</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9402FBA" id="_x0000_s1490" style="position:absolute;margin-left:256.3pt;margin-top:105.8pt;width:33.1pt;height:1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" fillcolor="#fcf0f0" stroked="f">
                      <v:textbox inset="0,0,0,0">
                        <w:txbxContent>
                          <w:p w14:paraId="43A2EA5F" w14:textId="77777777" w:rsidR="009D0C1D" w:rsidRPr="002A1DA2" w:rsidRDefault="009D0C1D" w:rsidP="00E76FA1">
                            <w:pPr>
                              <w:rPr>
                                <w:rFonts w:ascii="Century Gothic" w:eastAsia="+mn-ea" w:hAnsi="Century Gothic" w:cs="+mn-cs"/>
                                <w:b/>
                                <w:bCs/>
                                <w:kern w:val="24"/>
                                <w:sz w:val="18"/>
                                <w:szCs w:val="18"/>
                              </w:rPr>
                            </w:pPr>
                            <w:r w:rsidRPr="002A1DA2">
                              <w:rPr>
                                <w:rFonts w:ascii="Century Gothic" w:hAnsi="Century Gothic"/>
                                <w:b/>
                                <w:sz w:val="18"/>
                                <w:szCs w:val="22"/>
                              </w:rPr>
                              <w:t>25 хв</w:t>
                            </w:r>
                          </w:p>
                        </w:txbxContent>
                      </v:textbox>
                    </v:rect>
                  </w:pict>
                </mc:Fallback>
              </mc:AlternateContent>
            </w:r>
            <w:r w:rsidR="00E76FA1">
              <w:rPr>
                <w:noProof/>
              </w:rPr>
              <mc:AlternateContent>
                <mc:Choice Requires="wps">
                  <w:drawing>
                    <wp:anchor distT="0" distB="0" distL="114300" distR="114300" simplePos="0" relativeHeight="251829248" behindDoc="0" locked="0" layoutInCell="1" allowOverlap="1" wp14:anchorId="7AC93193" wp14:editId="7F6E29A8">
                      <wp:simplePos x="0" y="0"/>
                      <wp:positionH relativeFrom="column">
                        <wp:posOffset>3547745</wp:posOffset>
                      </wp:positionH>
                      <wp:positionV relativeFrom="paragraph">
                        <wp:posOffset>1995805</wp:posOffset>
                      </wp:positionV>
                      <wp:extent cx="142875" cy="107315"/>
                      <wp:effectExtent l="0" t="0" r="9525" b="6985"/>
                      <wp:wrapNone/>
                      <wp:docPr id="526673276" name="Прямокутник 6"/>
                      <wp:cNvGraphicFramePr/>
                      <a:graphic xmlns:a="http://schemas.openxmlformats.org/drawingml/2006/main">
                        <a:graphicData uri="http://schemas.microsoft.com/office/word/2010/wordprocessingShape">
                          <wps:wsp>
                            <wps:cNvSpPr/>
                            <wps:spPr>
                              <a:xfrm>
                                <a:off x="0" y="0"/>
                                <a:ext cx="142875" cy="107315"/>
                              </a:xfrm>
                              <a:prstGeom prst="rect">
                                <a:avLst/>
                              </a:prstGeom>
                              <a:solidFill>
                                <a:srgbClr val="009548"/>
                              </a:solidFill>
                            </wps:spPr>
                            <wps:txbx>
                              <w:txbxContent>
                                <w:p w14:paraId="734DEA6E" w14:textId="77777777" w:rsidR="009D0C1D" w:rsidRDefault="009D0C1D" w:rsidP="00E76FA1">
                                  <w:pPr>
                                    <w:jc w:val="right"/>
                                    <w:rPr>
                                      <w:rFonts w:ascii="Century Gothic" w:eastAsia="+mn-ea" w:hAnsi="Century Gothic" w:cs="+mn-cs"/>
                                      <w:b/>
                                      <w:bCs/>
                                      <w:color w:val="FFFFFF"/>
                                      <w:kern w:val="24"/>
                                      <w:sz w:val="14"/>
                                      <w:szCs w:val="14"/>
                                    </w:rPr>
                                  </w:pPr>
                                  <w:r>
                                    <w:rPr>
                                      <w:rFonts w:ascii="Century Gothic" w:hAnsi="Century Gothic"/>
                                      <w:b/>
                                      <w:color w:val="FFFFFF"/>
                                      <w:sz w:val="14"/>
                                    </w:rPr>
                                    <w:t>RIF</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AC93193" id="_x0000_s1491" style="position:absolute;margin-left:279.35pt;margin-top:157.15pt;width:11.25pt;height:8.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" fillcolor="#009548" stroked="f">
                      <v:textbox inset="0,0,0,0">
                        <w:txbxContent>
                          <w:p w14:paraId="734DEA6E" w14:textId="77777777" w:rsidR="009D0C1D" w:rsidRDefault="009D0C1D" w:rsidP="00E76FA1">
                            <w:pPr>
                              <w:jc w:val="right"/>
                              <w:rPr>
                                <w:rFonts w:ascii="Century Gothic" w:eastAsia="+mn-ea" w:hAnsi="Century Gothic" w:cs="+mn-cs"/>
                                <w:b/>
                                <w:bCs/>
                                <w:color w:val="FFFFFF"/>
                                <w:kern w:val="24"/>
                                <w:sz w:val="14"/>
                                <w:szCs w:val="14"/>
                              </w:rPr>
                            </w:pPr>
                            <w:r>
                              <w:rPr>
                                <w:rFonts w:ascii="Century Gothic" w:hAnsi="Century Gothic"/>
                                <w:b/>
                                <w:color w:val="FFFFFF"/>
                                <w:sz w:val="14"/>
                              </w:rPr>
                              <w:t>RIF</w:t>
                            </w:r>
                          </w:p>
                        </w:txbxContent>
                      </v:textbox>
                    </v:rect>
                  </w:pict>
                </mc:Fallback>
              </mc:AlternateContent>
            </w:r>
            <w:r w:rsidR="00E76FA1">
              <w:rPr>
                <w:noProof/>
              </w:rPr>
              <mc:AlternateContent>
                <mc:Choice Requires="wps">
                  <w:drawing>
                    <wp:anchor distT="0" distB="0" distL="114300" distR="114300" simplePos="0" relativeHeight="251838464" behindDoc="0" locked="0" layoutInCell="1" allowOverlap="1" wp14:anchorId="52752DA5" wp14:editId="5A52BF04">
                      <wp:simplePos x="0" y="0"/>
                      <wp:positionH relativeFrom="column">
                        <wp:posOffset>4690745</wp:posOffset>
                      </wp:positionH>
                      <wp:positionV relativeFrom="paragraph">
                        <wp:posOffset>5748020</wp:posOffset>
                      </wp:positionV>
                      <wp:extent cx="137160" cy="107315"/>
                      <wp:effectExtent l="0" t="0" r="0" b="6985"/>
                      <wp:wrapNone/>
                      <wp:docPr id="2037105919" name="Прямокутник 15"/>
                      <wp:cNvGraphicFramePr/>
                      <a:graphic xmlns:a="http://schemas.openxmlformats.org/drawingml/2006/main">
                        <a:graphicData uri="http://schemas.microsoft.com/office/word/2010/wordprocessingShape">
                          <wps:wsp>
                            <wps:cNvSpPr/>
                            <wps:spPr>
                              <a:xfrm>
                                <a:off x="0" y="0"/>
                                <a:ext cx="137160" cy="107315"/>
                              </a:xfrm>
                              <a:prstGeom prst="rect">
                                <a:avLst/>
                              </a:prstGeom>
                              <a:solidFill>
                                <a:srgbClr val="009548"/>
                              </a:solidFill>
                            </wps:spPr>
                            <wps:txbx>
                              <w:txbxContent>
                                <w:p w14:paraId="06C6E525" w14:textId="77777777" w:rsidR="009D0C1D" w:rsidRDefault="009D0C1D" w:rsidP="00E76FA1">
                                  <w:pPr>
                                    <w:rPr>
                                      <w:rFonts w:ascii="Century Gothic" w:eastAsia="+mn-ea" w:hAnsi="Century Gothic" w:cs="+mn-cs"/>
                                      <w:b/>
                                      <w:bCs/>
                                      <w:color w:val="FFFFFF"/>
                                      <w:kern w:val="24"/>
                                      <w:sz w:val="14"/>
                                      <w:szCs w:val="14"/>
                                    </w:rPr>
                                  </w:pPr>
                                  <w:r>
                                    <w:rPr>
                                      <w:rFonts w:ascii="Century Gothic" w:hAnsi="Century Gothic"/>
                                      <w:b/>
                                      <w:color w:val="FFFFFF"/>
                                      <w:sz w:val="14"/>
                                    </w:rPr>
                                    <w:t>RIF</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2752DA5" id="_x0000_s1492" style="position:absolute;margin-left:369.35pt;margin-top:452.6pt;width:10.8pt;height:8.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" fillcolor="#009548" stroked="f">
                      <v:textbox inset="0,0,0,0">
                        <w:txbxContent>
                          <w:p w14:paraId="06C6E525" w14:textId="77777777" w:rsidR="009D0C1D" w:rsidRDefault="009D0C1D" w:rsidP="00E76FA1">
                            <w:pPr>
                              <w:rPr>
                                <w:rFonts w:ascii="Century Gothic" w:eastAsia="+mn-ea" w:hAnsi="Century Gothic" w:cs="+mn-cs"/>
                                <w:b/>
                                <w:bCs/>
                                <w:color w:val="FFFFFF"/>
                                <w:kern w:val="24"/>
                                <w:sz w:val="14"/>
                                <w:szCs w:val="14"/>
                              </w:rPr>
                            </w:pPr>
                            <w:r>
                              <w:rPr>
                                <w:rFonts w:ascii="Century Gothic" w:hAnsi="Century Gothic"/>
                                <w:b/>
                                <w:color w:val="FFFFFF"/>
                                <w:sz w:val="14"/>
                              </w:rPr>
                              <w:t>RIF</w:t>
                            </w:r>
                          </w:p>
                        </w:txbxContent>
                      </v:textbox>
                    </v:rect>
                  </w:pict>
                </mc:Fallback>
              </mc:AlternateContent>
            </w:r>
            <w:r w:rsidR="00E76FA1">
              <w:rPr>
                <w:noProof/>
              </w:rPr>
              <mc:AlternateContent>
                <mc:Choice Requires="wps">
                  <w:drawing>
                    <wp:anchor distT="0" distB="0" distL="114300" distR="114300" simplePos="0" relativeHeight="251837440" behindDoc="0" locked="0" layoutInCell="1" allowOverlap="1" wp14:anchorId="5E93F1BA" wp14:editId="6C1E20DF">
                      <wp:simplePos x="0" y="0"/>
                      <wp:positionH relativeFrom="column">
                        <wp:posOffset>100965</wp:posOffset>
                      </wp:positionH>
                      <wp:positionV relativeFrom="paragraph">
                        <wp:posOffset>5480050</wp:posOffset>
                      </wp:positionV>
                      <wp:extent cx="999490" cy="1115060"/>
                      <wp:effectExtent l="0" t="0" r="0" b="8890"/>
                      <wp:wrapNone/>
                      <wp:docPr id="984456490" name="Прямокутник 14"/>
                      <wp:cNvGraphicFramePr/>
                      <a:graphic xmlns:a="http://schemas.openxmlformats.org/drawingml/2006/main">
                        <a:graphicData uri="http://schemas.microsoft.com/office/word/2010/wordprocessingShape">
                          <wps:wsp>
                            <wps:cNvSpPr/>
                            <wps:spPr>
                              <a:xfrm>
                                <a:off x="0" y="0"/>
                                <a:ext cx="999490" cy="1115060"/>
                              </a:xfrm>
                              <a:prstGeom prst="rect">
                                <a:avLst/>
                              </a:prstGeom>
                              <a:solidFill>
                                <a:srgbClr val="CCE9D7"/>
                              </a:solidFill>
                            </wps:spPr>
                            <wps:txbx>
                              <w:txbxContent>
                                <w:p w14:paraId="430A492C" w14:textId="77777777"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Клініка надає тест LF-LAM. LC-aNAAT представлено у приміщеннях лабораторії. Клініка може збирати мокротиння.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E93F1BA" id="_x0000_s1493" style="position:absolute;margin-left:7.95pt;margin-top:431.5pt;width:78.7pt;height:87.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" fillcolor="#cce9d7" stroked="f">
                      <v:textbox inset="0,0,0,0">
                        <w:txbxContent>
                          <w:p w14:paraId="430A492C" w14:textId="77777777" w:rsidR="009D0C1D" w:rsidRPr="002A1DA2" w:rsidRDefault="009D0C1D" w:rsidP="00E76FA1">
                            <w:pPr>
                              <w:rPr>
                                <w:rFonts w:ascii="Century Gothic" w:eastAsia="+mn-ea" w:hAnsi="Century Gothic" w:cs="+mn-cs"/>
                                <w:kern w:val="24"/>
                                <w:sz w:val="14"/>
                                <w:szCs w:val="14"/>
                              </w:rPr>
                            </w:pPr>
                            <w:r w:rsidRPr="002A1DA2">
                              <w:rPr>
                                <w:rFonts w:ascii="Century Gothic" w:hAnsi="Century Gothic"/>
                                <w:sz w:val="14"/>
                                <w:szCs w:val="22"/>
                              </w:rPr>
                              <w:t>Клініка надає тест LF-LAM. LC-aNAAT представлено у приміщеннях лабораторії. Клініка може збирати мокротиння.</w:t>
                            </w:r>
                          </w:p>
                        </w:txbxContent>
                      </v:textbox>
                    </v:rect>
                  </w:pict>
                </mc:Fallback>
              </mc:AlternateContent>
            </w:r>
            <w:r w:rsidR="00E76FA1">
              <w:rPr>
                <w:noProof/>
              </w:rPr>
              <mc:AlternateContent>
                <mc:Choice Requires="wps">
                  <w:drawing>
                    <wp:anchor distT="0" distB="0" distL="114300" distR="114300" simplePos="0" relativeHeight="251836416" behindDoc="0" locked="0" layoutInCell="1" allowOverlap="1" wp14:anchorId="6B849E93" wp14:editId="71D950DA">
                      <wp:simplePos x="0" y="0"/>
                      <wp:positionH relativeFrom="column">
                        <wp:posOffset>3181985</wp:posOffset>
                      </wp:positionH>
                      <wp:positionV relativeFrom="paragraph">
                        <wp:posOffset>4504690</wp:posOffset>
                      </wp:positionV>
                      <wp:extent cx="444500" cy="153670"/>
                      <wp:effectExtent l="0" t="0" r="0" b="0"/>
                      <wp:wrapNone/>
                      <wp:docPr id="1883189095" name="Прямокутник 13"/>
                      <wp:cNvGraphicFramePr/>
                      <a:graphic xmlns:a="http://schemas.openxmlformats.org/drawingml/2006/main">
                        <a:graphicData uri="http://schemas.microsoft.com/office/word/2010/wordprocessingShape">
                          <wps:wsp>
                            <wps:cNvSpPr/>
                            <wps:spPr>
                              <a:xfrm>
                                <a:off x="0" y="0"/>
                                <a:ext cx="444500" cy="153670"/>
                              </a:xfrm>
                              <a:prstGeom prst="rect">
                                <a:avLst/>
                              </a:prstGeom>
                              <a:solidFill>
                                <a:srgbClr val="FCF0F0"/>
                              </a:solidFill>
                            </wps:spPr>
                            <wps:txbx>
                              <w:txbxContent>
                                <w:p w14:paraId="6396F24D" w14:textId="77777777" w:rsidR="009D0C1D" w:rsidRDefault="009D0C1D" w:rsidP="00E76FA1">
                                  <w:pPr>
                                    <w:jc w:val="right"/>
                                    <w:rPr>
                                      <w:rFonts w:ascii="Century Gothic" w:eastAsia="+mn-ea" w:hAnsi="Century Gothic" w:cs="+mn-cs"/>
                                      <w:b/>
                                      <w:bCs/>
                                      <w:kern w:val="24"/>
                                      <w:sz w:val="20"/>
                                      <w:szCs w:val="20"/>
                                    </w:rPr>
                                  </w:pPr>
                                  <w:r>
                                    <w:rPr>
                                      <w:rFonts w:ascii="Century Gothic" w:hAnsi="Century Gothic"/>
                                      <w:b/>
                                      <w:sz w:val="20"/>
                                    </w:rPr>
                                    <w:t>25 хв</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B849E93" id="_x0000_s1494" style="position:absolute;margin-left:250.55pt;margin-top:354.7pt;width:35pt;height:12.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" fillcolor="#fcf0f0" stroked="f">
                      <v:textbox inset="0,0,0,0">
                        <w:txbxContent>
                          <w:p w14:paraId="6396F24D" w14:textId="77777777" w:rsidR="009D0C1D" w:rsidRDefault="009D0C1D" w:rsidP="00E76FA1">
                            <w:pPr>
                              <w:jc w:val="right"/>
                              <w:rPr>
                                <w:rFonts w:ascii="Century Gothic" w:eastAsia="+mn-ea" w:hAnsi="Century Gothic" w:cs="+mn-cs"/>
                                <w:b/>
                                <w:bCs/>
                                <w:kern w:val="24"/>
                                <w:sz w:val="20"/>
                                <w:szCs w:val="20"/>
                              </w:rPr>
                            </w:pPr>
                            <w:r>
                              <w:rPr>
                                <w:rFonts w:ascii="Century Gothic" w:hAnsi="Century Gothic"/>
                                <w:b/>
                                <w:sz w:val="20"/>
                              </w:rPr>
                              <w:t>25 хв</w:t>
                            </w:r>
                          </w:p>
                        </w:txbxContent>
                      </v:textbox>
                    </v:rect>
                  </w:pict>
                </mc:Fallback>
              </mc:AlternateContent>
            </w:r>
            <w:r w:rsidR="00E76FA1">
              <w:rPr>
                <w:noProof/>
              </w:rPr>
              <w:drawing>
                <wp:inline distT="0" distB="0" distL="0" distR="0" wp14:anchorId="21855A94" wp14:editId="0D857795">
                  <wp:extent cx="5782310" cy="789114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55"/>
                          <a:stretch/>
                        </pic:blipFill>
                        <pic:spPr>
                          <a:xfrm>
                            <a:off x="0" y="0"/>
                            <a:ext cx="5782310" cy="7891145"/>
                          </a:xfrm>
                          <a:prstGeom prst="rect">
                            <a:avLst/>
                          </a:prstGeom>
                        </pic:spPr>
                      </pic:pic>
                    </a:graphicData>
                  </a:graphic>
                </wp:inline>
              </w:drawing>
            </w:r>
          </w:p>
        </w:tc>
      </w:tr>
      <w:tr w:rsidR="00366CB9" w14:paraId="21D765E0" w14:textId="77777777">
        <w:trPr>
          <w:trHeight w:hRule="exact" w:val="970"/>
        </w:trPr>
        <w:tc>
          <w:tcPr>
            <w:tcW w:w="9106" w:type="dxa"/>
            <w:shd w:val="clear" w:color="auto" w:fill="FFFFFF"/>
            <w:vAlign w:val="bottom"/>
          </w:tcPr>
          <w:p w14:paraId="65C87094" w14:textId="77777777" w:rsidR="00366CB9" w:rsidRDefault="009D0C1D" w:rsidP="00B3067A">
            <w:pPr>
              <w:pStyle w:val="a6"/>
              <w:shd w:val="clear" w:color="auto" w:fill="auto"/>
              <w:spacing w:after="40" w:line="266" w:lineRule="auto"/>
              <w:rPr>
                <w:sz w:val="17"/>
                <w:szCs w:val="17"/>
              </w:rPr>
            </w:pPr>
            <w:r>
              <w:rPr>
                <w:b w:val="0"/>
                <w:color w:val="000000"/>
                <w:sz w:val="17"/>
              </w:rPr>
              <w:t xml:space="preserve">ТМЧ: тестування медикаментозної чутливості; ВІЛ: вірус імунодефіциту людини; LC-aNAAT: автоматизований NAAT низької складності; LF-LAM: ліпоарабіноманнановий тест бокового зсуву; MC-aNAAT: автоматизований аналіз ампліфікації нуклеїнових кислот середньої складності; Mtb: </w:t>
            </w:r>
            <w:r>
              <w:rPr>
                <w:b w:val="0"/>
                <w:i/>
                <w:color w:val="000000"/>
                <w:sz w:val="17"/>
              </w:rPr>
              <w:t>Mycobacterium tuberculosis</w:t>
            </w:r>
            <w:r>
              <w:rPr>
                <w:b w:val="0"/>
                <w:color w:val="000000"/>
                <w:sz w:val="17"/>
              </w:rPr>
              <w:t>; ТБ: туберкульоз.</w:t>
            </w:r>
          </w:p>
          <w:p w14:paraId="5593CAC9" w14:textId="7B864682" w:rsidR="00366CB9" w:rsidRDefault="009D0C1D" w:rsidP="00B3067A">
            <w:pPr>
              <w:pStyle w:val="a6"/>
              <w:shd w:val="clear" w:color="auto" w:fill="auto"/>
              <w:spacing w:line="266" w:lineRule="auto"/>
              <w:rPr>
                <w:sz w:val="17"/>
                <w:szCs w:val="17"/>
              </w:rPr>
            </w:pPr>
            <w:r>
              <w:rPr>
                <w:b w:val="0"/>
                <w:color w:val="000000"/>
                <w:sz w:val="17"/>
              </w:rPr>
              <w:t>Лікарські засоби: RIF: рифампіцин.</w:t>
            </w:r>
          </w:p>
        </w:tc>
      </w:tr>
    </w:tbl>
    <w:p w14:paraId="5F6C0895" w14:textId="7A3A82B6"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4E921D89"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14:paraId="1E8FAB8D" w14:textId="77777777">
        <w:trPr>
          <w:trHeight w:hRule="exact" w:val="389"/>
        </w:trPr>
        <w:tc>
          <w:tcPr>
            <w:tcW w:w="9106" w:type="dxa"/>
            <w:shd w:val="clear" w:color="auto" w:fill="FFFFFF"/>
            <w:vAlign w:val="center"/>
          </w:tcPr>
          <w:p w14:paraId="5683EFB4" w14:textId="77777777" w:rsidR="00366CB9" w:rsidRPr="00156AC1" w:rsidRDefault="009D0C1D" w:rsidP="00B3067A">
            <w:pPr>
              <w:pStyle w:val="a6"/>
              <w:shd w:val="clear" w:color="auto" w:fill="auto"/>
              <w:rPr>
                <w:sz w:val="24"/>
                <w:szCs w:val="24"/>
              </w:rPr>
            </w:pPr>
            <w:bookmarkStart w:id="194" w:name="bookmark191"/>
            <w:r>
              <w:rPr>
                <w:color w:val="636466"/>
                <w:sz w:val="24"/>
              </w:rPr>
              <w:t>Рис. 6.9. Сценарій 2: Високий ризик Нрез-ТБ</w:t>
            </w:r>
            <w:bookmarkEnd w:id="194"/>
          </w:p>
        </w:tc>
      </w:tr>
      <w:tr w:rsidR="00366CB9" w14:paraId="24E3FE70" w14:textId="77777777" w:rsidTr="00B3067A">
        <w:trPr>
          <w:trHeight w:hRule="exact" w:val="12984"/>
        </w:trPr>
        <w:tc>
          <w:tcPr>
            <w:tcW w:w="9106" w:type="dxa"/>
            <w:shd w:val="clear" w:color="auto" w:fill="FFFFFF"/>
          </w:tcPr>
          <w:p w14:paraId="08B50DED" w14:textId="43B27901" w:rsidR="00366CB9" w:rsidRDefault="002A1DA2" w:rsidP="00B3067A">
            <w:pPr>
              <w:rPr>
                <w:sz w:val="2"/>
                <w:szCs w:val="2"/>
              </w:rPr>
            </w:pPr>
            <w:r>
              <w:rPr>
                <w:noProof/>
              </w:rPr>
              <mc:AlternateContent>
                <mc:Choice Requires="wps">
                  <w:drawing>
                    <wp:anchor distT="0" distB="0" distL="114300" distR="114300" simplePos="0" relativeHeight="251864064" behindDoc="0" locked="0" layoutInCell="1" allowOverlap="1" wp14:anchorId="29398971" wp14:editId="7301DCB2">
                      <wp:simplePos x="0" y="0"/>
                      <wp:positionH relativeFrom="column">
                        <wp:posOffset>2978150</wp:posOffset>
                      </wp:positionH>
                      <wp:positionV relativeFrom="paragraph">
                        <wp:posOffset>7658735</wp:posOffset>
                      </wp:positionV>
                      <wp:extent cx="1292225" cy="350520"/>
                      <wp:effectExtent l="0" t="0" r="3175" b="0"/>
                      <wp:wrapNone/>
                      <wp:docPr id="579509406" name="Прямокутник 24"/>
                      <wp:cNvGraphicFramePr/>
                      <a:graphic xmlns:a="http://schemas.openxmlformats.org/drawingml/2006/main">
                        <a:graphicData uri="http://schemas.microsoft.com/office/word/2010/wordprocessingShape">
                          <wps:wsp>
                            <wps:cNvSpPr/>
                            <wps:spPr>
                              <a:xfrm>
                                <a:off x="0" y="0"/>
                                <a:ext cx="1292225" cy="350520"/>
                              </a:xfrm>
                              <a:prstGeom prst="rect">
                                <a:avLst/>
                              </a:prstGeom>
                              <a:solidFill>
                                <a:srgbClr val="CCE9D7"/>
                              </a:solidFill>
                            </wps:spPr>
                            <wps:txbx>
                              <w:txbxContent>
                                <w:p w14:paraId="01B0D41F"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Пацієнту було призначено схему лікування Нрез-ТБ на основі lLFX.</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9398971" id="_x0000_s1495" style="position:absolute;margin-left:234.5pt;margin-top:603.05pt;width:101.75pt;height:27.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" fillcolor="#cce9d7" stroked="f">
                      <v:textbox inset="0,0,0,0">
                        <w:txbxContent>
                          <w:p w14:paraId="01B0D41F"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Пацієнту було призначено схему лікування Нрез-ТБ на основі lLFX.</w:t>
                            </w:r>
                          </w:p>
                        </w:txbxContent>
                      </v:textbox>
                    </v:rect>
                  </w:pict>
                </mc:Fallback>
              </mc:AlternateContent>
            </w:r>
            <w:r>
              <w:rPr>
                <w:noProof/>
              </w:rPr>
              <mc:AlternateContent>
                <mc:Choice Requires="wps">
                  <w:drawing>
                    <wp:anchor distT="0" distB="0" distL="114300" distR="114300" simplePos="0" relativeHeight="251862016" behindDoc="0" locked="0" layoutInCell="1" allowOverlap="1" wp14:anchorId="6ED80C1E" wp14:editId="32B46384">
                      <wp:simplePos x="0" y="0"/>
                      <wp:positionH relativeFrom="column">
                        <wp:posOffset>1850390</wp:posOffset>
                      </wp:positionH>
                      <wp:positionV relativeFrom="paragraph">
                        <wp:posOffset>7011035</wp:posOffset>
                      </wp:positionV>
                      <wp:extent cx="2130425" cy="346075"/>
                      <wp:effectExtent l="0" t="0" r="3175" b="0"/>
                      <wp:wrapNone/>
                      <wp:docPr id="1749014666" name="Прямокутник 22"/>
                      <wp:cNvGraphicFramePr/>
                      <a:graphic xmlns:a="http://schemas.openxmlformats.org/drawingml/2006/main">
                        <a:graphicData uri="http://schemas.microsoft.com/office/word/2010/wordprocessingShape">
                          <wps:wsp>
                            <wps:cNvSpPr/>
                            <wps:spPr>
                              <a:xfrm>
                                <a:off x="0" y="0"/>
                                <a:ext cx="2130425" cy="346075"/>
                              </a:xfrm>
                              <a:prstGeom prst="rect">
                                <a:avLst/>
                              </a:prstGeom>
                              <a:solidFill>
                                <a:srgbClr val="CCE9D7"/>
                              </a:solidFill>
                            </wps:spPr>
                            <wps:txbx>
                              <w:txbxContent>
                                <w:p w14:paraId="041A4914"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Другий зразок забрали та протестували за допомогою LC-aNAAT. Резистентність до FQ не виявлено.</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ED80C1E" id="_x0000_s1496" style="position:absolute;margin-left:145.7pt;margin-top:552.05pt;width:167.75pt;height:27.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" fillcolor="#cce9d7" stroked="f">
                      <v:textbox inset="0,0,0,0">
                        <w:txbxContent>
                          <w:p w14:paraId="041A4914"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Другий зразок забрали та протестували за допомогою LC-aNAAT. Резистентність до FQ не виявлено.</w:t>
                            </w:r>
                          </w:p>
                        </w:txbxContent>
                      </v:textbox>
                    </v:rect>
                  </w:pict>
                </mc:Fallback>
              </mc:AlternateContent>
            </w:r>
            <w:r>
              <w:rPr>
                <w:noProof/>
              </w:rPr>
              <mc:AlternateContent>
                <mc:Choice Requires="wps">
                  <w:drawing>
                    <wp:anchor distT="0" distB="0" distL="114300" distR="114300" simplePos="0" relativeHeight="251860992" behindDoc="0" locked="0" layoutInCell="1" allowOverlap="1" wp14:anchorId="1DBE2201" wp14:editId="6BDB0B8F">
                      <wp:simplePos x="0" y="0"/>
                      <wp:positionH relativeFrom="column">
                        <wp:posOffset>3130550</wp:posOffset>
                      </wp:positionH>
                      <wp:positionV relativeFrom="paragraph">
                        <wp:posOffset>6309995</wp:posOffset>
                      </wp:positionV>
                      <wp:extent cx="850265" cy="346075"/>
                      <wp:effectExtent l="0" t="0" r="6985" b="0"/>
                      <wp:wrapNone/>
                      <wp:docPr id="1889901456" name="Прямокутник 21"/>
                      <wp:cNvGraphicFramePr/>
                      <a:graphic xmlns:a="http://schemas.openxmlformats.org/drawingml/2006/main">
                        <a:graphicData uri="http://schemas.microsoft.com/office/word/2010/wordprocessingShape">
                          <wps:wsp>
                            <wps:cNvSpPr/>
                            <wps:spPr>
                              <a:xfrm>
                                <a:off x="0" y="0"/>
                                <a:ext cx="850265" cy="346075"/>
                              </a:xfrm>
                              <a:prstGeom prst="rect">
                                <a:avLst/>
                              </a:prstGeom>
                              <a:solidFill>
                                <a:srgbClr val="CCE9D7"/>
                              </a:solidFill>
                            </wps:spPr>
                            <wps:txbx>
                              <w:txbxContent>
                                <w:p w14:paraId="03B0F05E"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Пацієнту діагностували Нрез-ТБ.</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DBE2201" id="_x0000_s1497" style="position:absolute;margin-left:246.5pt;margin-top:496.85pt;width:66.95pt;height:27.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" fillcolor="#cce9d7" stroked="f">
                      <v:textbox inset="0,0,0,0">
                        <w:txbxContent>
                          <w:p w14:paraId="03B0F05E"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Пацієнту діагностували Нрез-ТБ.</w:t>
                            </w:r>
                          </w:p>
                        </w:txbxContent>
                      </v:textbox>
                    </v:rect>
                  </w:pict>
                </mc:Fallback>
              </mc:AlternateContent>
            </w:r>
            <w:r>
              <w:rPr>
                <w:noProof/>
              </w:rPr>
              <mc:AlternateContent>
                <mc:Choice Requires="wps">
                  <w:drawing>
                    <wp:anchor distT="0" distB="0" distL="114300" distR="114300" simplePos="0" relativeHeight="251857920" behindDoc="0" locked="0" layoutInCell="1" allowOverlap="1" wp14:anchorId="6EA5BC9B" wp14:editId="12AA26B7">
                      <wp:simplePos x="0" y="0"/>
                      <wp:positionH relativeFrom="column">
                        <wp:posOffset>1309370</wp:posOffset>
                      </wp:positionH>
                      <wp:positionV relativeFrom="paragraph">
                        <wp:posOffset>6297930</wp:posOffset>
                      </wp:positionV>
                      <wp:extent cx="1478280" cy="381000"/>
                      <wp:effectExtent l="0" t="0" r="7620" b="0"/>
                      <wp:wrapNone/>
                      <wp:docPr id="1468509728" name="Прямокутник 18"/>
                      <wp:cNvGraphicFramePr/>
                      <a:graphic xmlns:a="http://schemas.openxmlformats.org/drawingml/2006/main">
                        <a:graphicData uri="http://schemas.microsoft.com/office/word/2010/wordprocessingShape">
                          <wps:wsp>
                            <wps:cNvSpPr/>
                            <wps:spPr>
                              <a:xfrm>
                                <a:off x="0" y="0"/>
                                <a:ext cx="1478280" cy="381000"/>
                              </a:xfrm>
                              <a:prstGeom prst="rect">
                                <a:avLst/>
                              </a:prstGeom>
                              <a:solidFill>
                                <a:srgbClr val="CCE9D7"/>
                              </a:solidFill>
                            </wps:spPr>
                            <wps:txbx>
                              <w:txbxContent>
                                <w:p w14:paraId="237C7F65"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Особу з підозрою на ТБ протестували за допомогою MC-aNAAT.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EA5BC9B" id="_x0000_s1498" style="position:absolute;margin-left:103.1pt;margin-top:495.9pt;width:116.4pt;height:3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" fillcolor="#cce9d7" stroked="f">
                      <v:textbox inset="0,0,0,0">
                        <w:txbxContent>
                          <w:p w14:paraId="237C7F65"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Особу з підозрою на ТБ протестували за допомогою MC-aNAAT.</w:t>
                            </w:r>
                          </w:p>
                        </w:txbxContent>
                      </v:textbox>
                    </v:rect>
                  </w:pict>
                </mc:Fallback>
              </mc:AlternateContent>
            </w:r>
            <w:r>
              <w:rPr>
                <w:noProof/>
              </w:rPr>
              <mc:AlternateContent>
                <mc:Choice Requires="wps">
                  <w:drawing>
                    <wp:anchor distT="0" distB="0" distL="114300" distR="114300" simplePos="0" relativeHeight="251856896" behindDoc="0" locked="0" layoutInCell="1" allowOverlap="1" wp14:anchorId="28B1A2B8" wp14:editId="379E6F38">
                      <wp:simplePos x="0" y="0"/>
                      <wp:positionH relativeFrom="column">
                        <wp:posOffset>113030</wp:posOffset>
                      </wp:positionH>
                      <wp:positionV relativeFrom="paragraph">
                        <wp:posOffset>6744335</wp:posOffset>
                      </wp:positionV>
                      <wp:extent cx="938530" cy="474980"/>
                      <wp:effectExtent l="0" t="0" r="0" b="1270"/>
                      <wp:wrapNone/>
                      <wp:docPr id="2032343091" name="Прямокутник 17"/>
                      <wp:cNvGraphicFramePr/>
                      <a:graphic xmlns:a="http://schemas.openxmlformats.org/drawingml/2006/main">
                        <a:graphicData uri="http://schemas.microsoft.com/office/word/2010/wordprocessingShape">
                          <wps:wsp>
                            <wps:cNvSpPr/>
                            <wps:spPr>
                              <a:xfrm>
                                <a:off x="0" y="0"/>
                                <a:ext cx="938530" cy="474980"/>
                              </a:xfrm>
                              <a:prstGeom prst="rect">
                                <a:avLst/>
                              </a:prstGeom>
                              <a:solidFill>
                                <a:srgbClr val="CCE9D7"/>
                              </a:solidFill>
                            </wps:spPr>
                            <wps:txbx>
                              <w:txbxContent>
                                <w:p w14:paraId="18E7EBA5"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MC-aNAAT представлено у клінічній лабораторії лікарні.</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8B1A2B8" id="_x0000_s1499" style="position:absolute;margin-left:8.9pt;margin-top:531.05pt;width:73.9pt;height:37.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" fillcolor="#cce9d7" stroked="f">
                      <v:textbox inset="0,0,0,0">
                        <w:txbxContent>
                          <w:p w14:paraId="18E7EBA5"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MC-aNAAT представлено у клінічній лабораторії лікарні.</w:t>
                            </w:r>
                          </w:p>
                        </w:txbxContent>
                      </v:textbox>
                    </v:rect>
                  </w:pict>
                </mc:Fallback>
              </mc:AlternateContent>
            </w:r>
            <w:r>
              <w:rPr>
                <w:noProof/>
              </w:rPr>
              <mc:AlternateContent>
                <mc:Choice Requires="wps">
                  <w:drawing>
                    <wp:anchor distT="0" distB="0" distL="114300" distR="114300" simplePos="0" relativeHeight="251855872" behindDoc="0" locked="0" layoutInCell="1" allowOverlap="1" wp14:anchorId="64BCBBAC" wp14:editId="220E0D53">
                      <wp:simplePos x="0" y="0"/>
                      <wp:positionH relativeFrom="column">
                        <wp:posOffset>356870</wp:posOffset>
                      </wp:positionH>
                      <wp:positionV relativeFrom="paragraph">
                        <wp:posOffset>5563235</wp:posOffset>
                      </wp:positionV>
                      <wp:extent cx="556260" cy="237490"/>
                      <wp:effectExtent l="0" t="0" r="0" b="0"/>
                      <wp:wrapNone/>
                      <wp:docPr id="1813925042" name="Прямокутник 16"/>
                      <wp:cNvGraphicFramePr/>
                      <a:graphic xmlns:a="http://schemas.openxmlformats.org/drawingml/2006/main">
                        <a:graphicData uri="http://schemas.microsoft.com/office/word/2010/wordprocessingShape">
                          <wps:wsp>
                            <wps:cNvSpPr/>
                            <wps:spPr>
                              <a:xfrm>
                                <a:off x="0" y="0"/>
                                <a:ext cx="556260" cy="237490"/>
                              </a:xfrm>
                              <a:prstGeom prst="rect">
                                <a:avLst/>
                              </a:prstGeom>
                              <a:solidFill>
                                <a:srgbClr val="DEDEDE"/>
                              </a:solidFill>
                            </wps:spPr>
                            <wps:txbx>
                              <w:txbxContent>
                                <w:p w14:paraId="5D4F0AE6"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Регіональна лікарня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4BCBBAC" id="_x0000_s1500" style="position:absolute;margin-left:28.1pt;margin-top:438.05pt;width:43.8pt;height:18.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" fillcolor="#dedede" stroked="f">
                      <v:textbox inset="0,0,0,0">
                        <w:txbxContent>
                          <w:p w14:paraId="5D4F0AE6"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Регіональна лікарня</w:t>
                            </w:r>
                          </w:p>
                        </w:txbxContent>
                      </v:textbox>
                    </v:rect>
                  </w:pict>
                </mc:Fallback>
              </mc:AlternateContent>
            </w:r>
            <w:r>
              <w:rPr>
                <w:noProof/>
              </w:rPr>
              <mc:AlternateContent>
                <mc:Choice Requires="wps">
                  <w:drawing>
                    <wp:anchor distT="0" distB="0" distL="114300" distR="114300" simplePos="0" relativeHeight="251854848" behindDoc="0" locked="0" layoutInCell="1" allowOverlap="1" wp14:anchorId="065231AC" wp14:editId="5F230430">
                      <wp:simplePos x="0" y="0"/>
                      <wp:positionH relativeFrom="column">
                        <wp:posOffset>1294130</wp:posOffset>
                      </wp:positionH>
                      <wp:positionV relativeFrom="paragraph">
                        <wp:posOffset>4991735</wp:posOffset>
                      </wp:positionV>
                      <wp:extent cx="3559810" cy="297180"/>
                      <wp:effectExtent l="0" t="0" r="2540" b="7620"/>
                      <wp:wrapNone/>
                      <wp:docPr id="1855112400" name="Прямокутник 15"/>
                      <wp:cNvGraphicFramePr/>
                      <a:graphic xmlns:a="http://schemas.openxmlformats.org/drawingml/2006/main">
                        <a:graphicData uri="http://schemas.microsoft.com/office/word/2010/wordprocessingShape">
                          <wps:wsp>
                            <wps:cNvSpPr/>
                            <wps:spPr>
                              <a:xfrm>
                                <a:off x="0" y="0"/>
                                <a:ext cx="3559810" cy="297180"/>
                              </a:xfrm>
                              <a:prstGeom prst="rect">
                                <a:avLst/>
                              </a:prstGeom>
                              <a:solidFill>
                                <a:srgbClr val="F9CFD1"/>
                              </a:solidFill>
                            </wps:spPr>
                            <wps:txbx>
                              <w:txbxContent>
                                <w:p w14:paraId="5774A6D9"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Цей приклад демонструє цінність MC-aNAAT, що одночасно виявляє резистентність до INH та RIF при первинній діагностиці ТБ,</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65231AC" id="_x0000_s1501" style="position:absolute;margin-left:101.9pt;margin-top:393.05pt;width:280.3pt;height:23.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" fillcolor="#f9cfd1" stroked="f">
                      <v:textbox inset="0,0,0,0">
                        <w:txbxContent>
                          <w:p w14:paraId="5774A6D9"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Цей приклад демонструє цінність MC-aNAAT, що одночасно виявляє резистентність до INH та RIF при первинній діагностиці ТБ,</w:t>
                            </w:r>
                          </w:p>
                        </w:txbxContent>
                      </v:textbox>
                    </v:rect>
                  </w:pict>
                </mc:Fallback>
              </mc:AlternateContent>
            </w:r>
            <w:r>
              <w:rPr>
                <w:noProof/>
              </w:rPr>
              <mc:AlternateContent>
                <mc:Choice Requires="wps">
                  <w:drawing>
                    <wp:anchor distT="0" distB="0" distL="114300" distR="114300" simplePos="0" relativeHeight="251853824" behindDoc="0" locked="0" layoutInCell="1" allowOverlap="1" wp14:anchorId="21873FB3" wp14:editId="16AF2527">
                      <wp:simplePos x="0" y="0"/>
                      <wp:positionH relativeFrom="column">
                        <wp:posOffset>82550</wp:posOffset>
                      </wp:positionH>
                      <wp:positionV relativeFrom="paragraph">
                        <wp:posOffset>5044440</wp:posOffset>
                      </wp:positionV>
                      <wp:extent cx="1112520" cy="177165"/>
                      <wp:effectExtent l="0" t="0" r="0" b="0"/>
                      <wp:wrapNone/>
                      <wp:docPr id="846387361" name="Прямокутник 14"/>
                      <wp:cNvGraphicFramePr/>
                      <a:graphic xmlns:a="http://schemas.openxmlformats.org/drawingml/2006/main">
                        <a:graphicData uri="http://schemas.microsoft.com/office/word/2010/wordprocessingShape">
                          <wps:wsp>
                            <wps:cNvSpPr/>
                            <wps:spPr>
                              <a:xfrm>
                                <a:off x="0" y="0"/>
                                <a:ext cx="1112520" cy="177165"/>
                              </a:xfrm>
                              <a:prstGeom prst="rect">
                                <a:avLst/>
                              </a:prstGeom>
                              <a:solidFill>
                                <a:srgbClr val="F59295"/>
                              </a:solidFill>
                            </wps:spPr>
                            <wps:txbx>
                              <w:txbxContent>
                                <w:p w14:paraId="70E7DDBE" w14:textId="77777777" w:rsidR="009D0C1D" w:rsidRPr="002A1DA2" w:rsidRDefault="009D0C1D" w:rsidP="009F0522">
                                  <w:pPr>
                                    <w:rPr>
                                      <w:rFonts w:ascii="Century Gothic" w:eastAsia="+mn-ea" w:hAnsi="Century Gothic" w:cs="+mn-cs"/>
                                      <w:b/>
                                      <w:bCs/>
                                      <w:kern w:val="24"/>
                                      <w:sz w:val="18"/>
                                      <w:szCs w:val="18"/>
                                    </w:rPr>
                                  </w:pPr>
                                  <w:r w:rsidRPr="002A1DA2">
                                    <w:rPr>
                                      <w:rFonts w:ascii="Century Gothic" w:hAnsi="Century Gothic"/>
                                      <w:b/>
                                      <w:sz w:val="18"/>
                                      <w:szCs w:val="22"/>
                                    </w:rPr>
                                    <w:t>МОДЕЛЮВАННЯ 2</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1873FB3" id="_x0000_s1502" style="position:absolute;margin-left:6.5pt;margin-top:397.2pt;width:87.6pt;height:13.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" fillcolor="#f59295" stroked="f">
                      <v:textbox inset="0,0,0,0">
                        <w:txbxContent>
                          <w:p w14:paraId="70E7DDBE" w14:textId="77777777" w:rsidR="009D0C1D" w:rsidRPr="002A1DA2" w:rsidRDefault="009D0C1D" w:rsidP="009F0522">
                            <w:pPr>
                              <w:rPr>
                                <w:rFonts w:ascii="Century Gothic" w:eastAsia="+mn-ea" w:hAnsi="Century Gothic" w:cs="+mn-cs"/>
                                <w:b/>
                                <w:bCs/>
                                <w:kern w:val="24"/>
                                <w:sz w:val="18"/>
                                <w:szCs w:val="18"/>
                              </w:rPr>
                            </w:pPr>
                            <w:r w:rsidRPr="002A1DA2">
                              <w:rPr>
                                <w:rFonts w:ascii="Century Gothic" w:hAnsi="Century Gothic"/>
                                <w:b/>
                                <w:sz w:val="18"/>
                                <w:szCs w:val="22"/>
                              </w:rPr>
                              <w:t>МОДЕЛЮВАННЯ 2</w:t>
                            </w:r>
                          </w:p>
                        </w:txbxContent>
                      </v:textbox>
                    </v:rect>
                  </w:pict>
                </mc:Fallback>
              </mc:AlternateContent>
            </w:r>
            <w:r>
              <w:rPr>
                <w:noProof/>
              </w:rPr>
              <mc:AlternateContent>
                <mc:Choice Requires="wps">
                  <w:drawing>
                    <wp:anchor distT="0" distB="0" distL="114300" distR="114300" simplePos="0" relativeHeight="251852800" behindDoc="0" locked="0" layoutInCell="1" allowOverlap="1" wp14:anchorId="3DB14838" wp14:editId="6E482FBA">
                      <wp:simplePos x="0" y="0"/>
                      <wp:positionH relativeFrom="column">
                        <wp:posOffset>2612390</wp:posOffset>
                      </wp:positionH>
                      <wp:positionV relativeFrom="paragraph">
                        <wp:posOffset>4244975</wp:posOffset>
                      </wp:positionV>
                      <wp:extent cx="1657985" cy="289560"/>
                      <wp:effectExtent l="0" t="0" r="0" b="0"/>
                      <wp:wrapNone/>
                      <wp:docPr id="686026091" name="Прямокутник 13"/>
                      <wp:cNvGraphicFramePr/>
                      <a:graphic xmlns:a="http://schemas.openxmlformats.org/drawingml/2006/main">
                        <a:graphicData uri="http://schemas.microsoft.com/office/word/2010/wordprocessingShape">
                          <wps:wsp>
                            <wps:cNvSpPr/>
                            <wps:spPr>
                              <a:xfrm>
                                <a:off x="0" y="0"/>
                                <a:ext cx="1657985" cy="289560"/>
                              </a:xfrm>
                              <a:prstGeom prst="rect">
                                <a:avLst/>
                              </a:prstGeom>
                              <a:solidFill>
                                <a:srgbClr val="CCE9D5"/>
                              </a:solidFill>
                            </wps:spPr>
                            <wps:txbx>
                              <w:txbxContent>
                                <w:p w14:paraId="18A9E76E"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Лікування було скориговано до схеми лікування Нрез-ТБ з додаванням LFX.</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DB14838" id="_x0000_s1503" style="position:absolute;margin-left:205.7pt;margin-top:334.25pt;width:130.55pt;height:22.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" fillcolor="#cce9d5" stroked="f">
                      <v:textbox inset="0,0,0,0">
                        <w:txbxContent>
                          <w:p w14:paraId="18A9E76E"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Лікування було скориговано до схеми лікування Нрез-ТБ з додаванням LFX.</w:t>
                            </w:r>
                          </w:p>
                        </w:txbxContent>
                      </v:textbox>
                    </v:rect>
                  </w:pict>
                </mc:Fallback>
              </mc:AlternateContent>
            </w:r>
            <w:r>
              <w:rPr>
                <w:noProof/>
              </w:rPr>
              <mc:AlternateContent>
                <mc:Choice Requires="wps">
                  <w:drawing>
                    <wp:anchor distT="0" distB="0" distL="114300" distR="114300" simplePos="0" relativeHeight="251849728" behindDoc="0" locked="0" layoutInCell="1" allowOverlap="1" wp14:anchorId="53407E81" wp14:editId="62530673">
                      <wp:simplePos x="0" y="0"/>
                      <wp:positionH relativeFrom="column">
                        <wp:posOffset>1850389</wp:posOffset>
                      </wp:positionH>
                      <wp:positionV relativeFrom="paragraph">
                        <wp:posOffset>3582035</wp:posOffset>
                      </wp:positionV>
                      <wp:extent cx="2328545" cy="359410"/>
                      <wp:effectExtent l="0" t="0" r="0" b="2540"/>
                      <wp:wrapNone/>
                      <wp:docPr id="1472573087" name="Прямокутник 10"/>
                      <wp:cNvGraphicFramePr/>
                      <a:graphic xmlns:a="http://schemas.openxmlformats.org/drawingml/2006/main">
                        <a:graphicData uri="http://schemas.microsoft.com/office/word/2010/wordprocessingShape">
                          <wps:wsp>
                            <wps:cNvSpPr/>
                            <wps:spPr>
                              <a:xfrm>
                                <a:off x="0" y="0"/>
                                <a:ext cx="2328545" cy="359410"/>
                              </a:xfrm>
                              <a:prstGeom prst="rect">
                                <a:avLst/>
                              </a:prstGeom>
                              <a:solidFill>
                                <a:srgbClr val="CCE9D5"/>
                              </a:solidFill>
                            </wps:spPr>
                            <wps:txbx>
                              <w:txbxContent>
                                <w:p w14:paraId="6C826BA4"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Другий зразок забирали та тестували за допомогою LC-aNAAT. Було виявлено резистентність до INH. Також було виявлено чутливість до FQ.</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3407E81" id="_x0000_s1504" style="position:absolute;margin-left:145.7pt;margin-top:282.05pt;width:183.35pt;height:28.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" fillcolor="#cce9d5" stroked="f">
                      <v:textbox inset="0,0,0,0">
                        <w:txbxContent>
                          <w:p w14:paraId="6C826BA4"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Другий зразок забирали та тестували за допомогою LC-aNAAT. Було виявлено резистентність до INH. Також було виявлено чутливість до FQ.</w:t>
                            </w:r>
                          </w:p>
                        </w:txbxContent>
                      </v:textbox>
                    </v:rect>
                  </w:pict>
                </mc:Fallback>
              </mc:AlternateContent>
            </w:r>
            <w:r>
              <w:rPr>
                <w:noProof/>
              </w:rPr>
              <mc:AlternateContent>
                <mc:Choice Requires="wps">
                  <w:drawing>
                    <wp:anchor distT="0" distB="0" distL="114300" distR="114300" simplePos="0" relativeHeight="251848704" behindDoc="0" locked="0" layoutInCell="1" allowOverlap="1" wp14:anchorId="79BBF01A" wp14:editId="59FAC407">
                      <wp:simplePos x="0" y="0"/>
                      <wp:positionH relativeFrom="column">
                        <wp:posOffset>2459990</wp:posOffset>
                      </wp:positionH>
                      <wp:positionV relativeFrom="paragraph">
                        <wp:posOffset>3056255</wp:posOffset>
                      </wp:positionV>
                      <wp:extent cx="1663700" cy="312420"/>
                      <wp:effectExtent l="0" t="0" r="0" b="0"/>
                      <wp:wrapNone/>
                      <wp:docPr id="655655272" name="Прямокутник 9"/>
                      <wp:cNvGraphicFramePr/>
                      <a:graphic xmlns:a="http://schemas.openxmlformats.org/drawingml/2006/main">
                        <a:graphicData uri="http://schemas.microsoft.com/office/word/2010/wordprocessingShape">
                          <wps:wsp>
                            <wps:cNvSpPr/>
                            <wps:spPr>
                              <a:xfrm>
                                <a:off x="0" y="0"/>
                                <a:ext cx="1663700" cy="312420"/>
                              </a:xfrm>
                              <a:prstGeom prst="rect">
                                <a:avLst/>
                              </a:prstGeom>
                              <a:solidFill>
                                <a:srgbClr val="CCE9D5"/>
                              </a:solidFill>
                            </wps:spPr>
                            <wps:txbx>
                              <w:txbxContent>
                                <w:p w14:paraId="25471777"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Високий ризик Нрез-ТБ вимагав тестування на виявлення резистентності до INH.</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9BBF01A" id="_x0000_s1505" style="position:absolute;margin-left:193.7pt;margin-top:240.65pt;width:131pt;height:24.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" fillcolor="#cce9d5" stroked="f">
                      <v:textbox inset="0,0,0,0">
                        <w:txbxContent>
                          <w:p w14:paraId="25471777"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Високий ризик Нрез-ТБ вимагав тестування на виявлення резистентності до INH.</w:t>
                            </w:r>
                          </w:p>
                        </w:txbxContent>
                      </v:textbox>
                    </v:rect>
                  </w:pict>
                </mc:Fallback>
              </mc:AlternateContent>
            </w:r>
            <w:r>
              <w:rPr>
                <w:noProof/>
              </w:rPr>
              <mc:AlternateContent>
                <mc:Choice Requires="wps">
                  <w:drawing>
                    <wp:anchor distT="0" distB="0" distL="114300" distR="114300" simplePos="0" relativeHeight="251847680" behindDoc="0" locked="0" layoutInCell="1" allowOverlap="1" wp14:anchorId="49AC2B5D" wp14:editId="68B4634B">
                      <wp:simplePos x="0" y="0"/>
                      <wp:positionH relativeFrom="column">
                        <wp:posOffset>2459990</wp:posOffset>
                      </wp:positionH>
                      <wp:positionV relativeFrom="paragraph">
                        <wp:posOffset>2507615</wp:posOffset>
                      </wp:positionV>
                      <wp:extent cx="1600200" cy="358140"/>
                      <wp:effectExtent l="0" t="0" r="0" b="3810"/>
                      <wp:wrapNone/>
                      <wp:docPr id="283849422" name="Прямокутник 8"/>
                      <wp:cNvGraphicFramePr/>
                      <a:graphic xmlns:a="http://schemas.openxmlformats.org/drawingml/2006/main">
                        <a:graphicData uri="http://schemas.microsoft.com/office/word/2010/wordprocessingShape">
                          <wps:wsp>
                            <wps:cNvSpPr/>
                            <wps:spPr>
                              <a:xfrm>
                                <a:off x="0" y="0"/>
                                <a:ext cx="1600200" cy="358140"/>
                              </a:xfrm>
                              <a:prstGeom prst="rect">
                                <a:avLst/>
                              </a:prstGeom>
                              <a:solidFill>
                                <a:srgbClr val="CCE9D5"/>
                              </a:solidFill>
                            </wps:spPr>
                            <wps:txbx>
                              <w:txbxContent>
                                <w:p w14:paraId="5D2E268F"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Було виявлено RIF-чутливий ТБ. Було розпочато лікування ТБ препаратами першої лінії.</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9AC2B5D" id="_x0000_s1506" style="position:absolute;margin-left:193.7pt;margin-top:197.45pt;width:126pt;height:28.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" fillcolor="#cce9d5" stroked="f">
                      <v:textbox inset="0,0,0,0">
                        <w:txbxContent>
                          <w:p w14:paraId="5D2E268F"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Було виявлено RIF-чутливий ТБ. Було розпочато лікування ТБ препаратами першої лінії.</w:t>
                            </w:r>
                          </w:p>
                        </w:txbxContent>
                      </v:textbox>
                    </v:rect>
                  </w:pict>
                </mc:Fallback>
              </mc:AlternateContent>
            </w:r>
            <w:r>
              <w:rPr>
                <w:noProof/>
              </w:rPr>
              <mc:AlternateContent>
                <mc:Choice Requires="wps">
                  <w:drawing>
                    <wp:anchor distT="0" distB="0" distL="114300" distR="114300" simplePos="0" relativeHeight="251846656" behindDoc="0" locked="0" layoutInCell="1" allowOverlap="1" wp14:anchorId="5A524F24" wp14:editId="7A50231C">
                      <wp:simplePos x="0" y="0"/>
                      <wp:positionH relativeFrom="column">
                        <wp:posOffset>1309370</wp:posOffset>
                      </wp:positionH>
                      <wp:positionV relativeFrom="paragraph">
                        <wp:posOffset>2035175</wp:posOffset>
                      </wp:positionV>
                      <wp:extent cx="2750820" cy="237490"/>
                      <wp:effectExtent l="0" t="0" r="0" b="0"/>
                      <wp:wrapNone/>
                      <wp:docPr id="1061461146" name="Прямокутник 7"/>
                      <wp:cNvGraphicFramePr/>
                      <a:graphic xmlns:a="http://schemas.openxmlformats.org/drawingml/2006/main">
                        <a:graphicData uri="http://schemas.microsoft.com/office/word/2010/wordprocessingShape">
                          <wps:wsp>
                            <wps:cNvSpPr/>
                            <wps:spPr>
                              <a:xfrm>
                                <a:off x="0" y="0"/>
                                <a:ext cx="2750820" cy="237490"/>
                              </a:xfrm>
                              <a:prstGeom prst="rect">
                                <a:avLst/>
                              </a:prstGeom>
                              <a:solidFill>
                                <a:srgbClr val="CCE9D5"/>
                              </a:solidFill>
                            </wps:spPr>
                            <wps:txbx>
                              <w:txbxContent>
                                <w:p w14:paraId="4D4BC3C4"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Особу з підозрою на ТБ тестували за допомогою тестів Xpert MTB/RIF.</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A524F24" id="_x0000_s1507" style="position:absolute;margin-left:103.1pt;margin-top:160.25pt;width:216.6pt;height:18.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" fillcolor="#cce9d5" stroked="f">
                      <v:textbox inset="0,0,0,0">
                        <w:txbxContent>
                          <w:p w14:paraId="4D4BC3C4"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Особу з підозрою на ТБ тестували за допомогою тестів Xpert MTB/RIF.</w:t>
                            </w:r>
                          </w:p>
                        </w:txbxContent>
                      </v:textbox>
                    </v:rect>
                  </w:pict>
                </mc:Fallback>
              </mc:AlternateContent>
            </w:r>
            <w:r>
              <w:rPr>
                <w:noProof/>
              </w:rPr>
              <mc:AlternateContent>
                <mc:Choice Requires="wps">
                  <w:drawing>
                    <wp:anchor distT="0" distB="0" distL="114300" distR="114300" simplePos="0" relativeHeight="251845632" behindDoc="0" locked="0" layoutInCell="1" allowOverlap="1" wp14:anchorId="5A0A8324" wp14:editId="184BF13A">
                      <wp:simplePos x="0" y="0"/>
                      <wp:positionH relativeFrom="column">
                        <wp:posOffset>97790</wp:posOffset>
                      </wp:positionH>
                      <wp:positionV relativeFrom="paragraph">
                        <wp:posOffset>2393315</wp:posOffset>
                      </wp:positionV>
                      <wp:extent cx="953770" cy="346075"/>
                      <wp:effectExtent l="0" t="0" r="0" b="0"/>
                      <wp:wrapNone/>
                      <wp:docPr id="1283296531" name="Прямокутник 6"/>
                      <wp:cNvGraphicFramePr/>
                      <a:graphic xmlns:a="http://schemas.openxmlformats.org/drawingml/2006/main">
                        <a:graphicData uri="http://schemas.microsoft.com/office/word/2010/wordprocessingShape">
                          <wps:wsp>
                            <wps:cNvSpPr/>
                            <wps:spPr>
                              <a:xfrm>
                                <a:off x="0" y="0"/>
                                <a:ext cx="953770" cy="346075"/>
                              </a:xfrm>
                              <a:prstGeom prst="rect">
                                <a:avLst/>
                              </a:prstGeom>
                              <a:solidFill>
                                <a:srgbClr val="CCE9D5"/>
                              </a:solidFill>
                            </wps:spPr>
                            <wps:txbx>
                              <w:txbxContent>
                                <w:p w14:paraId="54EF3E97"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У клініці представлені тести LC-aNAAT.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A0A8324" id="_x0000_s1508" style="position:absolute;margin-left:7.7pt;margin-top:188.45pt;width:75.1pt;height:27.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" fillcolor="#cce9d5" stroked="f">
                      <v:textbox inset="0,0,0,0">
                        <w:txbxContent>
                          <w:p w14:paraId="54EF3E97"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У клініці представлені тести LC-aNAAT.</w:t>
                            </w:r>
                          </w:p>
                        </w:txbxContent>
                      </v:textbox>
                    </v:rect>
                  </w:pict>
                </mc:Fallback>
              </mc:AlternateContent>
            </w:r>
            <w:r>
              <w:rPr>
                <w:noProof/>
              </w:rPr>
              <mc:AlternateContent>
                <mc:Choice Requires="wps">
                  <w:drawing>
                    <wp:anchor distT="0" distB="0" distL="114300" distR="114300" simplePos="0" relativeHeight="251842560" behindDoc="0" locked="0" layoutInCell="1" allowOverlap="1" wp14:anchorId="5A46B364" wp14:editId="46A89071">
                      <wp:simplePos x="0" y="0"/>
                      <wp:positionH relativeFrom="column">
                        <wp:posOffset>1172210</wp:posOffset>
                      </wp:positionH>
                      <wp:positionV relativeFrom="paragraph">
                        <wp:posOffset>785495</wp:posOffset>
                      </wp:positionV>
                      <wp:extent cx="3863340" cy="359410"/>
                      <wp:effectExtent l="0" t="0" r="3810" b="2540"/>
                      <wp:wrapNone/>
                      <wp:docPr id="466861892" name="Прямокутник 3"/>
                      <wp:cNvGraphicFramePr/>
                      <a:graphic xmlns:a="http://schemas.openxmlformats.org/drawingml/2006/main">
                        <a:graphicData uri="http://schemas.microsoft.com/office/word/2010/wordprocessingShape">
                          <wps:wsp>
                            <wps:cNvSpPr/>
                            <wps:spPr>
                              <a:xfrm>
                                <a:off x="0" y="0"/>
                                <a:ext cx="3863340" cy="359410"/>
                              </a:xfrm>
                              <a:prstGeom prst="rect">
                                <a:avLst/>
                              </a:prstGeom>
                              <a:solidFill>
                                <a:srgbClr val="F8CED0"/>
                              </a:solidFill>
                            </wps:spPr>
                            <wps:txbx>
                              <w:txbxContent>
                                <w:p w14:paraId="55607892"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Цей приклад демонструє необхідність врахування місцевого контексту. У цьому випадку висока поширеність Нрез-ТБ призвела до тестування на резистентність до INH для всіх пацієнтів з чутливістю до RIF. Після mWRD проводиться подальше тестування на Нрез-ТБ.</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A46B364" id="_x0000_s1509" style="position:absolute;margin-left:92.3pt;margin-top:61.85pt;width:304.2pt;height:28.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" fillcolor="#f8ced0" stroked="f">
                      <v:textbox inset="0,0,0,0">
                        <w:txbxContent>
                          <w:p w14:paraId="55607892"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Цей приклад демонструє необхідність врахування місцевого контексту. У цьому випадку висока поширеність Нрез-ТБ призвела до тестування на резистентність до INH для всіх пацієнтів з чутливістю до RIF. Після mWRD проводиться подальше тестування на Нрез-ТБ.</w:t>
                            </w:r>
                          </w:p>
                        </w:txbxContent>
                      </v:textbox>
                    </v:rect>
                  </w:pict>
                </mc:Fallback>
              </mc:AlternateContent>
            </w:r>
            <w:r>
              <w:rPr>
                <w:noProof/>
              </w:rPr>
              <mc:AlternateContent>
                <mc:Choice Requires="wps">
                  <w:drawing>
                    <wp:anchor distT="0" distB="0" distL="114300" distR="114300" simplePos="0" relativeHeight="251843584" behindDoc="0" locked="0" layoutInCell="1" allowOverlap="1" wp14:anchorId="39AE48FD" wp14:editId="71E6185C">
                      <wp:simplePos x="0" y="0"/>
                      <wp:positionH relativeFrom="column">
                        <wp:posOffset>189229</wp:posOffset>
                      </wp:positionH>
                      <wp:positionV relativeFrom="paragraph">
                        <wp:posOffset>1395095</wp:posOffset>
                      </wp:positionV>
                      <wp:extent cx="804545" cy="213995"/>
                      <wp:effectExtent l="0" t="0" r="0" b="0"/>
                      <wp:wrapNone/>
                      <wp:docPr id="1277263417" name="Прямокутник 4"/>
                      <wp:cNvGraphicFramePr/>
                      <a:graphic xmlns:a="http://schemas.openxmlformats.org/drawingml/2006/main">
                        <a:graphicData uri="http://schemas.microsoft.com/office/word/2010/wordprocessingShape">
                          <wps:wsp>
                            <wps:cNvSpPr/>
                            <wps:spPr>
                              <a:xfrm>
                                <a:off x="0" y="0"/>
                                <a:ext cx="804545" cy="213995"/>
                              </a:xfrm>
                              <a:prstGeom prst="rect">
                                <a:avLst/>
                              </a:prstGeom>
                              <a:solidFill>
                                <a:srgbClr val="DEDEDE"/>
                              </a:solidFill>
                            </wps:spPr>
                            <wps:txbx>
                              <w:txbxContent>
                                <w:p w14:paraId="67037BD0"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Периферійна клініка</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9AE48FD" id="_x0000_s1510" style="position:absolute;margin-left:14.9pt;margin-top:109.85pt;width:63.35pt;height:16.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" fillcolor="#dedede" stroked="f">
                      <v:textbox inset="0,0,0,0">
                        <w:txbxContent>
                          <w:p w14:paraId="67037BD0" w14:textId="77777777" w:rsidR="009D0C1D" w:rsidRPr="002A1DA2" w:rsidRDefault="009D0C1D" w:rsidP="009F0522">
                            <w:pPr>
                              <w:rPr>
                                <w:rFonts w:ascii="Century Gothic" w:eastAsia="+mn-ea" w:hAnsi="Century Gothic" w:cs="+mn-cs"/>
                                <w:kern w:val="24"/>
                                <w:sz w:val="13"/>
                                <w:szCs w:val="13"/>
                              </w:rPr>
                            </w:pPr>
                            <w:r w:rsidRPr="002A1DA2">
                              <w:rPr>
                                <w:rFonts w:ascii="Century Gothic" w:hAnsi="Century Gothic"/>
                                <w:sz w:val="13"/>
                                <w:szCs w:val="22"/>
                              </w:rPr>
                              <w:t>Периферійна клініка</w:t>
                            </w:r>
                          </w:p>
                        </w:txbxContent>
                      </v:textbox>
                    </v:rect>
                  </w:pict>
                </mc:Fallback>
              </mc:AlternateContent>
            </w:r>
            <w:r>
              <w:rPr>
                <w:noProof/>
              </w:rPr>
              <mc:AlternateContent>
                <mc:Choice Requires="wps">
                  <w:drawing>
                    <wp:anchor distT="0" distB="0" distL="114300" distR="114300" simplePos="0" relativeHeight="251841536" behindDoc="0" locked="0" layoutInCell="1" allowOverlap="1" wp14:anchorId="214E6612" wp14:editId="6EE16961">
                      <wp:simplePos x="0" y="0"/>
                      <wp:positionH relativeFrom="column">
                        <wp:posOffset>83820</wp:posOffset>
                      </wp:positionH>
                      <wp:positionV relativeFrom="paragraph">
                        <wp:posOffset>892175</wp:posOffset>
                      </wp:positionV>
                      <wp:extent cx="1043940" cy="153670"/>
                      <wp:effectExtent l="0" t="0" r="3810" b="0"/>
                      <wp:wrapNone/>
                      <wp:docPr id="2120676305" name="Прямокутник 2"/>
                      <wp:cNvGraphicFramePr/>
                      <a:graphic xmlns:a="http://schemas.openxmlformats.org/drawingml/2006/main">
                        <a:graphicData uri="http://schemas.microsoft.com/office/word/2010/wordprocessingShape">
                          <wps:wsp>
                            <wps:cNvSpPr/>
                            <wps:spPr>
                              <a:xfrm>
                                <a:off x="0" y="0"/>
                                <a:ext cx="1043940" cy="153670"/>
                              </a:xfrm>
                              <a:prstGeom prst="rect">
                                <a:avLst/>
                              </a:prstGeom>
                              <a:solidFill>
                                <a:srgbClr val="EC9696"/>
                              </a:solidFill>
                            </wps:spPr>
                            <wps:txbx>
                              <w:txbxContent>
                                <w:p w14:paraId="277E3AB4" w14:textId="77777777" w:rsidR="009D0C1D" w:rsidRPr="002A1DA2" w:rsidRDefault="009D0C1D" w:rsidP="009F0522">
                                  <w:pPr>
                                    <w:rPr>
                                      <w:rFonts w:ascii="Century Gothic" w:eastAsia="+mn-ea" w:hAnsi="Century Gothic" w:cs="+mn-cs"/>
                                      <w:b/>
                                      <w:bCs/>
                                      <w:kern w:val="24"/>
                                      <w:sz w:val="18"/>
                                      <w:szCs w:val="18"/>
                                    </w:rPr>
                                  </w:pPr>
                                  <w:r w:rsidRPr="002A1DA2">
                                    <w:rPr>
                                      <w:rFonts w:ascii="Century Gothic" w:hAnsi="Century Gothic"/>
                                      <w:b/>
                                      <w:sz w:val="18"/>
                                      <w:szCs w:val="22"/>
                                    </w:rPr>
                                    <w:t>МОДЕЛЮВАННЯ 1</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14E6612" id="_x0000_s1511" style="position:absolute;margin-left:6.6pt;margin-top:70.25pt;width:82.2pt;height:12.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" fillcolor="#ec9696" stroked="f">
                      <v:textbox inset="0,0,0,0">
                        <w:txbxContent>
                          <w:p w14:paraId="277E3AB4" w14:textId="77777777" w:rsidR="009D0C1D" w:rsidRPr="002A1DA2" w:rsidRDefault="009D0C1D" w:rsidP="009F0522">
                            <w:pPr>
                              <w:rPr>
                                <w:rFonts w:ascii="Century Gothic" w:eastAsia="+mn-ea" w:hAnsi="Century Gothic" w:cs="+mn-cs"/>
                                <w:b/>
                                <w:bCs/>
                                <w:kern w:val="24"/>
                                <w:sz w:val="18"/>
                                <w:szCs w:val="18"/>
                              </w:rPr>
                            </w:pPr>
                            <w:r w:rsidRPr="002A1DA2">
                              <w:rPr>
                                <w:rFonts w:ascii="Century Gothic" w:hAnsi="Century Gothic"/>
                                <w:b/>
                                <w:sz w:val="18"/>
                                <w:szCs w:val="22"/>
                              </w:rPr>
                              <w:t>МОДЕЛЮВАННЯ 1</w:t>
                            </w:r>
                          </w:p>
                        </w:txbxContent>
                      </v:textbox>
                    </v:rect>
                  </w:pict>
                </mc:Fallback>
              </mc:AlternateContent>
            </w:r>
            <w:r w:rsidR="009F0522">
              <w:rPr>
                <w:noProof/>
              </w:rPr>
              <mc:AlternateContent>
                <mc:Choice Requires="wps">
                  <w:drawing>
                    <wp:anchor distT="0" distB="0" distL="114300" distR="114300" simplePos="0" relativeHeight="251863040" behindDoc="0" locked="0" layoutInCell="1" allowOverlap="1" wp14:anchorId="06757E2D" wp14:editId="5F13C712">
                      <wp:simplePos x="0" y="0"/>
                      <wp:positionH relativeFrom="column">
                        <wp:posOffset>4447540</wp:posOffset>
                      </wp:positionH>
                      <wp:positionV relativeFrom="paragraph">
                        <wp:posOffset>7077710</wp:posOffset>
                      </wp:positionV>
                      <wp:extent cx="112395" cy="99695"/>
                      <wp:effectExtent l="0" t="0" r="1905" b="0"/>
                      <wp:wrapNone/>
                      <wp:docPr id="1864143846" name="Прямокутник 23"/>
                      <wp:cNvGraphicFramePr/>
                      <a:graphic xmlns:a="http://schemas.openxmlformats.org/drawingml/2006/main">
                        <a:graphicData uri="http://schemas.microsoft.com/office/word/2010/wordprocessingShape">
                          <wps:wsp>
                            <wps:cNvSpPr/>
                            <wps:spPr>
                              <a:xfrm>
                                <a:off x="0" y="0"/>
                                <a:ext cx="112395" cy="99695"/>
                              </a:xfrm>
                              <a:prstGeom prst="rect">
                                <a:avLst/>
                              </a:prstGeom>
                              <a:solidFill>
                                <a:srgbClr val="009548"/>
                              </a:solidFill>
                            </wps:spPr>
                            <wps:txbx>
                              <w:txbxContent>
                                <w:p w14:paraId="5B080EBF" w14:textId="77777777" w:rsidR="009D0C1D" w:rsidRPr="002A1DA2" w:rsidRDefault="009D0C1D" w:rsidP="009F0522">
                                  <w:pPr>
                                    <w:jc w:val="right"/>
                                    <w:rPr>
                                      <w:rFonts w:ascii="Century Gothic" w:eastAsia="+mn-ea" w:hAnsi="Century Gothic" w:cs="+mn-cs"/>
                                      <w:b/>
                                      <w:bCs/>
                                      <w:color w:val="FFFFFF"/>
                                      <w:kern w:val="24"/>
                                      <w:sz w:val="11"/>
                                      <w:szCs w:val="11"/>
                                    </w:rPr>
                                  </w:pPr>
                                  <w:r w:rsidRPr="002A1DA2">
                                    <w:rPr>
                                      <w:rFonts w:ascii="Century Gothic" w:hAnsi="Century Gothic"/>
                                      <w:b/>
                                      <w:color w:val="FFFFFF"/>
                                      <w:sz w:val="11"/>
                                      <w:szCs w:val="22"/>
                                    </w:rPr>
                                    <w:t>FQ</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6757E2D" id="_x0000_s1512" style="position:absolute;margin-left:350.2pt;margin-top:557.3pt;width:8.85pt;height:7.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" fillcolor="#009548" stroked="f">
                      <v:textbox inset="0,0,0,0">
                        <w:txbxContent>
                          <w:p w14:paraId="5B080EBF" w14:textId="77777777" w:rsidR="009D0C1D" w:rsidRPr="002A1DA2" w:rsidRDefault="009D0C1D" w:rsidP="009F0522">
                            <w:pPr>
                              <w:jc w:val="right"/>
                              <w:rPr>
                                <w:rFonts w:ascii="Century Gothic" w:eastAsia="+mn-ea" w:hAnsi="Century Gothic" w:cs="+mn-cs"/>
                                <w:b/>
                                <w:bCs/>
                                <w:color w:val="FFFFFF"/>
                                <w:kern w:val="24"/>
                                <w:sz w:val="11"/>
                                <w:szCs w:val="11"/>
                              </w:rPr>
                            </w:pPr>
                            <w:r w:rsidRPr="002A1DA2">
                              <w:rPr>
                                <w:rFonts w:ascii="Century Gothic" w:hAnsi="Century Gothic"/>
                                <w:b/>
                                <w:color w:val="FFFFFF"/>
                                <w:sz w:val="11"/>
                                <w:szCs w:val="22"/>
                              </w:rPr>
                              <w:t>FQ</w:t>
                            </w:r>
                          </w:p>
                        </w:txbxContent>
                      </v:textbox>
                    </v:rect>
                  </w:pict>
                </mc:Fallback>
              </mc:AlternateContent>
            </w:r>
            <w:r w:rsidR="009F0522">
              <w:rPr>
                <w:noProof/>
              </w:rPr>
              <mc:AlternateContent>
                <mc:Choice Requires="wps">
                  <w:drawing>
                    <wp:anchor distT="0" distB="0" distL="114300" distR="114300" simplePos="0" relativeHeight="251865088" behindDoc="0" locked="0" layoutInCell="1" allowOverlap="1" wp14:anchorId="5B512D8A" wp14:editId="43DA742B">
                      <wp:simplePos x="0" y="0"/>
                      <wp:positionH relativeFrom="column">
                        <wp:posOffset>2685429</wp:posOffset>
                      </wp:positionH>
                      <wp:positionV relativeFrom="paragraph">
                        <wp:posOffset>410496</wp:posOffset>
                      </wp:positionV>
                      <wp:extent cx="130810" cy="76835"/>
                      <wp:effectExtent l="0" t="0" r="2540" b="0"/>
                      <wp:wrapNone/>
                      <wp:docPr id="423710523" name="Прямокутник 11"/>
                      <wp:cNvGraphicFramePr/>
                      <a:graphic xmlns:a="http://schemas.openxmlformats.org/drawingml/2006/main">
                        <a:graphicData uri="http://schemas.microsoft.com/office/word/2010/wordprocessingShape">
                          <wps:wsp>
                            <wps:cNvSpPr/>
                            <wps:spPr>
                              <a:xfrm>
                                <a:off x="0" y="0"/>
                                <a:ext cx="130810" cy="76835"/>
                              </a:xfrm>
                              <a:prstGeom prst="rect">
                                <a:avLst/>
                              </a:prstGeom>
                              <a:solidFill>
                                <a:srgbClr val="BA2025"/>
                              </a:solidFill>
                            </wps:spPr>
                            <wps:txbx>
                              <w:txbxContent>
                                <w:p w14:paraId="1C3997CB" w14:textId="77777777" w:rsidR="009D0C1D" w:rsidRDefault="009D0C1D" w:rsidP="009F0522">
                                  <w:pPr>
                                    <w:rPr>
                                      <w:rFonts w:ascii="Century Gothic" w:eastAsia="+mn-ea" w:hAnsi="Century Gothic" w:cs="+mn-cs"/>
                                      <w:b/>
                                      <w:bCs/>
                                      <w:color w:val="FFFFFF"/>
                                      <w:kern w:val="24"/>
                                      <w:sz w:val="10"/>
                                      <w:szCs w:val="10"/>
                                    </w:rPr>
                                  </w:pPr>
                                  <w:r>
                                    <w:rPr>
                                      <w:rFonts w:ascii="Century Gothic" w:hAnsi="Century Gothic"/>
                                      <w:b/>
                                      <w:color w:val="FFFFFF"/>
                                      <w:sz w:val="10"/>
                                    </w:rPr>
                                    <w:t>INH</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B512D8A" id="_x0000_s1513" style="position:absolute;margin-left:211.45pt;margin-top:32.3pt;width:10.3pt;height:6.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" fillcolor="#ba2025" stroked="f">
                      <v:textbox inset="0,0,0,0">
                        <w:txbxContent>
                          <w:p w14:paraId="1C3997CB" w14:textId="77777777" w:rsidR="009D0C1D" w:rsidRDefault="009D0C1D" w:rsidP="009F0522">
                            <w:pPr>
                              <w:rPr>
                                <w:rFonts w:ascii="Century Gothic" w:eastAsia="+mn-ea" w:hAnsi="Century Gothic" w:cs="+mn-cs"/>
                                <w:b/>
                                <w:bCs/>
                                <w:color w:val="FFFFFF"/>
                                <w:kern w:val="24"/>
                                <w:sz w:val="10"/>
                                <w:szCs w:val="10"/>
                              </w:rPr>
                            </w:pPr>
                            <w:r>
                              <w:rPr>
                                <w:rFonts w:ascii="Century Gothic" w:hAnsi="Century Gothic"/>
                                <w:b/>
                                <w:color w:val="FFFFFF"/>
                                <w:sz w:val="10"/>
                              </w:rPr>
                              <w:t>INH</w:t>
                            </w:r>
                          </w:p>
                        </w:txbxContent>
                      </v:textbox>
                    </v:rect>
                  </w:pict>
                </mc:Fallback>
              </mc:AlternateContent>
            </w:r>
            <w:r w:rsidR="009F0522">
              <w:rPr>
                <w:noProof/>
              </w:rPr>
              <mc:AlternateContent>
                <mc:Choice Requires="wps">
                  <w:drawing>
                    <wp:anchor distT="0" distB="0" distL="114300" distR="114300" simplePos="0" relativeHeight="251859968" behindDoc="0" locked="0" layoutInCell="1" allowOverlap="1" wp14:anchorId="0A678758" wp14:editId="4A0A604D">
                      <wp:simplePos x="0" y="0"/>
                      <wp:positionH relativeFrom="column">
                        <wp:posOffset>3585210</wp:posOffset>
                      </wp:positionH>
                      <wp:positionV relativeFrom="paragraph">
                        <wp:posOffset>5839460</wp:posOffset>
                      </wp:positionV>
                      <wp:extent cx="127635" cy="84455"/>
                      <wp:effectExtent l="0" t="0" r="5715" b="0"/>
                      <wp:wrapNone/>
                      <wp:docPr id="987223680" name="Прямокутник 20"/>
                      <wp:cNvGraphicFramePr/>
                      <a:graphic xmlns:a="http://schemas.openxmlformats.org/drawingml/2006/main">
                        <a:graphicData uri="http://schemas.microsoft.com/office/word/2010/wordprocessingShape">
                          <wps:wsp>
                            <wps:cNvSpPr/>
                            <wps:spPr>
                              <a:xfrm>
                                <a:off x="0" y="0"/>
                                <a:ext cx="127635" cy="84455"/>
                              </a:xfrm>
                              <a:prstGeom prst="rect">
                                <a:avLst/>
                              </a:prstGeom>
                              <a:solidFill>
                                <a:srgbClr val="BA2025"/>
                              </a:solidFill>
                            </wps:spPr>
                            <wps:txbx>
                              <w:txbxContent>
                                <w:p w14:paraId="19307031" w14:textId="77777777" w:rsidR="009D0C1D" w:rsidRDefault="009D0C1D" w:rsidP="009F0522">
                                  <w:pPr>
                                    <w:rPr>
                                      <w:rFonts w:ascii="Century Gothic" w:eastAsia="+mn-ea" w:hAnsi="Century Gothic" w:cs="+mn-cs"/>
                                      <w:b/>
                                      <w:bCs/>
                                      <w:color w:val="FFFFFF"/>
                                      <w:kern w:val="24"/>
                                      <w:sz w:val="11"/>
                                      <w:szCs w:val="11"/>
                                    </w:rPr>
                                  </w:pPr>
                                  <w:r>
                                    <w:rPr>
                                      <w:rFonts w:ascii="Century Gothic" w:hAnsi="Century Gothic"/>
                                      <w:b/>
                                      <w:color w:val="FFFFFF"/>
                                      <w:sz w:val="11"/>
                                    </w:rPr>
                                    <w:t>INH</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A678758" id="_x0000_s1514" style="position:absolute;margin-left:282.3pt;margin-top:459.8pt;width:10.05pt;height:6.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" fillcolor="#ba2025" stroked="f">
                      <v:textbox inset="0,0,0,0">
                        <w:txbxContent>
                          <w:p w14:paraId="19307031" w14:textId="77777777" w:rsidR="009D0C1D" w:rsidRDefault="009D0C1D" w:rsidP="009F0522">
                            <w:pPr>
                              <w:rPr>
                                <w:rFonts w:ascii="Century Gothic" w:eastAsia="+mn-ea" w:hAnsi="Century Gothic" w:cs="+mn-cs"/>
                                <w:b/>
                                <w:bCs/>
                                <w:color w:val="FFFFFF"/>
                                <w:kern w:val="24"/>
                                <w:sz w:val="11"/>
                                <w:szCs w:val="11"/>
                              </w:rPr>
                            </w:pPr>
                            <w:r>
                              <w:rPr>
                                <w:rFonts w:ascii="Century Gothic" w:hAnsi="Century Gothic"/>
                                <w:b/>
                                <w:color w:val="FFFFFF"/>
                                <w:sz w:val="11"/>
                              </w:rPr>
                              <w:t>INH</w:t>
                            </w:r>
                          </w:p>
                        </w:txbxContent>
                      </v:textbox>
                    </v:rect>
                  </w:pict>
                </mc:Fallback>
              </mc:AlternateContent>
            </w:r>
            <w:r w:rsidR="009F0522">
              <w:rPr>
                <w:noProof/>
              </w:rPr>
              <mc:AlternateContent>
                <mc:Choice Requires="wps">
                  <w:drawing>
                    <wp:anchor distT="0" distB="0" distL="114300" distR="114300" simplePos="0" relativeHeight="251858944" behindDoc="0" locked="0" layoutInCell="1" allowOverlap="1" wp14:anchorId="56902FD2" wp14:editId="1C599202">
                      <wp:simplePos x="0" y="0"/>
                      <wp:positionH relativeFrom="column">
                        <wp:posOffset>3597275</wp:posOffset>
                      </wp:positionH>
                      <wp:positionV relativeFrom="paragraph">
                        <wp:posOffset>5568315</wp:posOffset>
                      </wp:positionV>
                      <wp:extent cx="100330" cy="84455"/>
                      <wp:effectExtent l="0" t="0" r="0" b="0"/>
                      <wp:wrapNone/>
                      <wp:docPr id="330678734" name="Прямокутник 19"/>
                      <wp:cNvGraphicFramePr/>
                      <a:graphic xmlns:a="http://schemas.openxmlformats.org/drawingml/2006/main">
                        <a:graphicData uri="http://schemas.microsoft.com/office/word/2010/wordprocessingShape">
                          <wps:wsp>
                            <wps:cNvSpPr/>
                            <wps:spPr>
                              <a:xfrm>
                                <a:off x="0" y="0"/>
                                <a:ext cx="100330" cy="84455"/>
                              </a:xfrm>
                              <a:prstGeom prst="rect">
                                <a:avLst/>
                              </a:prstGeom>
                              <a:solidFill>
                                <a:srgbClr val="009548"/>
                              </a:solidFill>
                            </wps:spPr>
                            <wps:txbx>
                              <w:txbxContent>
                                <w:p w14:paraId="21D4E5FD" w14:textId="77777777" w:rsidR="009D0C1D" w:rsidRDefault="009D0C1D" w:rsidP="009F0522">
                                  <w:pPr>
                                    <w:rPr>
                                      <w:rFonts w:ascii="Century Gothic" w:eastAsia="+mn-ea" w:hAnsi="Century Gothic" w:cs="+mn-cs"/>
                                      <w:b/>
                                      <w:bCs/>
                                      <w:color w:val="FFFFFF"/>
                                      <w:kern w:val="24"/>
                                      <w:sz w:val="11"/>
                                      <w:szCs w:val="11"/>
                                    </w:rPr>
                                  </w:pPr>
                                  <w:r>
                                    <w:rPr>
                                      <w:rFonts w:ascii="Century Gothic" w:hAnsi="Century Gothic"/>
                                      <w:b/>
                                      <w:color w:val="FFFFFF"/>
                                      <w:sz w:val="11"/>
                                    </w:rPr>
                                    <w:t>RIF</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6902FD2" id="_x0000_s1515" style="position:absolute;margin-left:283.25pt;margin-top:438.45pt;width:7.9pt;height:6.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" fillcolor="#009548" stroked="f">
                      <v:textbox inset="0,0,0,0">
                        <w:txbxContent>
                          <w:p w14:paraId="21D4E5FD" w14:textId="77777777" w:rsidR="009D0C1D" w:rsidRDefault="009D0C1D" w:rsidP="009F0522">
                            <w:pPr>
                              <w:rPr>
                                <w:rFonts w:ascii="Century Gothic" w:eastAsia="+mn-ea" w:hAnsi="Century Gothic" w:cs="+mn-cs"/>
                                <w:b/>
                                <w:bCs/>
                                <w:color w:val="FFFFFF"/>
                                <w:kern w:val="24"/>
                                <w:sz w:val="11"/>
                                <w:szCs w:val="11"/>
                              </w:rPr>
                            </w:pPr>
                            <w:r>
                              <w:rPr>
                                <w:rFonts w:ascii="Century Gothic" w:hAnsi="Century Gothic"/>
                                <w:b/>
                                <w:color w:val="FFFFFF"/>
                                <w:sz w:val="11"/>
                              </w:rPr>
                              <w:t>RIF</w:t>
                            </w:r>
                          </w:p>
                        </w:txbxContent>
                      </v:textbox>
                    </v:rect>
                  </w:pict>
                </mc:Fallback>
              </mc:AlternateContent>
            </w:r>
            <w:r w:rsidR="009F0522">
              <w:rPr>
                <w:noProof/>
              </w:rPr>
              <mc:AlternateContent>
                <mc:Choice Requires="wps">
                  <w:drawing>
                    <wp:anchor distT="0" distB="0" distL="114300" distR="114300" simplePos="0" relativeHeight="251851776" behindDoc="0" locked="0" layoutInCell="1" allowOverlap="1" wp14:anchorId="5840CE5C" wp14:editId="676388DC">
                      <wp:simplePos x="0" y="0"/>
                      <wp:positionH relativeFrom="column">
                        <wp:posOffset>4664075</wp:posOffset>
                      </wp:positionH>
                      <wp:positionV relativeFrom="paragraph">
                        <wp:posOffset>3769995</wp:posOffset>
                      </wp:positionV>
                      <wp:extent cx="100330" cy="76835"/>
                      <wp:effectExtent l="0" t="0" r="0" b="0"/>
                      <wp:wrapNone/>
                      <wp:docPr id="435839469" name="Прямокутник 12"/>
                      <wp:cNvGraphicFramePr/>
                      <a:graphic xmlns:a="http://schemas.openxmlformats.org/drawingml/2006/main">
                        <a:graphicData uri="http://schemas.microsoft.com/office/word/2010/wordprocessingShape">
                          <wps:wsp>
                            <wps:cNvSpPr/>
                            <wps:spPr>
                              <a:xfrm>
                                <a:off x="0" y="0"/>
                                <a:ext cx="100330" cy="76835"/>
                              </a:xfrm>
                              <a:prstGeom prst="rect">
                                <a:avLst/>
                              </a:prstGeom>
                              <a:solidFill>
                                <a:srgbClr val="009548"/>
                              </a:solidFill>
                            </wps:spPr>
                            <wps:txbx>
                              <w:txbxContent>
                                <w:p w14:paraId="78B1EF7C" w14:textId="77777777" w:rsidR="009D0C1D" w:rsidRDefault="009D0C1D" w:rsidP="009F0522">
                                  <w:pPr>
                                    <w:rPr>
                                      <w:rFonts w:ascii="Century Gothic" w:eastAsia="+mn-ea" w:hAnsi="Century Gothic" w:cs="+mn-cs"/>
                                      <w:b/>
                                      <w:bCs/>
                                      <w:color w:val="FFFFFF"/>
                                      <w:kern w:val="24"/>
                                      <w:sz w:val="10"/>
                                      <w:szCs w:val="10"/>
                                    </w:rPr>
                                  </w:pPr>
                                  <w:r>
                                    <w:rPr>
                                      <w:rFonts w:ascii="Century Gothic" w:hAnsi="Century Gothic"/>
                                      <w:b/>
                                      <w:color w:val="FFFFFF"/>
                                      <w:sz w:val="10"/>
                                    </w:rPr>
                                    <w:t>FQ</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840CE5C" id="_x0000_s1516" style="position:absolute;margin-left:367.25pt;margin-top:296.85pt;width:7.9pt;height:6.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" fillcolor="#009548" stroked="f">
                      <v:textbox inset="0,0,0,0">
                        <w:txbxContent>
                          <w:p w14:paraId="78B1EF7C" w14:textId="77777777" w:rsidR="009D0C1D" w:rsidRDefault="009D0C1D" w:rsidP="009F0522">
                            <w:pPr>
                              <w:rPr>
                                <w:rFonts w:ascii="Century Gothic" w:eastAsia="+mn-ea" w:hAnsi="Century Gothic" w:cs="+mn-cs"/>
                                <w:b/>
                                <w:bCs/>
                                <w:color w:val="FFFFFF"/>
                                <w:kern w:val="24"/>
                                <w:sz w:val="10"/>
                                <w:szCs w:val="10"/>
                              </w:rPr>
                            </w:pPr>
                            <w:r>
                              <w:rPr>
                                <w:rFonts w:ascii="Century Gothic" w:hAnsi="Century Gothic"/>
                                <w:b/>
                                <w:color w:val="FFFFFF"/>
                                <w:sz w:val="10"/>
                              </w:rPr>
                              <w:t>FQ</w:t>
                            </w:r>
                          </w:p>
                        </w:txbxContent>
                      </v:textbox>
                    </v:rect>
                  </w:pict>
                </mc:Fallback>
              </mc:AlternateContent>
            </w:r>
            <w:r w:rsidR="009F0522">
              <w:rPr>
                <w:noProof/>
              </w:rPr>
              <mc:AlternateContent>
                <mc:Choice Requires="wps">
                  <w:drawing>
                    <wp:anchor distT="0" distB="0" distL="114300" distR="114300" simplePos="0" relativeHeight="251850752" behindDoc="0" locked="0" layoutInCell="1" allowOverlap="1" wp14:anchorId="3AD97D9B" wp14:editId="2FD4BF8B">
                      <wp:simplePos x="0" y="0"/>
                      <wp:positionH relativeFrom="column">
                        <wp:posOffset>4655820</wp:posOffset>
                      </wp:positionH>
                      <wp:positionV relativeFrom="paragraph">
                        <wp:posOffset>3552190</wp:posOffset>
                      </wp:positionV>
                      <wp:extent cx="130810" cy="76835"/>
                      <wp:effectExtent l="0" t="0" r="2540" b="0"/>
                      <wp:wrapNone/>
                      <wp:docPr id="2018233625" name="Прямокутник 11"/>
                      <wp:cNvGraphicFramePr/>
                      <a:graphic xmlns:a="http://schemas.openxmlformats.org/drawingml/2006/main">
                        <a:graphicData uri="http://schemas.microsoft.com/office/word/2010/wordprocessingShape">
                          <wps:wsp>
                            <wps:cNvSpPr/>
                            <wps:spPr>
                              <a:xfrm>
                                <a:off x="0" y="0"/>
                                <a:ext cx="130810" cy="76835"/>
                              </a:xfrm>
                              <a:prstGeom prst="rect">
                                <a:avLst/>
                              </a:prstGeom>
                              <a:solidFill>
                                <a:srgbClr val="BA2025"/>
                              </a:solidFill>
                            </wps:spPr>
                            <wps:txbx>
                              <w:txbxContent>
                                <w:p w14:paraId="59285582" w14:textId="77777777" w:rsidR="009D0C1D" w:rsidRDefault="009D0C1D" w:rsidP="009F0522">
                                  <w:pPr>
                                    <w:rPr>
                                      <w:rFonts w:ascii="Century Gothic" w:eastAsia="+mn-ea" w:hAnsi="Century Gothic" w:cs="+mn-cs"/>
                                      <w:b/>
                                      <w:bCs/>
                                      <w:color w:val="FFFFFF"/>
                                      <w:kern w:val="24"/>
                                      <w:sz w:val="10"/>
                                      <w:szCs w:val="10"/>
                                    </w:rPr>
                                  </w:pPr>
                                  <w:r>
                                    <w:rPr>
                                      <w:rFonts w:ascii="Century Gothic" w:hAnsi="Century Gothic"/>
                                      <w:b/>
                                      <w:color w:val="FFFFFF"/>
                                      <w:sz w:val="10"/>
                                    </w:rPr>
                                    <w:t>INH</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AD97D9B" id="_x0000_s1517" style="position:absolute;margin-left:366.6pt;margin-top:279.7pt;width:10.3pt;height:6.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" fillcolor="#ba2025" stroked="f">
                      <v:textbox inset="0,0,0,0">
                        <w:txbxContent>
                          <w:p w14:paraId="59285582" w14:textId="77777777" w:rsidR="009D0C1D" w:rsidRDefault="009D0C1D" w:rsidP="009F0522">
                            <w:pPr>
                              <w:rPr>
                                <w:rFonts w:ascii="Century Gothic" w:eastAsia="+mn-ea" w:hAnsi="Century Gothic" w:cs="+mn-cs"/>
                                <w:b/>
                                <w:bCs/>
                                <w:color w:val="FFFFFF"/>
                                <w:kern w:val="24"/>
                                <w:sz w:val="10"/>
                                <w:szCs w:val="10"/>
                              </w:rPr>
                            </w:pPr>
                            <w:r>
                              <w:rPr>
                                <w:rFonts w:ascii="Century Gothic" w:hAnsi="Century Gothic"/>
                                <w:b/>
                                <w:color w:val="FFFFFF"/>
                                <w:sz w:val="10"/>
                              </w:rPr>
                              <w:t>INH</w:t>
                            </w:r>
                          </w:p>
                        </w:txbxContent>
                      </v:textbox>
                    </v:rect>
                  </w:pict>
                </mc:Fallback>
              </mc:AlternateContent>
            </w:r>
            <w:r w:rsidR="009F0522">
              <w:rPr>
                <w:noProof/>
              </w:rPr>
              <mc:AlternateContent>
                <mc:Choice Requires="wps">
                  <w:drawing>
                    <wp:anchor distT="0" distB="0" distL="114300" distR="114300" simplePos="0" relativeHeight="251844608" behindDoc="0" locked="0" layoutInCell="1" allowOverlap="1" wp14:anchorId="3099ACCC" wp14:editId="04502CFA">
                      <wp:simplePos x="0" y="0"/>
                      <wp:positionH relativeFrom="column">
                        <wp:posOffset>3636645</wp:posOffset>
                      </wp:positionH>
                      <wp:positionV relativeFrom="paragraph">
                        <wp:posOffset>1517650</wp:posOffset>
                      </wp:positionV>
                      <wp:extent cx="121920" cy="92075"/>
                      <wp:effectExtent l="0" t="0" r="0" b="3175"/>
                      <wp:wrapNone/>
                      <wp:docPr id="173826386" name="Прямокутник 5"/>
                      <wp:cNvGraphicFramePr/>
                      <a:graphic xmlns:a="http://schemas.openxmlformats.org/drawingml/2006/main">
                        <a:graphicData uri="http://schemas.microsoft.com/office/word/2010/wordprocessingShape">
                          <wps:wsp>
                            <wps:cNvSpPr/>
                            <wps:spPr>
                              <a:xfrm>
                                <a:off x="0" y="0"/>
                                <a:ext cx="121920" cy="92075"/>
                              </a:xfrm>
                              <a:prstGeom prst="rect">
                                <a:avLst/>
                              </a:prstGeom>
                              <a:solidFill>
                                <a:srgbClr val="009548"/>
                              </a:solidFill>
                            </wps:spPr>
                            <wps:txbx>
                              <w:txbxContent>
                                <w:p w14:paraId="40FA24B0" w14:textId="77777777" w:rsidR="009D0C1D" w:rsidRDefault="009D0C1D" w:rsidP="009F0522">
                                  <w:pPr>
                                    <w:rPr>
                                      <w:rFonts w:ascii="Century Gothic" w:eastAsia="+mn-ea" w:hAnsi="Century Gothic" w:cs="+mn-cs"/>
                                      <w:b/>
                                      <w:bCs/>
                                      <w:color w:val="FFFFFF"/>
                                      <w:kern w:val="24"/>
                                      <w:sz w:val="12"/>
                                      <w:szCs w:val="12"/>
                                    </w:rPr>
                                  </w:pPr>
                                  <w:r>
                                    <w:rPr>
                                      <w:rFonts w:ascii="Century Gothic" w:hAnsi="Century Gothic"/>
                                      <w:b/>
                                      <w:color w:val="FFFFFF"/>
                                      <w:sz w:val="12"/>
                                    </w:rPr>
                                    <w:t>RIF</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099ACCC" id="_x0000_s1518" style="position:absolute;margin-left:286.35pt;margin-top:119.5pt;width:9.6pt;height: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" fillcolor="#009548" stroked="f">
                      <v:textbox inset="0,0,0,0">
                        <w:txbxContent>
                          <w:p w14:paraId="40FA24B0" w14:textId="77777777" w:rsidR="009D0C1D" w:rsidRDefault="009D0C1D" w:rsidP="009F0522">
                            <w:pPr>
                              <w:rPr>
                                <w:rFonts w:ascii="Century Gothic" w:eastAsia="+mn-ea" w:hAnsi="Century Gothic" w:cs="+mn-cs"/>
                                <w:b/>
                                <w:bCs/>
                                <w:color w:val="FFFFFF"/>
                                <w:kern w:val="24"/>
                                <w:sz w:val="12"/>
                                <w:szCs w:val="12"/>
                              </w:rPr>
                            </w:pPr>
                            <w:r>
                              <w:rPr>
                                <w:rFonts w:ascii="Century Gothic" w:hAnsi="Century Gothic"/>
                                <w:b/>
                                <w:color w:val="FFFFFF"/>
                                <w:sz w:val="12"/>
                              </w:rPr>
                              <w:t>RIF</w:t>
                            </w:r>
                          </w:p>
                        </w:txbxContent>
                      </v:textbox>
                    </v:rect>
                  </w:pict>
                </mc:Fallback>
              </mc:AlternateContent>
            </w:r>
            <w:r w:rsidR="009F0522">
              <w:rPr>
                <w:noProof/>
              </w:rPr>
              <w:drawing>
                <wp:inline distT="0" distB="0" distL="0" distR="0" wp14:anchorId="13F0ADC9" wp14:editId="428F20E6">
                  <wp:extent cx="5782310" cy="824484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56"/>
                          <a:stretch/>
                        </pic:blipFill>
                        <pic:spPr>
                          <a:xfrm>
                            <a:off x="0" y="0"/>
                            <a:ext cx="5782310" cy="8244840"/>
                          </a:xfrm>
                          <a:prstGeom prst="rect">
                            <a:avLst/>
                          </a:prstGeom>
                        </pic:spPr>
                      </pic:pic>
                    </a:graphicData>
                  </a:graphic>
                </wp:inline>
              </w:drawing>
            </w:r>
          </w:p>
        </w:tc>
      </w:tr>
      <w:tr w:rsidR="00366CB9" w14:paraId="62527EF9" w14:textId="77777777" w:rsidTr="00911AD4">
        <w:trPr>
          <w:trHeight w:hRule="exact" w:val="1366"/>
        </w:trPr>
        <w:tc>
          <w:tcPr>
            <w:tcW w:w="9106" w:type="dxa"/>
            <w:shd w:val="clear" w:color="auto" w:fill="FFFFFF"/>
            <w:vAlign w:val="bottom"/>
          </w:tcPr>
          <w:p w14:paraId="59A4D126" w14:textId="77777777" w:rsidR="00366CB9" w:rsidRDefault="009D0C1D" w:rsidP="00B3067A">
            <w:pPr>
              <w:pStyle w:val="a6"/>
              <w:shd w:val="clear" w:color="auto" w:fill="auto"/>
              <w:spacing w:line="266" w:lineRule="auto"/>
              <w:rPr>
                <w:sz w:val="17"/>
                <w:szCs w:val="17"/>
              </w:rPr>
            </w:pPr>
            <w:r>
              <w:rPr>
                <w:b w:val="0"/>
                <w:color w:val="000000"/>
                <w:sz w:val="17"/>
              </w:rPr>
              <w:t>Нрез-ТБ: чутливий до рифампіцину, резистентний до ізоніазиду туберкульоз; LC-aNAAT: автоматизований NAAT низької складності;</w:t>
            </w:r>
          </w:p>
          <w:p w14:paraId="22F87D11" w14:textId="77777777" w:rsidR="00366CB9" w:rsidRDefault="009D0C1D" w:rsidP="00B3067A">
            <w:pPr>
              <w:pStyle w:val="a6"/>
              <w:shd w:val="clear" w:color="auto" w:fill="auto"/>
              <w:spacing w:after="40" w:line="266" w:lineRule="auto"/>
              <w:rPr>
                <w:sz w:val="17"/>
                <w:szCs w:val="17"/>
              </w:rPr>
            </w:pPr>
            <w:r>
              <w:rPr>
                <w:b w:val="0"/>
                <w:color w:val="000000"/>
                <w:sz w:val="17"/>
              </w:rPr>
              <w:t>MC-aNAAT: автоматизований NAAT середньої складності; mWRD: молекулярний експрес-тест для діагностики туберкульозу, рекомендований ВООЗ; NAAT: аналіз ампліфікації нуклеїнових кислот; ТБ: туберкульоз; ВООЗ: Всесвітня організація охорони здоров’я.</w:t>
            </w:r>
          </w:p>
          <w:p w14:paraId="31E2BBFC" w14:textId="0E5E5DF4" w:rsidR="00366CB9" w:rsidRDefault="009D0C1D" w:rsidP="00B3067A">
            <w:pPr>
              <w:pStyle w:val="a6"/>
              <w:shd w:val="clear" w:color="auto" w:fill="auto"/>
              <w:spacing w:line="266" w:lineRule="auto"/>
              <w:rPr>
                <w:sz w:val="17"/>
                <w:szCs w:val="17"/>
              </w:rPr>
            </w:pPr>
            <w:r>
              <w:rPr>
                <w:b w:val="0"/>
                <w:color w:val="000000"/>
                <w:sz w:val="17"/>
              </w:rPr>
              <w:t>Лікарські засоби: FQ: фторхінолон; INH: ізоніазид; LFX: левофлоксацин; RIF: рифампіцин.</w:t>
            </w:r>
          </w:p>
        </w:tc>
      </w:tr>
    </w:tbl>
    <w:p w14:paraId="11DDFACA" w14:textId="55828AA8" w:rsidR="00366CB9" w:rsidRDefault="00366CB9" w:rsidP="00425523">
      <w:pPr>
        <w:spacing w:line="1" w:lineRule="exact"/>
        <w:sectPr w:rsidR="00366CB9" w:rsidSect="00911AD4">
          <w:type w:val="nextColumn"/>
          <w:pgSz w:w="11913" w:h="16840"/>
          <w:pgMar w:top="1134" w:right="1378" w:bottom="851" w:left="1372" w:header="0" w:footer="6" w:gutter="0"/>
          <w:paperSrc w:first="15" w:other="15"/>
          <w:cols w:space="720"/>
          <w:noEndnote/>
          <w:docGrid w:linePitch="360"/>
        </w:sectPr>
      </w:pPr>
    </w:p>
    <w:p w14:paraId="0BEAD32E" w14:textId="39EEEF69"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106"/>
      </w:tblGrid>
      <w:tr w:rsidR="00366CB9" w14:paraId="7F9E2978" w14:textId="77777777">
        <w:trPr>
          <w:trHeight w:hRule="exact" w:val="427"/>
        </w:trPr>
        <w:tc>
          <w:tcPr>
            <w:tcW w:w="9106" w:type="dxa"/>
            <w:shd w:val="clear" w:color="auto" w:fill="FFFFFF"/>
            <w:vAlign w:val="center"/>
          </w:tcPr>
          <w:p w14:paraId="4AB43D3D" w14:textId="77777777" w:rsidR="00366CB9" w:rsidRDefault="009D0C1D" w:rsidP="00B3067A">
            <w:pPr>
              <w:pStyle w:val="a6"/>
              <w:shd w:val="clear" w:color="auto" w:fill="auto"/>
              <w:rPr>
                <w:sz w:val="24"/>
                <w:szCs w:val="24"/>
              </w:rPr>
            </w:pPr>
            <w:bookmarkStart w:id="195" w:name="bookmark192"/>
            <w:r>
              <w:rPr>
                <w:b w:val="0"/>
                <w:color w:val="636466"/>
                <w:sz w:val="24"/>
              </w:rPr>
              <w:t>Рис. 6.10. Сценарій 3: Високий ризик МЛС/Риф-ТБ</w:t>
            </w:r>
            <w:bookmarkEnd w:id="195"/>
          </w:p>
        </w:tc>
      </w:tr>
      <w:tr w:rsidR="00366CB9" w14:paraId="1BDFD258" w14:textId="77777777" w:rsidTr="00B3067A">
        <w:trPr>
          <w:trHeight w:hRule="exact" w:val="12677"/>
        </w:trPr>
        <w:tc>
          <w:tcPr>
            <w:tcW w:w="9106" w:type="dxa"/>
            <w:shd w:val="clear" w:color="auto" w:fill="FFFFFF"/>
          </w:tcPr>
          <w:p w14:paraId="71A9D867" w14:textId="5E1A66E8" w:rsidR="00366CB9" w:rsidRDefault="00911AD4" w:rsidP="00B3067A">
            <w:pPr>
              <w:rPr>
                <w:sz w:val="2"/>
                <w:szCs w:val="2"/>
              </w:rPr>
            </w:pPr>
            <w:r>
              <w:rPr>
                <w:noProof/>
              </w:rPr>
              <mc:AlternateContent>
                <mc:Choice Requires="wps">
                  <w:drawing>
                    <wp:anchor distT="0" distB="0" distL="114300" distR="114300" simplePos="0" relativeHeight="251892736" behindDoc="0" locked="0" layoutInCell="1" allowOverlap="1" wp14:anchorId="7E0FC777" wp14:editId="172F3854">
                      <wp:simplePos x="0" y="0"/>
                      <wp:positionH relativeFrom="column">
                        <wp:posOffset>2063750</wp:posOffset>
                      </wp:positionH>
                      <wp:positionV relativeFrom="paragraph">
                        <wp:posOffset>7245985</wp:posOffset>
                      </wp:positionV>
                      <wp:extent cx="1661160" cy="594360"/>
                      <wp:effectExtent l="0" t="0" r="0" b="0"/>
                      <wp:wrapNone/>
                      <wp:docPr id="1304652180" name="Прямокутник 28"/>
                      <wp:cNvGraphicFramePr/>
                      <a:graphic xmlns:a="http://schemas.openxmlformats.org/drawingml/2006/main">
                        <a:graphicData uri="http://schemas.microsoft.com/office/word/2010/wordprocessingShape">
                          <wps:wsp>
                            <wps:cNvSpPr/>
                            <wps:spPr>
                              <a:xfrm>
                                <a:off x="0" y="0"/>
                                <a:ext cx="1661160" cy="594360"/>
                              </a:xfrm>
                              <a:prstGeom prst="rect">
                                <a:avLst/>
                              </a:prstGeom>
                              <a:solidFill>
                                <a:srgbClr val="CCE8D9"/>
                              </a:solidFill>
                            </wps:spPr>
                            <wps:txbx>
                              <w:txbxContent>
                                <w:p w14:paraId="469CF2CE"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Фенотипове ТМЧ пізніше продемонструвало резистентність до BDQ. Лікування було змінено на індивідуальну схему з використанням результатів цСНП та фенотипового ТМЧ для всіх досліджуваних лікарських засобів.</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E0FC777" id="_x0000_s1519" style="position:absolute;margin-left:162.5pt;margin-top:570.55pt;width:130.8pt;height:46.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" fillcolor="#cce8d9" stroked="f">
                      <v:textbox inset="0,0,0,0">
                        <w:txbxContent>
                          <w:p w14:paraId="469CF2CE"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Фенотипове ТМЧ пізніше продемонструвало резистентність до BDQ. Лікування було змінено на індивідуальну схему з використанням результатів цСНП та фенотипового ТМЧ для всіх досліджуваних лікарських засобів.</w:t>
                            </w:r>
                          </w:p>
                        </w:txbxContent>
                      </v:textbox>
                    </v:rect>
                  </w:pict>
                </mc:Fallback>
              </mc:AlternateContent>
            </w:r>
            <w:r>
              <w:rPr>
                <w:noProof/>
              </w:rPr>
              <mc:AlternateContent>
                <mc:Choice Requires="wps">
                  <w:drawing>
                    <wp:anchor distT="0" distB="0" distL="114300" distR="114300" simplePos="0" relativeHeight="251891712" behindDoc="0" locked="0" layoutInCell="1" allowOverlap="1" wp14:anchorId="741E902B" wp14:editId="63CDFE84">
                      <wp:simplePos x="0" y="0"/>
                      <wp:positionH relativeFrom="column">
                        <wp:posOffset>2063750</wp:posOffset>
                      </wp:positionH>
                      <wp:positionV relativeFrom="paragraph">
                        <wp:posOffset>6652895</wp:posOffset>
                      </wp:positionV>
                      <wp:extent cx="1493520" cy="495300"/>
                      <wp:effectExtent l="0" t="0" r="0" b="0"/>
                      <wp:wrapNone/>
                      <wp:docPr id="93664296" name="Прямокутник 27"/>
                      <wp:cNvGraphicFramePr/>
                      <a:graphic xmlns:a="http://schemas.openxmlformats.org/drawingml/2006/main">
                        <a:graphicData uri="http://schemas.microsoft.com/office/word/2010/wordprocessingShape">
                          <wps:wsp>
                            <wps:cNvSpPr/>
                            <wps:spPr>
                              <a:xfrm>
                                <a:off x="0" y="0"/>
                                <a:ext cx="1493520" cy="495300"/>
                              </a:xfrm>
                              <a:prstGeom prst="rect">
                                <a:avLst/>
                              </a:prstGeom>
                              <a:solidFill>
                                <a:srgbClr val="CCE8D9"/>
                              </a:solidFill>
                            </wps:spPr>
                            <wps:txbx>
                              <w:txbxContent>
                                <w:p w14:paraId="40772D0C"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BDQ продемонстрував чутливість не дивлячись на резистентність до FQ. Ризик резистентності до BDQ був високим та проводилось фенотипове ТМЧ.</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41E902B" id="_x0000_s1520" style="position:absolute;margin-left:162.5pt;margin-top:523.85pt;width:117.6pt;height:3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" fillcolor="#cce8d9" stroked="f">
                      <v:textbox inset="0,0,0,0">
                        <w:txbxContent>
                          <w:p w14:paraId="40772D0C"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BDQ продемонстрував чутливість не дивлячись на резистентність до FQ. Ризик резистентності до BDQ був високим та проводилось фенотипове ТМЧ.</w:t>
                            </w:r>
                          </w:p>
                        </w:txbxContent>
                      </v:textbox>
                    </v:rect>
                  </w:pict>
                </mc:Fallback>
              </mc:AlternateContent>
            </w:r>
            <w:r>
              <w:rPr>
                <w:noProof/>
              </w:rPr>
              <mc:AlternateContent>
                <mc:Choice Requires="wps">
                  <w:drawing>
                    <wp:anchor distT="0" distB="0" distL="114300" distR="114300" simplePos="0" relativeHeight="251888640" behindDoc="0" locked="0" layoutInCell="1" allowOverlap="1" wp14:anchorId="60BEAB8C" wp14:editId="4F869065">
                      <wp:simplePos x="0" y="0"/>
                      <wp:positionH relativeFrom="column">
                        <wp:posOffset>2810510</wp:posOffset>
                      </wp:positionH>
                      <wp:positionV relativeFrom="paragraph">
                        <wp:posOffset>6293485</wp:posOffset>
                      </wp:positionV>
                      <wp:extent cx="746760" cy="220980"/>
                      <wp:effectExtent l="0" t="0" r="0" b="7620"/>
                      <wp:wrapNone/>
                      <wp:docPr id="1299092967" name="Прямокутник 24"/>
                      <wp:cNvGraphicFramePr/>
                      <a:graphic xmlns:a="http://schemas.openxmlformats.org/drawingml/2006/main">
                        <a:graphicData uri="http://schemas.microsoft.com/office/word/2010/wordprocessingShape">
                          <wps:wsp>
                            <wps:cNvSpPr/>
                            <wps:spPr>
                              <a:xfrm>
                                <a:off x="0" y="0"/>
                                <a:ext cx="746760" cy="220980"/>
                              </a:xfrm>
                              <a:prstGeom prst="rect">
                                <a:avLst/>
                              </a:prstGeom>
                              <a:solidFill>
                                <a:srgbClr val="CCE8D9"/>
                              </a:solidFill>
                            </wps:spPr>
                            <wps:txbx>
                              <w:txbxContent>
                                <w:p w14:paraId="33140E68"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Було проведено цільове СНП.</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0BEAB8C" id="_x0000_s1521" style="position:absolute;margin-left:221.3pt;margin-top:495.55pt;width:58.8pt;height:17.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" fillcolor="#cce8d9" stroked="f">
                      <v:textbox inset="0,0,0,0">
                        <w:txbxContent>
                          <w:p w14:paraId="33140E68"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Було проведено цільове СНП.</w:t>
                            </w:r>
                          </w:p>
                        </w:txbxContent>
                      </v:textbox>
                    </v:rect>
                  </w:pict>
                </mc:Fallback>
              </mc:AlternateContent>
            </w:r>
            <w:r>
              <w:rPr>
                <w:noProof/>
              </w:rPr>
              <mc:AlternateContent>
                <mc:Choice Requires="wps">
                  <w:drawing>
                    <wp:anchor distT="0" distB="0" distL="114300" distR="114300" simplePos="0" relativeHeight="251887616" behindDoc="0" locked="0" layoutInCell="1" allowOverlap="1" wp14:anchorId="15AC9678" wp14:editId="69B4FF30">
                      <wp:simplePos x="0" y="0"/>
                      <wp:positionH relativeFrom="column">
                        <wp:posOffset>2719070</wp:posOffset>
                      </wp:positionH>
                      <wp:positionV relativeFrom="paragraph">
                        <wp:posOffset>5767705</wp:posOffset>
                      </wp:positionV>
                      <wp:extent cx="795020" cy="322580"/>
                      <wp:effectExtent l="0" t="0" r="5080" b="1270"/>
                      <wp:wrapNone/>
                      <wp:docPr id="1375870610" name="Прямокутник 23"/>
                      <wp:cNvGraphicFramePr/>
                      <a:graphic xmlns:a="http://schemas.openxmlformats.org/drawingml/2006/main">
                        <a:graphicData uri="http://schemas.microsoft.com/office/word/2010/wordprocessingShape">
                          <wps:wsp>
                            <wps:cNvSpPr/>
                            <wps:spPr>
                              <a:xfrm>
                                <a:off x="0" y="0"/>
                                <a:ext cx="795020" cy="322580"/>
                              </a:xfrm>
                              <a:prstGeom prst="rect">
                                <a:avLst/>
                              </a:prstGeom>
                              <a:solidFill>
                                <a:srgbClr val="CCE8D9"/>
                              </a:solidFill>
                            </wps:spPr>
                            <wps:txbx>
                              <w:txbxContent>
                                <w:p w14:paraId="4ECB53F3"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У особи діагностували МЛС-ТБ.</w:t>
                                  </w:r>
                                </w:p>
                              </w:txbxContent>
                            </wps:txbx>
                            <wps:bodyPr wrap="square" lIns="0" tIns="0" rIns="0" bIns="0">
                              <a:noAutofit/>
                            </wps:bodyPr>
                          </wps:wsp>
                        </a:graphicData>
                      </a:graphic>
                      <wp14:sizeRelH relativeFrom="margin">
                        <wp14:pctWidth>0</wp14:pctWidth>
                      </wp14:sizeRelH>
                    </wp:anchor>
                  </w:drawing>
                </mc:Choice>
                <mc:Fallback>
                  <w:pict>
                    <v:rect w14:anchorId="15AC9678" id="_x0000_s1522" style="position:absolute;margin-left:214.1pt;margin-top:454.15pt;width:62.6pt;height:25.4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" fillcolor="#cce8d9" stroked="f">
                      <v:textbox inset="0,0,0,0">
                        <w:txbxContent>
                          <w:p w14:paraId="4ECB53F3"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У особи діагностували МЛС-ТБ.</w:t>
                            </w:r>
                          </w:p>
                        </w:txbxContent>
                      </v:textbox>
                    </v:rect>
                  </w:pict>
                </mc:Fallback>
              </mc:AlternateContent>
            </w:r>
            <w:r>
              <w:rPr>
                <w:noProof/>
              </w:rPr>
              <mc:AlternateContent>
                <mc:Choice Requires="wps">
                  <w:drawing>
                    <wp:anchor distT="0" distB="0" distL="114300" distR="114300" simplePos="0" relativeHeight="251886592" behindDoc="0" locked="0" layoutInCell="1" allowOverlap="1" wp14:anchorId="718106D9" wp14:editId="41402748">
                      <wp:simplePos x="0" y="0"/>
                      <wp:positionH relativeFrom="column">
                        <wp:posOffset>1195070</wp:posOffset>
                      </wp:positionH>
                      <wp:positionV relativeFrom="paragraph">
                        <wp:posOffset>5813424</wp:posOffset>
                      </wp:positionV>
                      <wp:extent cx="1005840" cy="579755"/>
                      <wp:effectExtent l="0" t="0" r="3810" b="0"/>
                      <wp:wrapNone/>
                      <wp:docPr id="921762704" name="Прямокутник 22"/>
                      <wp:cNvGraphicFramePr/>
                      <a:graphic xmlns:a="http://schemas.openxmlformats.org/drawingml/2006/main">
                        <a:graphicData uri="http://schemas.microsoft.com/office/word/2010/wordprocessingShape">
                          <wps:wsp>
                            <wps:cNvSpPr/>
                            <wps:spPr>
                              <a:xfrm>
                                <a:off x="0" y="0"/>
                                <a:ext cx="1005840" cy="579755"/>
                              </a:xfrm>
                              <a:prstGeom prst="rect">
                                <a:avLst/>
                              </a:prstGeom>
                              <a:solidFill>
                                <a:srgbClr val="CCE8D9"/>
                              </a:solidFill>
                            </wps:spPr>
                            <wps:txbx>
                              <w:txbxContent>
                                <w:p w14:paraId="48DE3BB9"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Особу з підозрою на ТБ попросили надати зразок мокротиння та перенаправлено на тестування за допомогою MC-aNAAT.</w:t>
                                  </w:r>
                                </w:p>
                              </w:txbxContent>
                            </wps:txbx>
                            <wps:bodyPr wrap="square" lIns="0" tIns="0" rIns="0" bIns="0">
                              <a:noAutofit/>
                            </wps:bodyPr>
                          </wps:wsp>
                        </a:graphicData>
                      </a:graphic>
                      <wp14:sizeRelV relativeFrom="margin">
                        <wp14:pctHeight>0</wp14:pctHeight>
                      </wp14:sizeRelV>
                    </wp:anchor>
                  </w:drawing>
                </mc:Choice>
                <mc:Fallback>
                  <w:pict>
                    <v:rect w14:anchorId="718106D9" id="_x0000_s1523" style="position:absolute;margin-left:94.1pt;margin-top:457.75pt;width:79.2pt;height:45.6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" fillcolor="#cce8d9" stroked="f">
                      <v:textbox inset="0,0,0,0">
                        <w:txbxContent>
                          <w:p w14:paraId="48DE3BB9"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Особу з підозрою на ТБ попросили надати зразок мокротиння та перенаправлено на тестування за допомогою MC-aNAAT.</w:t>
                            </w:r>
                          </w:p>
                        </w:txbxContent>
                      </v:textbox>
                    </v:rect>
                  </w:pict>
                </mc:Fallback>
              </mc:AlternateContent>
            </w:r>
            <w:r>
              <w:rPr>
                <w:noProof/>
              </w:rPr>
              <mc:AlternateContent>
                <mc:Choice Requires="wps">
                  <w:drawing>
                    <wp:anchor distT="0" distB="0" distL="114300" distR="114300" simplePos="0" relativeHeight="251885568" behindDoc="0" locked="0" layoutInCell="1" allowOverlap="1" wp14:anchorId="3D066E96" wp14:editId="1BF7F630">
                      <wp:simplePos x="0" y="0"/>
                      <wp:positionH relativeFrom="column">
                        <wp:posOffset>97790</wp:posOffset>
                      </wp:positionH>
                      <wp:positionV relativeFrom="paragraph">
                        <wp:posOffset>5935345</wp:posOffset>
                      </wp:positionV>
                      <wp:extent cx="883920" cy="755650"/>
                      <wp:effectExtent l="0" t="0" r="0" b="6350"/>
                      <wp:wrapNone/>
                      <wp:docPr id="322144023" name="Прямокутник 21"/>
                      <wp:cNvGraphicFramePr/>
                      <a:graphic xmlns:a="http://schemas.openxmlformats.org/drawingml/2006/main">
                        <a:graphicData uri="http://schemas.microsoft.com/office/word/2010/wordprocessingShape">
                          <wps:wsp>
                            <wps:cNvSpPr/>
                            <wps:spPr>
                              <a:xfrm>
                                <a:off x="0" y="0"/>
                                <a:ext cx="883920" cy="755650"/>
                              </a:xfrm>
                              <a:prstGeom prst="rect">
                                <a:avLst/>
                              </a:prstGeom>
                              <a:solidFill>
                                <a:srgbClr val="CCE8D9"/>
                              </a:solidFill>
                            </wps:spPr>
                            <wps:txbx>
                              <w:txbxContent>
                                <w:p w14:paraId="73699214"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MC-aNAAT представлено у міській клінічній лабораторії. Цільове СНП представлено у тій же лабораторії.</w:t>
                                  </w:r>
                                </w:p>
                              </w:txbxContent>
                            </wps:txbx>
                            <wps:bodyPr wrap="square" lIns="0" tIns="0" rIns="0" bIns="0">
                              <a:noAutofit/>
                            </wps:bodyPr>
                          </wps:wsp>
                        </a:graphicData>
                      </a:graphic>
                      <wp14:sizeRelH relativeFrom="margin">
                        <wp14:pctWidth>0</wp14:pctWidth>
                      </wp14:sizeRelH>
                    </wp:anchor>
                  </w:drawing>
                </mc:Choice>
                <mc:Fallback>
                  <w:pict>
                    <v:rect w14:anchorId="3D066E96" id="_x0000_s1524" style="position:absolute;margin-left:7.7pt;margin-top:467.35pt;width:69.6pt;height:59.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" fillcolor="#cce8d9" stroked="f">
                      <v:textbox inset="0,0,0,0">
                        <w:txbxContent>
                          <w:p w14:paraId="73699214"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MC-aNAAT представлено у міській клінічній лабораторії. Цільове СНП представлено у тій же лабораторії.</w:t>
                            </w:r>
                          </w:p>
                        </w:txbxContent>
                      </v:textbox>
                    </v:rect>
                  </w:pict>
                </mc:Fallback>
              </mc:AlternateContent>
            </w:r>
            <w:r>
              <w:rPr>
                <w:noProof/>
              </w:rPr>
              <mc:AlternateContent>
                <mc:Choice Requires="wps">
                  <w:drawing>
                    <wp:anchor distT="0" distB="0" distL="114300" distR="114300" simplePos="0" relativeHeight="251884544" behindDoc="0" locked="0" layoutInCell="1" allowOverlap="1" wp14:anchorId="6F6A9E51" wp14:editId="0EBCC279">
                      <wp:simplePos x="0" y="0"/>
                      <wp:positionH relativeFrom="column">
                        <wp:posOffset>265430</wp:posOffset>
                      </wp:positionH>
                      <wp:positionV relativeFrom="paragraph">
                        <wp:posOffset>5150485</wp:posOffset>
                      </wp:positionV>
                      <wp:extent cx="648970" cy="84455"/>
                      <wp:effectExtent l="0" t="0" r="0" b="0"/>
                      <wp:wrapNone/>
                      <wp:docPr id="113582616" name="Прямокутник 20"/>
                      <wp:cNvGraphicFramePr/>
                      <a:graphic xmlns:a="http://schemas.openxmlformats.org/drawingml/2006/main">
                        <a:graphicData uri="http://schemas.microsoft.com/office/word/2010/wordprocessingShape">
                          <wps:wsp>
                            <wps:cNvSpPr/>
                            <wps:spPr>
                              <a:xfrm>
                                <a:off x="0" y="0"/>
                                <a:ext cx="648970" cy="84455"/>
                              </a:xfrm>
                              <a:prstGeom prst="rect">
                                <a:avLst/>
                              </a:prstGeom>
                              <a:solidFill>
                                <a:srgbClr val="DEDEDE"/>
                              </a:solidFill>
                            </wps:spPr>
                            <wps:txbx>
                              <w:txbxContent>
                                <w:p w14:paraId="5E7424D7"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Міська клініка</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F6A9E51" id="_x0000_s1525" style="position:absolute;margin-left:20.9pt;margin-top:405.55pt;width:51.1pt;height:6.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" fillcolor="#dedede" stroked="f">
                      <v:textbox inset="0,0,0,0">
                        <w:txbxContent>
                          <w:p w14:paraId="5E7424D7"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Міська клініка</w:t>
                            </w:r>
                          </w:p>
                        </w:txbxContent>
                      </v:textbox>
                    </v:rect>
                  </w:pict>
                </mc:Fallback>
              </mc:AlternateContent>
            </w:r>
            <w:r>
              <w:rPr>
                <w:noProof/>
              </w:rPr>
              <mc:AlternateContent>
                <mc:Choice Requires="wps">
                  <w:drawing>
                    <wp:anchor distT="0" distB="0" distL="114300" distR="114300" simplePos="0" relativeHeight="251883520" behindDoc="0" locked="0" layoutInCell="1" allowOverlap="1" wp14:anchorId="516D7BCB" wp14:editId="5DB651D4">
                      <wp:simplePos x="0" y="0"/>
                      <wp:positionH relativeFrom="column">
                        <wp:posOffset>1172210</wp:posOffset>
                      </wp:positionH>
                      <wp:positionV relativeFrom="paragraph">
                        <wp:posOffset>4647565</wp:posOffset>
                      </wp:positionV>
                      <wp:extent cx="3246120" cy="289560"/>
                      <wp:effectExtent l="0" t="0" r="0" b="0"/>
                      <wp:wrapNone/>
                      <wp:docPr id="840420710" name="Прямокутник 19"/>
                      <wp:cNvGraphicFramePr/>
                      <a:graphic xmlns:a="http://schemas.openxmlformats.org/drawingml/2006/main">
                        <a:graphicData uri="http://schemas.microsoft.com/office/word/2010/wordprocessingShape">
                          <wps:wsp>
                            <wps:cNvSpPr/>
                            <wps:spPr>
                              <a:xfrm>
                                <a:off x="0" y="0"/>
                                <a:ext cx="3246120" cy="289560"/>
                              </a:xfrm>
                              <a:prstGeom prst="rect">
                                <a:avLst/>
                              </a:prstGeom>
                              <a:solidFill>
                                <a:srgbClr val="F9CFD1"/>
                              </a:solidFill>
                            </wps:spPr>
                            <wps:txbx>
                              <w:txbxContent>
                                <w:p w14:paraId="6A799942"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Цей приклад демонструє централізовану модель із мережею перенаправлення зразків та застосуванням цільового СНП для задоволення потреб пацієнтів.</w:t>
                                  </w:r>
                                </w:p>
                              </w:txbxContent>
                            </wps:txbx>
                            <wps:bodyPr wrap="square" lIns="0" tIns="0" rIns="0" bIns="0">
                              <a:noAutofit/>
                            </wps:bodyPr>
                          </wps:wsp>
                        </a:graphicData>
                      </a:graphic>
                      <wp14:sizeRelV relativeFrom="margin">
                        <wp14:pctHeight>0</wp14:pctHeight>
                      </wp14:sizeRelV>
                    </wp:anchor>
                  </w:drawing>
                </mc:Choice>
                <mc:Fallback>
                  <w:pict>
                    <v:rect w14:anchorId="516D7BCB" id="_x0000_s1526" style="position:absolute;margin-left:92.3pt;margin-top:365.95pt;width:255.6pt;height:22.8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" fillcolor="#f9cfd1" stroked="f">
                      <v:textbox inset="0,0,0,0">
                        <w:txbxContent>
                          <w:p w14:paraId="6A799942"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Цей приклад демонструє централізовану модель із мережею перенаправлення зразків та застосуванням цільового СНП для задоволення потреб пацієнтів.</w:t>
                            </w:r>
                          </w:p>
                        </w:txbxContent>
                      </v:textbox>
                    </v:rect>
                  </w:pict>
                </mc:Fallback>
              </mc:AlternateContent>
            </w:r>
            <w:r>
              <w:rPr>
                <w:noProof/>
              </w:rPr>
              <mc:AlternateContent>
                <mc:Choice Requires="wps">
                  <w:drawing>
                    <wp:anchor distT="0" distB="0" distL="114300" distR="114300" simplePos="0" relativeHeight="251882496" behindDoc="0" locked="0" layoutInCell="1" allowOverlap="1" wp14:anchorId="02F5D49D" wp14:editId="4CB398E4">
                      <wp:simplePos x="0" y="0"/>
                      <wp:positionH relativeFrom="column">
                        <wp:posOffset>74930</wp:posOffset>
                      </wp:positionH>
                      <wp:positionV relativeFrom="paragraph">
                        <wp:posOffset>4678045</wp:posOffset>
                      </wp:positionV>
                      <wp:extent cx="1051560" cy="162560"/>
                      <wp:effectExtent l="0" t="0" r="0" b="8890"/>
                      <wp:wrapNone/>
                      <wp:docPr id="1987191117" name="Прямокутник 18"/>
                      <wp:cNvGraphicFramePr/>
                      <a:graphic xmlns:a="http://schemas.openxmlformats.org/drawingml/2006/main">
                        <a:graphicData uri="http://schemas.microsoft.com/office/word/2010/wordprocessingShape">
                          <wps:wsp>
                            <wps:cNvSpPr/>
                            <wps:spPr>
                              <a:xfrm>
                                <a:off x="0" y="0"/>
                                <a:ext cx="1051560" cy="162560"/>
                              </a:xfrm>
                              <a:prstGeom prst="rect">
                                <a:avLst/>
                              </a:prstGeom>
                              <a:solidFill>
                                <a:srgbClr val="F59295"/>
                              </a:solidFill>
                            </wps:spPr>
                            <wps:txbx>
                              <w:txbxContent>
                                <w:p w14:paraId="155F459C" w14:textId="77777777" w:rsidR="009D0C1D" w:rsidRPr="00911AD4" w:rsidRDefault="009D0C1D" w:rsidP="009F0522">
                                  <w:pPr>
                                    <w:rPr>
                                      <w:rFonts w:ascii="Century Gothic" w:eastAsia="+mn-ea" w:hAnsi="Century Gothic" w:cs="+mn-cs"/>
                                      <w:b/>
                                      <w:bCs/>
                                      <w:kern w:val="24"/>
                                      <w:sz w:val="18"/>
                                      <w:szCs w:val="17"/>
                                    </w:rPr>
                                  </w:pPr>
                                  <w:r w:rsidRPr="00911AD4">
                                    <w:rPr>
                                      <w:rFonts w:ascii="Century Gothic" w:hAnsi="Century Gothic"/>
                                      <w:b/>
                                      <w:sz w:val="18"/>
                                      <w:szCs w:val="22"/>
                                    </w:rPr>
                                    <w:t>МОДЕЛЮВАННЯ 2</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2F5D49D" id="_x0000_s1527" style="position:absolute;margin-left:5.9pt;margin-top:368.35pt;width:82.8pt;height:12.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" fillcolor="#f59295" stroked="f">
                      <v:textbox inset="0,0,0,0">
                        <w:txbxContent>
                          <w:p w14:paraId="155F459C" w14:textId="77777777" w:rsidR="009D0C1D" w:rsidRPr="00911AD4" w:rsidRDefault="009D0C1D" w:rsidP="009F0522">
                            <w:pPr>
                              <w:rPr>
                                <w:rFonts w:ascii="Century Gothic" w:eastAsia="+mn-ea" w:hAnsi="Century Gothic" w:cs="+mn-cs"/>
                                <w:b/>
                                <w:bCs/>
                                <w:kern w:val="24"/>
                                <w:sz w:val="18"/>
                                <w:szCs w:val="17"/>
                              </w:rPr>
                            </w:pPr>
                            <w:r w:rsidRPr="00911AD4">
                              <w:rPr>
                                <w:rFonts w:ascii="Century Gothic" w:hAnsi="Century Gothic"/>
                                <w:b/>
                                <w:sz w:val="18"/>
                                <w:szCs w:val="22"/>
                              </w:rPr>
                              <w:t>МОДЕЛЮВАННЯ 2</w:t>
                            </w:r>
                          </w:p>
                        </w:txbxContent>
                      </v:textbox>
                    </v:rect>
                  </w:pict>
                </mc:Fallback>
              </mc:AlternateContent>
            </w:r>
            <w:r>
              <w:rPr>
                <w:noProof/>
              </w:rPr>
              <mc:AlternateContent>
                <mc:Choice Requires="wps">
                  <w:drawing>
                    <wp:anchor distT="0" distB="0" distL="114300" distR="114300" simplePos="0" relativeHeight="251878400" behindDoc="0" locked="0" layoutInCell="1" allowOverlap="1" wp14:anchorId="6477B340" wp14:editId="2766BE3E">
                      <wp:simplePos x="0" y="0"/>
                      <wp:positionH relativeFrom="column">
                        <wp:posOffset>875030</wp:posOffset>
                      </wp:positionH>
                      <wp:positionV relativeFrom="paragraph">
                        <wp:posOffset>3611245</wp:posOffset>
                      </wp:positionV>
                      <wp:extent cx="1546860" cy="215265"/>
                      <wp:effectExtent l="0" t="0" r="0" b="0"/>
                      <wp:wrapNone/>
                      <wp:docPr id="1057366545" name="Прямокутник 14"/>
                      <wp:cNvGraphicFramePr/>
                      <a:graphic xmlns:a="http://schemas.openxmlformats.org/drawingml/2006/main">
                        <a:graphicData uri="http://schemas.microsoft.com/office/word/2010/wordprocessingShape">
                          <wps:wsp>
                            <wps:cNvSpPr/>
                            <wps:spPr>
                              <a:xfrm>
                                <a:off x="0" y="0"/>
                                <a:ext cx="1546860" cy="215265"/>
                              </a:xfrm>
                              <a:prstGeom prst="rect">
                                <a:avLst/>
                              </a:prstGeom>
                              <a:solidFill>
                                <a:srgbClr val="CCE8D9"/>
                              </a:solidFill>
                            </wps:spPr>
                            <wps:txbx>
                              <w:txbxContent>
                                <w:p w14:paraId="04DFAF1B"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Резистентність до PZA було виявлено за допомогою HC-rNAAT.</w:t>
                                  </w:r>
                                </w:p>
                              </w:txbxContent>
                            </wps:txbx>
                            <wps:bodyPr wrap="square" lIns="0" tIns="0" rIns="0" bIns="0">
                              <a:noAutofit/>
                            </wps:bodyPr>
                          </wps:wsp>
                        </a:graphicData>
                      </a:graphic>
                      <wp14:sizeRelH relativeFrom="margin">
                        <wp14:pctWidth>0</wp14:pctWidth>
                      </wp14:sizeRelH>
                    </wp:anchor>
                  </w:drawing>
                </mc:Choice>
                <mc:Fallback>
                  <w:pict>
                    <v:rect w14:anchorId="6477B340" id="_x0000_s1528" style="position:absolute;margin-left:68.9pt;margin-top:284.35pt;width:121.8pt;height:16.9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" fillcolor="#cce8d9" stroked="f">
                      <v:textbox inset="0,0,0,0">
                        <w:txbxContent>
                          <w:p w14:paraId="04DFAF1B"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Резистентність до PZA було виявлено за допомогою HC-rNAAT.</w:t>
                            </w:r>
                          </w:p>
                        </w:txbxContent>
                      </v:textbox>
                    </v:rect>
                  </w:pict>
                </mc:Fallback>
              </mc:AlternateContent>
            </w:r>
            <w:r>
              <w:rPr>
                <w:noProof/>
              </w:rPr>
              <mc:AlternateContent>
                <mc:Choice Requires="wps">
                  <w:drawing>
                    <wp:anchor distT="0" distB="0" distL="114300" distR="114300" simplePos="0" relativeHeight="251877376" behindDoc="0" locked="0" layoutInCell="1" allowOverlap="1" wp14:anchorId="3D1FEF34" wp14:editId="5FDBB625">
                      <wp:simplePos x="0" y="0"/>
                      <wp:positionH relativeFrom="column">
                        <wp:posOffset>1339850</wp:posOffset>
                      </wp:positionH>
                      <wp:positionV relativeFrom="paragraph">
                        <wp:posOffset>2773045</wp:posOffset>
                      </wp:positionV>
                      <wp:extent cx="1798320" cy="480060"/>
                      <wp:effectExtent l="0" t="0" r="0" b="0"/>
                      <wp:wrapNone/>
                      <wp:docPr id="275622226" name="Прямокутник 13"/>
                      <wp:cNvGraphicFramePr/>
                      <a:graphic xmlns:a="http://schemas.openxmlformats.org/drawingml/2006/main">
                        <a:graphicData uri="http://schemas.microsoft.com/office/word/2010/wordprocessingShape">
                          <wps:wsp>
                            <wps:cNvSpPr/>
                            <wps:spPr>
                              <a:xfrm>
                                <a:off x="0" y="0"/>
                                <a:ext cx="1798320" cy="480060"/>
                              </a:xfrm>
                              <a:prstGeom prst="rect">
                                <a:avLst/>
                              </a:prstGeom>
                              <a:solidFill>
                                <a:srgbClr val="CCE8D9"/>
                              </a:solidFill>
                            </wps:spPr>
                            <wps:txbx>
                              <w:txbxContent>
                                <w:p w14:paraId="281832E0"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Особу було перенаправлено до спеціалізованого центру для індивідуального лікування. Було забрано додатковий зразок для подальшого генотипового та фенотипового ТМЧ.</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D1FEF34" id="_x0000_s1529" style="position:absolute;margin-left:105.5pt;margin-top:218.35pt;width:141.6pt;height:37.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" fillcolor="#cce8d9" stroked="f">
                      <v:textbox inset="0,0,0,0">
                        <w:txbxContent>
                          <w:p w14:paraId="281832E0"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Особу було перенаправлено до спеціалізованого центру для індивідуального лікування. Було забрано додатковий зразок для подальшого генотипового та фенотипового ТМЧ.</w:t>
                            </w:r>
                          </w:p>
                        </w:txbxContent>
                      </v:textbox>
                    </v:rect>
                  </w:pict>
                </mc:Fallback>
              </mc:AlternateContent>
            </w:r>
            <w:r>
              <w:rPr>
                <w:noProof/>
              </w:rPr>
              <mc:AlternateContent>
                <mc:Choice Requires="wps">
                  <w:drawing>
                    <wp:anchor distT="0" distB="0" distL="114300" distR="114300" simplePos="0" relativeHeight="251874304" behindDoc="0" locked="0" layoutInCell="1" allowOverlap="1" wp14:anchorId="1830CE6C" wp14:editId="3CAFC5CE">
                      <wp:simplePos x="0" y="0"/>
                      <wp:positionH relativeFrom="column">
                        <wp:posOffset>2467610</wp:posOffset>
                      </wp:positionH>
                      <wp:positionV relativeFrom="paragraph">
                        <wp:posOffset>2148205</wp:posOffset>
                      </wp:positionV>
                      <wp:extent cx="1310640" cy="430530"/>
                      <wp:effectExtent l="0" t="0" r="3810" b="7620"/>
                      <wp:wrapNone/>
                      <wp:docPr id="903086355" name="Прямокутник 10"/>
                      <wp:cNvGraphicFramePr/>
                      <a:graphic xmlns:a="http://schemas.openxmlformats.org/drawingml/2006/main">
                        <a:graphicData uri="http://schemas.microsoft.com/office/word/2010/wordprocessingShape">
                          <wps:wsp>
                            <wps:cNvSpPr/>
                            <wps:spPr>
                              <a:xfrm>
                                <a:off x="0" y="0"/>
                                <a:ext cx="1310640" cy="430530"/>
                              </a:xfrm>
                              <a:prstGeom prst="rect">
                                <a:avLst/>
                              </a:prstGeom>
                              <a:solidFill>
                                <a:srgbClr val="CCE9D7"/>
                              </a:solidFill>
                            </wps:spPr>
                            <wps:txbx>
                              <w:txbxContent>
                                <w:p w14:paraId="5F0EFA3B"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Другий зразок було забрано, а за допомогою LC-aNAAT було виявлено резистентність до INH та FQ.</w:t>
                                  </w:r>
                                </w:p>
                              </w:txbxContent>
                            </wps:txbx>
                            <wps:bodyPr wrap="square" lIns="0" tIns="0" rIns="0" bIns="0">
                              <a:noAutofit/>
                            </wps:bodyPr>
                          </wps:wsp>
                        </a:graphicData>
                      </a:graphic>
                      <wp14:sizeRelH relativeFrom="margin">
                        <wp14:pctWidth>0</wp14:pctWidth>
                      </wp14:sizeRelH>
                    </wp:anchor>
                  </w:drawing>
                </mc:Choice>
                <mc:Fallback>
                  <w:pict>
                    <v:rect w14:anchorId="1830CE6C" id="_x0000_s1530" style="position:absolute;margin-left:194.3pt;margin-top:169.15pt;width:103.2pt;height:33.9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" fillcolor="#cce9d7" stroked="f">
                      <v:textbox inset="0,0,0,0">
                        <w:txbxContent>
                          <w:p w14:paraId="5F0EFA3B"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Другий зразок було забрано, а за допомогою LC-aNAAT було виявлено резистентність до INH та FQ.</w:t>
                            </w:r>
                          </w:p>
                        </w:txbxContent>
                      </v:textbox>
                    </v:rect>
                  </w:pict>
                </mc:Fallback>
              </mc:AlternateContent>
            </w:r>
            <w:r>
              <w:rPr>
                <w:noProof/>
              </w:rPr>
              <mc:AlternateContent>
                <mc:Choice Requires="wps">
                  <w:drawing>
                    <wp:anchor distT="0" distB="0" distL="114300" distR="114300" simplePos="0" relativeHeight="251873280" behindDoc="0" locked="0" layoutInCell="1" allowOverlap="1" wp14:anchorId="2931DC2B" wp14:editId="38A8D524">
                      <wp:simplePos x="0" y="0"/>
                      <wp:positionH relativeFrom="column">
                        <wp:posOffset>2467610</wp:posOffset>
                      </wp:positionH>
                      <wp:positionV relativeFrom="paragraph">
                        <wp:posOffset>1828165</wp:posOffset>
                      </wp:positionV>
                      <wp:extent cx="1196340" cy="107315"/>
                      <wp:effectExtent l="0" t="0" r="3810" b="6985"/>
                      <wp:wrapNone/>
                      <wp:docPr id="1773753429" name="Прямокутник 9"/>
                      <wp:cNvGraphicFramePr/>
                      <a:graphic xmlns:a="http://schemas.openxmlformats.org/drawingml/2006/main">
                        <a:graphicData uri="http://schemas.microsoft.com/office/word/2010/wordprocessingShape">
                          <wps:wsp>
                            <wps:cNvSpPr/>
                            <wps:spPr>
                              <a:xfrm>
                                <a:off x="0" y="0"/>
                                <a:ext cx="1196340" cy="107315"/>
                              </a:xfrm>
                              <a:prstGeom prst="rect">
                                <a:avLst/>
                              </a:prstGeom>
                              <a:solidFill>
                                <a:srgbClr val="CCE9D7"/>
                              </a:solidFill>
                            </wps:spPr>
                            <wps:txbx>
                              <w:txbxContent>
                                <w:p w14:paraId="712B4E43"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Риф-ТБ було виявлено.</w:t>
                                  </w:r>
                                </w:p>
                              </w:txbxContent>
                            </wps:txbx>
                            <wps:bodyPr wrap="square" lIns="0" tIns="0" rIns="0" bIns="0">
                              <a:noAutofit/>
                            </wps:bodyPr>
                          </wps:wsp>
                        </a:graphicData>
                      </a:graphic>
                      <wp14:sizeRelH relativeFrom="margin">
                        <wp14:pctWidth>0</wp14:pctWidth>
                      </wp14:sizeRelH>
                    </wp:anchor>
                  </w:drawing>
                </mc:Choice>
                <mc:Fallback>
                  <w:pict>
                    <v:rect w14:anchorId="2931DC2B" id="_x0000_s1531" style="position:absolute;margin-left:194.3pt;margin-top:143.95pt;width:94.2pt;height:8.45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" fillcolor="#cce9d7" stroked="f">
                      <v:textbox inset="0,0,0,0">
                        <w:txbxContent>
                          <w:p w14:paraId="712B4E43"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Риф-ТБ було виявлено.</w:t>
                            </w:r>
                          </w:p>
                        </w:txbxContent>
                      </v:textbox>
                    </v:rect>
                  </w:pict>
                </mc:Fallback>
              </mc:AlternateContent>
            </w:r>
            <w:r>
              <w:rPr>
                <w:noProof/>
              </w:rPr>
              <mc:AlternateContent>
                <mc:Choice Requires="wps">
                  <w:drawing>
                    <wp:anchor distT="0" distB="0" distL="114300" distR="114300" simplePos="0" relativeHeight="251871232" behindDoc="0" locked="0" layoutInCell="1" allowOverlap="1" wp14:anchorId="5BC33F30" wp14:editId="28EEEC9B">
                      <wp:simplePos x="0" y="0"/>
                      <wp:positionH relativeFrom="column">
                        <wp:posOffset>1187450</wp:posOffset>
                      </wp:positionH>
                      <wp:positionV relativeFrom="paragraph">
                        <wp:posOffset>1820545</wp:posOffset>
                      </wp:positionV>
                      <wp:extent cx="1013460" cy="538480"/>
                      <wp:effectExtent l="0" t="0" r="0" b="0"/>
                      <wp:wrapNone/>
                      <wp:docPr id="110086424" name="Прямокутник 7"/>
                      <wp:cNvGraphicFramePr/>
                      <a:graphic xmlns:a="http://schemas.openxmlformats.org/drawingml/2006/main">
                        <a:graphicData uri="http://schemas.microsoft.com/office/word/2010/wordprocessingShape">
                          <wps:wsp>
                            <wps:cNvSpPr/>
                            <wps:spPr>
                              <a:xfrm>
                                <a:off x="0" y="0"/>
                                <a:ext cx="1013460" cy="538480"/>
                              </a:xfrm>
                              <a:prstGeom prst="rect">
                                <a:avLst/>
                              </a:prstGeom>
                              <a:solidFill>
                                <a:srgbClr val="CCE9D7"/>
                              </a:solidFill>
                            </wps:spPr>
                            <wps:txbx>
                              <w:txbxContent>
                                <w:p w14:paraId="6601C8EB"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Особу з підозрою на ТБ попросили надати зразок мокротиння та протестували за допомогою Xpert Ultra.</w:t>
                                  </w:r>
                                </w:p>
                              </w:txbxContent>
                            </wps:txbx>
                            <wps:bodyPr wrap="square" lIns="0" tIns="0" rIns="0" bIns="0">
                              <a:noAutofit/>
                            </wps:bodyPr>
                          </wps:wsp>
                        </a:graphicData>
                      </a:graphic>
                      <wp14:sizeRelH relativeFrom="margin">
                        <wp14:pctWidth>0</wp14:pctWidth>
                      </wp14:sizeRelH>
                    </wp:anchor>
                  </w:drawing>
                </mc:Choice>
                <mc:Fallback>
                  <w:pict>
                    <v:rect w14:anchorId="5BC33F30" id="_x0000_s1532" style="position:absolute;margin-left:93.5pt;margin-top:143.35pt;width:79.8pt;height:42.4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" fillcolor="#cce9d7" stroked="f">
                      <v:textbox inset="0,0,0,0">
                        <w:txbxContent>
                          <w:p w14:paraId="6601C8EB"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Особу з підозрою на ТБ попросили надати зразок мокротиння та протестували за допомогою Xpert Ultra.</w:t>
                            </w:r>
                          </w:p>
                        </w:txbxContent>
                      </v:textbox>
                    </v:rect>
                  </w:pict>
                </mc:Fallback>
              </mc:AlternateContent>
            </w:r>
            <w:r>
              <w:rPr>
                <w:noProof/>
              </w:rPr>
              <mc:AlternateContent>
                <mc:Choice Requires="wps">
                  <w:drawing>
                    <wp:anchor distT="0" distB="0" distL="114300" distR="114300" simplePos="0" relativeHeight="251870208" behindDoc="0" locked="0" layoutInCell="1" allowOverlap="1" wp14:anchorId="7B6153AB" wp14:editId="3136A4DE">
                      <wp:simplePos x="0" y="0"/>
                      <wp:positionH relativeFrom="column">
                        <wp:posOffset>97790</wp:posOffset>
                      </wp:positionH>
                      <wp:positionV relativeFrom="paragraph">
                        <wp:posOffset>2018665</wp:posOffset>
                      </wp:positionV>
                      <wp:extent cx="816610" cy="322580"/>
                      <wp:effectExtent l="0" t="0" r="2540" b="1270"/>
                      <wp:wrapNone/>
                      <wp:docPr id="839405211" name="Прямокутник 6"/>
                      <wp:cNvGraphicFramePr/>
                      <a:graphic xmlns:a="http://schemas.openxmlformats.org/drawingml/2006/main">
                        <a:graphicData uri="http://schemas.microsoft.com/office/word/2010/wordprocessingShape">
                          <wps:wsp>
                            <wps:cNvSpPr/>
                            <wps:spPr>
                              <a:xfrm>
                                <a:off x="0" y="0"/>
                                <a:ext cx="816610" cy="322580"/>
                              </a:xfrm>
                              <a:prstGeom prst="rect">
                                <a:avLst/>
                              </a:prstGeom>
                              <a:solidFill>
                                <a:srgbClr val="CCE9D7"/>
                              </a:solidFill>
                            </wps:spPr>
                            <wps:txbx>
                              <w:txbxContent>
                                <w:p w14:paraId="7411E168"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Клініка надає Xpert Ultra.</w:t>
                                  </w:r>
                                </w:p>
                              </w:txbxContent>
                            </wps:txbx>
                            <wps:bodyPr wrap="square" lIns="0" tIns="0" rIns="0" bIns="0">
                              <a:noAutofit/>
                            </wps:bodyPr>
                          </wps:wsp>
                        </a:graphicData>
                      </a:graphic>
                      <wp14:sizeRelH relativeFrom="margin">
                        <wp14:pctWidth>0</wp14:pctWidth>
                      </wp14:sizeRelH>
                    </wp:anchor>
                  </w:drawing>
                </mc:Choice>
                <mc:Fallback>
                  <w:pict>
                    <v:rect w14:anchorId="7B6153AB" id="_x0000_s1533" style="position:absolute;margin-left:7.7pt;margin-top:158.95pt;width:64.3pt;height:25.4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" fillcolor="#cce9d7" stroked="f">
                      <v:textbox inset="0,0,0,0">
                        <w:txbxContent>
                          <w:p w14:paraId="7411E168"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Клініка надає Xpert Ultra.</w:t>
                            </w:r>
                          </w:p>
                        </w:txbxContent>
                      </v:textbox>
                    </v:rect>
                  </w:pict>
                </mc:Fallback>
              </mc:AlternateContent>
            </w:r>
            <w:r>
              <w:rPr>
                <w:noProof/>
              </w:rPr>
              <mc:AlternateContent>
                <mc:Choice Requires="wps">
                  <w:drawing>
                    <wp:anchor distT="0" distB="0" distL="114300" distR="114300" simplePos="0" relativeHeight="251869184" behindDoc="0" locked="0" layoutInCell="1" allowOverlap="1" wp14:anchorId="29053FF8" wp14:editId="396C6A39">
                      <wp:simplePos x="0" y="0"/>
                      <wp:positionH relativeFrom="column">
                        <wp:posOffset>120650</wp:posOffset>
                      </wp:positionH>
                      <wp:positionV relativeFrom="paragraph">
                        <wp:posOffset>1249045</wp:posOffset>
                      </wp:positionV>
                      <wp:extent cx="861060" cy="137160"/>
                      <wp:effectExtent l="0" t="0" r="0" b="0"/>
                      <wp:wrapNone/>
                      <wp:docPr id="1598052388" name="Прямокутник 5"/>
                      <wp:cNvGraphicFramePr/>
                      <a:graphic xmlns:a="http://schemas.openxmlformats.org/drawingml/2006/main">
                        <a:graphicData uri="http://schemas.microsoft.com/office/word/2010/wordprocessingShape">
                          <wps:wsp>
                            <wps:cNvSpPr/>
                            <wps:spPr>
                              <a:xfrm>
                                <a:off x="0" y="0"/>
                                <a:ext cx="861060" cy="137160"/>
                              </a:xfrm>
                              <a:prstGeom prst="rect">
                                <a:avLst/>
                              </a:prstGeom>
                              <a:solidFill>
                                <a:srgbClr val="DEDEDE"/>
                              </a:solidFill>
                            </wps:spPr>
                            <wps:txbx>
                              <w:txbxContent>
                                <w:p w14:paraId="08F175B5"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Периферійна клініка</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9053FF8" id="_x0000_s1534" style="position:absolute;margin-left:9.5pt;margin-top:98.35pt;width:67.8pt;height:10.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" fillcolor="#dedede" stroked="f">
                      <v:textbox inset="0,0,0,0">
                        <w:txbxContent>
                          <w:p w14:paraId="08F175B5"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Периферійна клініка</w:t>
                            </w:r>
                          </w:p>
                        </w:txbxContent>
                      </v:textbox>
                    </v:rect>
                  </w:pict>
                </mc:Fallback>
              </mc:AlternateContent>
            </w:r>
            <w:r>
              <w:rPr>
                <w:noProof/>
              </w:rPr>
              <mc:AlternateContent>
                <mc:Choice Requires="wps">
                  <w:drawing>
                    <wp:anchor distT="0" distB="0" distL="114300" distR="114300" simplePos="0" relativeHeight="251868160" behindDoc="0" locked="0" layoutInCell="1" allowOverlap="1" wp14:anchorId="6A0F1F4E" wp14:editId="032161B7">
                      <wp:simplePos x="0" y="0"/>
                      <wp:positionH relativeFrom="column">
                        <wp:posOffset>1172210</wp:posOffset>
                      </wp:positionH>
                      <wp:positionV relativeFrom="paragraph">
                        <wp:posOffset>746125</wp:posOffset>
                      </wp:positionV>
                      <wp:extent cx="3242945" cy="274320"/>
                      <wp:effectExtent l="0" t="0" r="0" b="0"/>
                      <wp:wrapNone/>
                      <wp:docPr id="5301131" name="Прямокутник 4"/>
                      <wp:cNvGraphicFramePr/>
                      <a:graphic xmlns:a="http://schemas.openxmlformats.org/drawingml/2006/main">
                        <a:graphicData uri="http://schemas.microsoft.com/office/word/2010/wordprocessingShape">
                          <wps:wsp>
                            <wps:cNvSpPr/>
                            <wps:spPr>
                              <a:xfrm>
                                <a:off x="0" y="0"/>
                                <a:ext cx="3242945" cy="274320"/>
                              </a:xfrm>
                              <a:prstGeom prst="rect">
                                <a:avLst/>
                              </a:prstGeom>
                              <a:solidFill>
                                <a:srgbClr val="F5D1D5"/>
                              </a:solidFill>
                            </wps:spPr>
                            <wps:txbx>
                              <w:txbxContent>
                                <w:p w14:paraId="100E6148" w14:textId="18001244"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Цей приклад демонструє децентралізовану модель, що враховує потреби пацієнтів, встановлені на рівні багаторівневої лабораторної мережі.</w:t>
                                  </w:r>
                                </w:p>
                              </w:txbxContent>
                            </wps:txbx>
                            <wps:bodyPr wrap="square" lIns="0" tIns="0" rIns="0" bIns="0">
                              <a:noAutofit/>
                            </wps:bodyPr>
                          </wps:wsp>
                        </a:graphicData>
                      </a:graphic>
                      <wp14:sizeRelV relativeFrom="margin">
                        <wp14:pctHeight>0</wp14:pctHeight>
                      </wp14:sizeRelV>
                    </wp:anchor>
                  </w:drawing>
                </mc:Choice>
                <mc:Fallback>
                  <w:pict>
                    <v:rect w14:anchorId="6A0F1F4E" id="_x0000_s1535" style="position:absolute;margin-left:92.3pt;margin-top:58.75pt;width:255.35pt;height:21.6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" fillcolor="#f5d1d5" stroked="f">
                      <v:textbox inset="0,0,0,0">
                        <w:txbxContent>
                          <w:p w14:paraId="100E6148" w14:textId="18001244"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Цей приклад демонструє децентралізовану модель, що враховує потреби пацієнтів, встановлені на рівні багаторівневої лабораторної мережі.</w:t>
                            </w:r>
                          </w:p>
                        </w:txbxContent>
                      </v:textbox>
                    </v:rect>
                  </w:pict>
                </mc:Fallback>
              </mc:AlternateContent>
            </w:r>
            <w:r>
              <w:rPr>
                <w:noProof/>
              </w:rPr>
              <mc:AlternateContent>
                <mc:Choice Requires="wps">
                  <w:drawing>
                    <wp:anchor distT="0" distB="0" distL="114300" distR="114300" simplePos="0" relativeHeight="251867136" behindDoc="0" locked="0" layoutInCell="1" allowOverlap="1" wp14:anchorId="5F57F2E9" wp14:editId="67CAADF1">
                      <wp:simplePos x="0" y="0"/>
                      <wp:positionH relativeFrom="column">
                        <wp:posOffset>52070</wp:posOffset>
                      </wp:positionH>
                      <wp:positionV relativeFrom="paragraph">
                        <wp:posOffset>745490</wp:posOffset>
                      </wp:positionV>
                      <wp:extent cx="1021080" cy="169545"/>
                      <wp:effectExtent l="0" t="0" r="7620" b="1905"/>
                      <wp:wrapNone/>
                      <wp:docPr id="371865032" name="Прямокутник 3"/>
                      <wp:cNvGraphicFramePr/>
                      <a:graphic xmlns:a="http://schemas.openxmlformats.org/drawingml/2006/main">
                        <a:graphicData uri="http://schemas.microsoft.com/office/word/2010/wordprocessingShape">
                          <wps:wsp>
                            <wps:cNvSpPr/>
                            <wps:spPr>
                              <a:xfrm>
                                <a:off x="0" y="0"/>
                                <a:ext cx="1021080" cy="169545"/>
                              </a:xfrm>
                              <a:prstGeom prst="rect">
                                <a:avLst/>
                              </a:prstGeom>
                              <a:solidFill>
                                <a:srgbClr val="F59198"/>
                              </a:solidFill>
                            </wps:spPr>
                            <wps:txbx>
                              <w:txbxContent>
                                <w:p w14:paraId="705305B2" w14:textId="77777777" w:rsidR="009D0C1D" w:rsidRPr="00911AD4" w:rsidRDefault="009D0C1D" w:rsidP="009F0522">
                                  <w:pPr>
                                    <w:rPr>
                                      <w:rFonts w:ascii="Century Gothic" w:eastAsia="+mn-ea" w:hAnsi="Century Gothic" w:cs="+mn-cs"/>
                                      <w:b/>
                                      <w:bCs/>
                                      <w:kern w:val="24"/>
                                      <w:sz w:val="18"/>
                                      <w:szCs w:val="17"/>
                                    </w:rPr>
                                  </w:pPr>
                                  <w:r w:rsidRPr="00911AD4">
                                    <w:rPr>
                                      <w:rFonts w:ascii="Century Gothic" w:hAnsi="Century Gothic"/>
                                      <w:b/>
                                      <w:sz w:val="18"/>
                                      <w:szCs w:val="22"/>
                                    </w:rPr>
                                    <w:t>МОДЕЛЮВАННЯ 1</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F57F2E9" id="_x0000_s1536" style="position:absolute;margin-left:4.1pt;margin-top:58.7pt;width:80.4pt;height:13.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" fillcolor="#f59198" stroked="f">
                      <v:textbox inset="0,0,0,0">
                        <w:txbxContent>
                          <w:p w14:paraId="705305B2" w14:textId="77777777" w:rsidR="009D0C1D" w:rsidRPr="00911AD4" w:rsidRDefault="009D0C1D" w:rsidP="009F0522">
                            <w:pPr>
                              <w:rPr>
                                <w:rFonts w:ascii="Century Gothic" w:eastAsia="+mn-ea" w:hAnsi="Century Gothic" w:cs="+mn-cs"/>
                                <w:b/>
                                <w:bCs/>
                                <w:kern w:val="24"/>
                                <w:sz w:val="18"/>
                                <w:szCs w:val="17"/>
                              </w:rPr>
                            </w:pPr>
                            <w:r w:rsidRPr="00911AD4">
                              <w:rPr>
                                <w:rFonts w:ascii="Century Gothic" w:hAnsi="Century Gothic"/>
                                <w:b/>
                                <w:sz w:val="18"/>
                                <w:szCs w:val="22"/>
                              </w:rPr>
                              <w:t>МОДЕЛЮВАННЯ 1</w:t>
                            </w:r>
                          </w:p>
                        </w:txbxContent>
                      </v:textbox>
                    </v:rect>
                  </w:pict>
                </mc:Fallback>
              </mc:AlternateContent>
            </w:r>
            <w:r w:rsidR="009F0522">
              <w:rPr>
                <w:noProof/>
              </w:rPr>
              <mc:AlternateContent>
                <mc:Choice Requires="wps">
                  <w:drawing>
                    <wp:anchor distT="0" distB="0" distL="114300" distR="114300" simplePos="0" relativeHeight="251895808" behindDoc="0" locked="0" layoutInCell="1" allowOverlap="1" wp14:anchorId="3BFD9A38" wp14:editId="7D1AE179">
                      <wp:simplePos x="0" y="0"/>
                      <wp:positionH relativeFrom="column">
                        <wp:posOffset>3129549</wp:posOffset>
                      </wp:positionH>
                      <wp:positionV relativeFrom="paragraph">
                        <wp:posOffset>5400974</wp:posOffset>
                      </wp:positionV>
                      <wp:extent cx="114807" cy="76835"/>
                      <wp:effectExtent l="0" t="0" r="0" b="0"/>
                      <wp:wrapNone/>
                      <wp:docPr id="1363102276" name="Прямокутник 31"/>
                      <wp:cNvGraphicFramePr/>
                      <a:graphic xmlns:a="http://schemas.openxmlformats.org/drawingml/2006/main">
                        <a:graphicData uri="http://schemas.microsoft.com/office/word/2010/wordprocessingShape">
                          <wps:wsp>
                            <wps:cNvSpPr/>
                            <wps:spPr>
                              <a:xfrm>
                                <a:off x="0" y="0"/>
                                <a:ext cx="114807" cy="76835"/>
                              </a:xfrm>
                              <a:prstGeom prst="rect">
                                <a:avLst/>
                              </a:prstGeom>
                              <a:solidFill>
                                <a:srgbClr val="BA2025"/>
                              </a:solidFill>
                            </wps:spPr>
                            <wps:txbx>
                              <w:txbxContent>
                                <w:p w14:paraId="0BB91AD2" w14:textId="77777777" w:rsidR="009D0C1D" w:rsidRDefault="009D0C1D" w:rsidP="009F0522">
                                  <w:pPr>
                                    <w:jc w:val="both"/>
                                    <w:rPr>
                                      <w:rFonts w:ascii="Century Gothic" w:eastAsia="+mn-ea" w:hAnsi="Century Gothic" w:cs="+mn-cs"/>
                                      <w:b/>
                                      <w:bCs/>
                                      <w:color w:val="FFFFFF"/>
                                      <w:kern w:val="24"/>
                                      <w:sz w:val="10"/>
                                      <w:szCs w:val="10"/>
                                    </w:rPr>
                                  </w:pPr>
                                  <w:r>
                                    <w:rPr>
                                      <w:rFonts w:ascii="Century Gothic" w:hAnsi="Century Gothic"/>
                                      <w:b/>
                                      <w:color w:val="FFFFFF"/>
                                      <w:sz w:val="10"/>
                                    </w:rPr>
                                    <w:t>INH</w:t>
                                  </w:r>
                                </w:p>
                              </w:txbxContent>
                            </wps:txbx>
                            <wps:bodyPr wrap="square" lIns="0" tIns="0" rIns="0" bIns="0">
                              <a:noAutofit/>
                            </wps:bodyPr>
                          </wps:wsp>
                        </a:graphicData>
                      </a:graphic>
                      <wp14:sizeRelH relativeFrom="margin">
                        <wp14:pctWidth>0</wp14:pctWidth>
                      </wp14:sizeRelH>
                    </wp:anchor>
                  </w:drawing>
                </mc:Choice>
                <mc:Fallback>
                  <w:pict>
                    <v:rect w14:anchorId="3BFD9A38" id="_x0000_s1537" style="position:absolute;margin-left:246.4pt;margin-top:425.25pt;width:9.05pt;height:6.0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" fillcolor="#ba2025" stroked="f">
                      <v:textbox inset="0,0,0,0">
                        <w:txbxContent>
                          <w:p w14:paraId="0BB91AD2" w14:textId="77777777" w:rsidR="009D0C1D" w:rsidRDefault="009D0C1D" w:rsidP="009F0522">
                            <w:pPr>
                              <w:jc w:val="both"/>
                              <w:rPr>
                                <w:rFonts w:ascii="Century Gothic" w:eastAsia="+mn-ea" w:hAnsi="Century Gothic" w:cs="+mn-cs"/>
                                <w:b/>
                                <w:bCs/>
                                <w:color w:val="FFFFFF"/>
                                <w:kern w:val="24"/>
                                <w:sz w:val="10"/>
                                <w:szCs w:val="10"/>
                              </w:rPr>
                            </w:pPr>
                            <w:r>
                              <w:rPr>
                                <w:rFonts w:ascii="Century Gothic" w:hAnsi="Century Gothic"/>
                                <w:b/>
                                <w:color w:val="FFFFFF"/>
                                <w:sz w:val="10"/>
                              </w:rPr>
                              <w:t>INH</w:t>
                            </w:r>
                          </w:p>
                        </w:txbxContent>
                      </v:textbox>
                    </v:rect>
                  </w:pict>
                </mc:Fallback>
              </mc:AlternateContent>
            </w:r>
            <w:r w:rsidR="009F0522">
              <w:rPr>
                <w:noProof/>
              </w:rPr>
              <mc:AlternateContent>
                <mc:Choice Requires="wps">
                  <w:drawing>
                    <wp:anchor distT="0" distB="0" distL="114300" distR="114300" simplePos="0" relativeHeight="251879424" behindDoc="0" locked="0" layoutInCell="1" allowOverlap="1" wp14:anchorId="1825193E" wp14:editId="7F017D0B">
                      <wp:simplePos x="0" y="0"/>
                      <wp:positionH relativeFrom="column">
                        <wp:posOffset>2696845</wp:posOffset>
                      </wp:positionH>
                      <wp:positionV relativeFrom="paragraph">
                        <wp:posOffset>3614420</wp:posOffset>
                      </wp:positionV>
                      <wp:extent cx="115570" cy="76835"/>
                      <wp:effectExtent l="0" t="0" r="0" b="0"/>
                      <wp:wrapNone/>
                      <wp:docPr id="1081580135" name="Прямокутник 15"/>
                      <wp:cNvGraphicFramePr/>
                      <a:graphic xmlns:a="http://schemas.openxmlformats.org/drawingml/2006/main">
                        <a:graphicData uri="http://schemas.microsoft.com/office/word/2010/wordprocessingShape">
                          <wps:wsp>
                            <wps:cNvSpPr/>
                            <wps:spPr>
                              <a:xfrm>
                                <a:off x="0" y="0"/>
                                <a:ext cx="115570" cy="76835"/>
                              </a:xfrm>
                              <a:prstGeom prst="rect">
                                <a:avLst/>
                              </a:prstGeom>
                              <a:solidFill>
                                <a:srgbClr val="BA2025"/>
                              </a:solidFill>
                            </wps:spPr>
                            <wps:txbx>
                              <w:txbxContent>
                                <w:p w14:paraId="739FE01B" w14:textId="77777777" w:rsidR="009D0C1D" w:rsidRPr="00911AD4" w:rsidRDefault="009D0C1D" w:rsidP="009F0522">
                                  <w:pPr>
                                    <w:rPr>
                                      <w:rFonts w:ascii="Century Gothic" w:eastAsia="+mn-ea" w:hAnsi="Century Gothic" w:cs="+mn-cs"/>
                                      <w:b/>
                                      <w:bCs/>
                                      <w:color w:val="FFFFFF"/>
                                      <w:kern w:val="24"/>
                                      <w:sz w:val="8"/>
                                      <w:szCs w:val="8"/>
                                    </w:rPr>
                                  </w:pPr>
                                  <w:r w:rsidRPr="00911AD4">
                                    <w:rPr>
                                      <w:rFonts w:ascii="Century Gothic" w:hAnsi="Century Gothic"/>
                                      <w:b/>
                                      <w:color w:val="FFFFFF"/>
                                      <w:sz w:val="8"/>
                                      <w:szCs w:val="22"/>
                                    </w:rPr>
                                    <w:t>PZA</w:t>
                                  </w:r>
                                </w:p>
                              </w:txbxContent>
                            </wps:txbx>
                            <wps:bodyPr wrap="square" lIns="0" tIns="0" rIns="0" bIns="0">
                              <a:noAutofit/>
                            </wps:bodyPr>
                          </wps:wsp>
                        </a:graphicData>
                      </a:graphic>
                    </wp:anchor>
                  </w:drawing>
                </mc:Choice>
                <mc:Fallback>
                  <w:pict>
                    <v:rect w14:anchorId="1825193E" id="_x0000_s1538" style="position:absolute;margin-left:212.35pt;margin-top:284.6pt;width:9.1pt;height:6.0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" fillcolor="#ba2025" stroked="f">
                      <v:textbox inset="0,0,0,0">
                        <w:txbxContent>
                          <w:p w14:paraId="739FE01B" w14:textId="77777777" w:rsidR="009D0C1D" w:rsidRPr="00911AD4" w:rsidRDefault="009D0C1D" w:rsidP="009F0522">
                            <w:pPr>
                              <w:rPr>
                                <w:rFonts w:ascii="Century Gothic" w:eastAsia="+mn-ea" w:hAnsi="Century Gothic" w:cs="+mn-cs"/>
                                <w:b/>
                                <w:bCs/>
                                <w:color w:val="FFFFFF"/>
                                <w:kern w:val="24"/>
                                <w:sz w:val="8"/>
                                <w:szCs w:val="8"/>
                              </w:rPr>
                            </w:pPr>
                            <w:r w:rsidRPr="00911AD4">
                              <w:rPr>
                                <w:rFonts w:ascii="Century Gothic" w:hAnsi="Century Gothic"/>
                                <w:b/>
                                <w:color w:val="FFFFFF"/>
                                <w:sz w:val="8"/>
                                <w:szCs w:val="22"/>
                              </w:rPr>
                              <w:t>PZA</w:t>
                            </w:r>
                          </w:p>
                        </w:txbxContent>
                      </v:textbox>
                    </v:rect>
                  </w:pict>
                </mc:Fallback>
              </mc:AlternateContent>
            </w:r>
            <w:r w:rsidR="009F0522">
              <w:rPr>
                <w:noProof/>
              </w:rPr>
              <mc:AlternateContent>
                <mc:Choice Requires="wps">
                  <w:drawing>
                    <wp:anchor distT="0" distB="0" distL="114300" distR="114300" simplePos="0" relativeHeight="251866112" behindDoc="0" locked="0" layoutInCell="1" allowOverlap="1" wp14:anchorId="59951F9A" wp14:editId="36A55039">
                      <wp:simplePos x="0" y="0"/>
                      <wp:positionH relativeFrom="column">
                        <wp:posOffset>2800033</wp:posOffset>
                      </wp:positionH>
                      <wp:positionV relativeFrom="paragraph">
                        <wp:posOffset>370840</wp:posOffset>
                      </wp:positionV>
                      <wp:extent cx="93980" cy="76835"/>
                      <wp:effectExtent l="0" t="0" r="1270" b="0"/>
                      <wp:wrapNone/>
                      <wp:docPr id="620416085" name="Прямокутник 2"/>
                      <wp:cNvGraphicFramePr/>
                      <a:graphic xmlns:a="http://schemas.openxmlformats.org/drawingml/2006/main">
                        <a:graphicData uri="http://schemas.microsoft.com/office/word/2010/wordprocessingShape">
                          <wps:wsp>
                            <wps:cNvSpPr/>
                            <wps:spPr>
                              <a:xfrm>
                                <a:off x="0" y="0"/>
                                <a:ext cx="93980" cy="76835"/>
                              </a:xfrm>
                              <a:prstGeom prst="rect">
                                <a:avLst/>
                              </a:prstGeom>
                              <a:solidFill>
                                <a:srgbClr val="BA2025"/>
                              </a:solidFill>
                            </wps:spPr>
                            <wps:txbx>
                              <w:txbxContent>
                                <w:p w14:paraId="35FB7F50" w14:textId="77777777" w:rsidR="009D0C1D" w:rsidRDefault="009D0C1D" w:rsidP="009F0522">
                                  <w:pPr>
                                    <w:rPr>
                                      <w:rFonts w:ascii="Century Gothic" w:eastAsia="+mn-ea" w:hAnsi="Century Gothic" w:cs="+mn-cs"/>
                                      <w:b/>
                                      <w:bCs/>
                                      <w:color w:val="FFFFFF"/>
                                      <w:kern w:val="24"/>
                                      <w:sz w:val="10"/>
                                      <w:szCs w:val="10"/>
                                    </w:rPr>
                                  </w:pPr>
                                  <w:r>
                                    <w:rPr>
                                      <w:rFonts w:ascii="Century Gothic" w:hAnsi="Century Gothic"/>
                                      <w:b/>
                                      <w:color w:val="FFFFFF"/>
                                      <w:sz w:val="10"/>
                                    </w:rPr>
                                    <w:t>RIF</w:t>
                                  </w:r>
                                </w:p>
                              </w:txbxContent>
                            </wps:txbx>
                            <wps:bodyPr wrap="square" lIns="0" tIns="0" rIns="0" bIns="0">
                              <a:noAutofit/>
                            </wps:bodyPr>
                          </wps:wsp>
                        </a:graphicData>
                      </a:graphic>
                    </wp:anchor>
                  </w:drawing>
                </mc:Choice>
                <mc:Fallback>
                  <w:pict>
                    <v:rect w14:anchorId="59951F9A" id="_x0000_s1539" style="position:absolute;margin-left:220.5pt;margin-top:29.2pt;width:7.4pt;height:6.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" fillcolor="#ba2025" stroked="f">
                      <v:textbox inset="0,0,0,0">
                        <w:txbxContent>
                          <w:p w14:paraId="35FB7F50" w14:textId="77777777" w:rsidR="009D0C1D" w:rsidRDefault="009D0C1D" w:rsidP="009F0522">
                            <w:pPr>
                              <w:rPr>
                                <w:rFonts w:ascii="Century Gothic" w:eastAsia="+mn-ea" w:hAnsi="Century Gothic" w:cs="+mn-cs"/>
                                <w:b/>
                                <w:bCs/>
                                <w:color w:val="FFFFFF"/>
                                <w:kern w:val="24"/>
                                <w:sz w:val="10"/>
                                <w:szCs w:val="10"/>
                              </w:rPr>
                            </w:pPr>
                            <w:r>
                              <w:rPr>
                                <w:rFonts w:ascii="Century Gothic" w:hAnsi="Century Gothic"/>
                                <w:b/>
                                <w:color w:val="FFFFFF"/>
                                <w:sz w:val="10"/>
                              </w:rPr>
                              <w:t>RIF</w:t>
                            </w:r>
                          </w:p>
                        </w:txbxContent>
                      </v:textbox>
                    </v:rect>
                  </w:pict>
                </mc:Fallback>
              </mc:AlternateContent>
            </w:r>
            <w:r w:rsidR="009F0522">
              <w:rPr>
                <w:noProof/>
              </w:rPr>
              <mc:AlternateContent>
                <mc:Choice Requires="wps">
                  <w:drawing>
                    <wp:anchor distT="0" distB="0" distL="114300" distR="114300" simplePos="0" relativeHeight="251872256" behindDoc="0" locked="0" layoutInCell="1" allowOverlap="1" wp14:anchorId="2251979B" wp14:editId="34A2B96F">
                      <wp:simplePos x="0" y="0"/>
                      <wp:positionH relativeFrom="column">
                        <wp:posOffset>3148965</wp:posOffset>
                      </wp:positionH>
                      <wp:positionV relativeFrom="paragraph">
                        <wp:posOffset>1336675</wp:posOffset>
                      </wp:positionV>
                      <wp:extent cx="97155" cy="84455"/>
                      <wp:effectExtent l="0" t="0" r="0" b="0"/>
                      <wp:wrapNone/>
                      <wp:docPr id="38278512" name="Прямокутник 8"/>
                      <wp:cNvGraphicFramePr/>
                      <a:graphic xmlns:a="http://schemas.openxmlformats.org/drawingml/2006/main">
                        <a:graphicData uri="http://schemas.microsoft.com/office/word/2010/wordprocessingShape">
                          <wps:wsp>
                            <wps:cNvSpPr/>
                            <wps:spPr>
                              <a:xfrm>
                                <a:off x="0" y="0"/>
                                <a:ext cx="97155" cy="84455"/>
                              </a:xfrm>
                              <a:prstGeom prst="rect">
                                <a:avLst/>
                              </a:prstGeom>
                              <a:solidFill>
                                <a:srgbClr val="BA2025"/>
                              </a:solidFill>
                            </wps:spPr>
                            <wps:txbx>
                              <w:txbxContent>
                                <w:p w14:paraId="3E641B30" w14:textId="77777777" w:rsidR="009D0C1D" w:rsidRDefault="009D0C1D" w:rsidP="009F0522">
                                  <w:pPr>
                                    <w:rPr>
                                      <w:rFonts w:ascii="Century Gothic" w:eastAsia="+mn-ea" w:hAnsi="Century Gothic" w:cs="+mn-cs"/>
                                      <w:b/>
                                      <w:bCs/>
                                      <w:color w:val="FFFFFF"/>
                                      <w:kern w:val="24"/>
                                      <w:sz w:val="11"/>
                                      <w:szCs w:val="11"/>
                                    </w:rPr>
                                  </w:pPr>
                                  <w:r>
                                    <w:rPr>
                                      <w:rFonts w:ascii="Century Gothic" w:hAnsi="Century Gothic"/>
                                      <w:b/>
                                      <w:color w:val="FFFFFF"/>
                                      <w:sz w:val="11"/>
                                    </w:rPr>
                                    <w:t>RIF</w:t>
                                  </w:r>
                                </w:p>
                              </w:txbxContent>
                            </wps:txbx>
                            <wps:bodyPr wrap="square" lIns="0" tIns="0" rIns="0" bIns="0">
                              <a:noAutofit/>
                            </wps:bodyPr>
                          </wps:wsp>
                        </a:graphicData>
                      </a:graphic>
                    </wp:anchor>
                  </w:drawing>
                </mc:Choice>
                <mc:Fallback>
                  <w:pict>
                    <v:rect w14:anchorId="2251979B" id="_x0000_s1540" style="position:absolute;margin-left:247.95pt;margin-top:105.25pt;width:7.65pt;height:6.6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" fillcolor="#ba2025" stroked="f">
                      <v:textbox inset="0,0,0,0">
                        <w:txbxContent>
                          <w:p w14:paraId="3E641B30" w14:textId="77777777" w:rsidR="009D0C1D" w:rsidRDefault="009D0C1D" w:rsidP="009F0522">
                            <w:pPr>
                              <w:rPr>
                                <w:rFonts w:ascii="Century Gothic" w:eastAsia="+mn-ea" w:hAnsi="Century Gothic" w:cs="+mn-cs"/>
                                <w:b/>
                                <w:bCs/>
                                <w:color w:val="FFFFFF"/>
                                <w:kern w:val="24"/>
                                <w:sz w:val="11"/>
                                <w:szCs w:val="11"/>
                              </w:rPr>
                            </w:pPr>
                            <w:r>
                              <w:rPr>
                                <w:rFonts w:ascii="Century Gothic" w:hAnsi="Century Gothic"/>
                                <w:b/>
                                <w:color w:val="FFFFFF"/>
                                <w:sz w:val="11"/>
                              </w:rPr>
                              <w:t>RIF</w:t>
                            </w:r>
                          </w:p>
                        </w:txbxContent>
                      </v:textbox>
                    </v:rect>
                  </w:pict>
                </mc:Fallback>
              </mc:AlternateContent>
            </w:r>
            <w:r w:rsidR="009F0522">
              <w:rPr>
                <w:noProof/>
              </w:rPr>
              <mc:AlternateContent>
                <mc:Choice Requires="wps">
                  <w:drawing>
                    <wp:anchor distT="0" distB="0" distL="114300" distR="114300" simplePos="0" relativeHeight="251875328" behindDoc="0" locked="0" layoutInCell="1" allowOverlap="1" wp14:anchorId="7A76C34C" wp14:editId="2B8E1537">
                      <wp:simplePos x="0" y="0"/>
                      <wp:positionH relativeFrom="column">
                        <wp:posOffset>4060190</wp:posOffset>
                      </wp:positionH>
                      <wp:positionV relativeFrom="paragraph">
                        <wp:posOffset>2132330</wp:posOffset>
                      </wp:positionV>
                      <wp:extent cx="109220" cy="76835"/>
                      <wp:effectExtent l="0" t="0" r="5080" b="0"/>
                      <wp:wrapNone/>
                      <wp:docPr id="1682021619" name="Прямокутник 11"/>
                      <wp:cNvGraphicFramePr/>
                      <a:graphic xmlns:a="http://schemas.openxmlformats.org/drawingml/2006/main">
                        <a:graphicData uri="http://schemas.microsoft.com/office/word/2010/wordprocessingShape">
                          <wps:wsp>
                            <wps:cNvSpPr/>
                            <wps:spPr>
                              <a:xfrm>
                                <a:off x="0" y="0"/>
                                <a:ext cx="109220" cy="76835"/>
                              </a:xfrm>
                              <a:prstGeom prst="rect">
                                <a:avLst/>
                              </a:prstGeom>
                              <a:solidFill>
                                <a:srgbClr val="BA2025"/>
                              </a:solidFill>
                            </wps:spPr>
                            <wps:txbx>
                              <w:txbxContent>
                                <w:p w14:paraId="639B2EB1" w14:textId="77777777" w:rsidR="009D0C1D" w:rsidRPr="00911AD4" w:rsidRDefault="009D0C1D" w:rsidP="009F0522">
                                  <w:pPr>
                                    <w:rPr>
                                      <w:rFonts w:ascii="Century Gothic" w:eastAsia="+mn-ea" w:hAnsi="Century Gothic" w:cs="+mn-cs"/>
                                      <w:b/>
                                      <w:bCs/>
                                      <w:color w:val="FFFFFF"/>
                                      <w:kern w:val="24"/>
                                      <w:sz w:val="8"/>
                                      <w:szCs w:val="8"/>
                                    </w:rPr>
                                  </w:pPr>
                                  <w:r w:rsidRPr="00911AD4">
                                    <w:rPr>
                                      <w:rFonts w:ascii="Century Gothic" w:hAnsi="Century Gothic"/>
                                      <w:b/>
                                      <w:color w:val="FFFFFF"/>
                                      <w:sz w:val="8"/>
                                      <w:szCs w:val="22"/>
                                    </w:rPr>
                                    <w:t>INH</w:t>
                                  </w:r>
                                </w:p>
                              </w:txbxContent>
                            </wps:txbx>
                            <wps:bodyPr wrap="square" lIns="0" tIns="0" rIns="0" bIns="0">
                              <a:noAutofit/>
                            </wps:bodyPr>
                          </wps:wsp>
                        </a:graphicData>
                      </a:graphic>
                    </wp:anchor>
                  </w:drawing>
                </mc:Choice>
                <mc:Fallback>
                  <w:pict>
                    <v:rect w14:anchorId="7A76C34C" id="_x0000_s1541" style="position:absolute;margin-left:319.7pt;margin-top:167.9pt;width:8.6pt;height:6.0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" fillcolor="#ba2025" stroked="f">
                      <v:textbox inset="0,0,0,0">
                        <w:txbxContent>
                          <w:p w14:paraId="639B2EB1" w14:textId="77777777" w:rsidR="009D0C1D" w:rsidRPr="00911AD4" w:rsidRDefault="009D0C1D" w:rsidP="009F0522">
                            <w:pPr>
                              <w:rPr>
                                <w:rFonts w:ascii="Century Gothic" w:eastAsia="+mn-ea" w:hAnsi="Century Gothic" w:cs="+mn-cs"/>
                                <w:b/>
                                <w:bCs/>
                                <w:color w:val="FFFFFF"/>
                                <w:kern w:val="24"/>
                                <w:sz w:val="8"/>
                                <w:szCs w:val="8"/>
                              </w:rPr>
                            </w:pPr>
                            <w:r w:rsidRPr="00911AD4">
                              <w:rPr>
                                <w:rFonts w:ascii="Century Gothic" w:hAnsi="Century Gothic"/>
                                <w:b/>
                                <w:color w:val="FFFFFF"/>
                                <w:sz w:val="8"/>
                                <w:szCs w:val="22"/>
                              </w:rPr>
                              <w:t>INH</w:t>
                            </w:r>
                          </w:p>
                        </w:txbxContent>
                      </v:textbox>
                    </v:rect>
                  </w:pict>
                </mc:Fallback>
              </mc:AlternateContent>
            </w:r>
            <w:r w:rsidR="009F0522">
              <w:rPr>
                <w:noProof/>
              </w:rPr>
              <mc:AlternateContent>
                <mc:Choice Requires="wps">
                  <w:drawing>
                    <wp:anchor distT="0" distB="0" distL="114300" distR="114300" simplePos="0" relativeHeight="251876352" behindDoc="0" locked="0" layoutInCell="1" allowOverlap="1" wp14:anchorId="6423CCFB" wp14:editId="2C8CD6C0">
                      <wp:simplePos x="0" y="0"/>
                      <wp:positionH relativeFrom="column">
                        <wp:posOffset>4069715</wp:posOffset>
                      </wp:positionH>
                      <wp:positionV relativeFrom="paragraph">
                        <wp:posOffset>2382520</wp:posOffset>
                      </wp:positionV>
                      <wp:extent cx="97155" cy="76835"/>
                      <wp:effectExtent l="0" t="0" r="0" b="0"/>
                      <wp:wrapNone/>
                      <wp:docPr id="247632619" name="Прямокутник 12"/>
                      <wp:cNvGraphicFramePr/>
                      <a:graphic xmlns:a="http://schemas.openxmlformats.org/drawingml/2006/main">
                        <a:graphicData uri="http://schemas.microsoft.com/office/word/2010/wordprocessingShape">
                          <wps:wsp>
                            <wps:cNvSpPr/>
                            <wps:spPr>
                              <a:xfrm>
                                <a:off x="0" y="0"/>
                                <a:ext cx="97155" cy="76835"/>
                              </a:xfrm>
                              <a:prstGeom prst="rect">
                                <a:avLst/>
                              </a:prstGeom>
                              <a:solidFill>
                                <a:srgbClr val="BA2025"/>
                              </a:solidFill>
                            </wps:spPr>
                            <wps:txbx>
                              <w:txbxContent>
                                <w:p w14:paraId="6B8F30AA" w14:textId="77777777" w:rsidR="009D0C1D" w:rsidRPr="00911AD4" w:rsidRDefault="009D0C1D" w:rsidP="009F0522">
                                  <w:pPr>
                                    <w:rPr>
                                      <w:rFonts w:ascii="Century Gothic" w:eastAsia="+mn-ea" w:hAnsi="Century Gothic" w:cs="+mn-cs"/>
                                      <w:b/>
                                      <w:bCs/>
                                      <w:color w:val="FFFFFF"/>
                                      <w:kern w:val="24"/>
                                      <w:sz w:val="8"/>
                                      <w:szCs w:val="8"/>
                                    </w:rPr>
                                  </w:pPr>
                                  <w:r w:rsidRPr="00911AD4">
                                    <w:rPr>
                                      <w:rFonts w:ascii="Century Gothic" w:hAnsi="Century Gothic"/>
                                      <w:b/>
                                      <w:color w:val="FFFFFF"/>
                                      <w:sz w:val="8"/>
                                      <w:szCs w:val="22"/>
                                    </w:rPr>
                                    <w:t>FQ</w:t>
                                  </w:r>
                                </w:p>
                              </w:txbxContent>
                            </wps:txbx>
                            <wps:bodyPr wrap="square" lIns="0" tIns="0" rIns="0" bIns="0">
                              <a:noAutofit/>
                            </wps:bodyPr>
                          </wps:wsp>
                        </a:graphicData>
                      </a:graphic>
                    </wp:anchor>
                  </w:drawing>
                </mc:Choice>
                <mc:Fallback>
                  <w:pict>
                    <v:rect w14:anchorId="6423CCFB" id="_x0000_s1542" style="position:absolute;margin-left:320.45pt;margin-top:187.6pt;width:7.65pt;height:6.0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" fillcolor="#ba2025" stroked="f">
                      <v:textbox inset="0,0,0,0">
                        <w:txbxContent>
                          <w:p w14:paraId="6B8F30AA" w14:textId="77777777" w:rsidR="009D0C1D" w:rsidRPr="00911AD4" w:rsidRDefault="009D0C1D" w:rsidP="009F0522">
                            <w:pPr>
                              <w:rPr>
                                <w:rFonts w:ascii="Century Gothic" w:eastAsia="+mn-ea" w:hAnsi="Century Gothic" w:cs="+mn-cs"/>
                                <w:b/>
                                <w:bCs/>
                                <w:color w:val="FFFFFF"/>
                                <w:kern w:val="24"/>
                                <w:sz w:val="8"/>
                                <w:szCs w:val="8"/>
                              </w:rPr>
                            </w:pPr>
                            <w:r w:rsidRPr="00911AD4">
                              <w:rPr>
                                <w:rFonts w:ascii="Century Gothic" w:hAnsi="Century Gothic"/>
                                <w:b/>
                                <w:color w:val="FFFFFF"/>
                                <w:sz w:val="8"/>
                                <w:szCs w:val="22"/>
                              </w:rPr>
                              <w:t>FQ</w:t>
                            </w:r>
                          </w:p>
                        </w:txbxContent>
                      </v:textbox>
                    </v:rect>
                  </w:pict>
                </mc:Fallback>
              </mc:AlternateContent>
            </w:r>
            <w:r w:rsidR="009F0522">
              <w:rPr>
                <w:noProof/>
              </w:rPr>
              <mc:AlternateContent>
                <mc:Choice Requires="wps">
                  <w:drawing>
                    <wp:anchor distT="0" distB="0" distL="114300" distR="114300" simplePos="0" relativeHeight="251880448" behindDoc="0" locked="0" layoutInCell="1" allowOverlap="1" wp14:anchorId="35DAD298" wp14:editId="7AA88D9C">
                      <wp:simplePos x="0" y="0"/>
                      <wp:positionH relativeFrom="column">
                        <wp:posOffset>1033780</wp:posOffset>
                      </wp:positionH>
                      <wp:positionV relativeFrom="paragraph">
                        <wp:posOffset>4028440</wp:posOffset>
                      </wp:positionV>
                      <wp:extent cx="2474595" cy="215265"/>
                      <wp:effectExtent l="0" t="0" r="1905" b="0"/>
                      <wp:wrapNone/>
                      <wp:docPr id="2080677071" name="Прямокутник 16"/>
                      <wp:cNvGraphicFramePr/>
                      <a:graphic xmlns:a="http://schemas.openxmlformats.org/drawingml/2006/main">
                        <a:graphicData uri="http://schemas.microsoft.com/office/word/2010/wordprocessingShape">
                          <wps:wsp>
                            <wps:cNvSpPr/>
                            <wps:spPr>
                              <a:xfrm>
                                <a:off x="0" y="0"/>
                                <a:ext cx="2474595" cy="215265"/>
                              </a:xfrm>
                              <a:prstGeom prst="rect">
                                <a:avLst/>
                              </a:prstGeom>
                              <a:solidFill>
                                <a:srgbClr val="CCE8D9"/>
                              </a:solidFill>
                            </wps:spPr>
                            <wps:txbx>
                              <w:txbxContent>
                                <w:p w14:paraId="663B9FDF"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Лікування було скориговано відповідно до характеру резистентності пацієнта.</w:t>
                                  </w:r>
                                </w:p>
                              </w:txbxContent>
                            </wps:txbx>
                            <wps:bodyPr wrap="square" lIns="0" tIns="0" rIns="0" bIns="0">
                              <a:noAutofit/>
                            </wps:bodyPr>
                          </wps:wsp>
                        </a:graphicData>
                      </a:graphic>
                    </wp:anchor>
                  </w:drawing>
                </mc:Choice>
                <mc:Fallback>
                  <w:pict>
                    <v:rect w14:anchorId="35DAD298" id="_x0000_s1543" style="position:absolute;margin-left:81.4pt;margin-top:317.2pt;width:194.85pt;height:16.9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" fillcolor="#cce8d9" stroked="f">
                      <v:textbox inset="0,0,0,0">
                        <w:txbxContent>
                          <w:p w14:paraId="663B9FDF" w14:textId="77777777" w:rsidR="009D0C1D" w:rsidRPr="00911AD4" w:rsidRDefault="009D0C1D" w:rsidP="009F0522">
                            <w:pPr>
                              <w:rPr>
                                <w:rFonts w:ascii="Century Gothic" w:eastAsia="+mn-ea" w:hAnsi="Century Gothic" w:cs="+mn-cs"/>
                                <w:kern w:val="24"/>
                                <w:sz w:val="12"/>
                                <w:szCs w:val="12"/>
                              </w:rPr>
                            </w:pPr>
                            <w:r w:rsidRPr="00911AD4">
                              <w:rPr>
                                <w:rFonts w:ascii="Century Gothic" w:hAnsi="Century Gothic"/>
                                <w:sz w:val="12"/>
                                <w:szCs w:val="22"/>
                              </w:rPr>
                              <w:t>Лікування було скориговано відповідно до характеру резистентності пацієнта.</w:t>
                            </w:r>
                          </w:p>
                        </w:txbxContent>
                      </v:textbox>
                    </v:rect>
                  </w:pict>
                </mc:Fallback>
              </mc:AlternateContent>
            </w:r>
            <w:r w:rsidR="009F0522">
              <w:rPr>
                <w:noProof/>
              </w:rPr>
              <mc:AlternateContent>
                <mc:Choice Requires="wps">
                  <w:drawing>
                    <wp:anchor distT="0" distB="0" distL="114300" distR="114300" simplePos="0" relativeHeight="251881472" behindDoc="0" locked="0" layoutInCell="1" allowOverlap="1" wp14:anchorId="44665421" wp14:editId="1BC2A00B">
                      <wp:simplePos x="0" y="0"/>
                      <wp:positionH relativeFrom="column">
                        <wp:posOffset>3865245</wp:posOffset>
                      </wp:positionH>
                      <wp:positionV relativeFrom="paragraph">
                        <wp:posOffset>4037647</wp:posOffset>
                      </wp:positionV>
                      <wp:extent cx="139700" cy="76835"/>
                      <wp:effectExtent l="0" t="0" r="0" b="0"/>
                      <wp:wrapNone/>
                      <wp:docPr id="1630413106" name="Прямокутник 17"/>
                      <wp:cNvGraphicFramePr/>
                      <a:graphic xmlns:a="http://schemas.openxmlformats.org/drawingml/2006/main">
                        <a:graphicData uri="http://schemas.microsoft.com/office/word/2010/wordprocessingShape">
                          <wps:wsp>
                            <wps:cNvSpPr/>
                            <wps:spPr>
                              <a:xfrm>
                                <a:off x="0" y="0"/>
                                <a:ext cx="139700" cy="76835"/>
                              </a:xfrm>
                              <a:prstGeom prst="rect">
                                <a:avLst/>
                              </a:prstGeom>
                              <a:solidFill>
                                <a:srgbClr val="BA2025"/>
                              </a:solidFill>
                            </wps:spPr>
                            <wps:txbx>
                              <w:txbxContent>
                                <w:p w14:paraId="48BEE8E3" w14:textId="77777777" w:rsidR="009D0C1D" w:rsidRPr="00911AD4" w:rsidRDefault="009D0C1D" w:rsidP="009F0522">
                                  <w:pPr>
                                    <w:rPr>
                                      <w:rFonts w:ascii="Century Gothic" w:eastAsia="+mn-ea" w:hAnsi="Century Gothic" w:cs="+mn-cs"/>
                                      <w:b/>
                                      <w:bCs/>
                                      <w:color w:val="FFFFFF"/>
                                      <w:kern w:val="24"/>
                                      <w:sz w:val="8"/>
                                      <w:szCs w:val="8"/>
                                    </w:rPr>
                                  </w:pPr>
                                  <w:r w:rsidRPr="00911AD4">
                                    <w:rPr>
                                      <w:rFonts w:ascii="Century Gothic" w:hAnsi="Century Gothic"/>
                                      <w:b/>
                                      <w:color w:val="FFFFFF"/>
                                      <w:sz w:val="8"/>
                                      <w:szCs w:val="22"/>
                                    </w:rPr>
                                    <w:t>BDQ</w:t>
                                  </w:r>
                                </w:p>
                              </w:txbxContent>
                            </wps:txbx>
                            <wps:bodyPr wrap="square" lIns="0" tIns="0" rIns="0" bIns="0">
                              <a:noAutofit/>
                            </wps:bodyPr>
                          </wps:wsp>
                        </a:graphicData>
                      </a:graphic>
                    </wp:anchor>
                  </w:drawing>
                </mc:Choice>
                <mc:Fallback>
                  <w:pict>
                    <v:rect w14:anchorId="44665421" id="_x0000_s1544" style="position:absolute;margin-left:304.35pt;margin-top:317.9pt;width:11pt;height:6.0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" fillcolor="#ba2025" stroked="f">
                      <v:textbox inset="0,0,0,0">
                        <w:txbxContent>
                          <w:p w14:paraId="48BEE8E3" w14:textId="77777777" w:rsidR="009D0C1D" w:rsidRPr="00911AD4" w:rsidRDefault="009D0C1D" w:rsidP="009F0522">
                            <w:pPr>
                              <w:rPr>
                                <w:rFonts w:ascii="Century Gothic" w:eastAsia="+mn-ea" w:hAnsi="Century Gothic" w:cs="+mn-cs"/>
                                <w:b/>
                                <w:bCs/>
                                <w:color w:val="FFFFFF"/>
                                <w:kern w:val="24"/>
                                <w:sz w:val="8"/>
                                <w:szCs w:val="8"/>
                              </w:rPr>
                            </w:pPr>
                            <w:r w:rsidRPr="00911AD4">
                              <w:rPr>
                                <w:rFonts w:ascii="Century Gothic" w:hAnsi="Century Gothic"/>
                                <w:b/>
                                <w:color w:val="FFFFFF"/>
                                <w:sz w:val="8"/>
                                <w:szCs w:val="22"/>
                              </w:rPr>
                              <w:t>BDQ</w:t>
                            </w:r>
                          </w:p>
                        </w:txbxContent>
                      </v:textbox>
                    </v:rect>
                  </w:pict>
                </mc:Fallback>
              </mc:AlternateContent>
            </w:r>
            <w:r w:rsidR="009F0522">
              <w:rPr>
                <w:noProof/>
              </w:rPr>
              <mc:AlternateContent>
                <mc:Choice Requires="wps">
                  <w:drawing>
                    <wp:anchor distT="0" distB="0" distL="114300" distR="114300" simplePos="0" relativeHeight="251889664" behindDoc="0" locked="0" layoutInCell="1" allowOverlap="1" wp14:anchorId="4F1B7AD0" wp14:editId="0B1BBC7E">
                      <wp:simplePos x="0" y="0"/>
                      <wp:positionH relativeFrom="column">
                        <wp:posOffset>3776980</wp:posOffset>
                      </wp:positionH>
                      <wp:positionV relativeFrom="paragraph">
                        <wp:posOffset>6030595</wp:posOffset>
                      </wp:positionV>
                      <wp:extent cx="103505" cy="76835"/>
                      <wp:effectExtent l="0" t="0" r="0" b="0"/>
                      <wp:wrapNone/>
                      <wp:docPr id="126390180" name="Прямокутник 25"/>
                      <wp:cNvGraphicFramePr/>
                      <a:graphic xmlns:a="http://schemas.openxmlformats.org/drawingml/2006/main">
                        <a:graphicData uri="http://schemas.microsoft.com/office/word/2010/wordprocessingShape">
                          <wps:wsp>
                            <wps:cNvSpPr/>
                            <wps:spPr>
                              <a:xfrm>
                                <a:off x="0" y="0"/>
                                <a:ext cx="103505" cy="76835"/>
                              </a:xfrm>
                              <a:prstGeom prst="rect">
                                <a:avLst/>
                              </a:prstGeom>
                              <a:solidFill>
                                <a:srgbClr val="BA2025"/>
                              </a:solidFill>
                            </wps:spPr>
                            <wps:txbx>
                              <w:txbxContent>
                                <w:p w14:paraId="08279504" w14:textId="77777777" w:rsidR="009D0C1D" w:rsidRPr="00911AD4" w:rsidRDefault="009D0C1D" w:rsidP="009F0522">
                                  <w:pPr>
                                    <w:rPr>
                                      <w:rFonts w:ascii="Century Gothic" w:eastAsia="+mn-ea" w:hAnsi="Century Gothic" w:cs="+mn-cs"/>
                                      <w:b/>
                                      <w:bCs/>
                                      <w:color w:val="FFFFFF"/>
                                      <w:kern w:val="24"/>
                                      <w:sz w:val="8"/>
                                      <w:szCs w:val="8"/>
                                    </w:rPr>
                                  </w:pPr>
                                  <w:r w:rsidRPr="00911AD4">
                                    <w:rPr>
                                      <w:rFonts w:ascii="Century Gothic" w:hAnsi="Century Gothic"/>
                                      <w:b/>
                                      <w:color w:val="FFFFFF"/>
                                      <w:sz w:val="8"/>
                                      <w:szCs w:val="22"/>
                                    </w:rPr>
                                    <w:t>FQ</w:t>
                                  </w:r>
                                </w:p>
                              </w:txbxContent>
                            </wps:txbx>
                            <wps:bodyPr wrap="square" lIns="0" tIns="0" rIns="0" bIns="0">
                              <a:noAutofit/>
                            </wps:bodyPr>
                          </wps:wsp>
                        </a:graphicData>
                      </a:graphic>
                    </wp:anchor>
                  </w:drawing>
                </mc:Choice>
                <mc:Fallback>
                  <w:pict>
                    <v:rect w14:anchorId="4F1B7AD0" id="_x0000_s1545" style="position:absolute;margin-left:297.4pt;margin-top:474.85pt;width:8.15pt;height:6.0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" fillcolor="#ba2025" stroked="f">
                      <v:textbox inset="0,0,0,0">
                        <w:txbxContent>
                          <w:p w14:paraId="08279504" w14:textId="77777777" w:rsidR="009D0C1D" w:rsidRPr="00911AD4" w:rsidRDefault="009D0C1D" w:rsidP="009F0522">
                            <w:pPr>
                              <w:rPr>
                                <w:rFonts w:ascii="Century Gothic" w:eastAsia="+mn-ea" w:hAnsi="Century Gothic" w:cs="+mn-cs"/>
                                <w:b/>
                                <w:bCs/>
                                <w:color w:val="FFFFFF"/>
                                <w:kern w:val="24"/>
                                <w:sz w:val="8"/>
                                <w:szCs w:val="8"/>
                              </w:rPr>
                            </w:pPr>
                            <w:r w:rsidRPr="00911AD4">
                              <w:rPr>
                                <w:rFonts w:ascii="Century Gothic" w:hAnsi="Century Gothic"/>
                                <w:b/>
                                <w:color w:val="FFFFFF"/>
                                <w:sz w:val="8"/>
                                <w:szCs w:val="22"/>
                              </w:rPr>
                              <w:t>FQ</w:t>
                            </w:r>
                          </w:p>
                        </w:txbxContent>
                      </v:textbox>
                    </v:rect>
                  </w:pict>
                </mc:Fallback>
              </mc:AlternateContent>
            </w:r>
            <w:r w:rsidR="009F0522">
              <w:rPr>
                <w:noProof/>
              </w:rPr>
              <mc:AlternateContent>
                <mc:Choice Requires="wps">
                  <w:drawing>
                    <wp:anchor distT="0" distB="0" distL="114300" distR="114300" simplePos="0" relativeHeight="251890688" behindDoc="0" locked="0" layoutInCell="1" allowOverlap="1" wp14:anchorId="70B042BD" wp14:editId="12EAC80A">
                      <wp:simplePos x="0" y="0"/>
                      <wp:positionH relativeFrom="column">
                        <wp:posOffset>3722370</wp:posOffset>
                      </wp:positionH>
                      <wp:positionV relativeFrom="paragraph">
                        <wp:posOffset>6308090</wp:posOffset>
                      </wp:positionV>
                      <wp:extent cx="167640" cy="84455"/>
                      <wp:effectExtent l="0" t="0" r="3810" b="0"/>
                      <wp:wrapNone/>
                      <wp:docPr id="1215870245" name="Прямокутник 26"/>
                      <wp:cNvGraphicFramePr/>
                      <a:graphic xmlns:a="http://schemas.openxmlformats.org/drawingml/2006/main">
                        <a:graphicData uri="http://schemas.microsoft.com/office/word/2010/wordprocessingShape">
                          <wps:wsp>
                            <wps:cNvSpPr/>
                            <wps:spPr>
                              <a:xfrm>
                                <a:off x="0" y="0"/>
                                <a:ext cx="167640" cy="84455"/>
                              </a:xfrm>
                              <a:prstGeom prst="rect">
                                <a:avLst/>
                              </a:prstGeom>
                              <a:solidFill>
                                <a:srgbClr val="009548"/>
                              </a:solidFill>
                            </wps:spPr>
                            <wps:txbx>
                              <w:txbxContent>
                                <w:p w14:paraId="324581F0" w14:textId="77777777" w:rsidR="009D0C1D" w:rsidRDefault="009D0C1D" w:rsidP="009F0522">
                                  <w:pPr>
                                    <w:rPr>
                                      <w:rFonts w:ascii="Century Gothic" w:eastAsia="+mn-ea" w:hAnsi="Century Gothic" w:cs="+mn-cs"/>
                                      <w:b/>
                                      <w:bCs/>
                                      <w:color w:val="FFFFFF"/>
                                      <w:kern w:val="24"/>
                                      <w:sz w:val="11"/>
                                      <w:szCs w:val="11"/>
                                    </w:rPr>
                                  </w:pPr>
                                  <w:r>
                                    <w:rPr>
                                      <w:rFonts w:ascii="Century Gothic" w:hAnsi="Century Gothic"/>
                                      <w:b/>
                                      <w:color w:val="FFFFFF"/>
                                      <w:sz w:val="11"/>
                                    </w:rPr>
                                    <w:t>BDQ</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0B042BD" id="_x0000_s1546" style="position:absolute;margin-left:293.1pt;margin-top:496.7pt;width:13.2pt;height:6.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" fillcolor="#009548" stroked="f">
                      <v:textbox inset="0,0,0,0">
                        <w:txbxContent>
                          <w:p w14:paraId="324581F0" w14:textId="77777777" w:rsidR="009D0C1D" w:rsidRDefault="009D0C1D" w:rsidP="009F0522">
                            <w:pPr>
                              <w:rPr>
                                <w:rFonts w:ascii="Century Gothic" w:eastAsia="+mn-ea" w:hAnsi="Century Gothic" w:cs="+mn-cs"/>
                                <w:b/>
                                <w:bCs/>
                                <w:color w:val="FFFFFF"/>
                                <w:kern w:val="24"/>
                                <w:sz w:val="11"/>
                                <w:szCs w:val="11"/>
                              </w:rPr>
                            </w:pPr>
                            <w:r>
                              <w:rPr>
                                <w:rFonts w:ascii="Century Gothic" w:hAnsi="Century Gothic"/>
                                <w:b/>
                                <w:color w:val="FFFFFF"/>
                                <w:sz w:val="11"/>
                              </w:rPr>
                              <w:t>BDQ</w:t>
                            </w:r>
                          </w:p>
                        </w:txbxContent>
                      </v:textbox>
                    </v:rect>
                  </w:pict>
                </mc:Fallback>
              </mc:AlternateContent>
            </w:r>
            <w:r w:rsidR="009F0522">
              <w:rPr>
                <w:noProof/>
              </w:rPr>
              <mc:AlternateContent>
                <mc:Choice Requires="wps">
                  <w:drawing>
                    <wp:anchor distT="0" distB="0" distL="114300" distR="114300" simplePos="0" relativeHeight="251893760" behindDoc="0" locked="0" layoutInCell="1" allowOverlap="1" wp14:anchorId="21E9B7E6" wp14:editId="0A8F1E93">
                      <wp:simplePos x="0" y="0"/>
                      <wp:positionH relativeFrom="column">
                        <wp:posOffset>3941445</wp:posOffset>
                      </wp:positionH>
                      <wp:positionV relativeFrom="paragraph">
                        <wp:posOffset>7170420</wp:posOffset>
                      </wp:positionV>
                      <wp:extent cx="142875" cy="76835"/>
                      <wp:effectExtent l="0" t="0" r="9525" b="0"/>
                      <wp:wrapNone/>
                      <wp:docPr id="1843764935" name="Прямокутник 29"/>
                      <wp:cNvGraphicFramePr/>
                      <a:graphic xmlns:a="http://schemas.openxmlformats.org/drawingml/2006/main">
                        <a:graphicData uri="http://schemas.microsoft.com/office/word/2010/wordprocessingShape">
                          <wps:wsp>
                            <wps:cNvSpPr/>
                            <wps:spPr>
                              <a:xfrm>
                                <a:off x="0" y="0"/>
                                <a:ext cx="142875" cy="76835"/>
                              </a:xfrm>
                              <a:prstGeom prst="rect">
                                <a:avLst/>
                              </a:prstGeom>
                              <a:solidFill>
                                <a:srgbClr val="BA2025"/>
                              </a:solidFill>
                            </wps:spPr>
                            <wps:txbx>
                              <w:txbxContent>
                                <w:p w14:paraId="56B80773" w14:textId="77777777" w:rsidR="009D0C1D" w:rsidRPr="00911AD4" w:rsidRDefault="009D0C1D" w:rsidP="009F0522">
                                  <w:pPr>
                                    <w:rPr>
                                      <w:rFonts w:ascii="Century Gothic" w:eastAsia="+mn-ea" w:hAnsi="Century Gothic" w:cs="+mn-cs"/>
                                      <w:b/>
                                      <w:bCs/>
                                      <w:color w:val="FFFFFF"/>
                                      <w:kern w:val="24"/>
                                      <w:sz w:val="8"/>
                                      <w:szCs w:val="8"/>
                                    </w:rPr>
                                  </w:pPr>
                                  <w:r w:rsidRPr="00911AD4">
                                    <w:rPr>
                                      <w:rFonts w:ascii="Century Gothic" w:hAnsi="Century Gothic"/>
                                      <w:b/>
                                      <w:color w:val="FFFFFF"/>
                                      <w:sz w:val="8"/>
                                      <w:szCs w:val="22"/>
                                    </w:rPr>
                                    <w:t>BDQ</w:t>
                                  </w:r>
                                </w:p>
                              </w:txbxContent>
                            </wps:txbx>
                            <wps:bodyPr wrap="square" lIns="0" tIns="0" rIns="0" bIns="0">
                              <a:noAutofit/>
                            </wps:bodyPr>
                          </wps:wsp>
                        </a:graphicData>
                      </a:graphic>
                    </wp:anchor>
                  </w:drawing>
                </mc:Choice>
                <mc:Fallback>
                  <w:pict>
                    <v:rect w14:anchorId="21E9B7E6" id="_x0000_s1547" style="position:absolute;margin-left:310.35pt;margin-top:564.6pt;width:11.25pt;height:6.0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" fillcolor="#ba2025" stroked="f">
                      <v:textbox inset="0,0,0,0">
                        <w:txbxContent>
                          <w:p w14:paraId="56B80773" w14:textId="77777777" w:rsidR="009D0C1D" w:rsidRPr="00911AD4" w:rsidRDefault="009D0C1D" w:rsidP="009F0522">
                            <w:pPr>
                              <w:rPr>
                                <w:rFonts w:ascii="Century Gothic" w:eastAsia="+mn-ea" w:hAnsi="Century Gothic" w:cs="+mn-cs"/>
                                <w:b/>
                                <w:bCs/>
                                <w:color w:val="FFFFFF"/>
                                <w:kern w:val="24"/>
                                <w:sz w:val="8"/>
                                <w:szCs w:val="8"/>
                              </w:rPr>
                            </w:pPr>
                            <w:r w:rsidRPr="00911AD4">
                              <w:rPr>
                                <w:rFonts w:ascii="Century Gothic" w:hAnsi="Century Gothic"/>
                                <w:b/>
                                <w:color w:val="FFFFFF"/>
                                <w:sz w:val="8"/>
                                <w:szCs w:val="22"/>
                              </w:rPr>
                              <w:t>BDQ</w:t>
                            </w:r>
                          </w:p>
                        </w:txbxContent>
                      </v:textbox>
                    </v:rect>
                  </w:pict>
                </mc:Fallback>
              </mc:AlternateContent>
            </w:r>
            <w:r w:rsidR="009F0522">
              <w:rPr>
                <w:noProof/>
              </w:rPr>
              <mc:AlternateContent>
                <mc:Choice Requires="wps">
                  <w:drawing>
                    <wp:anchor distT="0" distB="0" distL="114300" distR="114300" simplePos="0" relativeHeight="251894784" behindDoc="0" locked="0" layoutInCell="1" allowOverlap="1" wp14:anchorId="33DD53AC" wp14:editId="48676CF5">
                      <wp:simplePos x="0" y="0"/>
                      <wp:positionH relativeFrom="column">
                        <wp:posOffset>3136900</wp:posOffset>
                      </wp:positionH>
                      <wp:positionV relativeFrom="paragraph">
                        <wp:posOffset>5158740</wp:posOffset>
                      </wp:positionV>
                      <wp:extent cx="91440" cy="76835"/>
                      <wp:effectExtent l="0" t="0" r="3810" b="0"/>
                      <wp:wrapNone/>
                      <wp:docPr id="1544615701" name="Прямокутник 30"/>
                      <wp:cNvGraphicFramePr/>
                      <a:graphic xmlns:a="http://schemas.openxmlformats.org/drawingml/2006/main">
                        <a:graphicData uri="http://schemas.microsoft.com/office/word/2010/wordprocessingShape">
                          <wps:wsp>
                            <wps:cNvSpPr/>
                            <wps:spPr>
                              <a:xfrm>
                                <a:off x="0" y="0"/>
                                <a:ext cx="91440" cy="76835"/>
                              </a:xfrm>
                              <a:prstGeom prst="rect">
                                <a:avLst/>
                              </a:prstGeom>
                              <a:solidFill>
                                <a:srgbClr val="BA2025"/>
                              </a:solidFill>
                            </wps:spPr>
                            <wps:txbx>
                              <w:txbxContent>
                                <w:p w14:paraId="17BEEBBF" w14:textId="77777777" w:rsidR="009D0C1D" w:rsidRDefault="009D0C1D" w:rsidP="009F0522">
                                  <w:pPr>
                                    <w:rPr>
                                      <w:rFonts w:ascii="Century Gothic" w:eastAsia="+mn-ea" w:hAnsi="Century Gothic" w:cs="+mn-cs"/>
                                      <w:b/>
                                      <w:bCs/>
                                      <w:color w:val="FFFFFF"/>
                                      <w:kern w:val="24"/>
                                      <w:sz w:val="10"/>
                                      <w:szCs w:val="10"/>
                                    </w:rPr>
                                  </w:pPr>
                                  <w:r>
                                    <w:rPr>
                                      <w:rFonts w:ascii="Century Gothic" w:hAnsi="Century Gothic"/>
                                      <w:b/>
                                      <w:color w:val="FFFFFF"/>
                                      <w:sz w:val="10"/>
                                    </w:rPr>
                                    <w:t>RIF</w:t>
                                  </w:r>
                                </w:p>
                              </w:txbxContent>
                            </wps:txbx>
                            <wps:bodyPr wrap="square" lIns="0" tIns="0" rIns="0" bIns="0">
                              <a:noAutofit/>
                            </wps:bodyPr>
                          </wps:wsp>
                        </a:graphicData>
                      </a:graphic>
                    </wp:anchor>
                  </w:drawing>
                </mc:Choice>
                <mc:Fallback>
                  <w:pict>
                    <v:rect w14:anchorId="33DD53AC" id="_x0000_s1548" style="position:absolute;margin-left:247pt;margin-top:406.2pt;width:7.2pt;height:6.0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" fillcolor="#ba2025" stroked="f">
                      <v:textbox inset="0,0,0,0">
                        <w:txbxContent>
                          <w:p w14:paraId="17BEEBBF" w14:textId="77777777" w:rsidR="009D0C1D" w:rsidRDefault="009D0C1D" w:rsidP="009F0522">
                            <w:pPr>
                              <w:rPr>
                                <w:rFonts w:ascii="Century Gothic" w:eastAsia="+mn-ea" w:hAnsi="Century Gothic" w:cs="+mn-cs"/>
                                <w:b/>
                                <w:bCs/>
                                <w:color w:val="FFFFFF"/>
                                <w:kern w:val="24"/>
                                <w:sz w:val="10"/>
                                <w:szCs w:val="10"/>
                              </w:rPr>
                            </w:pPr>
                            <w:r>
                              <w:rPr>
                                <w:rFonts w:ascii="Century Gothic" w:hAnsi="Century Gothic"/>
                                <w:b/>
                                <w:color w:val="FFFFFF"/>
                                <w:sz w:val="10"/>
                              </w:rPr>
                              <w:t>RIF</w:t>
                            </w:r>
                          </w:p>
                        </w:txbxContent>
                      </v:textbox>
                    </v:rect>
                  </w:pict>
                </mc:Fallback>
              </mc:AlternateContent>
            </w:r>
            <w:r w:rsidR="009F0522">
              <w:rPr>
                <w:noProof/>
              </w:rPr>
              <mc:AlternateContent>
                <mc:Choice Requires="wps">
                  <w:drawing>
                    <wp:anchor distT="0" distB="0" distL="114300" distR="114300" simplePos="0" relativeHeight="251896832" behindDoc="0" locked="0" layoutInCell="1" allowOverlap="1" wp14:anchorId="520C010D" wp14:editId="09666A8C">
                      <wp:simplePos x="0" y="0"/>
                      <wp:positionH relativeFrom="column">
                        <wp:posOffset>4382135</wp:posOffset>
                      </wp:positionH>
                      <wp:positionV relativeFrom="paragraph">
                        <wp:posOffset>6138545</wp:posOffset>
                      </wp:positionV>
                      <wp:extent cx="158115" cy="60325"/>
                      <wp:effectExtent l="0" t="0" r="0" b="0"/>
                      <wp:wrapNone/>
                      <wp:docPr id="1267966088" name="Прямокутник 32"/>
                      <wp:cNvGraphicFramePr/>
                      <a:graphic xmlns:a="http://schemas.openxmlformats.org/drawingml/2006/main">
                        <a:graphicData uri="http://schemas.microsoft.com/office/word/2010/wordprocessingShape">
                          <wps:wsp>
                            <wps:cNvSpPr/>
                            <wps:spPr>
                              <a:xfrm>
                                <a:off x="0" y="0"/>
                                <a:ext cx="158115" cy="60325"/>
                              </a:xfrm>
                              <a:prstGeom prst="rect">
                                <a:avLst/>
                              </a:prstGeom>
                              <a:solidFill>
                                <a:sysClr val="window" lastClr="FFFFFF"/>
                              </a:solidFill>
                            </wps:spPr>
                            <wps:txbx>
                              <w:txbxContent>
                                <w:p w14:paraId="48FD1272" w14:textId="77777777" w:rsidR="009D0C1D" w:rsidRDefault="009D0C1D" w:rsidP="009F0522">
                                  <w:pPr>
                                    <w:rPr>
                                      <w:rFonts w:eastAsia="+mn-ea" w:cs="+mn-cs"/>
                                      <w:color w:val="4071AF"/>
                                      <w:kern w:val="24"/>
                                      <w:sz w:val="8"/>
                                      <w:szCs w:val="8"/>
                                    </w:rPr>
                                  </w:pPr>
                                  <w:r>
                                    <w:rPr>
                                      <w:color w:val="4071AF"/>
                                      <w:sz w:val="8"/>
                                    </w:rPr>
                                    <w:t>G</w:t>
                                  </w:r>
                                  <w:r>
                                    <w:rPr>
                                      <w:color w:val="5C823D"/>
                                      <w:sz w:val="8"/>
                                    </w:rPr>
                                    <w:t>C</w:t>
                                  </w:r>
                                  <w:r>
                                    <w:rPr>
                                      <w:color w:val="F6CC40"/>
                                      <w:sz w:val="8"/>
                                    </w:rPr>
                                    <w:t>A</w:t>
                                  </w:r>
                                  <w:r>
                                    <w:rPr>
                                      <w:color w:val="E16640"/>
                                      <w:sz w:val="8"/>
                                    </w:rPr>
                                    <w:t>T</w:t>
                                  </w:r>
                                </w:p>
                              </w:txbxContent>
                            </wps:txbx>
                            <wps:bodyPr wrap="square" lIns="0" tIns="0" rIns="0" bIns="0">
                              <a:noAutofit/>
                            </wps:bodyPr>
                          </wps:wsp>
                        </a:graphicData>
                      </a:graphic>
                    </wp:anchor>
                  </w:drawing>
                </mc:Choice>
                <mc:Fallback>
                  <w:pict>
                    <v:rect w14:anchorId="520C010D" id="_x0000_s1549" style="position:absolute;margin-left:345.05pt;margin-top:483.35pt;width:12.45pt;height:4.7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" fillcolor="window" stroked="f">
                      <v:textbox inset="0,0,0,0">
                        <w:txbxContent>
                          <w:p w14:paraId="48FD1272" w14:textId="77777777" w:rsidR="009D0C1D" w:rsidRDefault="009D0C1D" w:rsidP="009F0522">
                            <w:pPr>
                              <w:rPr>
                                <w:rFonts w:eastAsia="+mn-ea" w:cs="+mn-cs"/>
                                <w:color w:val="4071AF"/>
                                <w:kern w:val="24"/>
                                <w:sz w:val="8"/>
                                <w:szCs w:val="8"/>
                              </w:rPr>
                            </w:pPr>
                            <w:r>
                              <w:rPr>
                                <w:color w:val="4071AF"/>
                                <w:sz w:val="8"/>
                              </w:rPr>
                              <w:t>G</w:t>
                            </w:r>
                            <w:r>
                              <w:rPr>
                                <w:color w:val="5C823D"/>
                                <w:sz w:val="8"/>
                              </w:rPr>
                              <w:t>C</w:t>
                            </w:r>
                            <w:r>
                              <w:rPr>
                                <w:color w:val="F6CC40"/>
                                <w:sz w:val="8"/>
                              </w:rPr>
                              <w:t>A</w:t>
                            </w:r>
                            <w:r>
                              <w:rPr>
                                <w:color w:val="E16640"/>
                                <w:sz w:val="8"/>
                              </w:rPr>
                              <w:t>T</w:t>
                            </w:r>
                          </w:p>
                        </w:txbxContent>
                      </v:textbox>
                    </v:rect>
                  </w:pict>
                </mc:Fallback>
              </mc:AlternateContent>
            </w:r>
            <w:r w:rsidR="009F0522">
              <w:rPr>
                <w:noProof/>
              </w:rPr>
              <w:drawing>
                <wp:inline distT="0" distB="0" distL="0" distR="0" wp14:anchorId="431FEF8E" wp14:editId="5CB4D66D">
                  <wp:extent cx="5782310" cy="804989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57"/>
                          <a:stretch/>
                        </pic:blipFill>
                        <pic:spPr>
                          <a:xfrm>
                            <a:off x="0" y="0"/>
                            <a:ext cx="5782310" cy="8049895"/>
                          </a:xfrm>
                          <a:prstGeom prst="rect">
                            <a:avLst/>
                          </a:prstGeom>
                        </pic:spPr>
                      </pic:pic>
                    </a:graphicData>
                  </a:graphic>
                </wp:inline>
              </w:drawing>
            </w:r>
          </w:p>
        </w:tc>
      </w:tr>
      <w:tr w:rsidR="00366CB9" w14:paraId="702B6A28" w14:textId="77777777" w:rsidTr="00911AD4">
        <w:trPr>
          <w:trHeight w:hRule="exact" w:val="1359"/>
        </w:trPr>
        <w:tc>
          <w:tcPr>
            <w:tcW w:w="9106" w:type="dxa"/>
            <w:shd w:val="clear" w:color="auto" w:fill="FFFFFF"/>
            <w:vAlign w:val="bottom"/>
          </w:tcPr>
          <w:p w14:paraId="7495353C" w14:textId="77777777" w:rsidR="00366CB9" w:rsidRDefault="009D0C1D" w:rsidP="00B3067A">
            <w:pPr>
              <w:pStyle w:val="a6"/>
              <w:shd w:val="clear" w:color="auto" w:fill="auto"/>
              <w:spacing w:after="40" w:line="266" w:lineRule="auto"/>
              <w:jc w:val="both"/>
              <w:rPr>
                <w:sz w:val="17"/>
                <w:szCs w:val="17"/>
              </w:rPr>
            </w:pPr>
            <w:r>
              <w:rPr>
                <w:b w:val="0"/>
                <w:color w:val="000000"/>
                <w:sz w:val="17"/>
              </w:rPr>
              <w:t>ТМЧ: тестування медикаментозної чутливості; HC-rNAAT: NAAT на основі зворотної гібридизації високої складності; LC-aNAAT: автоматизований NAAT низької складності; MC-aNAAT: автоматизований NAAT середньої складності; МЛС/Риф-ТБ: туберкульоз із множинною лікарською стійкістю або рифампіцин-резистентний туберкульоз; МЛС-ТБ: туберкульоз із множинною лікарською стійкістю; NAAT: аналіз ампліфікації нуклеїнових кислот; СНП: секвенування наступного покоління; SL-LPA: аналіз олігонуклеотидними зондами для препаратів другої лінії; ТБ: туберкульоз.</w:t>
            </w:r>
          </w:p>
          <w:p w14:paraId="1B2832A3" w14:textId="77777777" w:rsidR="00366CB9" w:rsidRDefault="009D0C1D" w:rsidP="00B3067A">
            <w:pPr>
              <w:pStyle w:val="a6"/>
              <w:shd w:val="clear" w:color="auto" w:fill="auto"/>
              <w:spacing w:line="266" w:lineRule="auto"/>
              <w:jc w:val="both"/>
              <w:rPr>
                <w:sz w:val="17"/>
                <w:szCs w:val="17"/>
              </w:rPr>
            </w:pPr>
            <w:r>
              <w:rPr>
                <w:b w:val="0"/>
                <w:color w:val="000000"/>
                <w:sz w:val="17"/>
              </w:rPr>
              <w:t>Лікарські засоби: BDQ: бедаквілін; FQ: фторхінолон; INH: ізоніазид; PZA: піразинамід; RIF: рифампіцин.</w:t>
            </w:r>
          </w:p>
        </w:tc>
      </w:tr>
    </w:tbl>
    <w:p w14:paraId="4C9483A8" w14:textId="7F9D97B3" w:rsidR="00366CB9" w:rsidRDefault="00366CB9" w:rsidP="00425523">
      <w:pPr>
        <w:spacing w:line="1" w:lineRule="exact"/>
        <w:sectPr w:rsidR="00366CB9" w:rsidSect="00911AD4">
          <w:type w:val="nextColumn"/>
          <w:pgSz w:w="11913" w:h="16840"/>
          <w:pgMar w:top="1276" w:right="1378" w:bottom="851" w:left="1372" w:header="0" w:footer="6" w:gutter="0"/>
          <w:paperSrc w:first="15" w:other="15"/>
          <w:cols w:space="720"/>
          <w:noEndnote/>
          <w:docGrid w:linePitch="360"/>
        </w:sectPr>
      </w:pPr>
    </w:p>
    <w:p w14:paraId="788B9912" w14:textId="77777777" w:rsidR="00366CB9" w:rsidRDefault="00366CB9" w:rsidP="00425523">
      <w:pPr>
        <w:spacing w:line="1" w:lineRule="exact"/>
      </w:pPr>
    </w:p>
    <w:p w14:paraId="1E7C4DF6" w14:textId="77777777" w:rsidR="00366CB9" w:rsidRDefault="00366CB9" w:rsidP="00B3067A"/>
    <w:p w14:paraId="21C7AB1D"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03FC3BB9" w14:textId="77777777" w:rsidR="00366CB9" w:rsidRDefault="00366CB9" w:rsidP="00425523">
      <w:pPr>
        <w:spacing w:line="1" w:lineRule="exact"/>
      </w:pPr>
    </w:p>
    <w:p w14:paraId="7E8BE6EB" w14:textId="77777777" w:rsidR="00366CB9" w:rsidRDefault="009D0C1D" w:rsidP="00B3067A">
      <w:pPr>
        <w:pStyle w:val="11"/>
        <w:shd w:val="clear" w:color="auto" w:fill="auto"/>
        <w:spacing w:before="0" w:after="720" w:line="240" w:lineRule="auto"/>
        <w:jc w:val="both"/>
      </w:pPr>
      <w:bookmarkStart w:id="196" w:name="bookmark194"/>
      <w:bookmarkStart w:id="197" w:name="bookmark195"/>
      <w:bookmarkStart w:id="198" w:name="bookmark193"/>
      <w:r>
        <w:t>Список літератури</w:t>
      </w:r>
      <w:r>
        <w:rPr>
          <w:vertAlign w:val="superscript"/>
        </w:rPr>
        <w:t>7</w:t>
      </w:r>
      <w:bookmarkEnd w:id="196"/>
      <w:bookmarkEnd w:id="197"/>
      <w:bookmarkEnd w:id="198"/>
    </w:p>
    <w:p w14:paraId="5826C6D9" w14:textId="77777777" w:rsidR="00366CB9" w:rsidRDefault="009D0C1D" w:rsidP="00B3067A">
      <w:pPr>
        <w:pStyle w:val="1"/>
        <w:numPr>
          <w:ilvl w:val="0"/>
          <w:numId w:val="56"/>
        </w:numPr>
        <w:shd w:val="clear" w:color="auto" w:fill="auto"/>
        <w:tabs>
          <w:tab w:val="left" w:pos="442"/>
        </w:tabs>
        <w:spacing w:after="60" w:line="310" w:lineRule="auto"/>
        <w:ind w:left="500" w:hanging="500"/>
        <w:jc w:val="both"/>
        <w:rPr>
          <w:sz w:val="19"/>
          <w:szCs w:val="19"/>
        </w:rPr>
      </w:pPr>
      <w:r>
        <w:rPr>
          <w:sz w:val="19"/>
        </w:rPr>
        <w:t>Houben RM, Dodd PJ. The global burden of latent tuberculosis infection: a re-estimation using mathematical modelling. PLoS Med. 2016;13:e1002152 (</w:t>
      </w:r>
      <w:hyperlink r:id="rId158" w:history="1">
        <w:r w:rsidR="00366CB9">
          <w:rPr>
            <w:color w:val="019648"/>
            <w:sz w:val="19"/>
          </w:rPr>
          <w:t>https://doi.org/10.1371/journal.pmed.</w:t>
        </w:r>
      </w:hyperlink>
      <w:r>
        <w:rPr>
          <w:color w:val="019648"/>
          <w:sz w:val="19"/>
        </w:rPr>
        <w:t xml:space="preserve"> </w:t>
      </w:r>
      <w:hyperlink r:id="rId159" w:history="1">
        <w:r w:rsidR="00366CB9">
          <w:rPr>
            <w:color w:val="019648"/>
            <w:sz w:val="19"/>
          </w:rPr>
          <w:t>1002152</w:t>
        </w:r>
      </w:hyperlink>
      <w:r>
        <w:rPr>
          <w:sz w:val="19"/>
        </w:rPr>
        <w:t>).</w:t>
      </w:r>
    </w:p>
    <w:p w14:paraId="62A747E0" w14:textId="77777777" w:rsidR="00366CB9" w:rsidRDefault="009D0C1D" w:rsidP="00B3067A">
      <w:pPr>
        <w:pStyle w:val="1"/>
        <w:numPr>
          <w:ilvl w:val="0"/>
          <w:numId w:val="56"/>
        </w:numPr>
        <w:shd w:val="clear" w:color="auto" w:fill="auto"/>
        <w:tabs>
          <w:tab w:val="left" w:pos="442"/>
        </w:tabs>
        <w:spacing w:after="60" w:line="305" w:lineRule="auto"/>
        <w:ind w:left="500" w:hanging="500"/>
        <w:jc w:val="both"/>
        <w:rPr>
          <w:sz w:val="19"/>
          <w:szCs w:val="19"/>
        </w:rPr>
      </w:pPr>
      <w:r>
        <w:rPr>
          <w:sz w:val="19"/>
        </w:rPr>
        <w:t>Global tuberculosis report 2024. Geneva: World Health Organization; 2024 (</w:t>
      </w:r>
      <w:hyperlink r:id="rId160" w:history="1">
        <w:r w:rsidR="00366CB9">
          <w:rPr>
            <w:color w:val="019648"/>
            <w:sz w:val="19"/>
          </w:rPr>
          <w:t>https://iris.who.int/</w:t>
        </w:r>
      </w:hyperlink>
      <w:r>
        <w:rPr>
          <w:color w:val="019648"/>
          <w:sz w:val="19"/>
        </w:rPr>
        <w:t xml:space="preserve"> </w:t>
      </w:r>
      <w:hyperlink r:id="rId161" w:history="1">
        <w:r w:rsidR="00366CB9">
          <w:rPr>
            <w:color w:val="019648"/>
            <w:sz w:val="19"/>
          </w:rPr>
          <w:t>handle/10665/379339</w:t>
        </w:r>
      </w:hyperlink>
      <w:r>
        <w:rPr>
          <w:sz w:val="19"/>
        </w:rPr>
        <w:t>). Licence: CC BY-NC-SA 3.0 IGO.</w:t>
      </w:r>
    </w:p>
    <w:p w14:paraId="467D3C6F" w14:textId="77777777" w:rsidR="00366CB9" w:rsidRDefault="009D0C1D" w:rsidP="00B3067A">
      <w:pPr>
        <w:pStyle w:val="1"/>
        <w:numPr>
          <w:ilvl w:val="0"/>
          <w:numId w:val="56"/>
        </w:numPr>
        <w:shd w:val="clear" w:color="auto" w:fill="auto"/>
        <w:tabs>
          <w:tab w:val="left" w:pos="442"/>
        </w:tabs>
        <w:spacing w:after="60" w:line="305" w:lineRule="auto"/>
        <w:ind w:left="500" w:hanging="500"/>
        <w:jc w:val="both"/>
        <w:rPr>
          <w:sz w:val="19"/>
          <w:szCs w:val="19"/>
        </w:rPr>
      </w:pPr>
      <w:r>
        <w:rPr>
          <w:sz w:val="19"/>
        </w:rPr>
        <w:t>WHO standard: universal access to rapid tuberculosis diagnostics. Geneva: World Health Organization; 2023 (</w:t>
      </w:r>
      <w:hyperlink r:id="rId162" w:history="1">
        <w:r w:rsidR="00366CB9">
          <w:rPr>
            <w:color w:val="019648"/>
            <w:sz w:val="19"/>
          </w:rPr>
          <w:t>https://iris.who.int/handle/10665/366854</w:t>
        </w:r>
      </w:hyperlink>
      <w:r>
        <w:rPr>
          <w:sz w:val="19"/>
        </w:rPr>
        <w:t>).</w:t>
      </w:r>
    </w:p>
    <w:p w14:paraId="4D8442EB" w14:textId="77777777" w:rsidR="00366CB9" w:rsidRDefault="009D0C1D" w:rsidP="00B3067A">
      <w:pPr>
        <w:pStyle w:val="1"/>
        <w:numPr>
          <w:ilvl w:val="0"/>
          <w:numId w:val="56"/>
        </w:numPr>
        <w:shd w:val="clear" w:color="auto" w:fill="auto"/>
        <w:tabs>
          <w:tab w:val="left" w:pos="442"/>
        </w:tabs>
        <w:spacing w:after="60" w:line="312" w:lineRule="auto"/>
        <w:ind w:left="500" w:hanging="500"/>
        <w:jc w:val="both"/>
        <w:rPr>
          <w:sz w:val="19"/>
          <w:szCs w:val="19"/>
        </w:rPr>
      </w:pPr>
      <w:r>
        <w:rPr>
          <w:sz w:val="19"/>
        </w:rPr>
        <w:t xml:space="preserve">The End TB Strategy. Geneva: World Health Organization; 2015 </w:t>
      </w:r>
      <w:hyperlink r:id="rId163" w:history="1">
        <w:r w:rsidR="00366CB9">
          <w:rPr>
            <w:sz w:val="19"/>
          </w:rPr>
          <w:t>(</w:t>
        </w:r>
        <w:r w:rsidR="00366CB9">
          <w:rPr>
            <w:color w:val="019648"/>
            <w:sz w:val="19"/>
          </w:rPr>
          <w:t>https://apps.who.int/iris/handle/</w:t>
        </w:r>
      </w:hyperlink>
      <w:r>
        <w:rPr>
          <w:color w:val="019648"/>
          <w:sz w:val="19"/>
        </w:rPr>
        <w:t xml:space="preserve"> </w:t>
      </w:r>
      <w:hyperlink r:id="rId164" w:history="1">
        <w:r w:rsidR="00366CB9">
          <w:rPr>
            <w:color w:val="019648"/>
            <w:sz w:val="19"/>
          </w:rPr>
          <w:t>10665/331326</w:t>
        </w:r>
      </w:hyperlink>
      <w:r>
        <w:rPr>
          <w:sz w:val="19"/>
        </w:rPr>
        <w:t>).</w:t>
      </w:r>
    </w:p>
    <w:p w14:paraId="66080DFB" w14:textId="77777777" w:rsidR="00366CB9" w:rsidRDefault="009D0C1D" w:rsidP="00B3067A">
      <w:pPr>
        <w:pStyle w:val="1"/>
        <w:numPr>
          <w:ilvl w:val="0"/>
          <w:numId w:val="56"/>
        </w:numPr>
        <w:shd w:val="clear" w:color="auto" w:fill="auto"/>
        <w:tabs>
          <w:tab w:val="left" w:pos="442"/>
        </w:tabs>
        <w:spacing w:after="60" w:line="305" w:lineRule="auto"/>
        <w:ind w:left="500" w:hanging="500"/>
        <w:jc w:val="both"/>
        <w:rPr>
          <w:sz w:val="19"/>
          <w:szCs w:val="19"/>
        </w:rPr>
      </w:pPr>
      <w:r>
        <w:rPr>
          <w:sz w:val="19"/>
        </w:rPr>
        <w:t>WHO consolidated guidelines on tuberculosis: module 3: diagnosis. Geneva: World Health Organization; 2025 (</w:t>
      </w:r>
      <w:hyperlink r:id="rId165" w:history="1">
        <w:r w:rsidR="00366CB9">
          <w:rPr>
            <w:color w:val="019648"/>
            <w:sz w:val="19"/>
          </w:rPr>
          <w:t>https://iris.who.int/handle/10665/381003</w:t>
        </w:r>
      </w:hyperlink>
      <w:r>
        <w:rPr>
          <w:sz w:val="19"/>
        </w:rPr>
        <w:t>). Licence: CC BY-NC-SA 3.0 IGO.</w:t>
      </w:r>
    </w:p>
    <w:p w14:paraId="5E0D4381" w14:textId="77777777" w:rsidR="00366CB9" w:rsidRDefault="009D0C1D" w:rsidP="00B3067A">
      <w:pPr>
        <w:pStyle w:val="1"/>
        <w:numPr>
          <w:ilvl w:val="0"/>
          <w:numId w:val="56"/>
        </w:numPr>
        <w:shd w:val="clear" w:color="auto" w:fill="auto"/>
        <w:tabs>
          <w:tab w:val="left" w:pos="442"/>
        </w:tabs>
        <w:spacing w:after="60" w:line="310" w:lineRule="auto"/>
        <w:ind w:left="500" w:hanging="500"/>
        <w:jc w:val="both"/>
        <w:rPr>
          <w:sz w:val="19"/>
          <w:szCs w:val="19"/>
        </w:rPr>
      </w:pPr>
      <w:r>
        <w:rPr>
          <w:sz w:val="19"/>
        </w:rPr>
        <w:t>WHO consolidated guidelines on tuberculosis: module 3: diagnosis: rapid diagnostics for tuberculosis detection, 3rd ed. Geneva: World Health Organization; 2024 (</w:t>
      </w:r>
      <w:hyperlink r:id="rId166" w:history="1">
        <w:r w:rsidR="00366CB9">
          <w:rPr>
            <w:color w:val="019648"/>
            <w:sz w:val="19"/>
          </w:rPr>
          <w:t>https://iris.who.int/</w:t>
        </w:r>
      </w:hyperlink>
      <w:r>
        <w:rPr>
          <w:color w:val="019648"/>
          <w:sz w:val="19"/>
        </w:rPr>
        <w:t xml:space="preserve"> </w:t>
      </w:r>
      <w:hyperlink r:id="rId167" w:history="1">
        <w:r w:rsidR="00366CB9">
          <w:rPr>
            <w:color w:val="019648"/>
            <w:sz w:val="19"/>
          </w:rPr>
          <w:t>handle/10665/376221</w:t>
        </w:r>
      </w:hyperlink>
      <w:r>
        <w:rPr>
          <w:sz w:val="19"/>
        </w:rPr>
        <w:t>). Licence: CC BY-NC-SA 3.0 IGO.</w:t>
      </w:r>
    </w:p>
    <w:p w14:paraId="3DE3863A" w14:textId="77777777" w:rsidR="00366CB9" w:rsidRDefault="009D0C1D" w:rsidP="00B3067A">
      <w:pPr>
        <w:pStyle w:val="1"/>
        <w:numPr>
          <w:ilvl w:val="0"/>
          <w:numId w:val="56"/>
        </w:numPr>
        <w:shd w:val="clear" w:color="auto" w:fill="auto"/>
        <w:tabs>
          <w:tab w:val="left" w:pos="442"/>
        </w:tabs>
        <w:spacing w:after="60" w:line="310" w:lineRule="auto"/>
        <w:ind w:left="500" w:hanging="500"/>
        <w:jc w:val="both"/>
        <w:rPr>
          <w:sz w:val="19"/>
          <w:szCs w:val="19"/>
        </w:rPr>
      </w:pPr>
      <w:r>
        <w:rPr>
          <w:sz w:val="19"/>
        </w:rPr>
        <w:t>WHO consolidated guidelines on tuberculosis. Module 4: treatment - drug-resistant tuberculosis treatment, 2022 update. Geneva: World Health Organization; 2022 (</w:t>
      </w:r>
      <w:hyperlink r:id="rId168" w:history="1">
        <w:r w:rsidR="00366CB9">
          <w:rPr>
            <w:color w:val="019648"/>
            <w:sz w:val="19"/>
          </w:rPr>
          <w:t>https://www.who.int/</w:t>
        </w:r>
      </w:hyperlink>
      <w:r>
        <w:rPr>
          <w:color w:val="019648"/>
          <w:sz w:val="19"/>
        </w:rPr>
        <w:t xml:space="preserve"> </w:t>
      </w:r>
      <w:hyperlink r:id="rId169" w:history="1">
        <w:r w:rsidR="00366CB9">
          <w:rPr>
            <w:color w:val="019648"/>
            <w:sz w:val="19"/>
          </w:rPr>
          <w:t>publications/i/item/9789240063129</w:t>
        </w:r>
      </w:hyperlink>
      <w:r>
        <w:rPr>
          <w:sz w:val="19"/>
        </w:rPr>
        <w:t>).</w:t>
      </w:r>
    </w:p>
    <w:p w14:paraId="5CA13B28" w14:textId="77777777" w:rsidR="00366CB9" w:rsidRDefault="009D0C1D" w:rsidP="00B3067A">
      <w:pPr>
        <w:pStyle w:val="1"/>
        <w:numPr>
          <w:ilvl w:val="0"/>
          <w:numId w:val="56"/>
        </w:numPr>
        <w:shd w:val="clear" w:color="auto" w:fill="auto"/>
        <w:tabs>
          <w:tab w:val="left" w:pos="442"/>
        </w:tabs>
        <w:spacing w:after="60" w:line="305" w:lineRule="auto"/>
        <w:ind w:left="500" w:hanging="500"/>
        <w:jc w:val="both"/>
        <w:rPr>
          <w:sz w:val="19"/>
          <w:szCs w:val="19"/>
        </w:rPr>
      </w:pPr>
      <w:r>
        <w:rPr>
          <w:sz w:val="19"/>
        </w:rPr>
        <w:t>WHO consolidated operational handbook on tuberculosis: module 4: treatment and care. Geneva: World Health Organization; 2025 (</w:t>
      </w:r>
      <w:hyperlink r:id="rId170" w:history="1">
        <w:r w:rsidR="00366CB9">
          <w:rPr>
            <w:color w:val="019648"/>
            <w:sz w:val="19"/>
          </w:rPr>
          <w:t>https://iris.who.int/handle/10665/380799</w:t>
        </w:r>
      </w:hyperlink>
      <w:r>
        <w:rPr>
          <w:sz w:val="19"/>
        </w:rPr>
        <w:t>). Licence: CC BY-NC-SA 3.0 IGO.</w:t>
      </w:r>
    </w:p>
    <w:p w14:paraId="30675070" w14:textId="77777777" w:rsidR="00366CB9" w:rsidRDefault="009D0C1D" w:rsidP="00B3067A">
      <w:pPr>
        <w:pStyle w:val="1"/>
        <w:numPr>
          <w:ilvl w:val="0"/>
          <w:numId w:val="56"/>
        </w:numPr>
        <w:shd w:val="clear" w:color="auto" w:fill="auto"/>
        <w:tabs>
          <w:tab w:val="left" w:pos="442"/>
        </w:tabs>
        <w:spacing w:after="60" w:line="310" w:lineRule="auto"/>
        <w:ind w:left="500" w:hanging="500"/>
        <w:jc w:val="both"/>
        <w:rPr>
          <w:sz w:val="19"/>
          <w:szCs w:val="19"/>
        </w:rPr>
      </w:pPr>
      <w:r>
        <w:rPr>
          <w:sz w:val="19"/>
        </w:rPr>
        <w:t>Public announcement to TB in vitro diagnostics manufacturers. Geneva: World Health Organization; 2021 (</w:t>
      </w:r>
      <w:hyperlink r:id="rId171" w:history="1">
        <w:r w:rsidR="00366CB9">
          <w:rPr>
            <w:color w:val="019648"/>
            <w:sz w:val="19"/>
          </w:rPr>
          <w:t>https://www.who.int/publications/m/item/public-announcement-to-tb-in-vitro-diagnostics-</w:t>
        </w:r>
      </w:hyperlink>
      <w:r>
        <w:rPr>
          <w:color w:val="019648"/>
          <w:sz w:val="19"/>
        </w:rPr>
        <w:t xml:space="preserve"> </w:t>
      </w:r>
      <w:hyperlink r:id="rId172" w:history="1">
        <w:r w:rsidR="00366CB9">
          <w:rPr>
            <w:color w:val="019648"/>
            <w:sz w:val="19"/>
          </w:rPr>
          <w:t>manufacturers</w:t>
        </w:r>
      </w:hyperlink>
      <w:r>
        <w:rPr>
          <w:sz w:val="19"/>
        </w:rPr>
        <w:t>).</w:t>
      </w:r>
    </w:p>
    <w:p w14:paraId="0685A98A" w14:textId="77777777" w:rsidR="00366CB9" w:rsidRDefault="009D0C1D" w:rsidP="00B3067A">
      <w:pPr>
        <w:pStyle w:val="1"/>
        <w:numPr>
          <w:ilvl w:val="0"/>
          <w:numId w:val="56"/>
        </w:numPr>
        <w:shd w:val="clear" w:color="auto" w:fill="auto"/>
        <w:tabs>
          <w:tab w:val="left" w:pos="449"/>
        </w:tabs>
        <w:spacing w:after="60" w:line="310" w:lineRule="auto"/>
        <w:ind w:left="500" w:hanging="500"/>
        <w:jc w:val="both"/>
        <w:rPr>
          <w:sz w:val="19"/>
          <w:szCs w:val="19"/>
        </w:rPr>
      </w:pPr>
      <w:r>
        <w:rPr>
          <w:sz w:val="19"/>
        </w:rPr>
        <w:t>Definitions and reporting framework for tuberculosis – 2013 revision: updated December 2014 and January 2020 (WHO/HTM/TB/2013.2). Geneva: World Health Organization; 2020 (</w:t>
      </w:r>
      <w:hyperlink r:id="rId173" w:history="1">
        <w:r w:rsidR="00366CB9">
          <w:rPr>
            <w:color w:val="019648"/>
            <w:sz w:val="19"/>
          </w:rPr>
          <w:t>https://iris.who.</w:t>
        </w:r>
      </w:hyperlink>
      <w:r>
        <w:rPr>
          <w:color w:val="019648"/>
          <w:sz w:val="19"/>
        </w:rPr>
        <w:t xml:space="preserve"> </w:t>
      </w:r>
      <w:hyperlink r:id="rId174" w:history="1">
        <w:r w:rsidR="00366CB9">
          <w:rPr>
            <w:color w:val="019648"/>
            <w:sz w:val="19"/>
          </w:rPr>
          <w:t>int/handle/10665/79199</w:t>
        </w:r>
      </w:hyperlink>
      <w:r>
        <w:rPr>
          <w:sz w:val="19"/>
        </w:rPr>
        <w:t>).</w:t>
      </w:r>
    </w:p>
    <w:p w14:paraId="50C5C63C" w14:textId="77777777" w:rsidR="00366CB9" w:rsidRDefault="009D0C1D" w:rsidP="00B3067A">
      <w:pPr>
        <w:pStyle w:val="1"/>
        <w:numPr>
          <w:ilvl w:val="0"/>
          <w:numId w:val="56"/>
        </w:numPr>
        <w:shd w:val="clear" w:color="auto" w:fill="auto"/>
        <w:tabs>
          <w:tab w:val="left" w:pos="449"/>
        </w:tabs>
        <w:spacing w:after="60" w:line="305" w:lineRule="auto"/>
        <w:ind w:left="500" w:hanging="500"/>
        <w:jc w:val="both"/>
        <w:rPr>
          <w:sz w:val="19"/>
          <w:szCs w:val="19"/>
        </w:rPr>
      </w:pPr>
      <w:r>
        <w:rPr>
          <w:sz w:val="19"/>
        </w:rPr>
        <w:t>WHO TB Knowledge Sharing Platform: Rapid diagnostics for tuberculosis detection [website]. Geneva: World Health Organization; 2025 (</w:t>
      </w:r>
      <w:hyperlink r:id="rId175" w:history="1">
        <w:r w:rsidR="00366CB9">
          <w:rPr>
            <w:color w:val="019648"/>
            <w:sz w:val="19"/>
          </w:rPr>
          <w:t>https://tbksp.who.int/en/node/1722</w:t>
        </w:r>
      </w:hyperlink>
      <w:r>
        <w:rPr>
          <w:sz w:val="19"/>
        </w:rPr>
        <w:t>).</w:t>
      </w:r>
    </w:p>
    <w:p w14:paraId="4E52C0FD" w14:textId="77777777" w:rsidR="00366CB9" w:rsidRDefault="009D0C1D" w:rsidP="00B3067A">
      <w:pPr>
        <w:pStyle w:val="1"/>
        <w:numPr>
          <w:ilvl w:val="0"/>
          <w:numId w:val="56"/>
        </w:numPr>
        <w:shd w:val="clear" w:color="auto" w:fill="auto"/>
        <w:tabs>
          <w:tab w:val="left" w:pos="449"/>
        </w:tabs>
        <w:spacing w:after="60" w:line="305" w:lineRule="auto"/>
        <w:ind w:left="500" w:hanging="500"/>
        <w:jc w:val="both"/>
        <w:rPr>
          <w:sz w:val="19"/>
          <w:szCs w:val="19"/>
        </w:rPr>
      </w:pPr>
      <w:r>
        <w:rPr>
          <w:sz w:val="19"/>
        </w:rPr>
        <w:t>Global Laboratory Initiative (GLI) [website]. Stop TB Partnership; 2025 (</w:t>
      </w:r>
      <w:hyperlink r:id="rId176" w:history="1">
        <w:r w:rsidR="00366CB9">
          <w:rPr>
            <w:color w:val="019648"/>
            <w:sz w:val="19"/>
          </w:rPr>
          <w:t>https://www.stoptb.org/</w:t>
        </w:r>
      </w:hyperlink>
      <w:r>
        <w:rPr>
          <w:color w:val="019648"/>
          <w:sz w:val="19"/>
        </w:rPr>
        <w:t xml:space="preserve"> </w:t>
      </w:r>
      <w:hyperlink r:id="rId177" w:history="1">
        <w:r w:rsidR="00366CB9">
          <w:rPr>
            <w:color w:val="019648"/>
            <w:sz w:val="19"/>
          </w:rPr>
          <w:t>stop-tb-working-groups/global-laboratory-initiative-gli</w:t>
        </w:r>
      </w:hyperlink>
      <w:r>
        <w:rPr>
          <w:sz w:val="19"/>
        </w:rPr>
        <w:t>).</w:t>
      </w:r>
    </w:p>
    <w:p w14:paraId="57C297E7" w14:textId="77777777" w:rsidR="00366CB9" w:rsidRDefault="009D0C1D" w:rsidP="00B3067A">
      <w:pPr>
        <w:pStyle w:val="1"/>
        <w:numPr>
          <w:ilvl w:val="0"/>
          <w:numId w:val="56"/>
        </w:numPr>
        <w:shd w:val="clear" w:color="auto" w:fill="auto"/>
        <w:tabs>
          <w:tab w:val="left" w:pos="449"/>
        </w:tabs>
        <w:spacing w:after="60" w:line="305" w:lineRule="auto"/>
        <w:ind w:left="500" w:hanging="500"/>
        <w:jc w:val="both"/>
        <w:rPr>
          <w:sz w:val="19"/>
          <w:szCs w:val="19"/>
        </w:rPr>
      </w:pPr>
      <w:r>
        <w:rPr>
          <w:sz w:val="19"/>
        </w:rPr>
        <w:t>WHO consolidated guidelines on tuberculosis: module 3: diagnosis: tests for TB infection. Geneva: World Health Organization; 2022 (</w:t>
      </w:r>
      <w:hyperlink r:id="rId178" w:history="1">
        <w:r w:rsidR="00366CB9">
          <w:rPr>
            <w:color w:val="019648"/>
            <w:sz w:val="19"/>
          </w:rPr>
          <w:t>https://www.who.int/publications/i/item/9789240056084</w:t>
        </w:r>
      </w:hyperlink>
      <w:r>
        <w:rPr>
          <w:sz w:val="19"/>
        </w:rPr>
        <w:t>). Licence: CC BY-NC-SA 3.0 IGO.</w:t>
      </w:r>
    </w:p>
    <w:p w14:paraId="5F4A6BA2" w14:textId="77777777" w:rsidR="00366CB9" w:rsidRDefault="009D0C1D" w:rsidP="00B3067A">
      <w:pPr>
        <w:pStyle w:val="1"/>
        <w:numPr>
          <w:ilvl w:val="0"/>
          <w:numId w:val="56"/>
        </w:numPr>
        <w:shd w:val="clear" w:color="auto" w:fill="auto"/>
        <w:tabs>
          <w:tab w:val="left" w:pos="449"/>
        </w:tabs>
        <w:spacing w:line="310" w:lineRule="auto"/>
        <w:ind w:left="500" w:hanging="500"/>
        <w:jc w:val="both"/>
        <w:rPr>
          <w:sz w:val="19"/>
          <w:szCs w:val="19"/>
        </w:rPr>
      </w:pPr>
      <w:r>
        <w:rPr>
          <w:sz w:val="19"/>
        </w:rPr>
        <w:t xml:space="preserve">WHO consolidated guidelines on tuberculosis: module 1: prevention: tuberculosis preventive treatment, 2nd ed. Geneva: World Health Organization; 2024 </w:t>
      </w:r>
      <w:hyperlink r:id="rId179" w:history="1">
        <w:r w:rsidR="00366CB9">
          <w:rPr>
            <w:sz w:val="19"/>
          </w:rPr>
          <w:t>(</w:t>
        </w:r>
        <w:r w:rsidR="00366CB9">
          <w:rPr>
            <w:color w:val="019648"/>
            <w:sz w:val="19"/>
          </w:rPr>
          <w:t>https://iris.who.int/handle/10665/</w:t>
        </w:r>
      </w:hyperlink>
      <w:r>
        <w:rPr>
          <w:color w:val="019648"/>
          <w:sz w:val="19"/>
        </w:rPr>
        <w:t xml:space="preserve"> </w:t>
      </w:r>
      <w:hyperlink r:id="rId180" w:history="1">
        <w:r w:rsidR="00366CB9">
          <w:rPr>
            <w:color w:val="019648"/>
            <w:sz w:val="19"/>
          </w:rPr>
          <w:t>378536</w:t>
        </w:r>
      </w:hyperlink>
      <w:r>
        <w:rPr>
          <w:sz w:val="19"/>
        </w:rPr>
        <w:t>).</w:t>
      </w:r>
    </w:p>
    <w:p w14:paraId="754F3381" w14:textId="75F31578" w:rsidR="00911AD4" w:rsidRDefault="00911AD4" w:rsidP="00911AD4">
      <w:pPr>
        <w:pStyle w:val="ad"/>
        <w:framePr w:w="9206" w:h="397" w:hRule="exact" w:wrap="none" w:vAnchor="page" w:hAnchor="page" w:x="1333" w:y="15265"/>
        <w:shd w:val="clear" w:color="auto" w:fill="auto"/>
        <w:tabs>
          <w:tab w:val="left" w:pos="284"/>
        </w:tabs>
        <w:spacing w:line="240" w:lineRule="auto"/>
        <w:ind w:left="0" w:firstLine="0"/>
        <w:rPr>
          <w:vertAlign w:val="superscript"/>
        </w:rPr>
      </w:pPr>
      <w:r>
        <w:rPr>
          <w:vertAlign w:val="superscript"/>
        </w:rPr>
        <w:t>______________________________</w:t>
      </w:r>
    </w:p>
    <w:p w14:paraId="45100336" w14:textId="694ACAB3" w:rsidR="00366CB9" w:rsidRDefault="009D0C1D" w:rsidP="00911AD4">
      <w:pPr>
        <w:pStyle w:val="ad"/>
        <w:framePr w:w="9206" w:h="397" w:hRule="exact" w:wrap="none" w:vAnchor="page" w:hAnchor="page" w:x="1333" w:y="15265"/>
        <w:shd w:val="clear" w:color="auto" w:fill="auto"/>
        <w:tabs>
          <w:tab w:val="left" w:pos="284"/>
        </w:tabs>
        <w:spacing w:line="240" w:lineRule="auto"/>
        <w:ind w:left="0" w:firstLine="0"/>
      </w:pPr>
      <w:r>
        <w:rPr>
          <w:vertAlign w:val="superscript"/>
        </w:rPr>
        <w:t>7</w:t>
      </w:r>
      <w:r w:rsidR="00911AD4">
        <w:tab/>
      </w:r>
      <w:r>
        <w:t>До усього списку літератури було отримано доступ 17 квітня 2025 року.</w:t>
      </w:r>
    </w:p>
    <w:p w14:paraId="125814E6" w14:textId="77777777" w:rsidR="00366CB9" w:rsidRDefault="009D0C1D" w:rsidP="00425523">
      <w:pPr>
        <w:spacing w:line="1" w:lineRule="exact"/>
        <w:sectPr w:rsidR="00366CB9" w:rsidSect="00B3067A">
          <w:footerReference w:type="default" r:id="rId181"/>
          <w:type w:val="nextColumn"/>
          <w:pgSz w:w="11913" w:h="16840"/>
          <w:pgMar w:top="2325" w:right="1378" w:bottom="851" w:left="1372" w:header="0" w:footer="6" w:gutter="0"/>
          <w:paperSrc w:first="15" w:other="15"/>
          <w:cols w:space="720"/>
          <w:noEndnote/>
          <w:docGrid w:linePitch="360"/>
        </w:sectPr>
      </w:pPr>
      <w:r>
        <w:rPr>
          <w:noProof/>
        </w:rPr>
        <w:drawing>
          <wp:anchor distT="0" distB="0" distL="0" distR="0" simplePos="0" relativeHeight="251427840" behindDoc="1" locked="0" layoutInCell="1" allowOverlap="1" wp14:anchorId="1E53BDC4" wp14:editId="7B5C9E02">
            <wp:simplePos x="0" y="0"/>
            <wp:positionH relativeFrom="page">
              <wp:align>left</wp:align>
            </wp:positionH>
            <wp:positionV relativeFrom="page">
              <wp:align>top</wp:align>
            </wp:positionV>
            <wp:extent cx="7560000" cy="1472400"/>
            <wp:effectExtent l="0" t="0" r="3175" b="0"/>
            <wp:wrapNone/>
            <wp:docPr id="128" name="Shape 128"/>
            <wp:cNvGraphicFramePr/>
            <a:graphic xmlns:a="http://schemas.openxmlformats.org/drawingml/2006/main">
              <a:graphicData uri="http://schemas.openxmlformats.org/drawingml/2006/picture">
                <pic:pic xmlns:pic="http://schemas.openxmlformats.org/drawingml/2006/picture">
                  <pic:nvPicPr>
                    <pic:cNvPr id="129" name="Picture box 129"/>
                    <pic:cNvPicPr/>
                  </pic:nvPicPr>
                  <pic:blipFill>
                    <a:blip r:embed="rId182"/>
                    <a:stretch/>
                  </pic:blipFill>
                  <pic:spPr>
                    <a:xfrm>
                      <a:off x="0" y="0"/>
                      <a:ext cx="7560000" cy="1472400"/>
                    </a:xfrm>
                    <a:prstGeom prst="rect">
                      <a:avLst/>
                    </a:prstGeom>
                  </pic:spPr>
                </pic:pic>
              </a:graphicData>
            </a:graphic>
            <wp14:sizeRelH relativeFrom="margin">
              <wp14:pctWidth>0</wp14:pctWidth>
            </wp14:sizeRelH>
            <wp14:sizeRelV relativeFrom="margin">
              <wp14:pctHeight>0</wp14:pctHeight>
            </wp14:sizeRelV>
          </wp:anchor>
        </w:drawing>
      </w:r>
    </w:p>
    <w:p w14:paraId="58266CB5" w14:textId="77777777" w:rsidR="00366CB9" w:rsidRDefault="00366CB9" w:rsidP="00425523">
      <w:pPr>
        <w:spacing w:line="1" w:lineRule="exact"/>
      </w:pPr>
    </w:p>
    <w:p w14:paraId="55253B96"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bookmarkStart w:id="199" w:name="bookmark196"/>
      <w:r>
        <w:rPr>
          <w:sz w:val="19"/>
        </w:rPr>
        <w:t>Manual for selection of molecular WHO-recommended rapid diagnostic tests for detection of tuberculosis and drug-resistant tuberculosis. Geneva: World Health Organization; 2022 (</w:t>
      </w:r>
      <w:hyperlink r:id="rId183" w:history="1">
        <w:r w:rsidR="00366CB9">
          <w:rPr>
            <w:color w:val="019648"/>
            <w:sz w:val="19"/>
          </w:rPr>
          <w:t>https://</w:t>
        </w:r>
      </w:hyperlink>
      <w:r>
        <w:rPr>
          <w:color w:val="019648"/>
          <w:sz w:val="19"/>
        </w:rPr>
        <w:t xml:space="preserve"> </w:t>
      </w:r>
      <w:hyperlink r:id="rId184" w:history="1">
        <w:r w:rsidR="00366CB9">
          <w:rPr>
            <w:color w:val="019648"/>
            <w:sz w:val="19"/>
          </w:rPr>
          <w:t>iris.who.int/handle/10665/353596</w:t>
        </w:r>
      </w:hyperlink>
      <w:r>
        <w:rPr>
          <w:sz w:val="19"/>
        </w:rPr>
        <w:t>). Licence: CC BY-NC-SA 3.0 IGO.</w:t>
      </w:r>
      <w:bookmarkEnd w:id="199"/>
    </w:p>
    <w:p w14:paraId="106BCF8C"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Frieden TK, Thomas R, World Health Organization. Toman’s tuberculosis: case detection, treatment, and monitoring: questions and answers; edited by T. Frieden, 2nd ed. Geneva: World Health Organization; 2004 (</w:t>
      </w:r>
      <w:hyperlink r:id="rId185" w:history="1">
        <w:r w:rsidR="00366CB9">
          <w:rPr>
            <w:color w:val="019648"/>
            <w:sz w:val="19"/>
          </w:rPr>
          <w:t>https://iris.who.int/handle/10665/42701</w:t>
        </w:r>
      </w:hyperlink>
      <w:r>
        <w:rPr>
          <w:sz w:val="19"/>
        </w:rPr>
        <w:t>).</w:t>
      </w:r>
    </w:p>
    <w:p w14:paraId="1305F079"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In vitro diagnostic medical devices used for the qualitative detection of Mycobacterium tuberculosis complex DNA and mutations associated with drug-resistant tuberculosis. Geneva: World Health Organization; 2022 (</w:t>
      </w:r>
      <w:hyperlink r:id="rId186" w:history="1">
        <w:r w:rsidR="00366CB9">
          <w:rPr>
            <w:color w:val="019648"/>
            <w:sz w:val="19"/>
          </w:rPr>
          <w:t>https://iris.who.int/handle/10665/366068</w:t>
        </w:r>
      </w:hyperlink>
      <w:r>
        <w:rPr>
          <w:sz w:val="19"/>
        </w:rPr>
        <w:t>).</w:t>
      </w:r>
    </w:p>
    <w:p w14:paraId="65E717CA" w14:textId="77777777" w:rsidR="00366CB9" w:rsidRDefault="009D0C1D" w:rsidP="00B3067A">
      <w:pPr>
        <w:pStyle w:val="1"/>
        <w:numPr>
          <w:ilvl w:val="0"/>
          <w:numId w:val="56"/>
        </w:numPr>
        <w:shd w:val="clear" w:color="auto" w:fill="auto"/>
        <w:tabs>
          <w:tab w:val="left" w:pos="442"/>
        </w:tabs>
        <w:spacing w:after="60" w:line="307" w:lineRule="auto"/>
        <w:ind w:left="460" w:hanging="460"/>
        <w:jc w:val="both"/>
        <w:rPr>
          <w:sz w:val="19"/>
          <w:szCs w:val="19"/>
        </w:rPr>
      </w:pPr>
      <w:r>
        <w:rPr>
          <w:sz w:val="19"/>
        </w:rPr>
        <w:t>WHO list of prequalified in vitro diagnostic products | WHO – prequalification of medical products (IVDs, medicines, vaccines and immunization devices, vector control [website]. Geneva: World Health Organization; 2025 (</w:t>
      </w:r>
      <w:hyperlink r:id="rId187" w:history="1">
        <w:r w:rsidR="00366CB9">
          <w:rPr>
            <w:color w:val="019648"/>
            <w:sz w:val="19"/>
          </w:rPr>
          <w:t>https://extranet.who.int/prequal/vitro-diagnostics/prequalified/</w:t>
        </w:r>
      </w:hyperlink>
      <w:r>
        <w:rPr>
          <w:color w:val="019648"/>
          <w:sz w:val="19"/>
        </w:rPr>
        <w:t xml:space="preserve"> </w:t>
      </w:r>
      <w:hyperlink r:id="rId188" w:history="1">
        <w:r w:rsidR="00366CB9">
          <w:rPr>
            <w:color w:val="019648"/>
            <w:sz w:val="19"/>
          </w:rPr>
          <w:t>in-vitro-diagnostics</w:t>
        </w:r>
      </w:hyperlink>
      <w:r>
        <w:rPr>
          <w:sz w:val="19"/>
        </w:rPr>
        <w:t>).</w:t>
      </w:r>
    </w:p>
    <w:p w14:paraId="6D88854F"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r>
        <w:rPr>
          <w:sz w:val="19"/>
        </w:rPr>
        <w:t>Sengstake S, Rigouts L. A multicenter evaluation of the Genoscholar PZA-TB II line probe assay to detect pyrazinamide resistance in Mycobacterium tuberculosis isolates: study report. Antwerp: Institute of Tropical Medicine, Antwerp, The Netherlands; 2020.</w:t>
      </w:r>
    </w:p>
    <w:p w14:paraId="296F1B3E" w14:textId="77777777" w:rsidR="00366CB9" w:rsidRDefault="009D0C1D" w:rsidP="00B3067A">
      <w:pPr>
        <w:pStyle w:val="1"/>
        <w:numPr>
          <w:ilvl w:val="0"/>
          <w:numId w:val="56"/>
        </w:numPr>
        <w:shd w:val="clear" w:color="auto" w:fill="auto"/>
        <w:tabs>
          <w:tab w:val="left" w:pos="442"/>
        </w:tabs>
        <w:spacing w:after="60" w:line="307" w:lineRule="auto"/>
        <w:ind w:left="460" w:hanging="460"/>
        <w:jc w:val="both"/>
        <w:rPr>
          <w:sz w:val="19"/>
          <w:szCs w:val="19"/>
        </w:rPr>
      </w:pPr>
      <w:r>
        <w:rPr>
          <w:sz w:val="19"/>
        </w:rPr>
        <w:t>Practical implementation of lateral flow urine lipoarabinomannan assay (LF-LAM) for detection of active tuberculosis in people living with HIV. Geneva: Global Laboratory Initiative; 2021 (</w:t>
      </w:r>
      <w:hyperlink r:id="rId189" w:history="1">
        <w:r w:rsidR="00366CB9">
          <w:rPr>
            <w:color w:val="019648"/>
            <w:sz w:val="19"/>
          </w:rPr>
          <w:t>https://www.stoptb.org/gli-guidance-and-tools/practical-implementation-of-lf-lam-detection-</w:t>
        </w:r>
      </w:hyperlink>
      <w:r>
        <w:rPr>
          <w:color w:val="019648"/>
          <w:sz w:val="19"/>
        </w:rPr>
        <w:t xml:space="preserve"> </w:t>
      </w:r>
      <w:hyperlink r:id="rId190" w:history="1">
        <w:r w:rsidR="00366CB9">
          <w:rPr>
            <w:color w:val="019648"/>
            <w:sz w:val="19"/>
          </w:rPr>
          <w:t>of-active-tb-people-living-with</w:t>
        </w:r>
      </w:hyperlink>
      <w:r>
        <w:rPr>
          <w:sz w:val="19"/>
        </w:rPr>
        <w:t>).</w:t>
      </w:r>
    </w:p>
    <w:p w14:paraId="2674D099"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r>
        <w:rPr>
          <w:sz w:val="19"/>
        </w:rPr>
        <w:t>Use of Xpert MTB/RIF and Xpert MTB/RIF Ultra on GeneXpert 10-colour instruments: WHO policy statement. Geneva: World Health Organization; 2021 (</w:t>
      </w:r>
      <w:hyperlink r:id="rId191" w:history="1">
        <w:r w:rsidR="00366CB9">
          <w:rPr>
            <w:color w:val="019648"/>
            <w:sz w:val="19"/>
          </w:rPr>
          <w:t>https://iris.who.int/handle/10665/350154</w:t>
        </w:r>
      </w:hyperlink>
      <w:r>
        <w:rPr>
          <w:sz w:val="19"/>
        </w:rPr>
        <w:t>). Licence: CC BY-NC-SA 3.0 IGO.</w:t>
      </w:r>
    </w:p>
    <w:p w14:paraId="6A734476"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WHO consolidated guidelines on tuberculosis: module 3: diagnosis: rapid diagnostics for tuberculosis detection, 2021 update. Geneva: World Health Organization; 2021 (</w:t>
      </w:r>
      <w:hyperlink r:id="rId192" w:history="1">
        <w:r w:rsidR="00366CB9">
          <w:rPr>
            <w:color w:val="019648"/>
            <w:sz w:val="19"/>
          </w:rPr>
          <w:t>https://iris.who.</w:t>
        </w:r>
      </w:hyperlink>
      <w:r>
        <w:rPr>
          <w:color w:val="019648"/>
          <w:sz w:val="19"/>
        </w:rPr>
        <w:t xml:space="preserve"> </w:t>
      </w:r>
      <w:hyperlink r:id="rId193" w:history="1">
        <w:r w:rsidR="00366CB9">
          <w:rPr>
            <w:color w:val="019648"/>
            <w:sz w:val="19"/>
          </w:rPr>
          <w:t>int/handle/10665/342331</w:t>
        </w:r>
      </w:hyperlink>
      <w:r>
        <w:rPr>
          <w:sz w:val="19"/>
        </w:rPr>
        <w:t>).</w:t>
      </w:r>
    </w:p>
    <w:p w14:paraId="63165CA0"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Catalogue of mutations in Mycobacterium tuberculosis complex and their association with drug resistance, 2nd edition. Geneva: World Health Organization; 2023 (</w:t>
      </w:r>
      <w:hyperlink r:id="rId194" w:history="1">
        <w:r w:rsidR="00366CB9">
          <w:rPr>
            <w:color w:val="019648"/>
            <w:sz w:val="19"/>
          </w:rPr>
          <w:t>https://www.who.int/</w:t>
        </w:r>
      </w:hyperlink>
      <w:r>
        <w:rPr>
          <w:color w:val="019648"/>
          <w:sz w:val="19"/>
        </w:rPr>
        <w:t xml:space="preserve"> </w:t>
      </w:r>
      <w:hyperlink r:id="rId195" w:history="1">
        <w:r w:rsidR="00366CB9">
          <w:rPr>
            <w:color w:val="019648"/>
            <w:sz w:val="19"/>
          </w:rPr>
          <w:t>publications/i/item/9789240082410</w:t>
        </w:r>
      </w:hyperlink>
      <w:r>
        <w:rPr>
          <w:sz w:val="19"/>
        </w:rPr>
        <w:t>).</w:t>
      </w:r>
    </w:p>
    <w:p w14:paraId="6BEC4655"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r>
        <w:rPr>
          <w:sz w:val="19"/>
        </w:rPr>
        <w:t>Beviere M, Reissier S, Penven M, Dejoies L, Guerin F, Cattoir V et al. The role of next-generation sequencing (NGS) in the management of tuberculosis: practical review for implementation in routine. Pathogens. 2023;12 (</w:t>
      </w:r>
      <w:hyperlink r:id="rId196" w:history="1">
        <w:r w:rsidR="00366CB9">
          <w:rPr>
            <w:color w:val="019648"/>
            <w:sz w:val="19"/>
          </w:rPr>
          <w:t>https://doi.org/10.3390/pathogens12080978</w:t>
        </w:r>
      </w:hyperlink>
      <w:r>
        <w:rPr>
          <w:sz w:val="19"/>
        </w:rPr>
        <w:t>).</w:t>
      </w:r>
    </w:p>
    <w:p w14:paraId="62530D68"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The use of next-generation sequencing for the surveillance of drug-resistant tuberculosis: an implementation manual. Geneva: World Health Organization; 2023 (</w:t>
      </w:r>
      <w:hyperlink r:id="rId197" w:history="1">
        <w:r w:rsidR="00366CB9">
          <w:rPr>
            <w:color w:val="019648"/>
            <w:sz w:val="19"/>
          </w:rPr>
          <w:t>https://iris.who.int/</w:t>
        </w:r>
      </w:hyperlink>
      <w:r>
        <w:rPr>
          <w:color w:val="019648"/>
          <w:sz w:val="19"/>
        </w:rPr>
        <w:t xml:space="preserve"> </w:t>
      </w:r>
      <w:hyperlink r:id="rId198" w:history="1">
        <w:r w:rsidR="00366CB9">
          <w:rPr>
            <w:color w:val="019648"/>
            <w:sz w:val="19"/>
          </w:rPr>
          <w:t>handle/10665/373419</w:t>
        </w:r>
      </w:hyperlink>
      <w:r>
        <w:rPr>
          <w:sz w:val="19"/>
        </w:rPr>
        <w:t>). Licence: CC BY-NC-SA 3.0 IGO.</w:t>
      </w:r>
    </w:p>
    <w:p w14:paraId="27364997"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Meeting report of the WHO expert consultation on the definition of extensively drug-resistant tuberculosis; 27–29 October 2020. Geneva: World Health Organization; 2021 (</w:t>
      </w:r>
      <w:hyperlink r:id="rId199" w:history="1">
        <w:r w:rsidR="00366CB9">
          <w:rPr>
            <w:color w:val="019648"/>
            <w:sz w:val="19"/>
          </w:rPr>
          <w:t>https://www.who.</w:t>
        </w:r>
      </w:hyperlink>
      <w:r>
        <w:rPr>
          <w:color w:val="019648"/>
          <w:sz w:val="19"/>
        </w:rPr>
        <w:t xml:space="preserve"> </w:t>
      </w:r>
      <w:hyperlink r:id="rId200" w:history="1">
        <w:r w:rsidR="00366CB9">
          <w:rPr>
            <w:color w:val="019648"/>
            <w:sz w:val="19"/>
          </w:rPr>
          <w:t>int/publications/i/item/9789240018662</w:t>
        </w:r>
      </w:hyperlink>
      <w:r>
        <w:rPr>
          <w:sz w:val="19"/>
        </w:rPr>
        <w:t>).</w:t>
      </w:r>
    </w:p>
    <w:p w14:paraId="68B1F487" w14:textId="77777777" w:rsidR="00366CB9" w:rsidRDefault="009D0C1D" w:rsidP="00B3067A">
      <w:pPr>
        <w:pStyle w:val="1"/>
        <w:numPr>
          <w:ilvl w:val="0"/>
          <w:numId w:val="56"/>
        </w:numPr>
        <w:shd w:val="clear" w:color="auto" w:fill="auto"/>
        <w:tabs>
          <w:tab w:val="left" w:pos="442"/>
        </w:tabs>
        <w:spacing w:after="60" w:line="307" w:lineRule="auto"/>
        <w:ind w:left="460" w:hanging="460"/>
        <w:jc w:val="both"/>
        <w:rPr>
          <w:sz w:val="19"/>
          <w:szCs w:val="19"/>
        </w:rPr>
      </w:pPr>
      <w:r>
        <w:rPr>
          <w:sz w:val="19"/>
        </w:rPr>
        <w:t>WHO consolidated guidelines on tuberculosis: module 3: diagnosis: rapid diagnostics for tuberculosis detection, 3rd ed. Web Annex C: Technical manual for culture-based drug susceptibility testing of anti-tuberculosis drugs used in the treatment of tuberculosis. Geneva: World Health Organization; 2024 (</w:t>
      </w:r>
      <w:hyperlink r:id="rId201" w:history="1">
        <w:r w:rsidR="00366CB9">
          <w:rPr>
            <w:color w:val="019648"/>
            <w:sz w:val="19"/>
          </w:rPr>
          <w:t>https://iris.who.int/handle/10665/376286</w:t>
        </w:r>
      </w:hyperlink>
      <w:r>
        <w:rPr>
          <w:sz w:val="19"/>
        </w:rPr>
        <w:t>). Licence: CC BY-NC-SA 3.0 IGO.</w:t>
      </w:r>
    </w:p>
    <w:p w14:paraId="0DFED49C" w14:textId="77777777" w:rsidR="00366CB9" w:rsidRDefault="009D0C1D" w:rsidP="00B3067A">
      <w:pPr>
        <w:pStyle w:val="1"/>
        <w:numPr>
          <w:ilvl w:val="0"/>
          <w:numId w:val="56"/>
        </w:numPr>
        <w:shd w:val="clear" w:color="auto" w:fill="auto"/>
        <w:tabs>
          <w:tab w:val="left" w:pos="442"/>
        </w:tabs>
        <w:spacing w:line="310" w:lineRule="auto"/>
        <w:ind w:left="460" w:hanging="460"/>
        <w:jc w:val="both"/>
        <w:rPr>
          <w:sz w:val="19"/>
          <w:szCs w:val="19"/>
        </w:rPr>
      </w:pPr>
      <w:r>
        <w:rPr>
          <w:sz w:val="19"/>
        </w:rPr>
        <w:t>WHO operational handbook on tuberculosis. Module 4: treatment - drug-resistant tuberculosis treatment, 2022 update. Geneva: World Health Organization; 2022 (</w:t>
      </w:r>
      <w:hyperlink r:id="rId202" w:history="1">
        <w:r w:rsidR="00366CB9">
          <w:rPr>
            <w:color w:val="019648"/>
            <w:sz w:val="19"/>
          </w:rPr>
          <w:t>https://www.who.int/</w:t>
        </w:r>
      </w:hyperlink>
      <w:r>
        <w:rPr>
          <w:color w:val="019648"/>
          <w:sz w:val="19"/>
        </w:rPr>
        <w:t xml:space="preserve"> </w:t>
      </w:r>
      <w:hyperlink r:id="rId203" w:history="1">
        <w:r w:rsidR="00366CB9">
          <w:rPr>
            <w:color w:val="019648"/>
            <w:sz w:val="19"/>
          </w:rPr>
          <w:t>publications/i/item/9789240065116</w:t>
        </w:r>
      </w:hyperlink>
      <w:r>
        <w:rPr>
          <w:sz w:val="19"/>
        </w:rPr>
        <w:t>).</w:t>
      </w:r>
    </w:p>
    <w:p w14:paraId="042F17ED"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1DB59BDE" w14:textId="77777777" w:rsidR="00366CB9" w:rsidRDefault="00366CB9" w:rsidP="00425523">
      <w:pPr>
        <w:spacing w:line="1" w:lineRule="exact"/>
      </w:pPr>
    </w:p>
    <w:p w14:paraId="5B295309"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bookmarkStart w:id="200" w:name="bookmark197"/>
      <w:r>
        <w:rPr>
          <w:sz w:val="19"/>
        </w:rPr>
        <w:t xml:space="preserve">Global Drug Facility (GDF) products catalog. Geneva: Stop TB Partnership; 2025 </w:t>
      </w:r>
      <w:hyperlink r:id="rId204" w:history="1">
        <w:r w:rsidR="00366CB9">
          <w:rPr>
            <w:sz w:val="19"/>
          </w:rPr>
          <w:t>(</w:t>
        </w:r>
        <w:r w:rsidR="00366CB9">
          <w:rPr>
            <w:color w:val="019648"/>
            <w:sz w:val="19"/>
          </w:rPr>
          <w:t>https://www.</w:t>
        </w:r>
      </w:hyperlink>
      <w:r>
        <w:rPr>
          <w:color w:val="019648"/>
          <w:sz w:val="19"/>
        </w:rPr>
        <w:t xml:space="preserve"> </w:t>
      </w:r>
      <w:hyperlink r:id="rId205" w:history="1">
        <w:r w:rsidR="00366CB9">
          <w:rPr>
            <w:color w:val="019648"/>
            <w:sz w:val="19"/>
          </w:rPr>
          <w:t>stoptb.org/global-drug-facility-gdf/gdf-product-catalog</w:t>
        </w:r>
      </w:hyperlink>
      <w:r>
        <w:rPr>
          <w:sz w:val="19"/>
        </w:rPr>
        <w:t>).</w:t>
      </w:r>
      <w:bookmarkEnd w:id="200"/>
    </w:p>
    <w:p w14:paraId="5B6373BC"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r>
        <w:rPr>
          <w:sz w:val="19"/>
        </w:rPr>
        <w:t>HIV Reagent Program [website]. Bethesda, MA: National Institutes of Health HIV Reagent Program; 2025 (</w:t>
      </w:r>
      <w:hyperlink r:id="rId206" w:history="1">
        <w:r w:rsidR="00366CB9">
          <w:rPr>
            <w:color w:val="019648"/>
            <w:sz w:val="19"/>
          </w:rPr>
          <w:t>https://www.beiresources.org/hiv.aspx</w:t>
        </w:r>
      </w:hyperlink>
      <w:r>
        <w:rPr>
          <w:sz w:val="19"/>
        </w:rPr>
        <w:t>).</w:t>
      </w:r>
    </w:p>
    <w:p w14:paraId="115BC99E"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Info note: Access to pure drug substances for DST: bedaquiline and delamanid. Geneva: Stop TB Partnership; 2021 (</w:t>
      </w:r>
      <w:hyperlink r:id="rId207" w:history="1">
        <w:r w:rsidR="00366CB9">
          <w:rPr>
            <w:color w:val="019648"/>
            <w:sz w:val="19"/>
          </w:rPr>
          <w:t>https://stoptb.org/assets/documents/resources/publications/sd/BDQ_DEL_</w:t>
        </w:r>
      </w:hyperlink>
      <w:r>
        <w:rPr>
          <w:color w:val="019648"/>
          <w:sz w:val="19"/>
        </w:rPr>
        <w:t xml:space="preserve"> </w:t>
      </w:r>
      <w:hyperlink r:id="rId208" w:history="1">
        <w:r w:rsidR="00366CB9">
          <w:rPr>
            <w:color w:val="019648"/>
            <w:sz w:val="19"/>
          </w:rPr>
          <w:t>access.pdf</w:t>
        </w:r>
      </w:hyperlink>
      <w:r>
        <w:rPr>
          <w:sz w:val="19"/>
        </w:rPr>
        <w:t>).</w:t>
      </w:r>
    </w:p>
    <w:p w14:paraId="09526F78"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The use of next-generation sequencing technologies for the detection of mutations associated with drug resistance in Mycobacterium tuberculosis complex: technical guide (WHO/CDS/TB/2018.19). Geneva: World Health Organization; 2018 (</w:t>
      </w:r>
      <w:hyperlink r:id="rId209" w:history="1">
        <w:r w:rsidR="00366CB9">
          <w:rPr>
            <w:color w:val="019648"/>
            <w:sz w:val="19"/>
          </w:rPr>
          <w:t>https://iris.who.int/handle/10665/274443</w:t>
        </w:r>
      </w:hyperlink>
      <w:r>
        <w:rPr>
          <w:sz w:val="19"/>
        </w:rPr>
        <w:t>).</w:t>
      </w:r>
    </w:p>
    <w:p w14:paraId="3A8B037E"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r>
        <w:rPr>
          <w:sz w:val="19"/>
        </w:rPr>
        <w:t>The use of next-generation sequencing for the surveillance of drug-resistant tuberculosis: an implementation manual. Geneva: World Health Organization; 2023 (</w:t>
      </w:r>
      <w:hyperlink r:id="rId210" w:history="1">
        <w:r w:rsidR="00366CB9">
          <w:rPr>
            <w:color w:val="019648"/>
            <w:sz w:val="19"/>
          </w:rPr>
          <w:t>https://iris.who.int/</w:t>
        </w:r>
      </w:hyperlink>
      <w:r>
        <w:rPr>
          <w:color w:val="019648"/>
          <w:sz w:val="19"/>
        </w:rPr>
        <w:t xml:space="preserve"> </w:t>
      </w:r>
      <w:hyperlink r:id="rId211" w:history="1">
        <w:r w:rsidR="00366CB9">
          <w:rPr>
            <w:color w:val="019648"/>
            <w:sz w:val="19"/>
          </w:rPr>
          <w:t>handle/10665/373419</w:t>
        </w:r>
      </w:hyperlink>
      <w:r>
        <w:rPr>
          <w:sz w:val="19"/>
        </w:rPr>
        <w:t>).</w:t>
      </w:r>
    </w:p>
    <w:p w14:paraId="0211DBC2"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r>
        <w:rPr>
          <w:sz w:val="19"/>
        </w:rPr>
        <w:t>TB sequencing portal [website]. Geneva: World Health Organization; 2025 (</w:t>
      </w:r>
      <w:r>
        <w:rPr>
          <w:color w:val="019648"/>
          <w:sz w:val="19"/>
        </w:rPr>
        <w:t>https://hq_ globaltuberculosisprogramme.createsend1.com/t/d-l-eviig-ihkktihjjl-t/</w:t>
      </w:r>
      <w:r>
        <w:rPr>
          <w:sz w:val="19"/>
        </w:rPr>
        <w:t>).</w:t>
      </w:r>
    </w:p>
    <w:p w14:paraId="022852EF"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WHO consolidated guidelines on tuberculosis: module 1: prevention: tuberculosis preventive treatment. Geneva: World Health Organization; 2020 (</w:t>
      </w:r>
      <w:hyperlink r:id="rId212" w:history="1">
        <w:r w:rsidR="00366CB9">
          <w:rPr>
            <w:color w:val="019648"/>
            <w:sz w:val="19"/>
          </w:rPr>
          <w:t>https://www.who.int/publications-detail-</w:t>
        </w:r>
      </w:hyperlink>
      <w:r>
        <w:rPr>
          <w:color w:val="019648"/>
          <w:sz w:val="19"/>
        </w:rPr>
        <w:t xml:space="preserve"> </w:t>
      </w:r>
      <w:hyperlink r:id="rId213" w:history="1">
        <w:r w:rsidR="00366CB9">
          <w:rPr>
            <w:color w:val="019648"/>
            <w:sz w:val="19"/>
          </w:rPr>
          <w:t>redirect/9789240001503</w:t>
        </w:r>
      </w:hyperlink>
      <w:r>
        <w:rPr>
          <w:sz w:val="19"/>
        </w:rPr>
        <w:t>). Licence: CC BY-NC-SA 3.0 IGO.</w:t>
      </w:r>
    </w:p>
    <w:p w14:paraId="600249CE"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r>
        <w:rPr>
          <w:sz w:val="19"/>
        </w:rPr>
        <w:t>Long R, Divangahi M, Schwartzman K. Chapter 2: Transmission and pathogenesis of tuberculosis. Can J Respir Crit Care Sleep Med. 2022;6 (Sup1):22–32 (</w:t>
      </w:r>
      <w:hyperlink r:id="rId214" w:history="1">
        <w:r w:rsidR="00366CB9">
          <w:rPr>
            <w:color w:val="019648"/>
            <w:sz w:val="19"/>
          </w:rPr>
          <w:t>https://doi.org/10.1080/24745332.2022</w:t>
        </w:r>
      </w:hyperlink>
      <w:r>
        <w:rPr>
          <w:color w:val="019648"/>
          <w:sz w:val="19"/>
        </w:rPr>
        <w:t xml:space="preserve"> </w:t>
      </w:r>
      <w:hyperlink r:id="rId215" w:history="1">
        <w:r w:rsidR="00366CB9">
          <w:rPr>
            <w:color w:val="019648"/>
            <w:sz w:val="19"/>
          </w:rPr>
          <w:t>.2035540</w:t>
        </w:r>
      </w:hyperlink>
      <w:r>
        <w:rPr>
          <w:sz w:val="19"/>
        </w:rPr>
        <w:t>).</w:t>
      </w:r>
    </w:p>
    <w:p w14:paraId="52D65067"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Martinez L, Cords O, Horsburgh CR, Andrews JR, Acuna-Villaorduna C, Ahuja SD et al. The risk of tuberculosis in children after close exposure: a systematic review and individual-participant metaanalysis. The Lancet. 2020;395:973–84 (</w:t>
      </w:r>
      <w:hyperlink r:id="rId216" w:history="1">
        <w:r w:rsidR="00366CB9">
          <w:rPr>
            <w:color w:val="019648"/>
            <w:sz w:val="19"/>
          </w:rPr>
          <w:t>https://doi.org/10.1016/S0140-6736(20)30166-5</w:t>
        </w:r>
      </w:hyperlink>
      <w:r>
        <w:rPr>
          <w:sz w:val="19"/>
        </w:rPr>
        <w:t>).</w:t>
      </w:r>
    </w:p>
    <w:p w14:paraId="02D75930"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Gupta RK, Calderwood CJ, Yavlinsky A, Krutikov M, Quartagno M, Aichelburg MC et al. Discovery and validation of a personalized risk predictor for incident tuberculosis in low transmission settings. Nat Med. 2020;26:1941–9 (</w:t>
      </w:r>
      <w:hyperlink r:id="rId217" w:history="1">
        <w:r w:rsidR="00366CB9">
          <w:rPr>
            <w:color w:val="019648"/>
            <w:sz w:val="19"/>
          </w:rPr>
          <w:t>https://doi.org/10.1038/s41591-020-1076-0</w:t>
        </w:r>
      </w:hyperlink>
      <w:r>
        <w:rPr>
          <w:sz w:val="19"/>
        </w:rPr>
        <w:t>).</w:t>
      </w:r>
    </w:p>
    <w:p w14:paraId="1A852AC8"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r>
        <w:rPr>
          <w:sz w:val="19"/>
        </w:rPr>
        <w:t>Campbell JR, Winters N, Menzies D. Absolute risk of tuberculosis among untreated populations with a positive tuberculin skin test or interferon-gamma release assay result: systematic review and meta-analysis. BMJ. 2020;368:m549 (</w:t>
      </w:r>
      <w:hyperlink r:id="rId218" w:history="1">
        <w:r w:rsidR="00366CB9">
          <w:rPr>
            <w:color w:val="019648"/>
            <w:sz w:val="19"/>
          </w:rPr>
          <w:t>https://doi.org/10.1136/bmj.m549</w:t>
        </w:r>
      </w:hyperlink>
      <w:r>
        <w:rPr>
          <w:sz w:val="19"/>
        </w:rPr>
        <w:t>).</w:t>
      </w:r>
    </w:p>
    <w:p w14:paraId="01C6F1CF"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Alsdurf H, Hill PC, Matteelli A, Getahun H, Menzies D. The cascade of care in diagnosis and treatment of latent tuberculosis infection: a systematic review and meta-analysis. Lancet Infect Dis. 2016;16:1269–78 (</w:t>
      </w:r>
      <w:hyperlink r:id="rId219" w:history="1">
        <w:r w:rsidR="00366CB9">
          <w:rPr>
            <w:color w:val="019648"/>
            <w:sz w:val="19"/>
          </w:rPr>
          <w:t>https://doi.org/10.1016/S1473-3099(16)30216-X</w:t>
        </w:r>
      </w:hyperlink>
      <w:r>
        <w:rPr>
          <w:sz w:val="19"/>
        </w:rPr>
        <w:t>).</w:t>
      </w:r>
    </w:p>
    <w:p w14:paraId="483750B0"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WHO operational handbook on tuberculosis: module 1: prevention: tuberculosis preventive treatment. Geneva: World Health Organization; 2020 (</w:t>
      </w:r>
      <w:hyperlink r:id="rId220" w:history="1">
        <w:r w:rsidR="00366CB9">
          <w:rPr>
            <w:color w:val="019648"/>
            <w:sz w:val="19"/>
          </w:rPr>
          <w:t>https://www.who.int/publications/i/</w:t>
        </w:r>
      </w:hyperlink>
      <w:r>
        <w:rPr>
          <w:color w:val="019648"/>
          <w:sz w:val="19"/>
        </w:rPr>
        <w:t xml:space="preserve"> </w:t>
      </w:r>
      <w:hyperlink r:id="rId221" w:history="1">
        <w:r w:rsidR="00366CB9">
          <w:rPr>
            <w:color w:val="019648"/>
            <w:sz w:val="19"/>
          </w:rPr>
          <w:t>item/9789240002906</w:t>
        </w:r>
      </w:hyperlink>
      <w:r>
        <w:rPr>
          <w:sz w:val="19"/>
        </w:rPr>
        <w:t>). Licence: CC BY-NC-SA 3.0 IGO.</w:t>
      </w:r>
    </w:p>
    <w:p w14:paraId="0D1F5C84" w14:textId="77777777" w:rsidR="00366CB9" w:rsidRPr="0028397B"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r>
        <w:rPr>
          <w:sz w:val="19"/>
        </w:rPr>
        <w:t>Seibert F, Glenn J. Tuberculin purified protein derivative. Am Rev Tuberc. 1941;44:9–25 (</w:t>
      </w:r>
      <w:hyperlink r:id="rId222" w:history="1">
        <w:r w:rsidR="00366CB9">
          <w:rPr>
            <w:color w:val="019648"/>
            <w:sz w:val="19"/>
          </w:rPr>
          <w:t>https://</w:t>
        </w:r>
      </w:hyperlink>
      <w:r>
        <w:rPr>
          <w:color w:val="019648"/>
          <w:sz w:val="19"/>
        </w:rPr>
        <w:t xml:space="preserve"> </w:t>
      </w:r>
      <w:hyperlink r:id="rId223" w:history="1">
        <w:r w:rsidR="00366CB9">
          <w:rPr>
            <w:color w:val="019648"/>
            <w:sz w:val="19"/>
          </w:rPr>
          <w:t>www.atsjournals.org/doi/abs/10.1164/art.1941.44.1.9</w:t>
        </w:r>
      </w:hyperlink>
      <w:r>
        <w:rPr>
          <w:sz w:val="19"/>
        </w:rPr>
        <w:t>).</w:t>
      </w:r>
    </w:p>
    <w:p w14:paraId="072CDFA4" w14:textId="77777777" w:rsidR="00366CB9" w:rsidRDefault="009D0C1D" w:rsidP="00B3067A">
      <w:pPr>
        <w:pStyle w:val="1"/>
        <w:numPr>
          <w:ilvl w:val="0"/>
          <w:numId w:val="56"/>
        </w:numPr>
        <w:shd w:val="clear" w:color="auto" w:fill="auto"/>
        <w:tabs>
          <w:tab w:val="left" w:pos="442"/>
        </w:tabs>
        <w:spacing w:after="60" w:line="312" w:lineRule="auto"/>
        <w:ind w:left="460" w:hanging="460"/>
        <w:jc w:val="both"/>
        <w:rPr>
          <w:sz w:val="19"/>
          <w:szCs w:val="19"/>
        </w:rPr>
      </w:pPr>
      <w:r>
        <w:rPr>
          <w:sz w:val="19"/>
        </w:rPr>
        <w:t>Palmer CE, Edwards LB. Identifying the tuberculous infected. The dual-test technique. JAMA. 1968;205:167–9 (</w:t>
      </w:r>
      <w:hyperlink r:id="rId224" w:history="1">
        <w:r w:rsidR="00366CB9">
          <w:rPr>
            <w:color w:val="019648"/>
            <w:sz w:val="19"/>
          </w:rPr>
          <w:t>https://doi.org/10.1001/jama.1968.03140290059017</w:t>
        </w:r>
      </w:hyperlink>
      <w:r>
        <w:rPr>
          <w:sz w:val="19"/>
        </w:rPr>
        <w:t>).</w:t>
      </w:r>
    </w:p>
    <w:p w14:paraId="5F8C4615"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r>
        <w:rPr>
          <w:sz w:val="19"/>
        </w:rPr>
        <w:t>Menzies R, Vissandjee B. Effect of bacille Calmette-Guerin vaccination on tuberculin reactivity. Am Rev Respir Dis. 1992;145:621–5 (</w:t>
      </w:r>
      <w:hyperlink r:id="rId225" w:history="1">
        <w:r w:rsidR="00366CB9">
          <w:rPr>
            <w:color w:val="019648"/>
            <w:sz w:val="19"/>
          </w:rPr>
          <w:t>https://doi.org/10.1164/ajrccm/145.3.621</w:t>
        </w:r>
      </w:hyperlink>
      <w:r>
        <w:rPr>
          <w:sz w:val="19"/>
        </w:rPr>
        <w:t>).</w:t>
      </w:r>
    </w:p>
    <w:p w14:paraId="2369739D" w14:textId="77777777" w:rsidR="00366CB9" w:rsidRDefault="009D0C1D" w:rsidP="00B3067A">
      <w:pPr>
        <w:pStyle w:val="1"/>
        <w:numPr>
          <w:ilvl w:val="0"/>
          <w:numId w:val="56"/>
        </w:numPr>
        <w:shd w:val="clear" w:color="auto" w:fill="auto"/>
        <w:tabs>
          <w:tab w:val="left" w:pos="442"/>
        </w:tabs>
        <w:spacing w:line="305" w:lineRule="auto"/>
        <w:ind w:left="460" w:hanging="460"/>
        <w:jc w:val="both"/>
        <w:rPr>
          <w:sz w:val="19"/>
          <w:szCs w:val="19"/>
        </w:rPr>
      </w:pPr>
      <w:r>
        <w:rPr>
          <w:sz w:val="19"/>
        </w:rPr>
        <w:t>Tarlo SM, Day JH, Mann P, Day MP. Immediate hypersensitivity to tuberculin. In vivo and in vitro studies. Chest. 1977;71:33–7 (</w:t>
      </w:r>
      <w:hyperlink r:id="rId226" w:history="1">
        <w:r w:rsidR="00366CB9">
          <w:rPr>
            <w:color w:val="019648"/>
            <w:sz w:val="19"/>
          </w:rPr>
          <w:t>https://doi.org/10.1378/chest.71.1.33</w:t>
        </w:r>
      </w:hyperlink>
      <w:r>
        <w:rPr>
          <w:sz w:val="19"/>
        </w:rPr>
        <w:t>).</w:t>
      </w:r>
    </w:p>
    <w:p w14:paraId="1F851BAA" w14:textId="77777777" w:rsidR="00366CB9" w:rsidRDefault="00366CB9" w:rsidP="00425523">
      <w:pPr>
        <w:spacing w:line="1" w:lineRule="exact"/>
        <w:sectPr w:rsidR="00366CB9" w:rsidSect="00F03360">
          <w:footerReference w:type="default" r:id="rId227"/>
          <w:type w:val="nextColumn"/>
          <w:pgSz w:w="11913" w:h="16840"/>
          <w:pgMar w:top="1469" w:right="1378" w:bottom="851" w:left="1372" w:header="0" w:footer="6" w:gutter="0"/>
          <w:paperSrc w:first="15" w:other="15"/>
          <w:cols w:space="720"/>
          <w:noEndnote/>
          <w:docGrid w:linePitch="360"/>
        </w:sectPr>
      </w:pPr>
    </w:p>
    <w:p w14:paraId="50830320" w14:textId="77777777" w:rsidR="00366CB9" w:rsidRDefault="00366CB9" w:rsidP="00425523">
      <w:pPr>
        <w:spacing w:line="1" w:lineRule="exact"/>
      </w:pPr>
    </w:p>
    <w:p w14:paraId="4D1BCF92" w14:textId="77777777" w:rsidR="00366CB9" w:rsidRPr="0028397B"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bookmarkStart w:id="201" w:name="bookmark198"/>
      <w:r>
        <w:rPr>
          <w:sz w:val="19"/>
        </w:rPr>
        <w:t>Spiteri MA, Bowman A, Assefi AR, Clarke SW. Life threatening reaction to tuberculin testing. Br Med J (Clin Res Ed). 1986;293:243–4 (</w:t>
      </w:r>
      <w:hyperlink r:id="rId228" w:history="1">
        <w:r w:rsidR="00366CB9">
          <w:rPr>
            <w:color w:val="019648"/>
            <w:sz w:val="19"/>
          </w:rPr>
          <w:t>https://doi.org/10.1136/bmj.293.6541.243-a</w:t>
        </w:r>
      </w:hyperlink>
      <w:r>
        <w:rPr>
          <w:sz w:val="19"/>
        </w:rPr>
        <w:t>).</w:t>
      </w:r>
      <w:bookmarkEnd w:id="201"/>
    </w:p>
    <w:p w14:paraId="3EF6F1ED"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r>
        <w:rPr>
          <w:sz w:val="19"/>
        </w:rPr>
        <w:t>Snider DE, Jr., Farer LS. Package inserts for antituberculosis drugs and tuberculins. Am Rev Respir Dis. 1985;131:809–10 (</w:t>
      </w:r>
      <w:hyperlink r:id="rId229" w:history="1">
        <w:r w:rsidR="00366CB9">
          <w:rPr>
            <w:color w:val="019648"/>
            <w:sz w:val="19"/>
          </w:rPr>
          <w:t>https://pubmed.ncbi.nlm.nih.gov/3839116/</w:t>
        </w:r>
      </w:hyperlink>
      <w:r>
        <w:rPr>
          <w:sz w:val="19"/>
        </w:rPr>
        <w:t>).</w:t>
      </w:r>
    </w:p>
    <w:p w14:paraId="22ABDB6E" w14:textId="77777777" w:rsidR="00366CB9" w:rsidRDefault="009D0C1D" w:rsidP="00B3067A">
      <w:pPr>
        <w:pStyle w:val="1"/>
        <w:numPr>
          <w:ilvl w:val="0"/>
          <w:numId w:val="56"/>
        </w:numPr>
        <w:shd w:val="clear" w:color="auto" w:fill="auto"/>
        <w:tabs>
          <w:tab w:val="left" w:pos="442"/>
        </w:tabs>
        <w:spacing w:after="60" w:line="312" w:lineRule="auto"/>
        <w:ind w:left="460" w:hanging="460"/>
        <w:jc w:val="both"/>
        <w:rPr>
          <w:sz w:val="19"/>
          <w:szCs w:val="19"/>
        </w:rPr>
      </w:pPr>
      <w:r>
        <w:rPr>
          <w:sz w:val="19"/>
        </w:rPr>
        <w:t>Package insert: rdESAT-6 and rCFP-10 (Cy-Tb) injection. Pune: Serum Institute of India Pvt Ltd; 2022 (</w:t>
      </w:r>
      <w:hyperlink r:id="rId230" w:history="1">
        <w:r w:rsidR="00366CB9">
          <w:rPr>
            <w:color w:val="019648"/>
            <w:sz w:val="19"/>
          </w:rPr>
          <w:t>https://www.seruminstitute.com/pdf/Cy-Tb_Insert.pdf</w:t>
        </w:r>
      </w:hyperlink>
      <w:r>
        <w:rPr>
          <w:sz w:val="19"/>
        </w:rPr>
        <w:t>).</w:t>
      </w:r>
    </w:p>
    <w:p w14:paraId="360DC5A1"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r>
        <w:rPr>
          <w:sz w:val="19"/>
        </w:rPr>
        <w:t>Diaskintest package insert. Russian Federation: Generium; 2022 (</w:t>
      </w:r>
      <w:hyperlink r:id="rId231" w:history="1">
        <w:r w:rsidR="00366CB9">
          <w:rPr>
            <w:color w:val="019648"/>
            <w:sz w:val="19"/>
          </w:rPr>
          <w:t>https://www.generium.ru/en/</w:t>
        </w:r>
      </w:hyperlink>
      <w:r>
        <w:rPr>
          <w:color w:val="019648"/>
          <w:sz w:val="19"/>
        </w:rPr>
        <w:t xml:space="preserve"> </w:t>
      </w:r>
      <w:hyperlink r:id="rId232" w:history="1">
        <w:r w:rsidR="00366CB9">
          <w:rPr>
            <w:color w:val="019648"/>
            <w:sz w:val="19"/>
          </w:rPr>
          <w:t>products/diaskintest/</w:t>
        </w:r>
      </w:hyperlink>
      <w:r>
        <w:rPr>
          <w:sz w:val="19"/>
        </w:rPr>
        <w:t>).</w:t>
      </w:r>
    </w:p>
    <w:p w14:paraId="496393F2" w14:textId="77777777" w:rsidR="00366CB9" w:rsidRDefault="009D0C1D" w:rsidP="00B3067A">
      <w:pPr>
        <w:pStyle w:val="1"/>
        <w:numPr>
          <w:ilvl w:val="0"/>
          <w:numId w:val="56"/>
        </w:numPr>
        <w:shd w:val="clear" w:color="auto" w:fill="auto"/>
        <w:tabs>
          <w:tab w:val="left" w:pos="442"/>
        </w:tabs>
        <w:spacing w:after="60" w:line="307" w:lineRule="auto"/>
        <w:rPr>
          <w:sz w:val="19"/>
          <w:szCs w:val="19"/>
        </w:rPr>
      </w:pPr>
      <w:r>
        <w:rPr>
          <w:sz w:val="19"/>
        </w:rPr>
        <w:t>C-TST package insert. China: Anhui Zhifei Longcom; 2022.</w:t>
      </w:r>
    </w:p>
    <w:p w14:paraId="0C2F7852"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Whiting PF, Rutjes AW, Westwood ME, Mallett S, Deeks JJ, Reitsma JB et al. QUADAS-2: a revised tool for the quality assessment of diagnostic accuracy studies. Ann Intern Med. 2011;155:529–36 (</w:t>
      </w:r>
      <w:hyperlink r:id="rId233" w:history="1">
        <w:r w:rsidR="00366CB9">
          <w:rPr>
            <w:color w:val="019648"/>
            <w:sz w:val="19"/>
          </w:rPr>
          <w:t>https://doi.org/10.7326/0003-4819-155-8-201110180-00009</w:t>
        </w:r>
      </w:hyperlink>
      <w:r>
        <w:rPr>
          <w:sz w:val="19"/>
        </w:rPr>
        <w:t>).</w:t>
      </w:r>
    </w:p>
    <w:p w14:paraId="14278742" w14:textId="77777777" w:rsidR="00366CB9" w:rsidRDefault="009D0C1D" w:rsidP="00B3067A">
      <w:pPr>
        <w:pStyle w:val="1"/>
        <w:numPr>
          <w:ilvl w:val="0"/>
          <w:numId w:val="56"/>
        </w:numPr>
        <w:shd w:val="clear" w:color="auto" w:fill="auto"/>
        <w:tabs>
          <w:tab w:val="left" w:pos="442"/>
        </w:tabs>
        <w:spacing w:after="60" w:line="307" w:lineRule="auto"/>
        <w:ind w:left="460" w:hanging="460"/>
        <w:jc w:val="both"/>
        <w:rPr>
          <w:sz w:val="19"/>
          <w:szCs w:val="19"/>
        </w:rPr>
      </w:pPr>
      <w:r>
        <w:rPr>
          <w:sz w:val="19"/>
        </w:rPr>
        <w:t>Use of alternative interferon-gamma release assays for the diagnosis of TB infection: WHO policy statement. Geneva: World Health Organization; 2022 (</w:t>
      </w:r>
      <w:hyperlink r:id="rId234" w:history="1">
        <w:r w:rsidR="00366CB9">
          <w:rPr>
            <w:color w:val="019648"/>
            <w:sz w:val="19"/>
          </w:rPr>
          <w:t>https://www.who.int/news/</w:t>
        </w:r>
      </w:hyperlink>
      <w:r>
        <w:rPr>
          <w:color w:val="019648"/>
          <w:sz w:val="19"/>
        </w:rPr>
        <w:t xml:space="preserve"> </w:t>
      </w:r>
      <w:hyperlink r:id="rId235" w:history="1">
        <w:r w:rsidR="00366CB9">
          <w:rPr>
            <w:color w:val="019648"/>
            <w:sz w:val="19"/>
          </w:rPr>
          <w:t>item/28-01-2022-use-of-alternative-interferon-gamma-release-assays-for-the-diagnosis-of-tb-</w:t>
        </w:r>
      </w:hyperlink>
      <w:r>
        <w:rPr>
          <w:color w:val="019648"/>
          <w:sz w:val="19"/>
        </w:rPr>
        <w:t xml:space="preserve"> </w:t>
      </w:r>
      <w:hyperlink r:id="rId236" w:history="1">
        <w:r w:rsidR="00366CB9">
          <w:rPr>
            <w:color w:val="019648"/>
            <w:sz w:val="19"/>
          </w:rPr>
          <w:t>infection---who-policy-statement</w:t>
        </w:r>
      </w:hyperlink>
      <w:r>
        <w:rPr>
          <w:sz w:val="19"/>
        </w:rPr>
        <w:t>).</w:t>
      </w:r>
    </w:p>
    <w:p w14:paraId="4B7C9B8F"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Commercial serodiagnostic tests for diagnosis of tuberculosis. Policy statement (WHO/HTM/ TB/2011.5). Geneva: World Health Organization; 2011 (</w:t>
      </w:r>
      <w:hyperlink r:id="rId237" w:history="1">
        <w:r w:rsidR="00366CB9">
          <w:rPr>
            <w:color w:val="019648"/>
            <w:sz w:val="19"/>
          </w:rPr>
          <w:t>https://www.who.int/publications/i/</w:t>
        </w:r>
      </w:hyperlink>
      <w:r>
        <w:rPr>
          <w:color w:val="019648"/>
          <w:sz w:val="19"/>
        </w:rPr>
        <w:t xml:space="preserve"> </w:t>
      </w:r>
      <w:hyperlink r:id="rId238" w:history="1">
        <w:r w:rsidR="00366CB9">
          <w:rPr>
            <w:color w:val="019648"/>
            <w:sz w:val="19"/>
          </w:rPr>
          <w:t>item/9789241502054</w:t>
        </w:r>
      </w:hyperlink>
      <w:r>
        <w:rPr>
          <w:sz w:val="19"/>
        </w:rPr>
        <w:t>).</w:t>
      </w:r>
    </w:p>
    <w:p w14:paraId="066899B7"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r>
        <w:rPr>
          <w:sz w:val="19"/>
        </w:rPr>
        <w:t xml:space="preserve">WHO operational handbook on tuberculosis: module 2: screening: systematic screening for tuberculosis disease. Geneva: World Health Organization; 2022 </w:t>
      </w:r>
      <w:hyperlink r:id="rId239" w:history="1">
        <w:r w:rsidR="00366CB9">
          <w:rPr>
            <w:sz w:val="19"/>
          </w:rPr>
          <w:t>(</w:t>
        </w:r>
        <w:r w:rsidR="00366CB9">
          <w:rPr>
            <w:color w:val="019648"/>
            <w:sz w:val="19"/>
          </w:rPr>
          <w:t>https://www.who.int/</w:t>
        </w:r>
      </w:hyperlink>
      <w:r>
        <w:rPr>
          <w:color w:val="019648"/>
          <w:sz w:val="19"/>
        </w:rPr>
        <w:t xml:space="preserve"> </w:t>
      </w:r>
      <w:hyperlink r:id="rId240" w:history="1">
        <w:r w:rsidR="00366CB9">
          <w:rPr>
            <w:color w:val="019648"/>
            <w:sz w:val="19"/>
          </w:rPr>
          <w:t>publications/i/item/9789240022614</w:t>
        </w:r>
      </w:hyperlink>
      <w:r>
        <w:rPr>
          <w:sz w:val="19"/>
        </w:rPr>
        <w:t>).</w:t>
      </w:r>
    </w:p>
    <w:p w14:paraId="75DDB002"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Planning and budgeting tool for TB and drug resistant TB testing: calculation tool. Geneva: World Health Organization; 2024 (</w:t>
      </w:r>
      <w:hyperlink r:id="rId241" w:history="1">
        <w:r w:rsidR="00366CB9">
          <w:rPr>
            <w:color w:val="019648"/>
            <w:sz w:val="19"/>
          </w:rPr>
          <w:t>https://www.stoptb.org/planning-and-budgeting-tool-</w:t>
        </w:r>
      </w:hyperlink>
      <w:r>
        <w:rPr>
          <w:color w:val="019648"/>
          <w:sz w:val="19"/>
        </w:rPr>
        <w:t xml:space="preserve"> </w:t>
      </w:r>
      <w:hyperlink r:id="rId242" w:history="1">
        <w:r w:rsidR="00366CB9">
          <w:rPr>
            <w:color w:val="019648"/>
            <w:sz w:val="19"/>
          </w:rPr>
          <w:t>tb-and-drug-resistant-tb-testing-calculation-tool</w:t>
        </w:r>
      </w:hyperlink>
      <w:r>
        <w:rPr>
          <w:sz w:val="19"/>
        </w:rPr>
        <w:t>).</w:t>
      </w:r>
    </w:p>
    <w:p w14:paraId="54B63536"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r>
        <w:rPr>
          <w:sz w:val="19"/>
        </w:rPr>
        <w:t xml:space="preserve">GLI EQA dashboard [website]. Geneva: Stop TB Partnership; 2025 </w:t>
      </w:r>
      <w:hyperlink r:id="rId243" w:history="1">
        <w:r w:rsidR="00366CB9">
          <w:rPr>
            <w:sz w:val="19"/>
          </w:rPr>
          <w:t>(</w:t>
        </w:r>
        <w:r w:rsidR="00366CB9">
          <w:rPr>
            <w:color w:val="019648"/>
            <w:sz w:val="19"/>
          </w:rPr>
          <w:t>https://www.stoptb.org/</w:t>
        </w:r>
      </w:hyperlink>
      <w:r>
        <w:rPr>
          <w:color w:val="019648"/>
          <w:sz w:val="19"/>
        </w:rPr>
        <w:t xml:space="preserve"> </w:t>
      </w:r>
      <w:hyperlink r:id="rId244" w:history="1">
        <w:r w:rsidR="00366CB9">
          <w:rPr>
            <w:color w:val="019648"/>
            <w:sz w:val="19"/>
          </w:rPr>
          <w:t>who-we-are/stop-tb-working-groups/global-laboratory-initiative-gli/gli-eqa-dashboard</w:t>
        </w:r>
      </w:hyperlink>
      <w:r>
        <w:rPr>
          <w:sz w:val="19"/>
        </w:rPr>
        <w:t>).</w:t>
      </w:r>
    </w:p>
    <w:p w14:paraId="6D243573"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Automated real-time nucleic acid amplification technology for rapid and simultaneous detection of tuberculosis and rifampicin resistance: Xpert MTB/RIF assay for the diagnosis of pulmonary and extrapulmonary TB in adults and children (WHO/HTM/TB/2013.16). Geneva: World Health Organization; 2013 (</w:t>
      </w:r>
      <w:hyperlink r:id="rId245" w:history="1">
        <w:r w:rsidR="00366CB9">
          <w:rPr>
            <w:color w:val="019648"/>
            <w:sz w:val="19"/>
          </w:rPr>
          <w:t>https://apps.who.int/iris/bitstream/handle/10665/112472/9789241506335_</w:t>
        </w:r>
      </w:hyperlink>
      <w:r>
        <w:rPr>
          <w:color w:val="019648"/>
          <w:sz w:val="19"/>
        </w:rPr>
        <w:t xml:space="preserve"> </w:t>
      </w:r>
      <w:hyperlink r:id="rId246" w:history="1">
        <w:r w:rsidR="00366CB9">
          <w:rPr>
            <w:color w:val="019648"/>
            <w:sz w:val="19"/>
          </w:rPr>
          <w:t>eng.pdf?sequence=1</w:t>
        </w:r>
      </w:hyperlink>
      <w:r>
        <w:rPr>
          <w:sz w:val="19"/>
        </w:rPr>
        <w:t>).</w:t>
      </w:r>
    </w:p>
    <w:p w14:paraId="21237F01" w14:textId="77777777" w:rsidR="00366CB9" w:rsidRDefault="009D0C1D" w:rsidP="00B3067A">
      <w:pPr>
        <w:pStyle w:val="1"/>
        <w:numPr>
          <w:ilvl w:val="0"/>
          <w:numId w:val="56"/>
        </w:numPr>
        <w:shd w:val="clear" w:color="auto" w:fill="auto"/>
        <w:tabs>
          <w:tab w:val="left" w:pos="442"/>
        </w:tabs>
        <w:spacing w:after="60" w:line="310" w:lineRule="auto"/>
        <w:ind w:left="460" w:hanging="460"/>
        <w:jc w:val="both"/>
        <w:rPr>
          <w:sz w:val="19"/>
          <w:szCs w:val="19"/>
        </w:rPr>
      </w:pPr>
      <w:r>
        <w:rPr>
          <w:sz w:val="19"/>
        </w:rPr>
        <w:t>WHO operational handbook on tuberculosis: module 5: management of tuberculosis in children and adolescents. Geneva: World Health Organization; 2022 (</w:t>
      </w:r>
      <w:hyperlink r:id="rId247" w:history="1">
        <w:r w:rsidR="00366CB9">
          <w:rPr>
            <w:color w:val="019648"/>
            <w:sz w:val="19"/>
          </w:rPr>
          <w:t>https://www.who.int/publications/i/</w:t>
        </w:r>
      </w:hyperlink>
      <w:r>
        <w:rPr>
          <w:color w:val="019648"/>
          <w:sz w:val="19"/>
        </w:rPr>
        <w:t xml:space="preserve"> </w:t>
      </w:r>
      <w:hyperlink r:id="rId248" w:history="1">
        <w:r w:rsidR="00366CB9">
          <w:rPr>
            <w:color w:val="019648"/>
            <w:sz w:val="19"/>
          </w:rPr>
          <w:t>item/9789240046832</w:t>
        </w:r>
      </w:hyperlink>
      <w:r>
        <w:rPr>
          <w:sz w:val="19"/>
        </w:rPr>
        <w:t>).</w:t>
      </w:r>
    </w:p>
    <w:p w14:paraId="69CC1783"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r>
        <w:rPr>
          <w:sz w:val="19"/>
        </w:rPr>
        <w:t>Considerations for adoption and use of multidisease testing devices in integrated laboratory networks: information note. Geneva: World Health Organization; 2017 (</w:t>
      </w:r>
      <w:hyperlink r:id="rId249" w:history="1">
        <w:r w:rsidR="00366CB9">
          <w:rPr>
            <w:color w:val="019648"/>
            <w:sz w:val="19"/>
          </w:rPr>
          <w:t>https://www.who.int/</w:t>
        </w:r>
      </w:hyperlink>
      <w:r>
        <w:rPr>
          <w:color w:val="019648"/>
          <w:sz w:val="19"/>
        </w:rPr>
        <w:t xml:space="preserve"> </w:t>
      </w:r>
      <w:hyperlink r:id="rId250" w:history="1">
        <w:r w:rsidR="00366CB9">
          <w:rPr>
            <w:color w:val="019648"/>
            <w:sz w:val="19"/>
          </w:rPr>
          <w:t>publications/i/item/WHO-HTM-TB-2017.06</w:t>
        </w:r>
      </w:hyperlink>
      <w:r>
        <w:rPr>
          <w:sz w:val="19"/>
        </w:rPr>
        <w:t>).</w:t>
      </w:r>
    </w:p>
    <w:p w14:paraId="55AEE7BC" w14:textId="77777777" w:rsidR="00366CB9" w:rsidRDefault="009D0C1D" w:rsidP="00B3067A">
      <w:pPr>
        <w:pStyle w:val="1"/>
        <w:numPr>
          <w:ilvl w:val="0"/>
          <w:numId w:val="56"/>
        </w:numPr>
        <w:shd w:val="clear" w:color="auto" w:fill="auto"/>
        <w:tabs>
          <w:tab w:val="left" w:pos="442"/>
        </w:tabs>
        <w:spacing w:after="60" w:line="312" w:lineRule="auto"/>
        <w:ind w:left="460" w:hanging="460"/>
        <w:jc w:val="both"/>
        <w:rPr>
          <w:sz w:val="19"/>
          <w:szCs w:val="19"/>
        </w:rPr>
      </w:pPr>
      <w:r>
        <w:rPr>
          <w:sz w:val="19"/>
        </w:rPr>
        <w:t>Tuberculosis laboratory biosafety manual (WHO/HTM/ TB/2012.11). Geneva: World Health Organization; 2012 (</w:t>
      </w:r>
      <w:hyperlink r:id="rId251" w:history="1">
        <w:r w:rsidR="00366CB9">
          <w:rPr>
            <w:color w:val="019648"/>
            <w:sz w:val="19"/>
          </w:rPr>
          <w:t>https://iris.who.int/handle/10665/77949</w:t>
        </w:r>
      </w:hyperlink>
      <w:r>
        <w:rPr>
          <w:sz w:val="19"/>
        </w:rPr>
        <w:t>).</w:t>
      </w:r>
    </w:p>
    <w:p w14:paraId="31FD0DC2" w14:textId="77777777" w:rsidR="00366CB9" w:rsidRDefault="009D0C1D" w:rsidP="00B3067A">
      <w:pPr>
        <w:pStyle w:val="1"/>
        <w:numPr>
          <w:ilvl w:val="0"/>
          <w:numId w:val="56"/>
        </w:numPr>
        <w:shd w:val="clear" w:color="auto" w:fill="auto"/>
        <w:tabs>
          <w:tab w:val="left" w:pos="442"/>
        </w:tabs>
        <w:spacing w:line="307" w:lineRule="auto"/>
        <w:ind w:left="460" w:hanging="460"/>
        <w:jc w:val="both"/>
        <w:rPr>
          <w:sz w:val="19"/>
          <w:szCs w:val="19"/>
        </w:rPr>
      </w:pPr>
      <w:r>
        <w:rPr>
          <w:sz w:val="19"/>
        </w:rPr>
        <w:t>Stop TB Partnership, United States Agency for International Development, Global Laboratory Initiative. Practical guide to implementation of Truenat tests for the detection of TB and rifampicin resistance (Version 3). Geneva: Stop TB Partnership; 2024 (</w:t>
      </w:r>
      <w:hyperlink r:id="rId252" w:history="1">
        <w:r w:rsidR="00366CB9">
          <w:rPr>
            <w:color w:val="019648"/>
            <w:sz w:val="19"/>
          </w:rPr>
          <w:t>https://www.stoptb.org/</w:t>
        </w:r>
      </w:hyperlink>
      <w:r>
        <w:rPr>
          <w:color w:val="019648"/>
          <w:sz w:val="19"/>
        </w:rPr>
        <w:t xml:space="preserve"> </w:t>
      </w:r>
      <w:hyperlink r:id="rId253" w:history="1">
        <w:r w:rsidR="00366CB9">
          <w:rPr>
            <w:color w:val="019648"/>
            <w:sz w:val="19"/>
          </w:rPr>
          <w:t>who-we-are/stop-tb-working-groups/global-laboratory-initiative-gli/gli-guidance-and-tools/</w:t>
        </w:r>
      </w:hyperlink>
      <w:r>
        <w:rPr>
          <w:color w:val="019648"/>
          <w:sz w:val="19"/>
        </w:rPr>
        <w:t xml:space="preserve"> </w:t>
      </w:r>
      <w:hyperlink r:id="rId254" w:history="1">
        <w:r w:rsidR="00366CB9">
          <w:rPr>
            <w:color w:val="019648"/>
            <w:sz w:val="19"/>
          </w:rPr>
          <w:t>practical-guide-implementation-truenat-tests</w:t>
        </w:r>
      </w:hyperlink>
      <w:r>
        <w:rPr>
          <w:sz w:val="19"/>
        </w:rPr>
        <w:t>).</w:t>
      </w:r>
    </w:p>
    <w:p w14:paraId="5405ABFC"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78A3BA96" w14:textId="77777777" w:rsidR="00366CB9" w:rsidRDefault="00366CB9" w:rsidP="00425523">
      <w:pPr>
        <w:spacing w:line="1" w:lineRule="exact"/>
      </w:pPr>
    </w:p>
    <w:p w14:paraId="3C39F6BE" w14:textId="77777777" w:rsidR="00366CB9" w:rsidRDefault="009D0C1D" w:rsidP="00B3067A">
      <w:pPr>
        <w:pStyle w:val="1"/>
        <w:numPr>
          <w:ilvl w:val="0"/>
          <w:numId w:val="56"/>
        </w:numPr>
        <w:shd w:val="clear" w:color="auto" w:fill="auto"/>
        <w:tabs>
          <w:tab w:val="left" w:pos="442"/>
        </w:tabs>
        <w:spacing w:after="60" w:line="305" w:lineRule="auto"/>
        <w:ind w:left="460" w:hanging="460"/>
        <w:jc w:val="both"/>
        <w:rPr>
          <w:sz w:val="19"/>
          <w:szCs w:val="19"/>
        </w:rPr>
      </w:pPr>
      <w:bookmarkStart w:id="202" w:name="bookmark199"/>
      <w:r>
        <w:rPr>
          <w:sz w:val="19"/>
        </w:rPr>
        <w:t>TB-LAMP: implementation experiences and lessons learned. Geneva: Stop TB Partnership; 2023 (</w:t>
      </w:r>
      <w:hyperlink r:id="rId255" w:history="1">
        <w:r w:rsidR="00366CB9">
          <w:rPr>
            <w:color w:val="019648"/>
            <w:sz w:val="19"/>
          </w:rPr>
          <w:t>https://www.stoptb.org/tb-lamp-implementation-experiences-and-lessons-learned</w:t>
        </w:r>
      </w:hyperlink>
      <w:r>
        <w:rPr>
          <w:sz w:val="19"/>
        </w:rPr>
        <w:t>).</w:t>
      </w:r>
      <w:bookmarkEnd w:id="202"/>
    </w:p>
    <w:p w14:paraId="16BBA062" w14:textId="77777777" w:rsidR="00366CB9" w:rsidRDefault="009D0C1D" w:rsidP="00B3067A">
      <w:pPr>
        <w:pStyle w:val="1"/>
        <w:shd w:val="clear" w:color="auto" w:fill="auto"/>
        <w:spacing w:after="60" w:line="305" w:lineRule="auto"/>
        <w:ind w:left="460" w:hanging="460"/>
        <w:jc w:val="both"/>
        <w:rPr>
          <w:sz w:val="19"/>
          <w:szCs w:val="19"/>
        </w:rPr>
      </w:pPr>
      <w:r>
        <w:rPr>
          <w:sz w:val="19"/>
        </w:rPr>
        <w:t>63 GLI guide to TB specimen referral systems and integrated networks. Geneva: Global Laboratory Initiative; 2017 (</w:t>
      </w:r>
      <w:hyperlink r:id="rId256" w:history="1">
        <w:r w:rsidR="00366CB9">
          <w:rPr>
            <w:color w:val="019648"/>
            <w:sz w:val="19"/>
          </w:rPr>
          <w:t>https://www.stoptb.org/gli-guide-tb-specimen-referral-systems-and-integrated-networks</w:t>
        </w:r>
      </w:hyperlink>
      <w:r>
        <w:rPr>
          <w:sz w:val="19"/>
        </w:rPr>
        <w:t>).</w:t>
      </w:r>
    </w:p>
    <w:p w14:paraId="37047C69" w14:textId="77777777" w:rsidR="00366CB9" w:rsidRDefault="009D0C1D" w:rsidP="00B3067A">
      <w:pPr>
        <w:pStyle w:val="1"/>
        <w:numPr>
          <w:ilvl w:val="0"/>
          <w:numId w:val="57"/>
        </w:numPr>
        <w:shd w:val="clear" w:color="auto" w:fill="auto"/>
        <w:tabs>
          <w:tab w:val="left" w:pos="442"/>
        </w:tabs>
        <w:spacing w:after="60" w:line="310" w:lineRule="auto"/>
        <w:ind w:left="460" w:hanging="460"/>
        <w:jc w:val="both"/>
        <w:rPr>
          <w:sz w:val="19"/>
          <w:szCs w:val="19"/>
        </w:rPr>
      </w:pPr>
      <w:r>
        <w:rPr>
          <w:sz w:val="19"/>
        </w:rPr>
        <w:t>GLI specimen referral toolkit Geneva: Global Laboratory Initiative; 2017 (</w:t>
      </w:r>
      <w:hyperlink r:id="rId257" w:history="1">
        <w:r w:rsidR="00366CB9">
          <w:rPr>
            <w:color w:val="019648"/>
            <w:sz w:val="19"/>
          </w:rPr>
          <w:t>https://www.stoptb.org/</w:t>
        </w:r>
      </w:hyperlink>
      <w:r>
        <w:rPr>
          <w:color w:val="019648"/>
          <w:sz w:val="19"/>
        </w:rPr>
        <w:t xml:space="preserve"> </w:t>
      </w:r>
      <w:hyperlink r:id="rId258" w:history="1">
        <w:r w:rsidR="00366CB9">
          <w:rPr>
            <w:color w:val="019648"/>
            <w:sz w:val="19"/>
          </w:rPr>
          <w:t>who-we-are/stop-tb-working-groups/global-laboratory-initiative-gli/gli-guidance-and-tools/</w:t>
        </w:r>
      </w:hyperlink>
      <w:r>
        <w:rPr>
          <w:color w:val="019648"/>
          <w:sz w:val="19"/>
        </w:rPr>
        <w:t xml:space="preserve"> </w:t>
      </w:r>
      <w:hyperlink r:id="rId259" w:history="1">
        <w:r w:rsidR="00366CB9">
          <w:rPr>
            <w:color w:val="019648"/>
            <w:sz w:val="19"/>
          </w:rPr>
          <w:t>gli-specimen-referral-toolkit</w:t>
        </w:r>
      </w:hyperlink>
      <w:r>
        <w:rPr>
          <w:sz w:val="19"/>
        </w:rPr>
        <w:t>).</w:t>
      </w:r>
    </w:p>
    <w:p w14:paraId="42259373" w14:textId="77777777" w:rsidR="00366CB9"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r>
        <w:rPr>
          <w:sz w:val="19"/>
        </w:rPr>
        <w:t>Practical manual on tuberculosis laboratory strengthening (2022 update). Geneva: World Health Organization; 2022 (</w:t>
      </w:r>
      <w:hyperlink r:id="rId260" w:history="1">
        <w:r w:rsidR="00366CB9">
          <w:rPr>
            <w:color w:val="019648"/>
            <w:sz w:val="19"/>
          </w:rPr>
          <w:t>https://iris.who.int/handle/10665/365134</w:t>
        </w:r>
      </w:hyperlink>
      <w:r>
        <w:rPr>
          <w:sz w:val="19"/>
        </w:rPr>
        <w:t>).</w:t>
      </w:r>
    </w:p>
    <w:p w14:paraId="36966B4F" w14:textId="77777777" w:rsidR="00366CB9" w:rsidRDefault="009D0C1D" w:rsidP="00B3067A">
      <w:pPr>
        <w:pStyle w:val="1"/>
        <w:numPr>
          <w:ilvl w:val="0"/>
          <w:numId w:val="57"/>
        </w:numPr>
        <w:shd w:val="clear" w:color="auto" w:fill="auto"/>
        <w:tabs>
          <w:tab w:val="left" w:pos="442"/>
        </w:tabs>
        <w:spacing w:after="60" w:line="312" w:lineRule="auto"/>
        <w:ind w:left="460" w:hanging="460"/>
        <w:jc w:val="both"/>
        <w:rPr>
          <w:sz w:val="19"/>
          <w:szCs w:val="19"/>
        </w:rPr>
      </w:pPr>
      <w:r>
        <w:rPr>
          <w:sz w:val="19"/>
        </w:rPr>
        <w:t>ISO 15189:2022 Medical laboratories – Requirements for quality and competence. Geneva: International Organization for Standardization; 2022 (</w:t>
      </w:r>
      <w:hyperlink r:id="rId261" w:history="1">
        <w:r w:rsidR="00366CB9">
          <w:rPr>
            <w:color w:val="019648"/>
            <w:sz w:val="19"/>
          </w:rPr>
          <w:t>https://www.iso.org/standard/76677.html</w:t>
        </w:r>
      </w:hyperlink>
      <w:r>
        <w:rPr>
          <w:sz w:val="19"/>
        </w:rPr>
        <w:t>).</w:t>
      </w:r>
    </w:p>
    <w:p w14:paraId="439F88F2" w14:textId="77777777" w:rsidR="00366CB9" w:rsidRDefault="009D0C1D" w:rsidP="00B3067A">
      <w:pPr>
        <w:pStyle w:val="1"/>
        <w:numPr>
          <w:ilvl w:val="0"/>
          <w:numId w:val="57"/>
        </w:numPr>
        <w:shd w:val="clear" w:color="auto" w:fill="auto"/>
        <w:tabs>
          <w:tab w:val="left" w:pos="442"/>
        </w:tabs>
        <w:spacing w:after="60" w:line="310" w:lineRule="auto"/>
        <w:ind w:left="460" w:hanging="460"/>
        <w:jc w:val="both"/>
        <w:rPr>
          <w:sz w:val="19"/>
          <w:szCs w:val="19"/>
        </w:rPr>
      </w:pPr>
      <w:r>
        <w:rPr>
          <w:sz w:val="19"/>
        </w:rPr>
        <w:t>Tebruegge M, Buonsenso D, Brinkmann F, Noguera-Julian A, Pavic I, Arbore AS et al. European shortage of purified protein derivative and its impact on tuberculosis screening practices. Int J Tuberc Lung Dis. 2016;20:1293–9 (</w:t>
      </w:r>
      <w:hyperlink r:id="rId262" w:history="1">
        <w:r w:rsidR="00366CB9">
          <w:rPr>
            <w:color w:val="019648"/>
            <w:sz w:val="19"/>
          </w:rPr>
          <w:t>https://doi.org/10.5588/ijtld.15.0975</w:t>
        </w:r>
      </w:hyperlink>
      <w:r>
        <w:rPr>
          <w:sz w:val="19"/>
        </w:rPr>
        <w:t>).</w:t>
      </w:r>
    </w:p>
    <w:p w14:paraId="5A557E2F" w14:textId="77777777" w:rsidR="00366CB9"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r>
        <w:rPr>
          <w:sz w:val="19"/>
        </w:rPr>
        <w:t>GLI quick guide to TB diagnostics connectivity solutions. Geneva: Global Laboratory Initiative Core Group; 2016 (</w:t>
      </w:r>
      <w:hyperlink r:id="rId263" w:history="1">
        <w:r w:rsidR="00366CB9">
          <w:rPr>
            <w:color w:val="019648"/>
            <w:sz w:val="19"/>
          </w:rPr>
          <w:t>https://www.stoptb.org/gli-guidance-and-tools/gli-quick-guide-to-tb-</w:t>
        </w:r>
      </w:hyperlink>
      <w:r>
        <w:rPr>
          <w:color w:val="019648"/>
          <w:sz w:val="19"/>
        </w:rPr>
        <w:t xml:space="preserve"> </w:t>
      </w:r>
      <w:hyperlink r:id="rId264" w:history="1">
        <w:r w:rsidR="00366CB9">
          <w:rPr>
            <w:color w:val="019648"/>
            <w:sz w:val="19"/>
          </w:rPr>
          <w:t>diagnostics-connectivity-solutions</w:t>
        </w:r>
      </w:hyperlink>
      <w:r>
        <w:rPr>
          <w:sz w:val="19"/>
        </w:rPr>
        <w:t>).</w:t>
      </w:r>
    </w:p>
    <w:p w14:paraId="1CD6BBD9" w14:textId="77777777" w:rsidR="00366CB9" w:rsidRDefault="009D0C1D" w:rsidP="00B3067A">
      <w:pPr>
        <w:pStyle w:val="1"/>
        <w:numPr>
          <w:ilvl w:val="0"/>
          <w:numId w:val="57"/>
        </w:numPr>
        <w:shd w:val="clear" w:color="auto" w:fill="auto"/>
        <w:tabs>
          <w:tab w:val="left" w:pos="442"/>
        </w:tabs>
        <w:spacing w:after="60" w:line="310" w:lineRule="auto"/>
        <w:ind w:left="460" w:hanging="460"/>
        <w:jc w:val="both"/>
        <w:rPr>
          <w:sz w:val="19"/>
          <w:szCs w:val="19"/>
        </w:rPr>
      </w:pPr>
      <w:r>
        <w:rPr>
          <w:sz w:val="19"/>
        </w:rPr>
        <w:t>Moayedi-Nia S, Barss L, Oxlade O, Valiquette C, Ly MX, Campbell JR et al. The mTST – an mHealth approach for training and quality assurance of tuberculin skin test administration and reading. PLoS One. 2019;14:e0215240 (</w:t>
      </w:r>
      <w:hyperlink r:id="rId265" w:history="1">
        <w:r w:rsidR="00366CB9">
          <w:rPr>
            <w:color w:val="019648"/>
            <w:sz w:val="19"/>
          </w:rPr>
          <w:t>https://doi.org/10.1371/journal.pone.0215240</w:t>
        </w:r>
      </w:hyperlink>
      <w:r>
        <w:rPr>
          <w:sz w:val="19"/>
        </w:rPr>
        <w:t>).</w:t>
      </w:r>
    </w:p>
    <w:p w14:paraId="74F14773" w14:textId="77777777" w:rsidR="00366CB9"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r>
        <w:rPr>
          <w:sz w:val="19"/>
        </w:rPr>
        <w:t>Guide for reviewers performing the TST quality assurance – quantitative assessment of TST injection. Montreal: McGill TB Centre; 2019 (</w:t>
      </w:r>
      <w:hyperlink r:id="rId266" w:history="1">
        <w:r w:rsidR="00366CB9">
          <w:rPr>
            <w:color w:val="019648"/>
            <w:sz w:val="19"/>
          </w:rPr>
          <w:t>https://www.youtube.com/watch?v=PsBTYiEAKcc</w:t>
        </w:r>
      </w:hyperlink>
      <w:r>
        <w:rPr>
          <w:sz w:val="19"/>
        </w:rPr>
        <w:t>).</w:t>
      </w:r>
    </w:p>
    <w:p w14:paraId="674EFBE3" w14:textId="77777777" w:rsidR="00366CB9" w:rsidRDefault="009D0C1D" w:rsidP="00B3067A">
      <w:pPr>
        <w:pStyle w:val="1"/>
        <w:numPr>
          <w:ilvl w:val="0"/>
          <w:numId w:val="57"/>
        </w:numPr>
        <w:shd w:val="clear" w:color="auto" w:fill="auto"/>
        <w:tabs>
          <w:tab w:val="left" w:pos="442"/>
        </w:tabs>
        <w:spacing w:after="60" w:line="312" w:lineRule="auto"/>
        <w:ind w:left="460" w:hanging="460"/>
        <w:jc w:val="both"/>
        <w:rPr>
          <w:sz w:val="19"/>
          <w:szCs w:val="19"/>
        </w:rPr>
      </w:pPr>
      <w:r>
        <w:rPr>
          <w:sz w:val="19"/>
        </w:rPr>
        <w:t>Instructions for healthcare workers: how to take mTST photos [website]. Montreal: McGill TB Centre; 2019 (</w:t>
      </w:r>
      <w:hyperlink r:id="rId267" w:history="1">
        <w:r w:rsidR="00366CB9">
          <w:rPr>
            <w:color w:val="019648"/>
            <w:sz w:val="19"/>
          </w:rPr>
          <w:t>https://www.youtube.com/watch?v=7Lbt84YCsiM</w:t>
        </w:r>
      </w:hyperlink>
      <w:r>
        <w:rPr>
          <w:sz w:val="19"/>
        </w:rPr>
        <w:t>).</w:t>
      </w:r>
    </w:p>
    <w:p w14:paraId="5C223012" w14:textId="77777777" w:rsidR="00366CB9"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r>
        <w:rPr>
          <w:sz w:val="19"/>
        </w:rPr>
        <w:t>Brown AC, Bryant JM, Einer-Jensen K, Holdstock J, Houniet DT, Chan JZ et al. Rapid whole-genome sequencing of Mycobacterium tuberculosis isolates directly from clinical samples. J Clin Microbiol. 2015;53:2230–7 (</w:t>
      </w:r>
      <w:hyperlink r:id="rId268" w:history="1">
        <w:r w:rsidR="00366CB9">
          <w:rPr>
            <w:color w:val="019648"/>
            <w:sz w:val="19"/>
          </w:rPr>
          <w:t>https://doi.org/10.1128/JCM.00486-15</w:t>
        </w:r>
      </w:hyperlink>
      <w:r>
        <w:rPr>
          <w:sz w:val="19"/>
        </w:rPr>
        <w:t>).</w:t>
      </w:r>
    </w:p>
    <w:p w14:paraId="269AFF01" w14:textId="77777777" w:rsidR="00366CB9" w:rsidRDefault="009D0C1D" w:rsidP="00B3067A">
      <w:pPr>
        <w:pStyle w:val="1"/>
        <w:numPr>
          <w:ilvl w:val="0"/>
          <w:numId w:val="57"/>
        </w:numPr>
        <w:shd w:val="clear" w:color="auto" w:fill="auto"/>
        <w:tabs>
          <w:tab w:val="left" w:pos="442"/>
        </w:tabs>
        <w:spacing w:after="60" w:line="307" w:lineRule="auto"/>
        <w:ind w:left="460" w:hanging="460"/>
        <w:jc w:val="both"/>
        <w:rPr>
          <w:sz w:val="19"/>
          <w:szCs w:val="19"/>
        </w:rPr>
      </w:pPr>
      <w:r>
        <w:rPr>
          <w:sz w:val="19"/>
        </w:rPr>
        <w:t>Tornheim JA, Starks AM, Rodwell TC, Gardy JL, Walker TM, Cirillo DM et al. Building the framework for standardized clinical laboratory reporting of next-generation sequencing data for resistance- associated mutations in Mycobacterium tuberculosis complex. Clin Infect Dis. 2019;69:1631–3 (</w:t>
      </w:r>
      <w:hyperlink r:id="rId269" w:history="1">
        <w:r w:rsidR="00366CB9">
          <w:rPr>
            <w:color w:val="019648"/>
            <w:sz w:val="19"/>
          </w:rPr>
          <w:t>https://doi.org/10.1093/cid/ciz219</w:t>
        </w:r>
      </w:hyperlink>
      <w:r>
        <w:rPr>
          <w:sz w:val="19"/>
        </w:rPr>
        <w:t>).</w:t>
      </w:r>
    </w:p>
    <w:p w14:paraId="23358263" w14:textId="77777777" w:rsidR="00366CB9"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r>
        <w:rPr>
          <w:sz w:val="19"/>
        </w:rPr>
        <w:t>Preventing TB [website]. Geneva: World Health Organization; 2025 (</w:t>
      </w:r>
      <w:hyperlink r:id="rId270" w:history="1">
        <w:r w:rsidR="00366CB9">
          <w:rPr>
            <w:color w:val="019648"/>
            <w:sz w:val="19"/>
          </w:rPr>
          <w:t>https://www.who.int/activities/</w:t>
        </w:r>
      </w:hyperlink>
      <w:r>
        <w:rPr>
          <w:color w:val="019648"/>
          <w:sz w:val="19"/>
        </w:rPr>
        <w:t xml:space="preserve"> </w:t>
      </w:r>
      <w:hyperlink r:id="rId271" w:history="1">
        <w:r w:rsidR="00366CB9">
          <w:rPr>
            <w:color w:val="019648"/>
            <w:sz w:val="19"/>
          </w:rPr>
          <w:t>preventing-tb</w:t>
        </w:r>
      </w:hyperlink>
      <w:r>
        <w:rPr>
          <w:sz w:val="19"/>
        </w:rPr>
        <w:t>).</w:t>
      </w:r>
    </w:p>
    <w:p w14:paraId="56D7CC35" w14:textId="77777777" w:rsidR="00366CB9" w:rsidRDefault="009D0C1D" w:rsidP="00B3067A">
      <w:pPr>
        <w:pStyle w:val="1"/>
        <w:numPr>
          <w:ilvl w:val="0"/>
          <w:numId w:val="57"/>
        </w:numPr>
        <w:shd w:val="clear" w:color="auto" w:fill="auto"/>
        <w:tabs>
          <w:tab w:val="left" w:pos="442"/>
        </w:tabs>
        <w:spacing w:after="60" w:line="310" w:lineRule="auto"/>
        <w:ind w:left="460" w:hanging="460"/>
        <w:jc w:val="both"/>
        <w:rPr>
          <w:sz w:val="19"/>
          <w:szCs w:val="19"/>
        </w:rPr>
      </w:pPr>
      <w:r>
        <w:rPr>
          <w:sz w:val="19"/>
        </w:rPr>
        <w:t>Gloria LL, Bastos ML, Santos Junior BD, Trajman A. A simple protocol for tuberculin skin test reading certification. Cad Saude Publica. 2021;37:e00027321 (</w:t>
      </w:r>
      <w:hyperlink r:id="rId272" w:history="1">
        <w:r w:rsidR="00366CB9">
          <w:rPr>
            <w:color w:val="019648"/>
            <w:sz w:val="19"/>
          </w:rPr>
          <w:t>https://doi.org/10.1590/0102-</w:t>
        </w:r>
      </w:hyperlink>
      <w:r>
        <w:rPr>
          <w:color w:val="019648"/>
          <w:sz w:val="19"/>
        </w:rPr>
        <w:t xml:space="preserve"> </w:t>
      </w:r>
      <w:hyperlink r:id="rId273" w:history="1">
        <w:r w:rsidR="00366CB9">
          <w:rPr>
            <w:color w:val="019648"/>
            <w:sz w:val="19"/>
          </w:rPr>
          <w:t>311X00027321</w:t>
        </w:r>
      </w:hyperlink>
      <w:r>
        <w:rPr>
          <w:sz w:val="19"/>
        </w:rPr>
        <w:t>).</w:t>
      </w:r>
    </w:p>
    <w:p w14:paraId="2FC1E898" w14:textId="77777777" w:rsidR="00366CB9"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r>
        <w:rPr>
          <w:sz w:val="19"/>
        </w:rPr>
        <w:t>Injection – TST technique training [website]. Montreal: McGill TB Centre; 2021 (</w:t>
      </w:r>
      <w:hyperlink r:id="rId274" w:history="1">
        <w:r w:rsidR="00366CB9">
          <w:rPr>
            <w:color w:val="019648"/>
            <w:sz w:val="19"/>
          </w:rPr>
          <w:t>https://www.</w:t>
        </w:r>
      </w:hyperlink>
      <w:r>
        <w:rPr>
          <w:color w:val="019648"/>
          <w:sz w:val="19"/>
        </w:rPr>
        <w:t xml:space="preserve"> </w:t>
      </w:r>
      <w:hyperlink r:id="rId275" w:history="1">
        <w:r w:rsidR="00366CB9">
          <w:rPr>
            <w:color w:val="019648"/>
            <w:sz w:val="19"/>
          </w:rPr>
          <w:t>youtube.com/watch?v=tRqumpCb_Js&amp;list=PLwoB2EX6lRZRWCw4yyYHDQAADC9QO892V&amp;in</w:t>
        </w:r>
      </w:hyperlink>
      <w:r>
        <w:rPr>
          <w:color w:val="019648"/>
          <w:sz w:val="19"/>
        </w:rPr>
        <w:t xml:space="preserve"> </w:t>
      </w:r>
      <w:hyperlink r:id="rId276" w:history="1">
        <w:r w:rsidR="00366CB9">
          <w:rPr>
            <w:color w:val="019648"/>
            <w:sz w:val="19"/>
          </w:rPr>
          <w:t>dex=6</w:t>
        </w:r>
      </w:hyperlink>
      <w:r>
        <w:rPr>
          <w:sz w:val="19"/>
        </w:rPr>
        <w:t>).</w:t>
      </w:r>
    </w:p>
    <w:p w14:paraId="3D04D2CE" w14:textId="77777777" w:rsidR="00366CB9" w:rsidRDefault="009D0C1D" w:rsidP="00B3067A">
      <w:pPr>
        <w:pStyle w:val="1"/>
        <w:numPr>
          <w:ilvl w:val="0"/>
          <w:numId w:val="57"/>
        </w:numPr>
        <w:shd w:val="clear" w:color="auto" w:fill="auto"/>
        <w:tabs>
          <w:tab w:val="left" w:pos="442"/>
        </w:tabs>
        <w:spacing w:after="60" w:line="312" w:lineRule="auto"/>
        <w:ind w:left="460" w:hanging="460"/>
        <w:jc w:val="both"/>
        <w:rPr>
          <w:sz w:val="19"/>
          <w:szCs w:val="19"/>
        </w:rPr>
      </w:pPr>
      <w:r>
        <w:rPr>
          <w:sz w:val="19"/>
        </w:rPr>
        <w:t>Reading – TST technique training [website]. Montreal: McGill TB Centre; 2021 (</w:t>
      </w:r>
      <w:hyperlink r:id="rId277" w:history="1">
        <w:r w:rsidR="00366CB9">
          <w:rPr>
            <w:color w:val="019648"/>
            <w:sz w:val="19"/>
          </w:rPr>
          <w:t>https://www.</w:t>
        </w:r>
      </w:hyperlink>
      <w:r>
        <w:rPr>
          <w:color w:val="019648"/>
          <w:sz w:val="19"/>
        </w:rPr>
        <w:t xml:space="preserve"> </w:t>
      </w:r>
      <w:hyperlink r:id="rId278" w:history="1">
        <w:r w:rsidR="00366CB9">
          <w:rPr>
            <w:color w:val="019648"/>
            <w:sz w:val="19"/>
          </w:rPr>
          <w:t>youtube.com/watch?v=xsV7oHBdMEs</w:t>
        </w:r>
      </w:hyperlink>
      <w:r>
        <w:rPr>
          <w:sz w:val="19"/>
        </w:rPr>
        <w:t>).</w:t>
      </w:r>
    </w:p>
    <w:p w14:paraId="7D17FC87" w14:textId="77777777" w:rsidR="00366CB9" w:rsidRDefault="009D0C1D" w:rsidP="00B3067A">
      <w:pPr>
        <w:pStyle w:val="1"/>
        <w:numPr>
          <w:ilvl w:val="0"/>
          <w:numId w:val="57"/>
        </w:numPr>
        <w:shd w:val="clear" w:color="auto" w:fill="auto"/>
        <w:tabs>
          <w:tab w:val="left" w:pos="442"/>
        </w:tabs>
        <w:spacing w:line="305" w:lineRule="auto"/>
        <w:ind w:left="460" w:hanging="460"/>
        <w:jc w:val="both"/>
        <w:rPr>
          <w:sz w:val="19"/>
          <w:szCs w:val="19"/>
        </w:rPr>
      </w:pPr>
      <w:r>
        <w:rPr>
          <w:sz w:val="19"/>
        </w:rPr>
        <w:t>Bastos ML, Oxlade O, Benedetti A, Fregonese F, Valiquette C, Lira SCC et al. A public health approach to increase treatment of latent TB among household contacts in Brazil. Int J Tuberc Lung Dis. 2020;24:1000–8 (</w:t>
      </w:r>
      <w:hyperlink r:id="rId279" w:history="1">
        <w:r w:rsidR="00366CB9">
          <w:rPr>
            <w:color w:val="019648"/>
            <w:sz w:val="19"/>
          </w:rPr>
          <w:t>https://doi.org/10.5588/ijtld.19.0728</w:t>
        </w:r>
      </w:hyperlink>
      <w:r>
        <w:rPr>
          <w:sz w:val="19"/>
        </w:rPr>
        <w:t>).</w:t>
      </w:r>
    </w:p>
    <w:p w14:paraId="1C3FC320"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552D74AC" w14:textId="77777777" w:rsidR="00366CB9" w:rsidRDefault="00366CB9" w:rsidP="00425523">
      <w:pPr>
        <w:spacing w:line="1" w:lineRule="exact"/>
      </w:pPr>
    </w:p>
    <w:p w14:paraId="4BE1C05A" w14:textId="77777777" w:rsidR="00366CB9"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bookmarkStart w:id="203" w:name="bookmark200"/>
      <w:r>
        <w:rPr>
          <w:sz w:val="19"/>
        </w:rPr>
        <w:t>Training slides for tuberculin skin testing (TST). Montreal: McGill International TB Centre; No date (</w:t>
      </w:r>
      <w:hyperlink r:id="rId280" w:history="1">
        <w:r w:rsidR="00366CB9">
          <w:rPr>
            <w:color w:val="019648"/>
            <w:sz w:val="19"/>
          </w:rPr>
          <w:t>https://www.mcgill.ca/tb/files/tb/tuberculin_skin_testing_tst_technique_training_feb202018_</w:t>
        </w:r>
      </w:hyperlink>
      <w:r>
        <w:rPr>
          <w:color w:val="019648"/>
          <w:sz w:val="19"/>
        </w:rPr>
        <w:t xml:space="preserve"> </w:t>
      </w:r>
      <w:hyperlink r:id="rId281" w:history="1">
        <w:r w:rsidR="00366CB9">
          <w:rPr>
            <w:color w:val="019648"/>
            <w:sz w:val="19"/>
          </w:rPr>
          <w:t>english.pdf</w:t>
        </w:r>
      </w:hyperlink>
      <w:r>
        <w:rPr>
          <w:sz w:val="19"/>
        </w:rPr>
        <w:t>).</w:t>
      </w:r>
      <w:bookmarkEnd w:id="203"/>
    </w:p>
    <w:p w14:paraId="2E9D1CAE" w14:textId="77777777" w:rsidR="00366CB9" w:rsidRDefault="009D0C1D" w:rsidP="00B3067A">
      <w:pPr>
        <w:pStyle w:val="1"/>
        <w:numPr>
          <w:ilvl w:val="0"/>
          <w:numId w:val="57"/>
        </w:numPr>
        <w:shd w:val="clear" w:color="auto" w:fill="auto"/>
        <w:tabs>
          <w:tab w:val="left" w:pos="442"/>
        </w:tabs>
        <w:spacing w:after="60" w:line="307" w:lineRule="auto"/>
        <w:jc w:val="both"/>
        <w:rPr>
          <w:sz w:val="19"/>
          <w:szCs w:val="19"/>
        </w:rPr>
      </w:pPr>
      <w:r>
        <w:rPr>
          <w:sz w:val="19"/>
        </w:rPr>
        <w:t>Cadernos de saude publica [Reports in public health]. 2022.</w:t>
      </w:r>
    </w:p>
    <w:p w14:paraId="5C620CD6" w14:textId="77777777" w:rsidR="00366CB9" w:rsidRDefault="009D0C1D" w:rsidP="00B3067A">
      <w:pPr>
        <w:pStyle w:val="1"/>
        <w:numPr>
          <w:ilvl w:val="0"/>
          <w:numId w:val="57"/>
        </w:numPr>
        <w:shd w:val="clear" w:color="auto" w:fill="auto"/>
        <w:tabs>
          <w:tab w:val="left" w:pos="442"/>
        </w:tabs>
        <w:spacing w:after="60" w:line="310" w:lineRule="auto"/>
        <w:ind w:left="460" w:hanging="460"/>
        <w:jc w:val="both"/>
        <w:rPr>
          <w:sz w:val="19"/>
          <w:szCs w:val="19"/>
        </w:rPr>
      </w:pPr>
      <w:r>
        <w:rPr>
          <w:sz w:val="19"/>
        </w:rPr>
        <w:t>WHO consolidated guidelines on tuberculosis: module 2: screening: systematic screening for tuberculosis disease. Geneva: World Health Organization; 2021 (</w:t>
      </w:r>
      <w:hyperlink r:id="rId282" w:history="1">
        <w:r w:rsidR="00366CB9">
          <w:rPr>
            <w:color w:val="019648"/>
            <w:sz w:val="19"/>
          </w:rPr>
          <w:t>https://iris.who.int/</w:t>
        </w:r>
      </w:hyperlink>
      <w:r>
        <w:rPr>
          <w:color w:val="019648"/>
          <w:sz w:val="19"/>
        </w:rPr>
        <w:t xml:space="preserve"> </w:t>
      </w:r>
      <w:hyperlink r:id="rId283" w:history="1">
        <w:r w:rsidR="00366CB9">
          <w:rPr>
            <w:color w:val="019648"/>
            <w:sz w:val="19"/>
          </w:rPr>
          <w:t>handle/10665/340255</w:t>
        </w:r>
      </w:hyperlink>
      <w:r>
        <w:rPr>
          <w:sz w:val="19"/>
        </w:rPr>
        <w:t>).</w:t>
      </w:r>
    </w:p>
    <w:p w14:paraId="38934E7A" w14:textId="77777777" w:rsidR="00366CB9" w:rsidRDefault="009D0C1D" w:rsidP="00B3067A">
      <w:pPr>
        <w:pStyle w:val="1"/>
        <w:numPr>
          <w:ilvl w:val="0"/>
          <w:numId w:val="57"/>
        </w:numPr>
        <w:shd w:val="clear" w:color="auto" w:fill="auto"/>
        <w:tabs>
          <w:tab w:val="left" w:pos="442"/>
        </w:tabs>
        <w:spacing w:after="60" w:line="310" w:lineRule="auto"/>
        <w:ind w:left="460" w:hanging="460"/>
        <w:jc w:val="both"/>
        <w:rPr>
          <w:sz w:val="19"/>
          <w:szCs w:val="19"/>
        </w:rPr>
      </w:pPr>
      <w:r>
        <w:rPr>
          <w:sz w:val="19"/>
        </w:rPr>
        <w:t>Target product profiles for tests for tuberculosis treatment monitoring and optimization. Geneva: World Health Organization; 2023 (</w:t>
      </w:r>
      <w:hyperlink r:id="rId284" w:history="1">
        <w:r w:rsidR="00366CB9">
          <w:rPr>
            <w:color w:val="019648"/>
            <w:sz w:val="19"/>
          </w:rPr>
          <w:t>https://iris.who.int/handle/10665/373422</w:t>
        </w:r>
      </w:hyperlink>
      <w:r>
        <w:rPr>
          <w:color w:val="019648"/>
          <w:sz w:val="19"/>
        </w:rPr>
        <w:t xml:space="preserve"> </w:t>
      </w:r>
      <w:r>
        <w:rPr>
          <w:sz w:val="19"/>
        </w:rPr>
        <w:t>). Licence: CC BY-NC-SA 3.0 IGO.</w:t>
      </w:r>
    </w:p>
    <w:p w14:paraId="063664E8" w14:textId="77777777" w:rsidR="00366CB9"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r>
        <w:rPr>
          <w:sz w:val="19"/>
        </w:rPr>
        <w:t>Van Deun A, Aung KJ, Bola V, Lebeke R, Hossain MA, de Rijk WB et al. Rifampin drug resistance tests for tuberculosis: challenging the gold standard. J Clin Microbiol. 2013;51:2633-40 (</w:t>
      </w:r>
      <w:hyperlink r:id="rId285" w:history="1">
        <w:r w:rsidR="00366CB9">
          <w:rPr>
            <w:color w:val="019648"/>
            <w:sz w:val="19"/>
          </w:rPr>
          <w:t>https://</w:t>
        </w:r>
      </w:hyperlink>
      <w:r>
        <w:rPr>
          <w:color w:val="019648"/>
          <w:sz w:val="19"/>
        </w:rPr>
        <w:t xml:space="preserve"> </w:t>
      </w:r>
      <w:hyperlink r:id="rId286" w:history="1">
        <w:r w:rsidR="00366CB9">
          <w:rPr>
            <w:color w:val="019648"/>
            <w:sz w:val="19"/>
          </w:rPr>
          <w:t>doi.org/10.1128/JCM.00553-13</w:t>
        </w:r>
      </w:hyperlink>
      <w:r>
        <w:rPr>
          <w:sz w:val="19"/>
        </w:rPr>
        <w:t>).</w:t>
      </w:r>
    </w:p>
    <w:p w14:paraId="6FC9CFCD" w14:textId="77777777" w:rsidR="00366CB9"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r>
        <w:rPr>
          <w:sz w:val="19"/>
        </w:rPr>
        <w:t>Technical report on critical concentrations for drug susceptibility testing of medicines used in the treatment of drug-resistant tuberculosis. Geneva: World Health Organization; 2018 (</w:t>
      </w:r>
      <w:hyperlink r:id="rId287" w:history="1">
        <w:r w:rsidR="00366CB9">
          <w:rPr>
            <w:color w:val="019648"/>
            <w:sz w:val="19"/>
          </w:rPr>
          <w:t>https://www.</w:t>
        </w:r>
      </w:hyperlink>
      <w:r>
        <w:rPr>
          <w:color w:val="019648"/>
          <w:sz w:val="19"/>
        </w:rPr>
        <w:t xml:space="preserve"> </w:t>
      </w:r>
      <w:hyperlink r:id="rId288" w:history="1">
        <w:r w:rsidR="00366CB9">
          <w:rPr>
            <w:color w:val="019648"/>
            <w:sz w:val="19"/>
          </w:rPr>
          <w:t>who.int/publications/i/item/WHO-CDS-TB-2018.5</w:t>
        </w:r>
      </w:hyperlink>
      <w:r>
        <w:rPr>
          <w:sz w:val="19"/>
        </w:rPr>
        <w:t>).</w:t>
      </w:r>
    </w:p>
    <w:p w14:paraId="2C35DC2B" w14:textId="77777777" w:rsidR="00366CB9" w:rsidRDefault="009D0C1D" w:rsidP="00B3067A">
      <w:pPr>
        <w:pStyle w:val="1"/>
        <w:numPr>
          <w:ilvl w:val="0"/>
          <w:numId w:val="57"/>
        </w:numPr>
        <w:shd w:val="clear" w:color="auto" w:fill="auto"/>
        <w:tabs>
          <w:tab w:val="left" w:pos="442"/>
        </w:tabs>
        <w:spacing w:after="60" w:line="310" w:lineRule="auto"/>
        <w:ind w:left="460" w:hanging="460"/>
        <w:jc w:val="both"/>
        <w:rPr>
          <w:sz w:val="19"/>
          <w:szCs w:val="19"/>
        </w:rPr>
      </w:pPr>
      <w:r>
        <w:rPr>
          <w:sz w:val="19"/>
        </w:rPr>
        <w:t>Berhanu RH, Schnippel K, Kularatne R, Firnhaber C, Jacobson KR, Horsburgh CR et al. Discordant rifampicin susceptibility results are associated with Xpert® MTB/RIF probe B and probe binding delay. Int J Tuberc Lung Dis. 2019;23:358–62 (</w:t>
      </w:r>
      <w:hyperlink r:id="rId289" w:history="1">
        <w:r w:rsidR="00366CB9">
          <w:rPr>
            <w:color w:val="019648"/>
            <w:sz w:val="19"/>
          </w:rPr>
          <w:t>https://doi.org/10.5588/ijtld.16.0837</w:t>
        </w:r>
      </w:hyperlink>
      <w:r>
        <w:rPr>
          <w:sz w:val="19"/>
        </w:rPr>
        <w:t>).</w:t>
      </w:r>
    </w:p>
    <w:p w14:paraId="294C184B" w14:textId="77777777" w:rsidR="00366CB9"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r>
        <w:rPr>
          <w:sz w:val="19"/>
        </w:rPr>
        <w:t>Beylis N, Ghebrekristos Y, Nicol M. Management of false-positive rifampicin resistant Xpert MTB/ RIF. Lancet Microbe. 2020;1:e238 (</w:t>
      </w:r>
      <w:hyperlink r:id="rId290" w:history="1">
        <w:r w:rsidR="00366CB9">
          <w:rPr>
            <w:color w:val="019648"/>
            <w:sz w:val="19"/>
          </w:rPr>
          <w:t>https://doi.org/10.1016/S2666-5247(20)30123-3</w:t>
        </w:r>
      </w:hyperlink>
      <w:r>
        <w:rPr>
          <w:sz w:val="19"/>
        </w:rPr>
        <w:t>).</w:t>
      </w:r>
    </w:p>
    <w:p w14:paraId="674CB156" w14:textId="77777777" w:rsidR="00366CB9" w:rsidRDefault="009D0C1D" w:rsidP="00B3067A">
      <w:pPr>
        <w:pStyle w:val="1"/>
        <w:numPr>
          <w:ilvl w:val="0"/>
          <w:numId w:val="57"/>
        </w:numPr>
        <w:shd w:val="clear" w:color="auto" w:fill="auto"/>
        <w:tabs>
          <w:tab w:val="left" w:pos="442"/>
        </w:tabs>
        <w:spacing w:after="60" w:line="310" w:lineRule="auto"/>
        <w:ind w:left="460" w:hanging="460"/>
        <w:jc w:val="both"/>
        <w:rPr>
          <w:sz w:val="19"/>
          <w:szCs w:val="19"/>
        </w:rPr>
      </w:pPr>
      <w:r>
        <w:rPr>
          <w:sz w:val="19"/>
        </w:rPr>
        <w:t>Ngabonziza JCS, Decroo T, Migambi P, Habimana YM, Van Deun A, Meehan CJ et al. Prevalence and drivers of false-positive rifampicin-resistant Xpert MTB/RIF results: a prospective observational study in Rwanda. Lancet Microbe. 2020;1:e74–83 (</w:t>
      </w:r>
      <w:hyperlink r:id="rId291" w:history="1">
        <w:r w:rsidR="00366CB9">
          <w:rPr>
            <w:color w:val="019648"/>
            <w:sz w:val="19"/>
          </w:rPr>
          <w:t>https://doi.org/10.1016/S2666-5247(20)30007-0</w:t>
        </w:r>
      </w:hyperlink>
      <w:r>
        <w:rPr>
          <w:sz w:val="19"/>
        </w:rPr>
        <w:t>).</w:t>
      </w:r>
    </w:p>
    <w:p w14:paraId="043C2403" w14:textId="77777777" w:rsidR="00366CB9" w:rsidRDefault="009D0C1D" w:rsidP="00B3067A">
      <w:pPr>
        <w:pStyle w:val="1"/>
        <w:numPr>
          <w:ilvl w:val="0"/>
          <w:numId w:val="57"/>
        </w:numPr>
        <w:shd w:val="clear" w:color="auto" w:fill="auto"/>
        <w:tabs>
          <w:tab w:val="left" w:pos="442"/>
        </w:tabs>
        <w:spacing w:after="60" w:line="310" w:lineRule="auto"/>
        <w:ind w:left="460" w:hanging="460"/>
        <w:jc w:val="both"/>
        <w:rPr>
          <w:sz w:val="19"/>
          <w:szCs w:val="19"/>
        </w:rPr>
      </w:pPr>
      <w:r>
        <w:rPr>
          <w:sz w:val="19"/>
        </w:rPr>
        <w:t>Chakravorty S, Simmons AM, Rowneki M, Parmar H, Cao Y, Ryan J et al. The new Xpert MTB/RIF Ultra: improving detection of Mycobacterium tuberculosis and resistance to rifampin in an assay suitable for point-of-care testing. mBio. 2017;8 (</w:t>
      </w:r>
      <w:hyperlink r:id="rId292" w:history="1">
        <w:r w:rsidR="00366CB9">
          <w:rPr>
            <w:color w:val="019648"/>
            <w:sz w:val="19"/>
          </w:rPr>
          <w:t>https://doi.org/10.1128/mBio.00812-17</w:t>
        </w:r>
      </w:hyperlink>
      <w:r>
        <w:rPr>
          <w:sz w:val="19"/>
        </w:rPr>
        <w:t>).</w:t>
      </w:r>
    </w:p>
    <w:p w14:paraId="123E2C8F" w14:textId="77777777" w:rsidR="00366CB9"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r>
        <w:rPr>
          <w:sz w:val="19"/>
        </w:rPr>
        <w:t>Molecular assays intended as initial tests for the diagnosis of pulmonary and extrapulmonary TB and rifampicin resistance in adults and children: rapid communication. Geneva: World Health Organization; 2020 (</w:t>
      </w:r>
      <w:hyperlink r:id="rId293" w:history="1">
        <w:r w:rsidR="00366CB9">
          <w:rPr>
            <w:color w:val="019648"/>
            <w:sz w:val="19"/>
          </w:rPr>
          <w:t>https://iris.who.int/handle/10665/330395</w:t>
        </w:r>
      </w:hyperlink>
      <w:r>
        <w:rPr>
          <w:sz w:val="19"/>
        </w:rPr>
        <w:t>). Licence: CC BY-NC-SA 3.0 IGO.</w:t>
      </w:r>
    </w:p>
    <w:p w14:paraId="76401687" w14:textId="77777777" w:rsidR="00366CB9" w:rsidRDefault="009D0C1D" w:rsidP="00B3067A">
      <w:pPr>
        <w:pStyle w:val="1"/>
        <w:numPr>
          <w:ilvl w:val="0"/>
          <w:numId w:val="57"/>
        </w:numPr>
        <w:shd w:val="clear" w:color="auto" w:fill="auto"/>
        <w:tabs>
          <w:tab w:val="left" w:pos="442"/>
        </w:tabs>
        <w:spacing w:after="60" w:line="307" w:lineRule="auto"/>
        <w:ind w:left="460" w:hanging="460"/>
        <w:jc w:val="both"/>
        <w:rPr>
          <w:sz w:val="19"/>
          <w:szCs w:val="19"/>
        </w:rPr>
      </w:pPr>
      <w:r>
        <w:rPr>
          <w:sz w:val="19"/>
        </w:rPr>
        <w:t xml:space="preserve">Dorman SE, Schumacher SG, Alland D, Nabeta P, Armstrong DT, King B et al. Xpert MTB/RIF Ultra for detection of Mycobacterium tuberculosis and rifampicin resistance: a prospective multicentre diagnostic accuracy study. Lancet Infect Dis. 2018;18:76–84 </w:t>
      </w:r>
      <w:hyperlink r:id="rId294" w:history="1">
        <w:r w:rsidR="00366CB9">
          <w:rPr>
            <w:sz w:val="19"/>
          </w:rPr>
          <w:t>(</w:t>
        </w:r>
        <w:r w:rsidR="00366CB9">
          <w:rPr>
            <w:color w:val="019648"/>
            <w:sz w:val="19"/>
          </w:rPr>
          <w:t>https://doi.org/10.1016/</w:t>
        </w:r>
      </w:hyperlink>
      <w:r>
        <w:rPr>
          <w:color w:val="019648"/>
          <w:sz w:val="19"/>
        </w:rPr>
        <w:t xml:space="preserve"> </w:t>
      </w:r>
      <w:hyperlink r:id="rId295" w:history="1">
        <w:r w:rsidR="00366CB9">
          <w:rPr>
            <w:color w:val="019648"/>
            <w:sz w:val="19"/>
          </w:rPr>
          <w:t>S1473-3099(17)30691-6</w:t>
        </w:r>
      </w:hyperlink>
      <w:r>
        <w:rPr>
          <w:sz w:val="19"/>
        </w:rPr>
        <w:t>).</w:t>
      </w:r>
    </w:p>
    <w:p w14:paraId="13AD3C2C" w14:textId="77777777" w:rsidR="00366CB9" w:rsidRPr="0028397B"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r>
        <w:rPr>
          <w:sz w:val="19"/>
        </w:rPr>
        <w:t>Steingart KR, Schiller I, Horne DJ, Pai M, Boehme CC, Dendukuri N. Xpert® MTB/RIF assay for pulmonary tuberculosis and rifampicin resistance in adults. Cochrane Database Syst Rev. 2014;2014:CD009593 (</w:t>
      </w:r>
      <w:hyperlink r:id="rId296" w:history="1">
        <w:r w:rsidR="00366CB9">
          <w:rPr>
            <w:color w:val="019648"/>
            <w:sz w:val="19"/>
          </w:rPr>
          <w:t>https://doi.org/10.1002/14651858.CD009593.pub3</w:t>
        </w:r>
      </w:hyperlink>
      <w:r>
        <w:rPr>
          <w:sz w:val="19"/>
        </w:rPr>
        <w:t>).</w:t>
      </w:r>
    </w:p>
    <w:p w14:paraId="77EA12A9" w14:textId="77777777" w:rsidR="00366CB9" w:rsidRDefault="009D0C1D" w:rsidP="00B3067A">
      <w:pPr>
        <w:pStyle w:val="1"/>
        <w:numPr>
          <w:ilvl w:val="0"/>
          <w:numId w:val="57"/>
        </w:numPr>
        <w:shd w:val="clear" w:color="auto" w:fill="auto"/>
        <w:tabs>
          <w:tab w:val="left" w:pos="442"/>
        </w:tabs>
        <w:spacing w:after="60" w:line="307" w:lineRule="auto"/>
        <w:ind w:left="460" w:hanging="460"/>
        <w:jc w:val="both"/>
        <w:rPr>
          <w:sz w:val="19"/>
          <w:szCs w:val="19"/>
        </w:rPr>
      </w:pPr>
      <w:r>
        <w:rPr>
          <w:sz w:val="19"/>
        </w:rPr>
        <w:t>Cao Y, Parmar H, Gaur RL, Lieu D, Raghunath S, Via N et al. Xpert MTB/XDR: a 10-color reflex assay suitable for point-of-care settings to detect isoniazid, fluoroquinolone, and second-line-injectable- drug resistance directly from Mycobacterium tuberculosis-positive sputum. J Clin Microbiol. 2021;59 (</w:t>
      </w:r>
      <w:hyperlink r:id="rId297" w:history="1">
        <w:r w:rsidR="00366CB9">
          <w:rPr>
            <w:color w:val="019648"/>
            <w:sz w:val="19"/>
          </w:rPr>
          <w:t>https://doi.org/10.1128/JCM.02314-20</w:t>
        </w:r>
      </w:hyperlink>
      <w:r>
        <w:rPr>
          <w:sz w:val="19"/>
        </w:rPr>
        <w:t>).</w:t>
      </w:r>
    </w:p>
    <w:p w14:paraId="69DAE3D0" w14:textId="77777777" w:rsidR="00366CB9" w:rsidRDefault="009D0C1D" w:rsidP="00B3067A">
      <w:pPr>
        <w:pStyle w:val="1"/>
        <w:numPr>
          <w:ilvl w:val="0"/>
          <w:numId w:val="57"/>
        </w:numPr>
        <w:shd w:val="clear" w:color="auto" w:fill="auto"/>
        <w:tabs>
          <w:tab w:val="left" w:pos="442"/>
        </w:tabs>
        <w:spacing w:line="310" w:lineRule="auto"/>
        <w:ind w:left="460" w:hanging="460"/>
        <w:jc w:val="both"/>
        <w:rPr>
          <w:sz w:val="19"/>
          <w:szCs w:val="19"/>
        </w:rPr>
      </w:pPr>
      <w:r>
        <w:rPr>
          <w:sz w:val="19"/>
        </w:rPr>
        <w:t xml:space="preserve">Sanchez-Padilla E, Merker M, Beckert P, Jochims F, Dlamini T, Kahn P et al. Detection of drugresistant tuberculosis by Xpert MTB/RIF in Swaziland. N Engl J Med. 2015;372:1181–2 </w:t>
      </w:r>
      <w:hyperlink r:id="rId298" w:history="1">
        <w:r w:rsidR="00366CB9">
          <w:rPr>
            <w:sz w:val="19"/>
          </w:rPr>
          <w:t>(</w:t>
        </w:r>
        <w:r w:rsidR="00366CB9">
          <w:rPr>
            <w:color w:val="019648"/>
            <w:sz w:val="19"/>
          </w:rPr>
          <w:t>https://doi.</w:t>
        </w:r>
      </w:hyperlink>
      <w:r>
        <w:rPr>
          <w:color w:val="019648"/>
          <w:sz w:val="19"/>
        </w:rPr>
        <w:t xml:space="preserve"> </w:t>
      </w:r>
      <w:hyperlink r:id="rId299" w:history="1">
        <w:r w:rsidR="00366CB9">
          <w:rPr>
            <w:color w:val="019648"/>
            <w:sz w:val="19"/>
          </w:rPr>
          <w:t>org/10.1056/NEJMc1413930</w:t>
        </w:r>
      </w:hyperlink>
      <w:r>
        <w:rPr>
          <w:sz w:val="19"/>
        </w:rPr>
        <w:t>).</w:t>
      </w:r>
    </w:p>
    <w:p w14:paraId="0D629DAC"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1B4793AC" w14:textId="77777777" w:rsidR="00366CB9" w:rsidRDefault="00366CB9" w:rsidP="00425523">
      <w:pPr>
        <w:spacing w:line="1" w:lineRule="exact"/>
      </w:pPr>
    </w:p>
    <w:p w14:paraId="23F8EC34" w14:textId="77777777" w:rsidR="00366CB9"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bookmarkStart w:id="204" w:name="bookmark201"/>
      <w:r>
        <w:rPr>
          <w:sz w:val="19"/>
        </w:rPr>
        <w:t xml:space="preserve">Ismail NA, McCarthy K, Conradie F, Stevens W, Ndjeka N. Multidrug-resistant tuberculosis outbreak in South Africa. Lancet Infect Dis. 2019;19:134–5 </w:t>
      </w:r>
      <w:hyperlink r:id="rId300" w:history="1">
        <w:r w:rsidR="00366CB9">
          <w:rPr>
            <w:sz w:val="19"/>
          </w:rPr>
          <w:t>(</w:t>
        </w:r>
        <w:r w:rsidR="00366CB9">
          <w:rPr>
            <w:color w:val="019648"/>
            <w:sz w:val="19"/>
          </w:rPr>
          <w:t>https://doi.org/10.1016/S1473-3099(18)30715-1</w:t>
        </w:r>
      </w:hyperlink>
      <w:r>
        <w:rPr>
          <w:sz w:val="19"/>
        </w:rPr>
        <w:t>).</w:t>
      </w:r>
      <w:bookmarkEnd w:id="204"/>
    </w:p>
    <w:p w14:paraId="1F8A3BA4" w14:textId="77777777" w:rsidR="00366CB9" w:rsidRDefault="009D0C1D" w:rsidP="00B3067A">
      <w:pPr>
        <w:pStyle w:val="1"/>
        <w:numPr>
          <w:ilvl w:val="0"/>
          <w:numId w:val="57"/>
        </w:numPr>
        <w:shd w:val="clear" w:color="auto" w:fill="auto"/>
        <w:tabs>
          <w:tab w:val="left" w:pos="442"/>
        </w:tabs>
        <w:spacing w:after="60" w:line="310" w:lineRule="auto"/>
        <w:ind w:left="460" w:hanging="460"/>
        <w:jc w:val="both"/>
        <w:rPr>
          <w:sz w:val="19"/>
          <w:szCs w:val="19"/>
        </w:rPr>
      </w:pPr>
      <w:r>
        <w:rPr>
          <w:sz w:val="19"/>
        </w:rPr>
        <w:t>Key updates to the treatment of drug-resistant tuberculosis: rapid communication, June 2024. Geneva: World Health Organization; 2024 (</w:t>
      </w:r>
      <w:hyperlink r:id="rId301" w:history="1">
        <w:r w:rsidR="00366CB9">
          <w:rPr>
            <w:color w:val="019648"/>
            <w:sz w:val="19"/>
          </w:rPr>
          <w:t>https://iris.who.int/handle/10665/378472</w:t>
        </w:r>
      </w:hyperlink>
      <w:r>
        <w:rPr>
          <w:sz w:val="19"/>
        </w:rPr>
        <w:t>). Licence: CC BY-NC-SA 3.0 IGO.</w:t>
      </w:r>
    </w:p>
    <w:p w14:paraId="151ED7A0" w14:textId="77777777" w:rsidR="00366CB9"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r>
        <w:rPr>
          <w:sz w:val="19"/>
        </w:rPr>
        <w:t>Implementing tuberculosis diagnostics: a policy framework (WHO/HTM/TB/2015.11). Geneva: World Health Organization; 2015 (</w:t>
      </w:r>
      <w:hyperlink r:id="rId302" w:history="1">
        <w:r w:rsidR="00366CB9">
          <w:rPr>
            <w:color w:val="019648"/>
            <w:sz w:val="19"/>
          </w:rPr>
          <w:t>https://www.who.int/publications/i/item/9789241508612</w:t>
        </w:r>
      </w:hyperlink>
      <w:r>
        <w:rPr>
          <w:sz w:val="19"/>
        </w:rPr>
        <w:t>).</w:t>
      </w:r>
    </w:p>
    <w:p w14:paraId="5B42CED2" w14:textId="77777777" w:rsidR="00366CB9" w:rsidRDefault="009D0C1D" w:rsidP="00B3067A">
      <w:pPr>
        <w:pStyle w:val="1"/>
        <w:numPr>
          <w:ilvl w:val="0"/>
          <w:numId w:val="57"/>
        </w:numPr>
        <w:shd w:val="clear" w:color="auto" w:fill="auto"/>
        <w:tabs>
          <w:tab w:val="left" w:pos="442"/>
        </w:tabs>
        <w:spacing w:after="60" w:line="310" w:lineRule="auto"/>
        <w:ind w:left="460" w:hanging="460"/>
        <w:jc w:val="both"/>
        <w:rPr>
          <w:sz w:val="19"/>
          <w:szCs w:val="19"/>
        </w:rPr>
      </w:pPr>
      <w:r>
        <w:rPr>
          <w:sz w:val="19"/>
        </w:rPr>
        <w:t>Ismail NA, Aono A, Borroni E, Cirillo DM, Desmaretz C, Hasan R et al. A multimethod, multicountry evaluation of breakpoints for bedaquiline resistance determination. Antimicrob Agents Chemother. 2020;64 (</w:t>
      </w:r>
      <w:hyperlink r:id="rId303" w:history="1">
        <w:r w:rsidR="00366CB9">
          <w:rPr>
            <w:color w:val="019648"/>
            <w:sz w:val="19"/>
          </w:rPr>
          <w:t>https://doi.org/10.1128/AAC.00479-20</w:t>
        </w:r>
      </w:hyperlink>
      <w:r>
        <w:rPr>
          <w:sz w:val="19"/>
        </w:rPr>
        <w:t>).</w:t>
      </w:r>
    </w:p>
    <w:p w14:paraId="2D0522E2" w14:textId="77777777" w:rsidR="00366CB9"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r>
        <w:rPr>
          <w:sz w:val="19"/>
        </w:rPr>
        <w:t>Dean AS, Zignol M, Cabibbe AM, Falzon D, Glaziou P, Cirillo DM et al. Prevalence and genetic profiles of isoniazid resistance in tuberculosis patients: a multicountry analysis of cross-sectional data. PLoS Med. 2020;17:e1003008 (</w:t>
      </w:r>
      <w:hyperlink r:id="rId304" w:history="1">
        <w:r w:rsidR="00366CB9">
          <w:rPr>
            <w:color w:val="019648"/>
            <w:sz w:val="19"/>
          </w:rPr>
          <w:t>https://doi.org/10.1371/journal.pmed.1003008</w:t>
        </w:r>
      </w:hyperlink>
      <w:r>
        <w:rPr>
          <w:sz w:val="19"/>
        </w:rPr>
        <w:t>).</w:t>
      </w:r>
    </w:p>
    <w:p w14:paraId="391814B7" w14:textId="77777777" w:rsidR="00366CB9" w:rsidRDefault="009D0C1D" w:rsidP="00B3067A">
      <w:pPr>
        <w:pStyle w:val="1"/>
        <w:numPr>
          <w:ilvl w:val="0"/>
          <w:numId w:val="57"/>
        </w:numPr>
        <w:shd w:val="clear" w:color="auto" w:fill="auto"/>
        <w:tabs>
          <w:tab w:val="left" w:pos="442"/>
        </w:tabs>
        <w:spacing w:after="60" w:line="305" w:lineRule="auto"/>
        <w:ind w:left="460" w:hanging="460"/>
        <w:jc w:val="both"/>
        <w:rPr>
          <w:sz w:val="19"/>
          <w:szCs w:val="19"/>
        </w:rPr>
      </w:pPr>
      <w:r>
        <w:rPr>
          <w:sz w:val="19"/>
        </w:rPr>
        <w:t>WHO treatment guidelines for isoniazid-resistant tuberculosis. Supplement to the WHO treatment guidelines for drug-resistant tuberculosis. Geneva: World Health Organization; 2018 (</w:t>
      </w:r>
      <w:hyperlink r:id="rId305" w:history="1">
        <w:r w:rsidR="00366CB9">
          <w:rPr>
            <w:color w:val="019648"/>
            <w:sz w:val="19"/>
          </w:rPr>
          <w:t>https://www.</w:t>
        </w:r>
      </w:hyperlink>
      <w:r>
        <w:rPr>
          <w:color w:val="019648"/>
          <w:sz w:val="19"/>
        </w:rPr>
        <w:t xml:space="preserve"> </w:t>
      </w:r>
      <w:hyperlink r:id="rId306" w:history="1">
        <w:r w:rsidR="00366CB9">
          <w:rPr>
            <w:color w:val="019648"/>
            <w:sz w:val="19"/>
          </w:rPr>
          <w:t>who.int/publications/i/item/9789241550079</w:t>
        </w:r>
      </w:hyperlink>
      <w:r>
        <w:rPr>
          <w:sz w:val="19"/>
        </w:rPr>
        <w:t>).</w:t>
      </w:r>
    </w:p>
    <w:p w14:paraId="6BDF776F" w14:textId="77777777" w:rsidR="00366CB9" w:rsidRDefault="009D0C1D" w:rsidP="00B3067A">
      <w:pPr>
        <w:pStyle w:val="1"/>
        <w:numPr>
          <w:ilvl w:val="0"/>
          <w:numId w:val="57"/>
        </w:numPr>
        <w:shd w:val="clear" w:color="auto" w:fill="auto"/>
        <w:tabs>
          <w:tab w:val="left" w:pos="539"/>
        </w:tabs>
        <w:spacing w:after="60" w:line="312" w:lineRule="auto"/>
        <w:ind w:left="460" w:hanging="460"/>
        <w:jc w:val="both"/>
        <w:rPr>
          <w:sz w:val="19"/>
          <w:szCs w:val="19"/>
        </w:rPr>
      </w:pPr>
      <w:r>
        <w:rPr>
          <w:sz w:val="19"/>
        </w:rPr>
        <w:t xml:space="preserve">WHO consolidated guidelines on tuberculosis: module 4: treatment: drug-susceptible tuberculosis treatment. Geneva: World Health Organization; 2022 </w:t>
      </w:r>
      <w:hyperlink r:id="rId307" w:history="1">
        <w:r w:rsidR="00366CB9">
          <w:rPr>
            <w:sz w:val="19"/>
          </w:rPr>
          <w:t>(</w:t>
        </w:r>
        <w:r w:rsidR="00366CB9">
          <w:rPr>
            <w:color w:val="019648"/>
            <w:sz w:val="19"/>
          </w:rPr>
          <w:t>https://iris.who.int/handle/10665/353829</w:t>
        </w:r>
      </w:hyperlink>
      <w:r>
        <w:rPr>
          <w:sz w:val="19"/>
        </w:rPr>
        <w:t>).</w:t>
      </w:r>
    </w:p>
    <w:p w14:paraId="76F5DE0C" w14:textId="77777777" w:rsidR="00366CB9" w:rsidRDefault="009D0C1D" w:rsidP="00B3067A">
      <w:pPr>
        <w:pStyle w:val="1"/>
        <w:numPr>
          <w:ilvl w:val="0"/>
          <w:numId w:val="57"/>
        </w:numPr>
        <w:shd w:val="clear" w:color="auto" w:fill="auto"/>
        <w:tabs>
          <w:tab w:val="left" w:pos="534"/>
        </w:tabs>
        <w:spacing w:line="305" w:lineRule="auto"/>
        <w:ind w:left="460" w:hanging="460"/>
        <w:jc w:val="both"/>
        <w:rPr>
          <w:sz w:val="19"/>
          <w:szCs w:val="19"/>
        </w:rPr>
      </w:pPr>
      <w:r>
        <w:rPr>
          <w:sz w:val="19"/>
        </w:rPr>
        <w:t>WHO operational handbook on tuberculosis: module 3: diagnosis: rapid diagnostics for tuberculosis detection, 2021 update. Geneva: World Health Organization; 2021 (</w:t>
      </w:r>
      <w:hyperlink r:id="rId308" w:history="1">
        <w:r w:rsidR="00366CB9">
          <w:rPr>
            <w:color w:val="019648"/>
            <w:sz w:val="19"/>
          </w:rPr>
          <w:t>https://www.who.int/</w:t>
        </w:r>
      </w:hyperlink>
      <w:r>
        <w:rPr>
          <w:color w:val="019648"/>
          <w:sz w:val="19"/>
        </w:rPr>
        <w:t xml:space="preserve"> </w:t>
      </w:r>
      <w:hyperlink r:id="rId309" w:history="1">
        <w:r w:rsidR="00366CB9">
          <w:rPr>
            <w:color w:val="019648"/>
            <w:sz w:val="19"/>
          </w:rPr>
          <w:t>publications/i/item/9789240030589</w:t>
        </w:r>
      </w:hyperlink>
      <w:r>
        <w:rPr>
          <w:sz w:val="19"/>
        </w:rPr>
        <w:t>).</w:t>
      </w:r>
    </w:p>
    <w:p w14:paraId="515474F5"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3017CBEC" w14:textId="77777777" w:rsidR="00366CB9" w:rsidRDefault="00366CB9" w:rsidP="00425523">
      <w:pPr>
        <w:spacing w:line="1" w:lineRule="exact"/>
      </w:pPr>
    </w:p>
    <w:tbl>
      <w:tblPr>
        <w:tblOverlap w:val="never"/>
        <w:tblW w:w="0" w:type="auto"/>
        <w:tblBorders>
          <w:bottom w:val="single" w:sz="4" w:space="0" w:color="007A44"/>
        </w:tblBorders>
        <w:tblLayout w:type="fixed"/>
        <w:tblCellMar>
          <w:left w:w="10" w:type="dxa"/>
          <w:right w:w="10" w:type="dxa"/>
        </w:tblCellMar>
        <w:tblLook w:val="0000" w:firstRow="0" w:lastRow="0" w:firstColumn="0" w:lastColumn="0" w:noHBand="0" w:noVBand="0"/>
      </w:tblPr>
      <w:tblGrid>
        <w:gridCol w:w="9091"/>
      </w:tblGrid>
      <w:tr w:rsidR="00366CB9" w14:paraId="6AD468CA" w14:textId="77777777" w:rsidTr="00361D58">
        <w:trPr>
          <w:trHeight w:hRule="exact" w:val="3114"/>
        </w:trPr>
        <w:tc>
          <w:tcPr>
            <w:tcW w:w="9091" w:type="dxa"/>
            <w:shd w:val="clear" w:color="auto" w:fill="FFFFFF"/>
          </w:tcPr>
          <w:p w14:paraId="1BF6EC50" w14:textId="77777777" w:rsidR="00366CB9" w:rsidRDefault="009D0C1D" w:rsidP="00B3067A">
            <w:pPr>
              <w:pStyle w:val="a6"/>
              <w:shd w:val="clear" w:color="auto" w:fill="auto"/>
              <w:spacing w:line="259" w:lineRule="auto"/>
              <w:rPr>
                <w:sz w:val="62"/>
                <w:szCs w:val="62"/>
              </w:rPr>
            </w:pPr>
            <w:bookmarkStart w:id="205" w:name="bookmark204"/>
            <w:bookmarkStart w:id="206" w:name="bookmark202"/>
            <w:bookmarkStart w:id="207" w:name="bookmark203"/>
            <w:r>
              <w:rPr>
                <w:b w:val="0"/>
                <w:color w:val="019648"/>
                <w:sz w:val="62"/>
              </w:rPr>
              <w:t>Додаток 1. Бюджетні міркування щодо впровадження нового діагностичного тесту</w:t>
            </w:r>
            <w:bookmarkEnd w:id="205"/>
            <w:bookmarkEnd w:id="206"/>
            <w:bookmarkEnd w:id="207"/>
          </w:p>
        </w:tc>
      </w:tr>
      <w:tr w:rsidR="00366CB9" w14:paraId="2DF4F8B2" w14:textId="77777777" w:rsidTr="00911AD4">
        <w:trPr>
          <w:trHeight w:hRule="exact" w:val="456"/>
        </w:trPr>
        <w:tc>
          <w:tcPr>
            <w:tcW w:w="9091" w:type="dxa"/>
            <w:shd w:val="clear" w:color="auto" w:fill="62A86A"/>
            <w:vAlign w:val="center"/>
          </w:tcPr>
          <w:p w14:paraId="71C50245" w14:textId="77777777" w:rsidR="00366CB9" w:rsidRPr="00911AD4" w:rsidRDefault="009D0C1D" w:rsidP="00911AD4">
            <w:pPr>
              <w:pStyle w:val="a6"/>
              <w:shd w:val="clear" w:color="auto" w:fill="auto"/>
              <w:rPr>
                <w:sz w:val="18"/>
                <w:szCs w:val="24"/>
              </w:rPr>
            </w:pPr>
            <w:r w:rsidRPr="00911AD4">
              <w:rPr>
                <w:color w:val="FFFFFF"/>
                <w:sz w:val="18"/>
                <w:szCs w:val="24"/>
              </w:rPr>
              <w:t>Обладнання</w:t>
            </w:r>
          </w:p>
        </w:tc>
      </w:tr>
      <w:tr w:rsidR="00366CB9" w14:paraId="5395A199" w14:textId="77777777" w:rsidTr="00911AD4">
        <w:trPr>
          <w:trHeight w:hRule="exact" w:val="3884"/>
        </w:trPr>
        <w:tc>
          <w:tcPr>
            <w:tcW w:w="9091" w:type="dxa"/>
            <w:shd w:val="clear" w:color="auto" w:fill="FFFFFF"/>
          </w:tcPr>
          <w:p w14:paraId="29F5803C" w14:textId="77777777" w:rsidR="00366CB9" w:rsidRPr="00911AD4" w:rsidRDefault="009D0C1D" w:rsidP="00911AD4">
            <w:pPr>
              <w:pStyle w:val="a6"/>
              <w:shd w:val="clear" w:color="auto" w:fill="auto"/>
              <w:spacing w:line="317" w:lineRule="auto"/>
              <w:rPr>
                <w:sz w:val="18"/>
                <w:szCs w:val="24"/>
              </w:rPr>
            </w:pPr>
            <w:r w:rsidRPr="00911AD4">
              <w:rPr>
                <w:b w:val="0"/>
                <w:color w:val="000000"/>
                <w:sz w:val="18"/>
                <w:szCs w:val="24"/>
              </w:rPr>
              <w:t>Вартість оцінки готовності центру тестування (відрядження та людські ресурси)</w:t>
            </w:r>
          </w:p>
          <w:p w14:paraId="4A4540C8" w14:textId="77777777" w:rsidR="00366CB9" w:rsidRPr="00911AD4" w:rsidRDefault="009D0C1D" w:rsidP="00911AD4">
            <w:pPr>
              <w:pStyle w:val="a6"/>
              <w:shd w:val="clear" w:color="auto" w:fill="auto"/>
              <w:spacing w:after="60" w:line="271" w:lineRule="auto"/>
              <w:rPr>
                <w:sz w:val="18"/>
                <w:szCs w:val="24"/>
              </w:rPr>
            </w:pPr>
            <w:r w:rsidRPr="00911AD4">
              <w:rPr>
                <w:b w:val="0"/>
                <w:color w:val="000000"/>
                <w:sz w:val="18"/>
                <w:szCs w:val="24"/>
              </w:rPr>
              <w:t>Вартість модернізації лабораторного обладнання та виробничих потужностей (наприклад, електроенергії та кондиціонування повітря) для безпечного та функціонального центру тестування</w:t>
            </w:r>
          </w:p>
          <w:p w14:paraId="5DD32154" w14:textId="77777777" w:rsidR="00366CB9" w:rsidRPr="00911AD4" w:rsidRDefault="009D0C1D" w:rsidP="00911AD4">
            <w:pPr>
              <w:pStyle w:val="a6"/>
              <w:shd w:val="clear" w:color="auto" w:fill="auto"/>
              <w:spacing w:after="60" w:line="271" w:lineRule="auto"/>
              <w:rPr>
                <w:sz w:val="18"/>
                <w:szCs w:val="24"/>
              </w:rPr>
            </w:pPr>
            <w:r w:rsidRPr="00911AD4">
              <w:rPr>
                <w:b w:val="0"/>
                <w:color w:val="000000"/>
                <w:sz w:val="18"/>
                <w:szCs w:val="24"/>
              </w:rPr>
              <w:t>Вартість вжиття запобіжних заходів біологічної безпеки та дотримання вимог щодо утилізації біологічних та хімічних відходів</w:t>
            </w:r>
          </w:p>
          <w:p w14:paraId="07B28A35" w14:textId="77777777" w:rsidR="00366CB9" w:rsidRPr="00911AD4" w:rsidRDefault="009D0C1D" w:rsidP="00911AD4">
            <w:pPr>
              <w:pStyle w:val="a6"/>
              <w:shd w:val="clear" w:color="auto" w:fill="auto"/>
              <w:spacing w:line="360" w:lineRule="auto"/>
              <w:rPr>
                <w:sz w:val="18"/>
                <w:szCs w:val="24"/>
              </w:rPr>
            </w:pPr>
            <w:r w:rsidRPr="00911AD4">
              <w:rPr>
                <w:b w:val="0"/>
                <w:color w:val="000000"/>
                <w:sz w:val="18"/>
                <w:szCs w:val="24"/>
              </w:rPr>
              <w:t>Вартість пошуку, закупівлі та встановлення обладнання:</w:t>
            </w:r>
          </w:p>
          <w:p w14:paraId="676CBBF0" w14:textId="0E7237D2" w:rsidR="00366CB9" w:rsidRPr="00911AD4" w:rsidRDefault="00FE22F4" w:rsidP="00911AD4">
            <w:pPr>
              <w:pStyle w:val="a6"/>
              <w:shd w:val="clear" w:color="auto" w:fill="auto"/>
              <w:spacing w:line="360" w:lineRule="auto"/>
              <w:ind w:left="272" w:hanging="272"/>
              <w:rPr>
                <w:sz w:val="18"/>
                <w:szCs w:val="24"/>
              </w:rPr>
            </w:pPr>
            <w:r w:rsidRPr="00911AD4">
              <w:rPr>
                <w:rFonts w:ascii="Wingdings" w:hAnsi="Wingdings"/>
                <w:b w:val="0"/>
                <w:color w:val="000000"/>
                <w:sz w:val="18"/>
                <w:szCs w:val="24"/>
              </w:rPr>
              <w:t></w:t>
            </w:r>
            <w:r w:rsidRPr="00911AD4">
              <w:rPr>
                <w:b w:val="0"/>
                <w:color w:val="000000"/>
                <w:sz w:val="18"/>
                <w:szCs w:val="24"/>
              </w:rPr>
              <w:t xml:space="preserve"> </w:t>
            </w:r>
            <w:r w:rsidR="00911AD4">
              <w:tab/>
            </w:r>
            <w:r w:rsidRPr="00911AD4">
              <w:rPr>
                <w:b w:val="0"/>
                <w:color w:val="000000"/>
                <w:sz w:val="18"/>
                <w:szCs w:val="24"/>
              </w:rPr>
              <w:t>закупівля (або оренда) приладів та будь-якого необхідного допоміжного обладнання;</w:t>
            </w:r>
          </w:p>
          <w:p w14:paraId="5172D83A" w14:textId="3878E4D0" w:rsidR="00366CB9" w:rsidRPr="00911AD4" w:rsidRDefault="00FE22F4" w:rsidP="00911AD4">
            <w:pPr>
              <w:pStyle w:val="a6"/>
              <w:shd w:val="clear" w:color="auto" w:fill="auto"/>
              <w:spacing w:line="360" w:lineRule="auto"/>
              <w:ind w:left="272" w:hanging="272"/>
              <w:rPr>
                <w:sz w:val="18"/>
                <w:szCs w:val="24"/>
              </w:rPr>
            </w:pPr>
            <w:r w:rsidRPr="00911AD4">
              <w:rPr>
                <w:rFonts w:ascii="Wingdings" w:hAnsi="Wingdings"/>
                <w:b w:val="0"/>
                <w:color w:val="000000"/>
                <w:sz w:val="18"/>
                <w:szCs w:val="24"/>
              </w:rPr>
              <w:t></w:t>
            </w:r>
            <w:r w:rsidRPr="00911AD4">
              <w:rPr>
                <w:b w:val="0"/>
                <w:color w:val="000000"/>
                <w:sz w:val="18"/>
                <w:szCs w:val="24"/>
              </w:rPr>
              <w:t xml:space="preserve"> </w:t>
            </w:r>
            <w:r w:rsidR="00911AD4">
              <w:tab/>
            </w:r>
            <w:r w:rsidRPr="00911AD4">
              <w:rPr>
                <w:b w:val="0"/>
                <w:color w:val="000000"/>
                <w:sz w:val="18"/>
                <w:szCs w:val="24"/>
              </w:rPr>
              <w:t>вартість доставки та імпорту;</w:t>
            </w:r>
          </w:p>
          <w:p w14:paraId="3DDE1471" w14:textId="4529BBBF" w:rsidR="00366CB9" w:rsidRPr="00911AD4" w:rsidRDefault="00FE22F4" w:rsidP="00911AD4">
            <w:pPr>
              <w:pStyle w:val="a6"/>
              <w:shd w:val="clear" w:color="auto" w:fill="auto"/>
              <w:spacing w:line="360" w:lineRule="auto"/>
              <w:ind w:left="272" w:hanging="272"/>
              <w:rPr>
                <w:sz w:val="18"/>
                <w:szCs w:val="24"/>
              </w:rPr>
            </w:pPr>
            <w:r w:rsidRPr="00911AD4">
              <w:rPr>
                <w:rFonts w:ascii="Wingdings" w:hAnsi="Wingdings"/>
                <w:b w:val="0"/>
                <w:color w:val="000000"/>
                <w:sz w:val="18"/>
                <w:szCs w:val="24"/>
              </w:rPr>
              <w:t></w:t>
            </w:r>
            <w:r w:rsidRPr="00911AD4">
              <w:rPr>
                <w:b w:val="0"/>
                <w:color w:val="000000"/>
                <w:sz w:val="18"/>
                <w:szCs w:val="24"/>
              </w:rPr>
              <w:t xml:space="preserve"> </w:t>
            </w:r>
            <w:r w:rsidR="00911AD4">
              <w:tab/>
            </w:r>
            <w:r w:rsidRPr="00911AD4">
              <w:rPr>
                <w:b w:val="0"/>
                <w:color w:val="000000"/>
                <w:sz w:val="18"/>
                <w:szCs w:val="24"/>
              </w:rPr>
              <w:t xml:space="preserve">встановлення виробником або уповноваженим постачальником послуг (наприклад, добові витрати та витрати на відрядження) </w:t>
            </w:r>
            <w:r w:rsidRPr="00911AD4">
              <w:rPr>
                <w:rFonts w:ascii="Wingdings" w:hAnsi="Wingdings"/>
                <w:b w:val="0"/>
                <w:color w:val="000000"/>
                <w:sz w:val="18"/>
                <w:szCs w:val="24"/>
              </w:rPr>
              <w:t></w:t>
            </w:r>
            <w:r w:rsidRPr="00911AD4">
              <w:rPr>
                <w:b w:val="0"/>
                <w:color w:val="000000"/>
                <w:sz w:val="18"/>
                <w:szCs w:val="24"/>
              </w:rPr>
              <w:t xml:space="preserve"> підготовка;</w:t>
            </w:r>
          </w:p>
          <w:p w14:paraId="0BC3180F" w14:textId="7149FFD9" w:rsidR="00366CB9" w:rsidRPr="00911AD4" w:rsidRDefault="00FE22F4" w:rsidP="00911AD4">
            <w:pPr>
              <w:pStyle w:val="a6"/>
              <w:shd w:val="clear" w:color="auto" w:fill="auto"/>
              <w:spacing w:line="360" w:lineRule="auto"/>
              <w:ind w:left="272" w:hanging="272"/>
              <w:rPr>
                <w:sz w:val="18"/>
                <w:szCs w:val="24"/>
              </w:rPr>
            </w:pPr>
            <w:r w:rsidRPr="00911AD4">
              <w:rPr>
                <w:rFonts w:ascii="Wingdings" w:hAnsi="Wingdings"/>
                <w:b w:val="0"/>
                <w:color w:val="000000"/>
                <w:sz w:val="18"/>
                <w:szCs w:val="24"/>
              </w:rPr>
              <w:t></w:t>
            </w:r>
            <w:r w:rsidRPr="00911AD4">
              <w:rPr>
                <w:b w:val="0"/>
                <w:color w:val="000000"/>
                <w:sz w:val="18"/>
                <w:szCs w:val="24"/>
              </w:rPr>
              <w:t xml:space="preserve"> </w:t>
            </w:r>
            <w:r w:rsidR="00911AD4">
              <w:tab/>
            </w:r>
            <w:r w:rsidRPr="00911AD4">
              <w:rPr>
                <w:b w:val="0"/>
                <w:color w:val="000000"/>
                <w:sz w:val="18"/>
                <w:szCs w:val="24"/>
              </w:rPr>
              <w:t>перевірка приладів;</w:t>
            </w:r>
          </w:p>
          <w:p w14:paraId="567EA53B" w14:textId="6BF92ED5" w:rsidR="00366CB9" w:rsidRPr="00911AD4" w:rsidRDefault="00FE22F4" w:rsidP="00911AD4">
            <w:pPr>
              <w:pStyle w:val="a6"/>
              <w:shd w:val="clear" w:color="auto" w:fill="auto"/>
              <w:spacing w:after="60" w:line="271" w:lineRule="auto"/>
              <w:ind w:left="272" w:hanging="272"/>
              <w:rPr>
                <w:sz w:val="18"/>
                <w:szCs w:val="24"/>
              </w:rPr>
            </w:pPr>
            <w:r w:rsidRPr="00911AD4">
              <w:rPr>
                <w:rFonts w:ascii="Wingdings" w:hAnsi="Wingdings"/>
                <w:b w:val="0"/>
                <w:color w:val="000000"/>
                <w:sz w:val="18"/>
                <w:szCs w:val="24"/>
              </w:rPr>
              <w:t></w:t>
            </w:r>
            <w:r w:rsidRPr="00911AD4">
              <w:rPr>
                <w:b w:val="0"/>
                <w:color w:val="000000"/>
                <w:sz w:val="18"/>
                <w:szCs w:val="24"/>
              </w:rPr>
              <w:t xml:space="preserve"> </w:t>
            </w:r>
            <w:r w:rsidR="00911AD4">
              <w:tab/>
            </w:r>
            <w:r w:rsidRPr="00911AD4">
              <w:rPr>
                <w:b w:val="0"/>
                <w:color w:val="000000"/>
                <w:sz w:val="18"/>
                <w:szCs w:val="24"/>
              </w:rPr>
              <w:t>розширена гарантія або договір на сервісне обслуговування Вартість планового профілактичного обслуговування Вартість щорічного технічного обслуговування або калібрування</w:t>
            </w:r>
          </w:p>
        </w:tc>
      </w:tr>
      <w:tr w:rsidR="00366CB9" w14:paraId="7EDEEAD1" w14:textId="77777777" w:rsidTr="00911AD4">
        <w:trPr>
          <w:trHeight w:hRule="exact" w:val="456"/>
        </w:trPr>
        <w:tc>
          <w:tcPr>
            <w:tcW w:w="9091" w:type="dxa"/>
            <w:shd w:val="clear" w:color="auto" w:fill="62A86A"/>
            <w:vAlign w:val="center"/>
          </w:tcPr>
          <w:p w14:paraId="2E654A44" w14:textId="77777777" w:rsidR="00366CB9" w:rsidRPr="00911AD4" w:rsidRDefault="009D0C1D" w:rsidP="00911AD4">
            <w:pPr>
              <w:pStyle w:val="a6"/>
              <w:shd w:val="clear" w:color="auto" w:fill="auto"/>
              <w:rPr>
                <w:sz w:val="18"/>
                <w:szCs w:val="24"/>
              </w:rPr>
            </w:pPr>
            <w:r w:rsidRPr="00911AD4">
              <w:rPr>
                <w:color w:val="FFFFFF"/>
                <w:sz w:val="18"/>
                <w:szCs w:val="24"/>
              </w:rPr>
              <w:t>Постачання</w:t>
            </w:r>
          </w:p>
        </w:tc>
      </w:tr>
      <w:tr w:rsidR="00366CB9" w14:paraId="280D1D86" w14:textId="77777777" w:rsidTr="00911AD4">
        <w:trPr>
          <w:trHeight w:hRule="exact" w:val="1806"/>
        </w:trPr>
        <w:tc>
          <w:tcPr>
            <w:tcW w:w="9091" w:type="dxa"/>
            <w:shd w:val="clear" w:color="auto" w:fill="FFFFFF"/>
          </w:tcPr>
          <w:p w14:paraId="48E34524" w14:textId="77777777" w:rsidR="00366CB9" w:rsidRPr="00911AD4" w:rsidRDefault="009D0C1D" w:rsidP="00911AD4">
            <w:pPr>
              <w:pStyle w:val="a6"/>
              <w:shd w:val="clear" w:color="auto" w:fill="auto"/>
              <w:spacing w:line="360" w:lineRule="auto"/>
              <w:rPr>
                <w:sz w:val="18"/>
                <w:szCs w:val="24"/>
              </w:rPr>
            </w:pPr>
            <w:r w:rsidRPr="00911AD4">
              <w:rPr>
                <w:b w:val="0"/>
                <w:color w:val="000000"/>
                <w:sz w:val="18"/>
                <w:szCs w:val="24"/>
              </w:rPr>
              <w:t>Семінар для зацікавлених сторін, залучених у закупівлю, з метою зміцнення ланцюжка поставок Вартість обслуговування централізованих складів та вартість дистрибуції</w:t>
            </w:r>
          </w:p>
          <w:p w14:paraId="51E06199" w14:textId="77777777" w:rsidR="00366CB9" w:rsidRPr="00911AD4" w:rsidRDefault="009D0C1D" w:rsidP="00911AD4">
            <w:pPr>
              <w:pStyle w:val="a6"/>
              <w:shd w:val="clear" w:color="auto" w:fill="auto"/>
              <w:spacing w:line="300" w:lineRule="auto"/>
              <w:rPr>
                <w:sz w:val="18"/>
                <w:szCs w:val="24"/>
              </w:rPr>
            </w:pPr>
            <w:r w:rsidRPr="00911AD4">
              <w:rPr>
                <w:b w:val="0"/>
                <w:color w:val="000000"/>
                <w:sz w:val="18"/>
                <w:szCs w:val="24"/>
              </w:rPr>
              <w:t>Вартість матеріалів на один тест (наприклад, реактиви для тестування, витратні матеріали, предмети для забору зразків та папір для друку), а також вартість додаткового обладнання, наприклад, вимоги до додаткового обладнання (наприклад, принтер, комп’ютер та картриджі для принтерів), вартість доставки та кур’єрської доставки Вартість тестування нової партії</w:t>
            </w:r>
          </w:p>
        </w:tc>
      </w:tr>
      <w:tr w:rsidR="00366CB9" w14:paraId="1B09530C" w14:textId="77777777" w:rsidTr="00911AD4">
        <w:trPr>
          <w:trHeight w:hRule="exact" w:val="470"/>
        </w:trPr>
        <w:tc>
          <w:tcPr>
            <w:tcW w:w="9091" w:type="dxa"/>
            <w:tcBorders>
              <w:bottom w:val="nil"/>
            </w:tcBorders>
            <w:shd w:val="clear" w:color="auto" w:fill="62A86A"/>
            <w:vAlign w:val="center"/>
          </w:tcPr>
          <w:p w14:paraId="1A326996" w14:textId="77777777" w:rsidR="00366CB9" w:rsidRPr="00911AD4" w:rsidRDefault="009D0C1D" w:rsidP="00911AD4">
            <w:pPr>
              <w:pStyle w:val="a6"/>
              <w:shd w:val="clear" w:color="auto" w:fill="auto"/>
              <w:rPr>
                <w:sz w:val="18"/>
                <w:szCs w:val="24"/>
              </w:rPr>
            </w:pPr>
            <w:r w:rsidRPr="00911AD4">
              <w:rPr>
                <w:color w:val="FFFFFF"/>
                <w:sz w:val="18"/>
                <w:szCs w:val="24"/>
              </w:rPr>
              <w:t>Процедури</w:t>
            </w:r>
          </w:p>
        </w:tc>
      </w:tr>
      <w:tr w:rsidR="00366CB9" w14:paraId="2BE1EAA6" w14:textId="77777777" w:rsidTr="00911AD4">
        <w:trPr>
          <w:trHeight w:hRule="exact" w:val="1087"/>
        </w:trPr>
        <w:tc>
          <w:tcPr>
            <w:tcW w:w="9091" w:type="dxa"/>
            <w:tcBorders>
              <w:bottom w:val="single" w:sz="8" w:space="0" w:color="007A44"/>
            </w:tcBorders>
            <w:shd w:val="clear" w:color="auto" w:fill="FFFFFF"/>
          </w:tcPr>
          <w:p w14:paraId="4FC3A5A3" w14:textId="77777777" w:rsidR="00366CB9" w:rsidRPr="00911AD4" w:rsidRDefault="009D0C1D" w:rsidP="00911AD4">
            <w:pPr>
              <w:pStyle w:val="a6"/>
              <w:shd w:val="clear" w:color="auto" w:fill="auto"/>
              <w:spacing w:after="60" w:line="271" w:lineRule="auto"/>
              <w:rPr>
                <w:sz w:val="18"/>
                <w:szCs w:val="24"/>
              </w:rPr>
            </w:pPr>
            <w:r w:rsidRPr="00911AD4">
              <w:rPr>
                <w:b w:val="0"/>
                <w:color w:val="000000"/>
                <w:sz w:val="18"/>
                <w:szCs w:val="24"/>
              </w:rPr>
              <w:t>Семінар та людські ресурси для розробки СОП Друк та розповсюдження переглянутих СОП</w:t>
            </w:r>
          </w:p>
          <w:p w14:paraId="1FB6337C" w14:textId="77777777" w:rsidR="00366CB9" w:rsidRPr="00911AD4" w:rsidRDefault="009D0C1D" w:rsidP="00911AD4">
            <w:pPr>
              <w:pStyle w:val="a6"/>
              <w:shd w:val="clear" w:color="auto" w:fill="auto"/>
              <w:spacing w:line="271" w:lineRule="auto"/>
              <w:rPr>
                <w:sz w:val="18"/>
                <w:szCs w:val="24"/>
              </w:rPr>
            </w:pPr>
            <w:r w:rsidRPr="00911AD4">
              <w:rPr>
                <w:b w:val="0"/>
                <w:color w:val="000000"/>
                <w:sz w:val="18"/>
                <w:szCs w:val="24"/>
              </w:rPr>
              <w:t>Розробка, друк та розповсюдження переглянутих клінічних протоколів та інструкцій щодо відбору осіб для тестування, замовлення тестів, тлумачення результатів тестів та прийняття рішень щодо догляду за пацієнтами</w:t>
            </w:r>
          </w:p>
        </w:tc>
      </w:tr>
    </w:tbl>
    <w:p w14:paraId="14F3AA8A" w14:textId="77777777" w:rsidR="00366CB9" w:rsidRDefault="009D0C1D" w:rsidP="00425523">
      <w:pPr>
        <w:spacing w:line="1" w:lineRule="exact"/>
        <w:sectPr w:rsidR="00366CB9" w:rsidSect="00B3067A">
          <w:type w:val="nextColumn"/>
          <w:pgSz w:w="11913" w:h="16840"/>
          <w:pgMar w:top="2325" w:right="1378" w:bottom="851" w:left="1372" w:header="0" w:footer="6" w:gutter="0"/>
          <w:paperSrc w:first="15" w:other="15"/>
          <w:cols w:space="720"/>
          <w:noEndnote/>
          <w:docGrid w:linePitch="360"/>
        </w:sectPr>
      </w:pPr>
      <w:r>
        <w:rPr>
          <w:noProof/>
        </w:rPr>
        <w:drawing>
          <wp:anchor distT="0" distB="0" distL="0" distR="0" simplePos="0" relativeHeight="251428864" behindDoc="1" locked="0" layoutInCell="1" allowOverlap="1" wp14:anchorId="5F665CBB" wp14:editId="2B26B075">
            <wp:simplePos x="0" y="0"/>
            <wp:positionH relativeFrom="page">
              <wp:align>left</wp:align>
            </wp:positionH>
            <wp:positionV relativeFrom="page">
              <wp:align>top</wp:align>
            </wp:positionV>
            <wp:extent cx="7560000" cy="1472400"/>
            <wp:effectExtent l="0" t="0" r="3175" b="0"/>
            <wp:wrapNone/>
            <wp:docPr id="130" name="Shape 130"/>
            <wp:cNvGraphicFramePr/>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29"/>
                    <a:stretch/>
                  </pic:blipFill>
                  <pic:spPr>
                    <a:xfrm>
                      <a:off x="0" y="0"/>
                      <a:ext cx="7560000" cy="1472400"/>
                    </a:xfrm>
                    <a:prstGeom prst="rect">
                      <a:avLst/>
                    </a:prstGeom>
                  </pic:spPr>
                </pic:pic>
              </a:graphicData>
            </a:graphic>
            <wp14:sizeRelH relativeFrom="margin">
              <wp14:pctWidth>0</wp14:pctWidth>
            </wp14:sizeRelH>
            <wp14:sizeRelV relativeFrom="margin">
              <wp14:pctHeight>0</wp14:pctHeight>
            </wp14:sizeRelV>
          </wp:anchor>
        </w:drawing>
      </w:r>
    </w:p>
    <w:p w14:paraId="62E22781"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082"/>
      </w:tblGrid>
      <w:tr w:rsidR="00366CB9" w14:paraId="715E30AC" w14:textId="77777777" w:rsidTr="00911AD4">
        <w:trPr>
          <w:trHeight w:hRule="exact" w:val="446"/>
        </w:trPr>
        <w:tc>
          <w:tcPr>
            <w:tcW w:w="9082" w:type="dxa"/>
            <w:shd w:val="clear" w:color="auto" w:fill="62A86A"/>
            <w:vAlign w:val="center"/>
          </w:tcPr>
          <w:p w14:paraId="1912629F" w14:textId="77777777" w:rsidR="00366CB9" w:rsidRPr="00911AD4" w:rsidRDefault="009D0C1D" w:rsidP="00911AD4">
            <w:pPr>
              <w:pStyle w:val="a6"/>
              <w:shd w:val="clear" w:color="auto" w:fill="auto"/>
              <w:rPr>
                <w:sz w:val="18"/>
                <w:szCs w:val="24"/>
              </w:rPr>
            </w:pPr>
            <w:r w:rsidRPr="00911AD4">
              <w:rPr>
                <w:color w:val="FFFFFF"/>
                <w:sz w:val="18"/>
                <w:szCs w:val="24"/>
              </w:rPr>
              <w:t>Цифрові дані</w:t>
            </w:r>
          </w:p>
        </w:tc>
      </w:tr>
      <w:tr w:rsidR="00366CB9" w14:paraId="48A95D47" w14:textId="77777777" w:rsidTr="00911AD4">
        <w:trPr>
          <w:trHeight w:hRule="exact" w:val="1537"/>
        </w:trPr>
        <w:tc>
          <w:tcPr>
            <w:tcW w:w="9082" w:type="dxa"/>
            <w:shd w:val="clear" w:color="auto" w:fill="FFFFFF"/>
            <w:vAlign w:val="center"/>
          </w:tcPr>
          <w:p w14:paraId="457E1831" w14:textId="77777777" w:rsidR="00366CB9" w:rsidRPr="00911AD4" w:rsidRDefault="009D0C1D" w:rsidP="00911AD4">
            <w:pPr>
              <w:pStyle w:val="a6"/>
              <w:shd w:val="clear" w:color="auto" w:fill="auto"/>
              <w:spacing w:after="60" w:line="271" w:lineRule="auto"/>
              <w:rPr>
                <w:sz w:val="18"/>
                <w:szCs w:val="24"/>
              </w:rPr>
            </w:pPr>
            <w:r w:rsidRPr="00911AD4">
              <w:rPr>
                <w:b w:val="0"/>
                <w:color w:val="000000"/>
                <w:sz w:val="18"/>
                <w:szCs w:val="24"/>
              </w:rPr>
              <w:t>Закупівля та впровадження лабораторної системи управління інформацією, при застосуванні</w:t>
            </w:r>
          </w:p>
          <w:p w14:paraId="1172E440" w14:textId="77777777" w:rsidR="00366CB9" w:rsidRPr="00911AD4" w:rsidRDefault="009D0C1D" w:rsidP="00911AD4">
            <w:pPr>
              <w:pStyle w:val="a6"/>
              <w:shd w:val="clear" w:color="auto" w:fill="auto"/>
              <w:spacing w:after="60" w:line="271" w:lineRule="auto"/>
              <w:rPr>
                <w:sz w:val="18"/>
                <w:szCs w:val="24"/>
              </w:rPr>
            </w:pPr>
            <w:r w:rsidRPr="00911AD4">
              <w:rPr>
                <w:b w:val="0"/>
                <w:color w:val="000000"/>
                <w:sz w:val="18"/>
                <w:szCs w:val="24"/>
              </w:rPr>
              <w:t>Придбання та встановлення рішення для підключення до діагностики, при застосуванні Людські ресурси та підготовка</w:t>
            </w:r>
          </w:p>
          <w:p w14:paraId="7FAB138F" w14:textId="77777777" w:rsidR="00366CB9" w:rsidRPr="00911AD4" w:rsidRDefault="009D0C1D" w:rsidP="00911AD4">
            <w:pPr>
              <w:pStyle w:val="a6"/>
              <w:shd w:val="clear" w:color="auto" w:fill="auto"/>
              <w:spacing w:after="60" w:line="271" w:lineRule="auto"/>
              <w:rPr>
                <w:sz w:val="18"/>
                <w:szCs w:val="24"/>
              </w:rPr>
            </w:pPr>
            <w:r w:rsidRPr="00911AD4">
              <w:rPr>
                <w:b w:val="0"/>
                <w:color w:val="000000"/>
                <w:sz w:val="18"/>
                <w:szCs w:val="24"/>
              </w:rPr>
              <w:t>Вартість передачі даних (наприклад, високошвидкісний інтернет)</w:t>
            </w:r>
          </w:p>
          <w:p w14:paraId="611A4A83" w14:textId="77777777" w:rsidR="00366CB9" w:rsidRPr="00911AD4" w:rsidRDefault="009D0C1D" w:rsidP="00911AD4">
            <w:pPr>
              <w:pStyle w:val="a6"/>
              <w:shd w:val="clear" w:color="auto" w:fill="auto"/>
              <w:spacing w:after="60" w:line="271" w:lineRule="auto"/>
              <w:rPr>
                <w:sz w:val="18"/>
                <w:szCs w:val="24"/>
              </w:rPr>
            </w:pPr>
            <w:r w:rsidRPr="00911AD4">
              <w:rPr>
                <w:b w:val="0"/>
                <w:color w:val="000000"/>
                <w:sz w:val="18"/>
                <w:szCs w:val="24"/>
              </w:rPr>
              <w:t>Вартість надання та обслуговування системи віддаленого моніторингу в країні</w:t>
            </w:r>
          </w:p>
        </w:tc>
      </w:tr>
      <w:tr w:rsidR="00366CB9" w14:paraId="6B4E4A75" w14:textId="77777777" w:rsidTr="00911AD4">
        <w:trPr>
          <w:trHeight w:hRule="exact" w:val="427"/>
        </w:trPr>
        <w:tc>
          <w:tcPr>
            <w:tcW w:w="9082" w:type="dxa"/>
            <w:shd w:val="clear" w:color="auto" w:fill="62A86A"/>
            <w:vAlign w:val="center"/>
          </w:tcPr>
          <w:p w14:paraId="246C56E5" w14:textId="77777777" w:rsidR="00366CB9" w:rsidRPr="00911AD4" w:rsidRDefault="009D0C1D" w:rsidP="00911AD4">
            <w:pPr>
              <w:pStyle w:val="a6"/>
              <w:shd w:val="clear" w:color="auto" w:fill="auto"/>
              <w:rPr>
                <w:sz w:val="18"/>
                <w:szCs w:val="24"/>
              </w:rPr>
            </w:pPr>
            <w:r w:rsidRPr="00911AD4">
              <w:rPr>
                <w:color w:val="FFFFFF"/>
                <w:sz w:val="18"/>
                <w:szCs w:val="24"/>
              </w:rPr>
              <w:t>ЗЯ, контроль та оцінка</w:t>
            </w:r>
          </w:p>
        </w:tc>
      </w:tr>
      <w:tr w:rsidR="00366CB9" w14:paraId="59230FFD" w14:textId="77777777" w:rsidTr="00911AD4">
        <w:trPr>
          <w:trHeight w:hRule="exact" w:val="2684"/>
        </w:trPr>
        <w:tc>
          <w:tcPr>
            <w:tcW w:w="9082" w:type="dxa"/>
            <w:shd w:val="clear" w:color="auto" w:fill="FFFFFF"/>
            <w:vAlign w:val="center"/>
          </w:tcPr>
          <w:p w14:paraId="358B5E58" w14:textId="77777777" w:rsidR="00366CB9" w:rsidRPr="00911AD4" w:rsidRDefault="009D0C1D" w:rsidP="00911AD4">
            <w:pPr>
              <w:pStyle w:val="a6"/>
              <w:shd w:val="clear" w:color="auto" w:fill="auto"/>
              <w:spacing w:after="40" w:line="276" w:lineRule="auto"/>
              <w:rPr>
                <w:sz w:val="18"/>
                <w:szCs w:val="24"/>
              </w:rPr>
            </w:pPr>
            <w:r w:rsidRPr="00911AD4">
              <w:rPr>
                <w:b w:val="0"/>
                <w:color w:val="000000"/>
                <w:sz w:val="18"/>
                <w:szCs w:val="24"/>
              </w:rPr>
              <w:t>Підготовка та регулярний перегляд усіх документів щодо тестування та ЗЯ (наприклад, СОП та контрольних переліків) на основі національних вимог</w:t>
            </w:r>
          </w:p>
          <w:p w14:paraId="3EAF28EA" w14:textId="77777777" w:rsidR="00366CB9" w:rsidRPr="00911AD4" w:rsidRDefault="009D0C1D" w:rsidP="00911AD4">
            <w:pPr>
              <w:pStyle w:val="a6"/>
              <w:shd w:val="clear" w:color="auto" w:fill="auto"/>
              <w:spacing w:after="40" w:line="276" w:lineRule="auto"/>
              <w:rPr>
                <w:sz w:val="18"/>
                <w:szCs w:val="24"/>
              </w:rPr>
            </w:pPr>
            <w:r w:rsidRPr="00911AD4">
              <w:rPr>
                <w:b w:val="0"/>
                <w:color w:val="000000"/>
                <w:sz w:val="18"/>
                <w:szCs w:val="24"/>
              </w:rPr>
              <w:t>Вартість проведення контролю якості (наприклад, тестування зразків з позитивними або негативними результатами) Вартість персоналу для регулярного збору та аналізу показників якості</w:t>
            </w:r>
          </w:p>
          <w:p w14:paraId="60C175C4" w14:textId="77777777" w:rsidR="00366CB9" w:rsidRPr="00911AD4" w:rsidRDefault="009D0C1D" w:rsidP="00911AD4">
            <w:pPr>
              <w:pStyle w:val="a6"/>
              <w:shd w:val="clear" w:color="auto" w:fill="auto"/>
              <w:spacing w:after="40" w:line="300" w:lineRule="auto"/>
              <w:rPr>
                <w:sz w:val="18"/>
                <w:szCs w:val="24"/>
              </w:rPr>
            </w:pPr>
            <w:r w:rsidRPr="00911AD4">
              <w:rPr>
                <w:b w:val="0"/>
                <w:color w:val="000000"/>
                <w:sz w:val="18"/>
                <w:szCs w:val="24"/>
              </w:rPr>
              <w:t>Вартість проведення виїзних візитів (наприклад, поїздки, людські ресурси та підготовка контрольних переліків та звітів) Вартість проведення виїзного візиту та підготовки документів Вартість надання панелей ПК та нагляду за ПК, звітування про результати та коригувальні дії, а також вартість тестування панелей ПК у кожному центрі</w:t>
            </w:r>
          </w:p>
          <w:p w14:paraId="78CFDB75" w14:textId="77777777" w:rsidR="00366CB9" w:rsidRPr="00911AD4" w:rsidRDefault="009D0C1D" w:rsidP="00911AD4">
            <w:pPr>
              <w:pStyle w:val="a6"/>
              <w:shd w:val="clear" w:color="auto" w:fill="auto"/>
              <w:spacing w:after="40" w:line="271" w:lineRule="auto"/>
              <w:rPr>
                <w:sz w:val="18"/>
                <w:szCs w:val="24"/>
              </w:rPr>
            </w:pPr>
            <w:r w:rsidRPr="00911AD4">
              <w:rPr>
                <w:b w:val="0"/>
                <w:color w:val="000000"/>
                <w:sz w:val="18"/>
                <w:szCs w:val="24"/>
              </w:rPr>
              <w:t>Вартість повторного тестування зразків у лабораторії вищого рівня (наприклад, доставка зразків, тестування та звітування), при застосуванні</w:t>
            </w:r>
          </w:p>
        </w:tc>
      </w:tr>
      <w:tr w:rsidR="00366CB9" w14:paraId="15993040" w14:textId="77777777" w:rsidTr="00911AD4">
        <w:trPr>
          <w:trHeight w:hRule="exact" w:val="432"/>
        </w:trPr>
        <w:tc>
          <w:tcPr>
            <w:tcW w:w="9082" w:type="dxa"/>
            <w:shd w:val="clear" w:color="auto" w:fill="62A86A"/>
            <w:vAlign w:val="center"/>
          </w:tcPr>
          <w:p w14:paraId="312939BF" w14:textId="77777777" w:rsidR="00366CB9" w:rsidRPr="00911AD4" w:rsidRDefault="009D0C1D" w:rsidP="00911AD4">
            <w:pPr>
              <w:pStyle w:val="a6"/>
              <w:shd w:val="clear" w:color="auto" w:fill="auto"/>
              <w:rPr>
                <w:sz w:val="18"/>
                <w:szCs w:val="24"/>
              </w:rPr>
            </w:pPr>
            <w:r w:rsidRPr="00911AD4">
              <w:rPr>
                <w:color w:val="FFFFFF"/>
                <w:sz w:val="18"/>
                <w:szCs w:val="24"/>
              </w:rPr>
              <w:t>Реєстрація та звітування</w:t>
            </w:r>
          </w:p>
        </w:tc>
      </w:tr>
      <w:tr w:rsidR="00366CB9" w14:paraId="1922E836" w14:textId="77777777" w:rsidTr="00911AD4">
        <w:trPr>
          <w:trHeight w:hRule="exact" w:val="985"/>
        </w:trPr>
        <w:tc>
          <w:tcPr>
            <w:tcW w:w="9082" w:type="dxa"/>
            <w:shd w:val="clear" w:color="auto" w:fill="FFFFFF"/>
            <w:vAlign w:val="center"/>
          </w:tcPr>
          <w:p w14:paraId="30DCD540" w14:textId="77777777" w:rsidR="00366CB9" w:rsidRPr="00911AD4" w:rsidRDefault="009D0C1D" w:rsidP="00911AD4">
            <w:pPr>
              <w:pStyle w:val="a6"/>
              <w:shd w:val="clear" w:color="auto" w:fill="auto"/>
              <w:spacing w:after="40" w:line="276" w:lineRule="auto"/>
              <w:rPr>
                <w:sz w:val="18"/>
                <w:szCs w:val="24"/>
              </w:rPr>
            </w:pPr>
            <w:r w:rsidRPr="00911AD4">
              <w:rPr>
                <w:b w:val="0"/>
                <w:color w:val="000000"/>
                <w:sz w:val="18"/>
                <w:szCs w:val="24"/>
              </w:rPr>
              <w:t>Семінар та людські ресурси для оновлення форм обліку та звітності, реєстрів тощо</w:t>
            </w:r>
          </w:p>
          <w:p w14:paraId="22EDD577" w14:textId="77777777" w:rsidR="00366CB9" w:rsidRPr="00911AD4" w:rsidRDefault="009D0C1D" w:rsidP="00911AD4">
            <w:pPr>
              <w:pStyle w:val="a6"/>
              <w:shd w:val="clear" w:color="auto" w:fill="auto"/>
              <w:spacing w:line="276" w:lineRule="auto"/>
              <w:rPr>
                <w:sz w:val="18"/>
                <w:szCs w:val="24"/>
              </w:rPr>
            </w:pPr>
            <w:r w:rsidRPr="00911AD4">
              <w:rPr>
                <w:b w:val="0"/>
                <w:color w:val="000000"/>
                <w:sz w:val="18"/>
                <w:szCs w:val="24"/>
              </w:rPr>
              <w:t>Підготовка, друк та розповсюдження стандартизованих форм (наприклад, запитів на тестування та звітів про результати) та журналів</w:t>
            </w:r>
          </w:p>
        </w:tc>
      </w:tr>
      <w:tr w:rsidR="00366CB9" w14:paraId="2253672D" w14:textId="77777777" w:rsidTr="00911AD4">
        <w:trPr>
          <w:trHeight w:hRule="exact" w:val="432"/>
        </w:trPr>
        <w:tc>
          <w:tcPr>
            <w:tcW w:w="9082" w:type="dxa"/>
            <w:shd w:val="clear" w:color="auto" w:fill="62A86A"/>
            <w:vAlign w:val="center"/>
          </w:tcPr>
          <w:p w14:paraId="6B331903" w14:textId="77777777" w:rsidR="00366CB9" w:rsidRPr="00911AD4" w:rsidRDefault="009D0C1D" w:rsidP="00911AD4">
            <w:pPr>
              <w:pStyle w:val="a6"/>
              <w:shd w:val="clear" w:color="auto" w:fill="auto"/>
              <w:rPr>
                <w:sz w:val="18"/>
                <w:szCs w:val="24"/>
              </w:rPr>
            </w:pPr>
            <w:r w:rsidRPr="00911AD4">
              <w:rPr>
                <w:color w:val="FFFFFF"/>
                <w:sz w:val="18"/>
                <w:szCs w:val="24"/>
              </w:rPr>
              <w:t>Підготовка та оцінка компетентності</w:t>
            </w:r>
          </w:p>
        </w:tc>
      </w:tr>
      <w:tr w:rsidR="00366CB9" w14:paraId="30D38929" w14:textId="77777777" w:rsidTr="00911AD4">
        <w:trPr>
          <w:trHeight w:hRule="exact" w:val="2110"/>
        </w:trPr>
        <w:tc>
          <w:tcPr>
            <w:tcW w:w="9082" w:type="dxa"/>
            <w:shd w:val="clear" w:color="auto" w:fill="FFFFFF"/>
            <w:vAlign w:val="center"/>
          </w:tcPr>
          <w:p w14:paraId="74A9F027" w14:textId="77777777" w:rsidR="00366CB9" w:rsidRPr="00911AD4" w:rsidRDefault="009D0C1D" w:rsidP="00911AD4">
            <w:pPr>
              <w:pStyle w:val="a6"/>
              <w:shd w:val="clear" w:color="auto" w:fill="auto"/>
              <w:spacing w:line="317" w:lineRule="auto"/>
              <w:rPr>
                <w:sz w:val="18"/>
                <w:szCs w:val="24"/>
              </w:rPr>
            </w:pPr>
            <w:r w:rsidRPr="00911AD4">
              <w:rPr>
                <w:b w:val="0"/>
                <w:color w:val="000000"/>
                <w:sz w:val="18"/>
                <w:szCs w:val="24"/>
              </w:rPr>
              <w:t>Семінар та людські ресурси для оновлення програм підготовки для співробітників лабораторії та клінічного персоналу Семінар для інструкторів, поїздки учасників та інструкторів, підготовка на місці та зустрічі з підвищення кваліфікації.</w:t>
            </w:r>
          </w:p>
          <w:p w14:paraId="366EFAF6" w14:textId="77777777" w:rsidR="00366CB9" w:rsidRPr="00911AD4" w:rsidRDefault="009D0C1D" w:rsidP="00911AD4">
            <w:pPr>
              <w:pStyle w:val="a6"/>
              <w:shd w:val="clear" w:color="auto" w:fill="auto"/>
              <w:spacing w:line="317" w:lineRule="auto"/>
              <w:rPr>
                <w:sz w:val="18"/>
                <w:szCs w:val="24"/>
              </w:rPr>
            </w:pPr>
            <w:r w:rsidRPr="00911AD4">
              <w:rPr>
                <w:b w:val="0"/>
                <w:color w:val="000000"/>
                <w:sz w:val="18"/>
                <w:szCs w:val="24"/>
              </w:rPr>
              <w:t>Друк та розповсюдження оновлених інструкцій та інформаційних матеріалів</w:t>
            </w:r>
          </w:p>
          <w:p w14:paraId="5A9E6D55" w14:textId="77777777" w:rsidR="00366CB9" w:rsidRPr="00911AD4" w:rsidRDefault="009D0C1D" w:rsidP="00911AD4">
            <w:pPr>
              <w:pStyle w:val="a6"/>
              <w:shd w:val="clear" w:color="auto" w:fill="auto"/>
              <w:spacing w:after="60" w:line="271" w:lineRule="auto"/>
              <w:rPr>
                <w:sz w:val="18"/>
                <w:szCs w:val="24"/>
              </w:rPr>
            </w:pPr>
            <w:r w:rsidRPr="00911AD4">
              <w:rPr>
                <w:b w:val="0"/>
                <w:color w:val="000000"/>
                <w:sz w:val="18"/>
                <w:szCs w:val="24"/>
              </w:rPr>
              <w:t>Вартість підготовки у приміщенні та в аудиторії (наприклад, проїзд, проживання, друковані матеріали, оренда приміщення та харчування)</w:t>
            </w:r>
          </w:p>
          <w:p w14:paraId="0AD5380A" w14:textId="77777777" w:rsidR="00366CB9" w:rsidRPr="00911AD4" w:rsidRDefault="009D0C1D" w:rsidP="00911AD4">
            <w:pPr>
              <w:pStyle w:val="a6"/>
              <w:shd w:val="clear" w:color="auto" w:fill="auto"/>
              <w:spacing w:after="40" w:line="317" w:lineRule="auto"/>
              <w:rPr>
                <w:sz w:val="18"/>
                <w:szCs w:val="24"/>
              </w:rPr>
            </w:pPr>
            <w:r w:rsidRPr="00911AD4">
              <w:rPr>
                <w:b w:val="0"/>
                <w:color w:val="000000"/>
                <w:sz w:val="18"/>
                <w:szCs w:val="24"/>
              </w:rPr>
              <w:t>Вартість щорічної оцінки компетентності персоналу</w:t>
            </w:r>
          </w:p>
        </w:tc>
      </w:tr>
      <w:tr w:rsidR="00366CB9" w14:paraId="7C5DB0B3" w14:textId="77777777" w:rsidTr="00911AD4">
        <w:trPr>
          <w:trHeight w:hRule="exact" w:val="432"/>
        </w:trPr>
        <w:tc>
          <w:tcPr>
            <w:tcW w:w="9082" w:type="dxa"/>
            <w:shd w:val="clear" w:color="auto" w:fill="62A86A"/>
            <w:vAlign w:val="center"/>
          </w:tcPr>
          <w:p w14:paraId="3E41C635" w14:textId="77777777" w:rsidR="00366CB9" w:rsidRPr="00911AD4" w:rsidRDefault="009D0C1D" w:rsidP="00911AD4">
            <w:pPr>
              <w:pStyle w:val="a6"/>
              <w:shd w:val="clear" w:color="auto" w:fill="auto"/>
              <w:rPr>
                <w:sz w:val="18"/>
                <w:szCs w:val="24"/>
              </w:rPr>
            </w:pPr>
            <w:r w:rsidRPr="00911AD4">
              <w:rPr>
                <w:color w:val="FFFFFF"/>
                <w:sz w:val="18"/>
                <w:szCs w:val="24"/>
              </w:rPr>
              <w:t>Моніторинг і оцінка</w:t>
            </w:r>
          </w:p>
        </w:tc>
      </w:tr>
      <w:tr w:rsidR="00366CB9" w14:paraId="3A07421A" w14:textId="77777777" w:rsidTr="00911AD4">
        <w:trPr>
          <w:trHeight w:hRule="exact" w:val="999"/>
        </w:trPr>
        <w:tc>
          <w:tcPr>
            <w:tcW w:w="9082" w:type="dxa"/>
            <w:tcBorders>
              <w:bottom w:val="single" w:sz="8" w:space="0" w:color="007A44"/>
            </w:tcBorders>
            <w:shd w:val="clear" w:color="auto" w:fill="FFFFFF"/>
            <w:vAlign w:val="center"/>
          </w:tcPr>
          <w:p w14:paraId="3150ADE0" w14:textId="77777777" w:rsidR="00366CB9" w:rsidRPr="00911AD4" w:rsidRDefault="009D0C1D" w:rsidP="00911AD4">
            <w:pPr>
              <w:pStyle w:val="a6"/>
              <w:shd w:val="clear" w:color="auto" w:fill="auto"/>
              <w:spacing w:after="60" w:line="271" w:lineRule="auto"/>
              <w:rPr>
                <w:sz w:val="18"/>
                <w:szCs w:val="24"/>
              </w:rPr>
            </w:pPr>
            <w:r w:rsidRPr="00911AD4">
              <w:rPr>
                <w:b w:val="0"/>
                <w:color w:val="000000"/>
                <w:sz w:val="18"/>
                <w:szCs w:val="24"/>
              </w:rPr>
              <w:t>Зустрічі з оновлення системи моніторингу та оцінки, а також регулярні зустрічі з розгляду впливу переходу та перепланування</w:t>
            </w:r>
          </w:p>
          <w:p w14:paraId="7F2B451C" w14:textId="77777777" w:rsidR="00366CB9" w:rsidRPr="00911AD4" w:rsidRDefault="009D0C1D" w:rsidP="00911AD4">
            <w:pPr>
              <w:pStyle w:val="a6"/>
              <w:shd w:val="clear" w:color="auto" w:fill="auto"/>
              <w:spacing w:line="271" w:lineRule="auto"/>
              <w:rPr>
                <w:sz w:val="18"/>
                <w:szCs w:val="24"/>
              </w:rPr>
            </w:pPr>
            <w:r w:rsidRPr="00911AD4">
              <w:rPr>
                <w:b w:val="0"/>
                <w:color w:val="000000"/>
                <w:sz w:val="18"/>
                <w:szCs w:val="24"/>
              </w:rPr>
              <w:t>Моніторинг та оцінка підвищення кваліфікації Операційне дослідження для вимірювання клінічного впливу</w:t>
            </w:r>
          </w:p>
        </w:tc>
      </w:tr>
    </w:tbl>
    <w:p w14:paraId="437FADE5" w14:textId="77777777" w:rsidR="00366CB9" w:rsidRDefault="00366CB9" w:rsidP="00425523">
      <w:pPr>
        <w:spacing w:line="1" w:lineRule="exact"/>
        <w:sectPr w:rsidR="00366CB9" w:rsidSect="00F03360">
          <w:footerReference w:type="default" r:id="rId310"/>
          <w:type w:val="nextColumn"/>
          <w:pgSz w:w="11913" w:h="16840"/>
          <w:pgMar w:top="1469" w:right="1378" w:bottom="851" w:left="1372" w:header="0" w:footer="6" w:gutter="0"/>
          <w:paperSrc w:first="15" w:other="15"/>
          <w:cols w:space="720"/>
          <w:noEndnote/>
          <w:docGrid w:linePitch="360"/>
        </w:sectPr>
      </w:pPr>
    </w:p>
    <w:p w14:paraId="143F0ADA"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086"/>
      </w:tblGrid>
      <w:tr w:rsidR="00366CB9" w:rsidRPr="00911AD4" w14:paraId="1E484335" w14:textId="77777777" w:rsidTr="00911AD4">
        <w:trPr>
          <w:trHeight w:hRule="exact" w:val="446"/>
        </w:trPr>
        <w:tc>
          <w:tcPr>
            <w:tcW w:w="9086" w:type="dxa"/>
            <w:shd w:val="clear" w:color="auto" w:fill="62A86A"/>
            <w:vAlign w:val="center"/>
          </w:tcPr>
          <w:p w14:paraId="51900CCF" w14:textId="77777777" w:rsidR="00366CB9" w:rsidRPr="00911AD4" w:rsidRDefault="009D0C1D" w:rsidP="00911AD4">
            <w:pPr>
              <w:pStyle w:val="a6"/>
              <w:shd w:val="clear" w:color="auto" w:fill="auto"/>
              <w:rPr>
                <w:sz w:val="18"/>
                <w:szCs w:val="24"/>
              </w:rPr>
            </w:pPr>
            <w:r w:rsidRPr="00911AD4">
              <w:rPr>
                <w:color w:val="FFFFFF"/>
                <w:sz w:val="18"/>
                <w:szCs w:val="24"/>
              </w:rPr>
              <w:t>Щорічні постійні витрати</w:t>
            </w:r>
          </w:p>
        </w:tc>
      </w:tr>
      <w:tr w:rsidR="00366CB9" w:rsidRPr="00911AD4" w14:paraId="11C93B16" w14:textId="77777777" w:rsidTr="00911AD4">
        <w:trPr>
          <w:trHeight w:hRule="exact" w:val="1395"/>
        </w:trPr>
        <w:tc>
          <w:tcPr>
            <w:tcW w:w="9086" w:type="dxa"/>
            <w:tcBorders>
              <w:bottom w:val="single" w:sz="8" w:space="0" w:color="007A44"/>
            </w:tcBorders>
            <w:shd w:val="clear" w:color="auto" w:fill="FFFFFF"/>
            <w:vAlign w:val="center"/>
          </w:tcPr>
          <w:p w14:paraId="55471235" w14:textId="77777777" w:rsidR="00366CB9" w:rsidRPr="00911AD4" w:rsidRDefault="009D0C1D" w:rsidP="00911AD4">
            <w:pPr>
              <w:pStyle w:val="a6"/>
              <w:shd w:val="clear" w:color="auto" w:fill="auto"/>
              <w:spacing w:line="360" w:lineRule="auto"/>
              <w:rPr>
                <w:sz w:val="18"/>
                <w:szCs w:val="24"/>
              </w:rPr>
            </w:pPr>
            <w:r w:rsidRPr="00911AD4">
              <w:rPr>
                <w:b w:val="0"/>
                <w:color w:val="000000"/>
                <w:sz w:val="18"/>
                <w:szCs w:val="24"/>
              </w:rPr>
              <w:t>Витратні матеріали та реактиви для діагностичного тестування</w:t>
            </w:r>
          </w:p>
          <w:p w14:paraId="22925FCF" w14:textId="77777777" w:rsidR="00366CB9" w:rsidRPr="00911AD4" w:rsidRDefault="009D0C1D" w:rsidP="00911AD4">
            <w:pPr>
              <w:pStyle w:val="a6"/>
              <w:shd w:val="clear" w:color="auto" w:fill="auto"/>
              <w:spacing w:line="360" w:lineRule="auto"/>
              <w:rPr>
                <w:sz w:val="18"/>
                <w:szCs w:val="24"/>
              </w:rPr>
            </w:pPr>
            <w:r w:rsidRPr="00911AD4">
              <w:rPr>
                <w:b w:val="0"/>
                <w:color w:val="000000"/>
                <w:sz w:val="18"/>
                <w:szCs w:val="24"/>
              </w:rPr>
              <w:t>Вартість повторного тестування та перевірки кваліфікації Перенаправлення зразків та звітування про результати Людські ресурси</w:t>
            </w:r>
          </w:p>
          <w:p w14:paraId="647258E5" w14:textId="77777777" w:rsidR="00366CB9" w:rsidRPr="00911AD4" w:rsidRDefault="009D0C1D" w:rsidP="00911AD4">
            <w:pPr>
              <w:pStyle w:val="a6"/>
              <w:shd w:val="clear" w:color="auto" w:fill="auto"/>
              <w:spacing w:line="360" w:lineRule="auto"/>
              <w:rPr>
                <w:sz w:val="18"/>
                <w:szCs w:val="24"/>
              </w:rPr>
            </w:pPr>
            <w:r w:rsidRPr="00911AD4">
              <w:rPr>
                <w:b w:val="0"/>
                <w:color w:val="000000"/>
                <w:sz w:val="18"/>
                <w:szCs w:val="24"/>
              </w:rPr>
              <w:t>Калібрування та сервісне обслуговування обладнання Підключення до діагностики ЗЯ</w:t>
            </w:r>
          </w:p>
        </w:tc>
      </w:tr>
      <w:tr w:rsidR="00366CB9" w:rsidRPr="00911AD4" w14:paraId="5CE0BD0E" w14:textId="77777777" w:rsidTr="00911AD4">
        <w:trPr>
          <w:trHeight w:hRule="exact" w:val="1849"/>
        </w:trPr>
        <w:tc>
          <w:tcPr>
            <w:tcW w:w="9086" w:type="dxa"/>
            <w:tcBorders>
              <w:top w:val="single" w:sz="8" w:space="0" w:color="007A44"/>
            </w:tcBorders>
            <w:shd w:val="clear" w:color="auto" w:fill="FFFFFF"/>
            <w:vAlign w:val="center"/>
          </w:tcPr>
          <w:p w14:paraId="6FEC7210" w14:textId="77777777" w:rsidR="00366CB9" w:rsidRPr="00911AD4" w:rsidRDefault="009D0C1D" w:rsidP="00911AD4">
            <w:pPr>
              <w:pStyle w:val="a6"/>
              <w:shd w:val="clear" w:color="auto" w:fill="auto"/>
              <w:spacing w:line="271" w:lineRule="auto"/>
              <w:rPr>
                <w:sz w:val="18"/>
                <w:szCs w:val="24"/>
              </w:rPr>
            </w:pPr>
            <w:r w:rsidRPr="00911AD4">
              <w:rPr>
                <w:b w:val="0"/>
                <w:color w:val="000000"/>
                <w:sz w:val="18"/>
                <w:szCs w:val="24"/>
              </w:rPr>
              <w:t>Успішна реалізація плану вимагатиме фінансових та людських ресурсів від міністерства охорони здоров’я або національної програми боротьби з туберкульозом (НПБТ), за можливої підтримки партнерів з реалізації. Розглянути можливість інтеграції тестування на виявлення ТБ на існуючих платформах для виявлення багатьох захворювань у центрах, де надається інтегроване тестування, щоб розподілити витрати між програмами боротьби з захворюваннями. Необхідно виділити бюджет для реалізації заходів у співпраці з ключовими партнерами, враховуючи міркування нижче. Може потребуватись технічна допомога.</w:t>
            </w:r>
          </w:p>
        </w:tc>
      </w:tr>
      <w:tr w:rsidR="00366CB9" w:rsidRPr="00911AD4" w14:paraId="0755ED6C" w14:textId="77777777" w:rsidTr="00BF2E00">
        <w:trPr>
          <w:trHeight w:hRule="exact" w:val="437"/>
        </w:trPr>
        <w:tc>
          <w:tcPr>
            <w:tcW w:w="9086" w:type="dxa"/>
            <w:shd w:val="clear" w:color="auto" w:fill="62A86A"/>
            <w:vAlign w:val="center"/>
          </w:tcPr>
          <w:p w14:paraId="34C1BBFF" w14:textId="77777777" w:rsidR="00366CB9" w:rsidRPr="00911AD4" w:rsidRDefault="009D0C1D" w:rsidP="00911AD4">
            <w:pPr>
              <w:pStyle w:val="a6"/>
              <w:shd w:val="clear" w:color="auto" w:fill="auto"/>
              <w:rPr>
                <w:sz w:val="18"/>
                <w:szCs w:val="24"/>
              </w:rPr>
            </w:pPr>
            <w:r w:rsidRPr="00911AD4">
              <w:rPr>
                <w:color w:val="FFFFFF"/>
                <w:sz w:val="18"/>
                <w:szCs w:val="24"/>
              </w:rPr>
              <w:t>Бюджетні міркування</w:t>
            </w:r>
          </w:p>
        </w:tc>
      </w:tr>
      <w:tr w:rsidR="00366CB9" w:rsidRPr="00911AD4" w14:paraId="43B38603" w14:textId="77777777" w:rsidTr="00BF2E00">
        <w:trPr>
          <w:trHeight w:hRule="exact" w:val="456"/>
        </w:trPr>
        <w:tc>
          <w:tcPr>
            <w:tcW w:w="9086" w:type="dxa"/>
            <w:shd w:val="clear" w:color="auto" w:fill="9FC39D"/>
            <w:vAlign w:val="center"/>
          </w:tcPr>
          <w:p w14:paraId="0681FC2A" w14:textId="77777777" w:rsidR="00366CB9" w:rsidRPr="00911AD4" w:rsidRDefault="009D0C1D" w:rsidP="00911AD4">
            <w:pPr>
              <w:pStyle w:val="a6"/>
              <w:shd w:val="clear" w:color="auto" w:fill="auto"/>
              <w:rPr>
                <w:sz w:val="18"/>
                <w:szCs w:val="24"/>
              </w:rPr>
            </w:pPr>
            <w:r w:rsidRPr="00911AD4">
              <w:rPr>
                <w:b w:val="0"/>
                <w:color w:val="000000"/>
                <w:sz w:val="18"/>
                <w:szCs w:val="24"/>
              </w:rPr>
              <w:t>Політика та планування</w:t>
            </w:r>
          </w:p>
        </w:tc>
      </w:tr>
      <w:tr w:rsidR="00366CB9" w:rsidRPr="00911AD4" w14:paraId="56A535EF" w14:textId="77777777" w:rsidTr="00BF2E00">
        <w:trPr>
          <w:trHeight w:hRule="exact" w:val="1662"/>
        </w:trPr>
        <w:tc>
          <w:tcPr>
            <w:tcW w:w="9086" w:type="dxa"/>
            <w:shd w:val="clear" w:color="auto" w:fill="FFFFFF"/>
            <w:vAlign w:val="center"/>
          </w:tcPr>
          <w:p w14:paraId="5929081D" w14:textId="77777777" w:rsidR="00366CB9" w:rsidRPr="00911AD4" w:rsidRDefault="009D0C1D" w:rsidP="00911AD4">
            <w:pPr>
              <w:pStyle w:val="a6"/>
              <w:shd w:val="clear" w:color="auto" w:fill="auto"/>
              <w:spacing w:line="317" w:lineRule="auto"/>
              <w:rPr>
                <w:sz w:val="18"/>
                <w:szCs w:val="24"/>
              </w:rPr>
            </w:pPr>
            <w:r w:rsidRPr="00911AD4">
              <w:rPr>
                <w:b w:val="0"/>
                <w:color w:val="000000"/>
                <w:sz w:val="18"/>
                <w:szCs w:val="24"/>
              </w:rPr>
              <w:t>Семінар із залучення зацікавлених сторін та планування Вартість зустрічей ТРГ Технічний семінар із оновлення керівництв та алгоритмів Вартість ситуаційного аналізу (людські ресурси, відрядження та написання звітів)</w:t>
            </w:r>
          </w:p>
          <w:p w14:paraId="16293760" w14:textId="77777777" w:rsidR="00366CB9" w:rsidRPr="00911AD4" w:rsidRDefault="009D0C1D" w:rsidP="00911AD4">
            <w:pPr>
              <w:pStyle w:val="a6"/>
              <w:shd w:val="clear" w:color="auto" w:fill="auto"/>
              <w:spacing w:after="60" w:line="271" w:lineRule="auto"/>
              <w:rPr>
                <w:sz w:val="18"/>
                <w:szCs w:val="24"/>
              </w:rPr>
            </w:pPr>
            <w:r w:rsidRPr="00911AD4">
              <w:rPr>
                <w:b w:val="0"/>
                <w:color w:val="000000"/>
                <w:sz w:val="18"/>
                <w:szCs w:val="24"/>
              </w:rPr>
              <w:t>Вартість друку та розповсюдження переглянутих керівництв та алгоритмів Розробка операційного плану</w:t>
            </w:r>
          </w:p>
          <w:p w14:paraId="463E147F" w14:textId="77777777" w:rsidR="00366CB9" w:rsidRPr="00911AD4" w:rsidRDefault="009D0C1D" w:rsidP="00911AD4">
            <w:pPr>
              <w:pStyle w:val="a6"/>
              <w:shd w:val="clear" w:color="auto" w:fill="auto"/>
              <w:spacing w:after="40" w:line="317" w:lineRule="auto"/>
              <w:rPr>
                <w:sz w:val="18"/>
                <w:szCs w:val="24"/>
              </w:rPr>
            </w:pPr>
            <w:r w:rsidRPr="00911AD4">
              <w:rPr>
                <w:b w:val="0"/>
                <w:color w:val="000000"/>
                <w:sz w:val="18"/>
                <w:szCs w:val="24"/>
              </w:rPr>
              <w:t>Вартість зовнішньої технічної допомоги, за необхідності</w:t>
            </w:r>
          </w:p>
        </w:tc>
      </w:tr>
      <w:tr w:rsidR="00366CB9" w:rsidRPr="00911AD4" w14:paraId="42A50AE0" w14:textId="77777777" w:rsidTr="00BF2E00">
        <w:trPr>
          <w:trHeight w:hRule="exact" w:val="442"/>
        </w:trPr>
        <w:tc>
          <w:tcPr>
            <w:tcW w:w="9086" w:type="dxa"/>
            <w:shd w:val="clear" w:color="auto" w:fill="9FC39D"/>
            <w:vAlign w:val="center"/>
          </w:tcPr>
          <w:p w14:paraId="1B12FDF3" w14:textId="77777777" w:rsidR="00366CB9" w:rsidRPr="00911AD4" w:rsidRDefault="009D0C1D" w:rsidP="00911AD4">
            <w:pPr>
              <w:pStyle w:val="a6"/>
              <w:shd w:val="clear" w:color="auto" w:fill="auto"/>
              <w:rPr>
                <w:sz w:val="18"/>
                <w:szCs w:val="24"/>
              </w:rPr>
            </w:pPr>
            <w:r w:rsidRPr="00911AD4">
              <w:rPr>
                <w:b w:val="0"/>
                <w:color w:val="000000"/>
                <w:sz w:val="18"/>
                <w:szCs w:val="24"/>
              </w:rPr>
              <w:t>Питання нормативно-правового регулювання</w:t>
            </w:r>
          </w:p>
        </w:tc>
      </w:tr>
      <w:tr w:rsidR="00366CB9" w:rsidRPr="00911AD4" w14:paraId="63256085" w14:textId="77777777" w:rsidTr="00BF2E00">
        <w:trPr>
          <w:trHeight w:hRule="exact" w:val="969"/>
        </w:trPr>
        <w:tc>
          <w:tcPr>
            <w:tcW w:w="9086" w:type="dxa"/>
            <w:tcBorders>
              <w:bottom w:val="single" w:sz="8" w:space="0" w:color="007A44"/>
            </w:tcBorders>
            <w:shd w:val="clear" w:color="auto" w:fill="FFFFFF"/>
            <w:vAlign w:val="center"/>
          </w:tcPr>
          <w:p w14:paraId="509F04AC" w14:textId="77777777" w:rsidR="00366CB9" w:rsidRPr="00911AD4" w:rsidRDefault="009D0C1D" w:rsidP="00911AD4">
            <w:pPr>
              <w:pStyle w:val="a6"/>
              <w:shd w:val="clear" w:color="auto" w:fill="auto"/>
              <w:spacing w:after="40" w:line="276" w:lineRule="auto"/>
              <w:rPr>
                <w:sz w:val="18"/>
                <w:szCs w:val="24"/>
              </w:rPr>
            </w:pPr>
            <w:r w:rsidRPr="00911AD4">
              <w:rPr>
                <w:b w:val="0"/>
                <w:color w:val="000000"/>
                <w:sz w:val="18"/>
                <w:szCs w:val="24"/>
              </w:rPr>
              <w:t>Вартість заявки на реєстрацію, за необхідності Вартість відрядження до регуляторного органу Процеси та вартість імпорту</w:t>
            </w:r>
          </w:p>
          <w:p w14:paraId="7F831764" w14:textId="77777777" w:rsidR="00366CB9" w:rsidRPr="00911AD4" w:rsidRDefault="009D0C1D" w:rsidP="00911AD4">
            <w:pPr>
              <w:pStyle w:val="a6"/>
              <w:shd w:val="clear" w:color="auto" w:fill="auto"/>
              <w:spacing w:line="276" w:lineRule="auto"/>
              <w:rPr>
                <w:sz w:val="18"/>
                <w:szCs w:val="24"/>
              </w:rPr>
            </w:pPr>
            <w:r w:rsidRPr="00911AD4">
              <w:rPr>
                <w:b w:val="0"/>
                <w:color w:val="000000"/>
                <w:sz w:val="18"/>
                <w:szCs w:val="24"/>
              </w:rPr>
              <w:t>Дослідження верифікації, за необхідності (зразки, реактиви та людські ресурси)</w:t>
            </w:r>
          </w:p>
        </w:tc>
      </w:tr>
      <w:tr w:rsidR="00366CB9" w:rsidRPr="00911AD4" w14:paraId="67423167" w14:textId="77777777" w:rsidTr="00911AD4">
        <w:trPr>
          <w:trHeight w:hRule="exact" w:val="595"/>
        </w:trPr>
        <w:tc>
          <w:tcPr>
            <w:tcW w:w="9086" w:type="dxa"/>
            <w:tcBorders>
              <w:top w:val="single" w:sz="8" w:space="0" w:color="007A44"/>
            </w:tcBorders>
            <w:shd w:val="clear" w:color="auto" w:fill="FFFFFF"/>
            <w:vAlign w:val="center"/>
          </w:tcPr>
          <w:p w14:paraId="2BF4BEA3" w14:textId="77777777" w:rsidR="00366CB9" w:rsidRPr="00911AD4" w:rsidRDefault="009D0C1D" w:rsidP="00911AD4">
            <w:pPr>
              <w:pStyle w:val="a6"/>
              <w:shd w:val="clear" w:color="auto" w:fill="auto"/>
              <w:spacing w:line="266" w:lineRule="auto"/>
              <w:rPr>
                <w:sz w:val="18"/>
                <w:szCs w:val="24"/>
              </w:rPr>
            </w:pPr>
            <w:r w:rsidRPr="00911AD4">
              <w:rPr>
                <w:b w:val="0"/>
                <w:color w:val="000000"/>
                <w:sz w:val="18"/>
                <w:szCs w:val="24"/>
              </w:rPr>
              <w:t>ПК: перевірка кваліфікації; ЗЯ: забезпечення якості; СОП: стандартна операційна процедура; ТРГ: технічна робоча група.</w:t>
            </w:r>
          </w:p>
        </w:tc>
      </w:tr>
    </w:tbl>
    <w:p w14:paraId="716E337A"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2BB9C136" w14:textId="77777777" w:rsidR="00366CB9" w:rsidRDefault="00366CB9" w:rsidP="00425523">
      <w:pPr>
        <w:spacing w:line="1" w:lineRule="exact"/>
      </w:pPr>
    </w:p>
    <w:p w14:paraId="1036120E" w14:textId="77777777" w:rsidR="00366CB9" w:rsidRDefault="009D0C1D" w:rsidP="00B3067A">
      <w:pPr>
        <w:pStyle w:val="11"/>
        <w:shd w:val="clear" w:color="auto" w:fill="auto"/>
        <w:spacing w:before="0" w:after="480" w:line="259" w:lineRule="auto"/>
      </w:pPr>
      <w:bookmarkStart w:id="208" w:name="bookmark206"/>
      <w:bookmarkStart w:id="209" w:name="bookmark207"/>
      <w:bookmarkStart w:id="210" w:name="bookmark205"/>
      <w:r>
        <w:t>Додаток 2. Методи тестування медикаментозної чутливості та критичні концентрації</w:t>
      </w:r>
      <w:bookmarkEnd w:id="208"/>
      <w:bookmarkEnd w:id="209"/>
      <w:bookmarkEnd w:id="210"/>
    </w:p>
    <w:p w14:paraId="055F69F9" w14:textId="77777777" w:rsidR="00366CB9" w:rsidRPr="00911AD4" w:rsidRDefault="009D0C1D" w:rsidP="00B3067A">
      <w:pPr>
        <w:pStyle w:val="1"/>
        <w:shd w:val="clear" w:color="auto" w:fill="auto"/>
        <w:spacing w:after="140" w:line="324" w:lineRule="auto"/>
        <w:jc w:val="both"/>
        <w:rPr>
          <w:sz w:val="18"/>
          <w:szCs w:val="18"/>
        </w:rPr>
      </w:pPr>
      <w:r w:rsidRPr="00911AD4">
        <w:rPr>
          <w:sz w:val="18"/>
          <w:szCs w:val="18"/>
        </w:rPr>
        <w:t xml:space="preserve">Методи культурального ТМЧ для певних протитуберкульозних препаратів є надійними та відтворюваними, але ці методи вимагають спеціальних лабораторних виробничих потужностей, кваліфікованого персоналу та дотримання контролю якості. У публікації </w:t>
      </w:r>
      <w:r w:rsidRPr="00911AD4">
        <w:rPr>
          <w:i/>
          <w:sz w:val="18"/>
          <w:szCs w:val="18"/>
        </w:rPr>
        <w:t>«Методологічне керівництво ВООЗ щодо тестування медикаментозної чутливості для лікарських засобів, що застосовуються при лікуванні туберкульозу» (</w:t>
      </w:r>
      <w:hyperlink w:anchor="bookmark209" w:tooltip="Поточний документ">
        <w:r w:rsidR="00366CB9" w:rsidRPr="00911AD4">
          <w:rPr>
            <w:i/>
            <w:sz w:val="18"/>
            <w:szCs w:val="18"/>
          </w:rPr>
          <w:t>1</w:t>
        </w:r>
      </w:hyperlink>
      <w:r w:rsidRPr="00911AD4">
        <w:rPr>
          <w:i/>
          <w:sz w:val="18"/>
          <w:szCs w:val="18"/>
        </w:rPr>
        <w:t xml:space="preserve">) </w:t>
      </w:r>
      <w:r w:rsidRPr="00911AD4">
        <w:rPr>
          <w:sz w:val="18"/>
          <w:szCs w:val="18"/>
        </w:rPr>
        <w:t xml:space="preserve">описані методи, середовища, джерела порошків лікарських засобів та критичні концентрації для проведення тестування медикаментозної чутливості (ТМЧ) комплексу </w:t>
      </w:r>
      <w:r w:rsidRPr="00911AD4">
        <w:rPr>
          <w:i/>
          <w:sz w:val="18"/>
          <w:szCs w:val="18"/>
        </w:rPr>
        <w:t xml:space="preserve">Mycobacterium tuberculosis </w:t>
      </w:r>
      <w:r w:rsidRPr="00911AD4">
        <w:rPr>
          <w:sz w:val="18"/>
          <w:szCs w:val="18"/>
        </w:rPr>
        <w:t>(ізоляти MTBC). У цьому документі описано лише непрямі процедури фенотипового ТМЧ для протитуберкульозних препаратів; вони включають агар Левенштайна-Єнсена, агар 7H10, агар 7H11 та бульйон 7H9 (прилад BACTEC Mycobacterial Growth Indicator Tube [MGIT]). У керівництві описано нещодавні зміни до критичних концентрацій для рифампіцину (</w:t>
      </w:r>
      <w:hyperlink w:anchor="bookmark209" w:tooltip="Поточний документ">
        <w:r w:rsidR="00366CB9" w:rsidRPr="00911AD4">
          <w:rPr>
            <w:sz w:val="18"/>
            <w:szCs w:val="18"/>
          </w:rPr>
          <w:t>2</w:t>
        </w:r>
      </w:hyperlink>
      <w:r w:rsidRPr="00911AD4">
        <w:rPr>
          <w:sz w:val="18"/>
          <w:szCs w:val="18"/>
        </w:rPr>
        <w:t>), а також нещодавно розроблені критичні концентрації для претоманіду та циклосерину (Вебдодаток B).</w:t>
      </w:r>
    </w:p>
    <w:p w14:paraId="3871227D" w14:textId="77777777" w:rsidR="00366CB9" w:rsidRPr="00911AD4" w:rsidRDefault="009D0C1D" w:rsidP="00B3067A">
      <w:pPr>
        <w:pStyle w:val="1"/>
        <w:shd w:val="clear" w:color="auto" w:fill="auto"/>
        <w:spacing w:after="140" w:line="326" w:lineRule="auto"/>
        <w:jc w:val="both"/>
        <w:rPr>
          <w:sz w:val="18"/>
          <w:szCs w:val="18"/>
        </w:rPr>
      </w:pPr>
      <w:r w:rsidRPr="00911AD4">
        <w:rPr>
          <w:sz w:val="18"/>
          <w:szCs w:val="18"/>
        </w:rPr>
        <w:t>Ключові теми у керівництві:</w:t>
      </w:r>
    </w:p>
    <w:p w14:paraId="6744F59E" w14:textId="3A632AC6" w:rsidR="00366CB9" w:rsidRPr="00911AD4" w:rsidRDefault="009D0C1D" w:rsidP="00911AD4">
      <w:pPr>
        <w:pStyle w:val="1"/>
        <w:shd w:val="clear" w:color="auto" w:fill="auto"/>
        <w:spacing w:line="326" w:lineRule="auto"/>
        <w:ind w:left="426" w:hanging="426"/>
        <w:jc w:val="both"/>
        <w:rPr>
          <w:sz w:val="18"/>
          <w:szCs w:val="18"/>
        </w:rPr>
      </w:pPr>
      <w:r w:rsidRPr="00911AD4">
        <w:rPr>
          <w:color w:val="019648"/>
          <w:sz w:val="18"/>
          <w:szCs w:val="18"/>
        </w:rPr>
        <w:t xml:space="preserve">• </w:t>
      </w:r>
      <w:r w:rsidR="00911AD4">
        <w:tab/>
      </w:r>
      <w:r w:rsidRPr="00911AD4">
        <w:rPr>
          <w:sz w:val="18"/>
          <w:szCs w:val="18"/>
        </w:rPr>
        <w:t>біологічна безпека;</w:t>
      </w:r>
    </w:p>
    <w:p w14:paraId="5B8F90EE" w14:textId="24A6F0C1" w:rsidR="00366CB9" w:rsidRPr="00911AD4" w:rsidRDefault="009D0C1D" w:rsidP="00911AD4">
      <w:pPr>
        <w:pStyle w:val="1"/>
        <w:shd w:val="clear" w:color="auto" w:fill="auto"/>
        <w:spacing w:line="326" w:lineRule="auto"/>
        <w:ind w:left="426" w:hanging="426"/>
        <w:jc w:val="both"/>
        <w:rPr>
          <w:sz w:val="18"/>
          <w:szCs w:val="18"/>
        </w:rPr>
      </w:pPr>
      <w:r w:rsidRPr="00911AD4">
        <w:rPr>
          <w:color w:val="019648"/>
          <w:sz w:val="18"/>
          <w:szCs w:val="18"/>
        </w:rPr>
        <w:t xml:space="preserve">• </w:t>
      </w:r>
      <w:r w:rsidR="00911AD4">
        <w:tab/>
      </w:r>
      <w:r w:rsidRPr="00911AD4">
        <w:rPr>
          <w:sz w:val="18"/>
          <w:szCs w:val="18"/>
        </w:rPr>
        <w:t>доказова база для визначення критичних концентрацій для ТМЧ;</w:t>
      </w:r>
    </w:p>
    <w:p w14:paraId="2DB7CED5" w14:textId="391FB54B" w:rsidR="00366CB9" w:rsidRPr="00911AD4" w:rsidRDefault="009D0C1D" w:rsidP="00911AD4">
      <w:pPr>
        <w:pStyle w:val="1"/>
        <w:shd w:val="clear" w:color="auto" w:fill="auto"/>
        <w:spacing w:line="326" w:lineRule="auto"/>
        <w:ind w:left="426" w:hanging="426"/>
        <w:jc w:val="both"/>
        <w:rPr>
          <w:sz w:val="18"/>
          <w:szCs w:val="18"/>
        </w:rPr>
      </w:pPr>
      <w:r w:rsidRPr="00911AD4">
        <w:rPr>
          <w:color w:val="019648"/>
          <w:sz w:val="18"/>
          <w:szCs w:val="18"/>
        </w:rPr>
        <w:t xml:space="preserve">• </w:t>
      </w:r>
      <w:r w:rsidR="00911AD4">
        <w:tab/>
      </w:r>
      <w:r w:rsidRPr="00911AD4">
        <w:rPr>
          <w:sz w:val="18"/>
          <w:szCs w:val="18"/>
        </w:rPr>
        <w:t>рекомендації щодо ТМЧ для протитуберкульозних препаратів першої лінії;</w:t>
      </w:r>
    </w:p>
    <w:p w14:paraId="7F868915" w14:textId="414BD8A7" w:rsidR="00366CB9" w:rsidRPr="00911AD4" w:rsidRDefault="009D0C1D" w:rsidP="00911AD4">
      <w:pPr>
        <w:pStyle w:val="1"/>
        <w:shd w:val="clear" w:color="auto" w:fill="auto"/>
        <w:spacing w:line="326" w:lineRule="auto"/>
        <w:ind w:left="426" w:hanging="426"/>
        <w:jc w:val="both"/>
        <w:rPr>
          <w:sz w:val="18"/>
          <w:szCs w:val="18"/>
        </w:rPr>
      </w:pPr>
      <w:r w:rsidRPr="00911AD4">
        <w:rPr>
          <w:color w:val="019648"/>
          <w:sz w:val="18"/>
          <w:szCs w:val="18"/>
        </w:rPr>
        <w:t xml:space="preserve">• </w:t>
      </w:r>
      <w:r w:rsidR="00911AD4">
        <w:tab/>
      </w:r>
      <w:r w:rsidRPr="00911AD4">
        <w:rPr>
          <w:sz w:val="18"/>
          <w:szCs w:val="18"/>
        </w:rPr>
        <w:t>рекомендації щодо ТМЧ для протитуберкульозних препаратів другої лінії;</w:t>
      </w:r>
    </w:p>
    <w:p w14:paraId="6745E44F" w14:textId="64EE9C87" w:rsidR="00366CB9" w:rsidRPr="00911AD4" w:rsidRDefault="009D0C1D" w:rsidP="00911AD4">
      <w:pPr>
        <w:pStyle w:val="1"/>
        <w:shd w:val="clear" w:color="auto" w:fill="auto"/>
        <w:spacing w:line="326" w:lineRule="auto"/>
        <w:ind w:left="426" w:hanging="426"/>
        <w:jc w:val="both"/>
        <w:rPr>
          <w:sz w:val="18"/>
          <w:szCs w:val="18"/>
        </w:rPr>
      </w:pPr>
      <w:r w:rsidRPr="00911AD4">
        <w:rPr>
          <w:color w:val="019648"/>
          <w:sz w:val="18"/>
          <w:szCs w:val="18"/>
        </w:rPr>
        <w:t xml:space="preserve">• </w:t>
      </w:r>
      <w:r w:rsidR="00911AD4">
        <w:tab/>
      </w:r>
      <w:r w:rsidRPr="00911AD4">
        <w:rPr>
          <w:sz w:val="18"/>
          <w:szCs w:val="18"/>
        </w:rPr>
        <w:t>тестування на виявлення чутливості до протитуберкульозних препаратів методом пропорцій на твердих середовищах (СЛЄ або агарове середовище Міддлбрука 7H10 або 7H11):</w:t>
      </w:r>
    </w:p>
    <w:p w14:paraId="7F54AA4C" w14:textId="1E308BAD" w:rsidR="00366CB9" w:rsidRPr="00911AD4" w:rsidRDefault="009D0C1D" w:rsidP="00911AD4">
      <w:pPr>
        <w:pStyle w:val="1"/>
        <w:shd w:val="clear" w:color="auto" w:fill="auto"/>
        <w:spacing w:line="326" w:lineRule="auto"/>
        <w:ind w:left="709" w:hanging="142"/>
        <w:rPr>
          <w:sz w:val="18"/>
          <w:szCs w:val="18"/>
        </w:rPr>
      </w:pPr>
      <w:r w:rsidRPr="00911AD4">
        <w:rPr>
          <w:color w:val="019648"/>
          <w:sz w:val="18"/>
          <w:szCs w:val="18"/>
        </w:rPr>
        <w:t xml:space="preserve">– </w:t>
      </w:r>
      <w:r w:rsidR="00911AD4">
        <w:tab/>
      </w:r>
      <w:r w:rsidRPr="00911AD4">
        <w:rPr>
          <w:sz w:val="18"/>
          <w:szCs w:val="18"/>
        </w:rPr>
        <w:t>протитуберкульозні препарати та критичні концентрації для тестування;</w:t>
      </w:r>
    </w:p>
    <w:p w14:paraId="6E16329F" w14:textId="00E537D0" w:rsidR="00366CB9" w:rsidRPr="00911AD4" w:rsidRDefault="009D0C1D" w:rsidP="00911AD4">
      <w:pPr>
        <w:pStyle w:val="1"/>
        <w:shd w:val="clear" w:color="auto" w:fill="auto"/>
        <w:spacing w:line="326" w:lineRule="auto"/>
        <w:ind w:left="709" w:hanging="142"/>
        <w:rPr>
          <w:sz w:val="18"/>
          <w:szCs w:val="18"/>
        </w:rPr>
      </w:pPr>
      <w:r w:rsidRPr="00911AD4">
        <w:rPr>
          <w:color w:val="019648"/>
          <w:sz w:val="18"/>
          <w:szCs w:val="18"/>
        </w:rPr>
        <w:t xml:space="preserve">– </w:t>
      </w:r>
      <w:r w:rsidR="00911AD4">
        <w:tab/>
      </w:r>
      <w:r w:rsidRPr="00911AD4">
        <w:rPr>
          <w:sz w:val="18"/>
          <w:szCs w:val="18"/>
        </w:rPr>
        <w:t>рекомендовані порошки лікарських засобів та приготування розчинів протитуберкульозних препаратів;</w:t>
      </w:r>
    </w:p>
    <w:p w14:paraId="64A0F844" w14:textId="7ED721AE" w:rsidR="00366CB9" w:rsidRPr="00911AD4" w:rsidRDefault="009D0C1D" w:rsidP="00911AD4">
      <w:pPr>
        <w:pStyle w:val="1"/>
        <w:shd w:val="clear" w:color="auto" w:fill="auto"/>
        <w:spacing w:line="326" w:lineRule="auto"/>
        <w:ind w:left="709" w:hanging="142"/>
        <w:rPr>
          <w:sz w:val="18"/>
          <w:szCs w:val="18"/>
        </w:rPr>
      </w:pPr>
      <w:r w:rsidRPr="00911AD4">
        <w:rPr>
          <w:color w:val="019648"/>
          <w:sz w:val="18"/>
          <w:szCs w:val="18"/>
        </w:rPr>
        <w:t xml:space="preserve">– </w:t>
      </w:r>
      <w:r w:rsidR="00911AD4">
        <w:tab/>
      </w:r>
      <w:r w:rsidRPr="00911AD4">
        <w:rPr>
          <w:sz w:val="18"/>
          <w:szCs w:val="18"/>
        </w:rPr>
        <w:t>приготування мікобактеріальної суспензії;</w:t>
      </w:r>
    </w:p>
    <w:p w14:paraId="0E61484F" w14:textId="5AEFD83E" w:rsidR="00366CB9" w:rsidRPr="00911AD4" w:rsidRDefault="009D0C1D" w:rsidP="00911AD4">
      <w:pPr>
        <w:pStyle w:val="1"/>
        <w:shd w:val="clear" w:color="auto" w:fill="auto"/>
        <w:spacing w:line="326" w:lineRule="auto"/>
        <w:ind w:left="709" w:hanging="142"/>
        <w:rPr>
          <w:sz w:val="18"/>
          <w:szCs w:val="18"/>
        </w:rPr>
      </w:pPr>
      <w:r w:rsidRPr="00911AD4">
        <w:rPr>
          <w:color w:val="019648"/>
          <w:sz w:val="18"/>
          <w:szCs w:val="18"/>
        </w:rPr>
        <w:t xml:space="preserve">– </w:t>
      </w:r>
      <w:r w:rsidR="00911AD4">
        <w:tab/>
      </w:r>
      <w:r w:rsidRPr="00911AD4">
        <w:rPr>
          <w:sz w:val="18"/>
          <w:szCs w:val="18"/>
        </w:rPr>
        <w:t>розведення суспензії та інокуляція середовища;</w:t>
      </w:r>
    </w:p>
    <w:p w14:paraId="451FBEFD" w14:textId="6D40F6CA" w:rsidR="00366CB9" w:rsidRPr="00911AD4" w:rsidRDefault="009D0C1D" w:rsidP="00911AD4">
      <w:pPr>
        <w:pStyle w:val="1"/>
        <w:shd w:val="clear" w:color="auto" w:fill="auto"/>
        <w:spacing w:line="326" w:lineRule="auto"/>
        <w:ind w:left="709" w:hanging="142"/>
        <w:rPr>
          <w:sz w:val="18"/>
          <w:szCs w:val="18"/>
        </w:rPr>
      </w:pPr>
      <w:r w:rsidRPr="00911AD4">
        <w:rPr>
          <w:color w:val="019648"/>
          <w:sz w:val="18"/>
          <w:szCs w:val="18"/>
        </w:rPr>
        <w:t xml:space="preserve">– </w:t>
      </w:r>
      <w:r w:rsidR="00911AD4">
        <w:tab/>
      </w:r>
      <w:r w:rsidRPr="00911AD4">
        <w:rPr>
          <w:sz w:val="18"/>
          <w:szCs w:val="18"/>
        </w:rPr>
        <w:t>тлумачення та звітування про результати;</w:t>
      </w:r>
    </w:p>
    <w:p w14:paraId="6DEEC3E7" w14:textId="55D6936E" w:rsidR="00366CB9" w:rsidRPr="00911AD4" w:rsidRDefault="009D0C1D" w:rsidP="00911AD4">
      <w:pPr>
        <w:pStyle w:val="1"/>
        <w:shd w:val="clear" w:color="auto" w:fill="auto"/>
        <w:spacing w:line="326" w:lineRule="auto"/>
        <w:ind w:left="709" w:hanging="142"/>
        <w:rPr>
          <w:sz w:val="18"/>
          <w:szCs w:val="18"/>
        </w:rPr>
      </w:pPr>
      <w:r w:rsidRPr="00911AD4">
        <w:rPr>
          <w:color w:val="019648"/>
          <w:sz w:val="18"/>
          <w:szCs w:val="18"/>
        </w:rPr>
        <w:t xml:space="preserve">– </w:t>
      </w:r>
      <w:r w:rsidR="00911AD4">
        <w:tab/>
      </w:r>
      <w:r w:rsidRPr="00911AD4">
        <w:rPr>
          <w:sz w:val="18"/>
          <w:szCs w:val="18"/>
        </w:rPr>
        <w:t>контроль якості;</w:t>
      </w:r>
    </w:p>
    <w:p w14:paraId="7BDE6682" w14:textId="66F7A4A8" w:rsidR="00366CB9" w:rsidRPr="00911AD4" w:rsidRDefault="009D0C1D" w:rsidP="00AD3F0D">
      <w:pPr>
        <w:pStyle w:val="1"/>
        <w:shd w:val="clear" w:color="auto" w:fill="auto"/>
        <w:tabs>
          <w:tab w:val="left" w:pos="426"/>
        </w:tabs>
        <w:spacing w:line="326" w:lineRule="auto"/>
        <w:ind w:left="426" w:hanging="426"/>
        <w:rPr>
          <w:sz w:val="18"/>
          <w:szCs w:val="18"/>
        </w:rPr>
      </w:pPr>
      <w:r w:rsidRPr="00911AD4">
        <w:rPr>
          <w:color w:val="019648"/>
          <w:sz w:val="18"/>
          <w:szCs w:val="18"/>
        </w:rPr>
        <w:t xml:space="preserve">• </w:t>
      </w:r>
      <w:r w:rsidR="00911AD4">
        <w:tab/>
      </w:r>
      <w:r w:rsidRPr="00911AD4">
        <w:rPr>
          <w:sz w:val="18"/>
          <w:szCs w:val="18"/>
        </w:rPr>
        <w:t>тестування на виявлення чутливості до протитуберкульозних препаратів за допомогою рідких середовищ (MGIT):</w:t>
      </w:r>
    </w:p>
    <w:p w14:paraId="1E0F7128" w14:textId="77777777" w:rsidR="00366CB9" w:rsidRPr="00911AD4" w:rsidRDefault="009D0C1D" w:rsidP="00AD3F0D">
      <w:pPr>
        <w:pStyle w:val="1"/>
        <w:shd w:val="clear" w:color="auto" w:fill="auto"/>
        <w:spacing w:line="326" w:lineRule="auto"/>
        <w:ind w:left="709" w:hanging="142"/>
        <w:rPr>
          <w:sz w:val="18"/>
          <w:szCs w:val="18"/>
        </w:rPr>
      </w:pPr>
      <w:r w:rsidRPr="00911AD4">
        <w:rPr>
          <w:color w:val="019648"/>
          <w:sz w:val="18"/>
          <w:szCs w:val="18"/>
        </w:rPr>
        <w:t xml:space="preserve">– </w:t>
      </w:r>
      <w:r w:rsidRPr="00911AD4">
        <w:rPr>
          <w:sz w:val="18"/>
          <w:szCs w:val="18"/>
        </w:rPr>
        <w:t>протитуберкульозні препарати та критичні концентрації для тестування;</w:t>
      </w:r>
    </w:p>
    <w:p w14:paraId="5174BC9C" w14:textId="77777777" w:rsidR="00366CB9" w:rsidRPr="00911AD4" w:rsidRDefault="009D0C1D" w:rsidP="00AD3F0D">
      <w:pPr>
        <w:pStyle w:val="1"/>
        <w:shd w:val="clear" w:color="auto" w:fill="auto"/>
        <w:spacing w:line="326" w:lineRule="auto"/>
        <w:ind w:left="709" w:hanging="142"/>
        <w:rPr>
          <w:sz w:val="18"/>
          <w:szCs w:val="18"/>
        </w:rPr>
      </w:pPr>
      <w:r w:rsidRPr="00911AD4">
        <w:rPr>
          <w:color w:val="019648"/>
          <w:sz w:val="18"/>
          <w:szCs w:val="18"/>
        </w:rPr>
        <w:t xml:space="preserve">– </w:t>
      </w:r>
      <w:r w:rsidRPr="00911AD4">
        <w:rPr>
          <w:sz w:val="18"/>
          <w:szCs w:val="18"/>
        </w:rPr>
        <w:t>рекомендовані порошки лікарських засобів та приготування розчинів протитуберкульозних препаратів;</w:t>
      </w:r>
    </w:p>
    <w:p w14:paraId="0674858A" w14:textId="77777777" w:rsidR="00366CB9" w:rsidRPr="00911AD4" w:rsidRDefault="009D0C1D" w:rsidP="00AD3F0D">
      <w:pPr>
        <w:pStyle w:val="1"/>
        <w:shd w:val="clear" w:color="auto" w:fill="auto"/>
        <w:spacing w:line="326" w:lineRule="auto"/>
        <w:ind w:left="709" w:hanging="142"/>
        <w:rPr>
          <w:sz w:val="18"/>
          <w:szCs w:val="18"/>
        </w:rPr>
      </w:pPr>
      <w:r w:rsidRPr="00911AD4">
        <w:rPr>
          <w:color w:val="019648"/>
          <w:sz w:val="18"/>
          <w:szCs w:val="18"/>
        </w:rPr>
        <w:t xml:space="preserve">– </w:t>
      </w:r>
      <w:r w:rsidRPr="00911AD4">
        <w:rPr>
          <w:sz w:val="18"/>
          <w:szCs w:val="18"/>
        </w:rPr>
        <w:t>підготовка мікобактеріального інокуляту;</w:t>
      </w:r>
    </w:p>
    <w:p w14:paraId="3F33C2F1" w14:textId="77777777" w:rsidR="00366CB9" w:rsidRPr="00911AD4" w:rsidRDefault="009D0C1D" w:rsidP="00AD3F0D">
      <w:pPr>
        <w:pStyle w:val="1"/>
        <w:shd w:val="clear" w:color="auto" w:fill="auto"/>
        <w:spacing w:line="326" w:lineRule="auto"/>
        <w:ind w:left="709" w:hanging="142"/>
        <w:rPr>
          <w:sz w:val="18"/>
          <w:szCs w:val="18"/>
        </w:rPr>
      </w:pPr>
      <w:r w:rsidRPr="00911AD4">
        <w:rPr>
          <w:color w:val="019648"/>
          <w:sz w:val="18"/>
          <w:szCs w:val="18"/>
        </w:rPr>
        <w:t xml:space="preserve">– </w:t>
      </w:r>
      <w:r w:rsidRPr="00911AD4">
        <w:rPr>
          <w:sz w:val="18"/>
          <w:szCs w:val="18"/>
        </w:rPr>
        <w:t>розведення суспензії та інокуляція рідкого середовища;</w:t>
      </w:r>
    </w:p>
    <w:p w14:paraId="3FCA8027" w14:textId="77777777" w:rsidR="00366CB9" w:rsidRPr="00911AD4" w:rsidRDefault="009D0C1D" w:rsidP="00AD3F0D">
      <w:pPr>
        <w:pStyle w:val="1"/>
        <w:shd w:val="clear" w:color="auto" w:fill="auto"/>
        <w:spacing w:line="326" w:lineRule="auto"/>
        <w:ind w:left="709" w:hanging="142"/>
        <w:rPr>
          <w:sz w:val="18"/>
          <w:szCs w:val="18"/>
        </w:rPr>
      </w:pPr>
      <w:r w:rsidRPr="00911AD4">
        <w:rPr>
          <w:color w:val="019648"/>
          <w:sz w:val="18"/>
          <w:szCs w:val="18"/>
        </w:rPr>
        <w:t xml:space="preserve">– </w:t>
      </w:r>
      <w:r w:rsidRPr="00911AD4">
        <w:rPr>
          <w:sz w:val="18"/>
          <w:szCs w:val="18"/>
        </w:rPr>
        <w:t>тлумачення та звітування про результати; та</w:t>
      </w:r>
    </w:p>
    <w:p w14:paraId="56A32186" w14:textId="77777777" w:rsidR="00366CB9" w:rsidRDefault="009D0C1D" w:rsidP="00AD3F0D">
      <w:pPr>
        <w:pStyle w:val="1"/>
        <w:shd w:val="clear" w:color="auto" w:fill="auto"/>
        <w:spacing w:after="140" w:line="326" w:lineRule="auto"/>
        <w:ind w:left="709" w:hanging="142"/>
      </w:pPr>
      <w:r>
        <w:rPr>
          <w:color w:val="019648"/>
        </w:rPr>
        <w:t xml:space="preserve">– </w:t>
      </w:r>
      <w:r>
        <w:t>контроль якості.</w:t>
      </w:r>
    </w:p>
    <w:p w14:paraId="4B49E4DA" w14:textId="77777777" w:rsidR="00366CB9" w:rsidRPr="00911AD4" w:rsidRDefault="009D0C1D" w:rsidP="00B3067A">
      <w:pPr>
        <w:pStyle w:val="1"/>
        <w:shd w:val="clear" w:color="auto" w:fill="auto"/>
        <w:spacing w:line="326" w:lineRule="auto"/>
        <w:rPr>
          <w:sz w:val="18"/>
          <w:szCs w:val="18"/>
        </w:rPr>
      </w:pPr>
      <w:r w:rsidRPr="00911AD4">
        <w:rPr>
          <w:sz w:val="18"/>
          <w:szCs w:val="18"/>
        </w:rPr>
        <w:t xml:space="preserve">Рекомендовані критичні концентрації для тестування протитуберкульозних препаратів представлені у </w:t>
      </w:r>
      <w:hyperlink w:anchor="bookmark31" w:tooltip="Поточний документ">
        <w:r w:rsidR="00366CB9" w:rsidRPr="00911AD4">
          <w:rPr>
            <w:b/>
            <w:sz w:val="18"/>
            <w:szCs w:val="18"/>
          </w:rPr>
          <w:t>Таблицях 2.2</w:t>
        </w:r>
      </w:hyperlink>
      <w:r w:rsidRPr="00911AD4">
        <w:rPr>
          <w:b/>
          <w:sz w:val="18"/>
          <w:szCs w:val="18"/>
        </w:rPr>
        <w:t xml:space="preserve"> </w:t>
      </w:r>
      <w:r w:rsidRPr="00911AD4">
        <w:rPr>
          <w:sz w:val="18"/>
          <w:szCs w:val="18"/>
        </w:rPr>
        <w:t xml:space="preserve">та </w:t>
      </w:r>
      <w:hyperlink w:anchor="bookmark35" w:tooltip="Поточний документ">
        <w:r w:rsidR="00366CB9" w:rsidRPr="00911AD4">
          <w:rPr>
            <w:b/>
            <w:sz w:val="18"/>
            <w:szCs w:val="18"/>
          </w:rPr>
          <w:t>2.3</w:t>
        </w:r>
      </w:hyperlink>
      <w:r w:rsidRPr="00911AD4">
        <w:rPr>
          <w:sz w:val="18"/>
          <w:szCs w:val="18"/>
        </w:rPr>
        <w:t xml:space="preserve"> у </w:t>
      </w:r>
      <w:hyperlink w:anchor="bookmark60" w:tooltip="Поточний документ">
        <w:r w:rsidR="00366CB9" w:rsidRPr="00911AD4">
          <w:rPr>
            <w:b/>
            <w:sz w:val="18"/>
            <w:szCs w:val="18"/>
          </w:rPr>
          <w:t>розділі 2.6</w:t>
        </w:r>
      </w:hyperlink>
      <w:r w:rsidRPr="00911AD4">
        <w:rPr>
          <w:sz w:val="18"/>
          <w:szCs w:val="18"/>
        </w:rPr>
        <w:t xml:space="preserve"> основного документу. У </w:t>
      </w:r>
      <w:hyperlink w:anchor="bookmark208" w:tooltip="Поточний документ">
        <w:r w:rsidR="00366CB9" w:rsidRPr="00911AD4">
          <w:rPr>
            <w:b/>
            <w:sz w:val="18"/>
            <w:szCs w:val="18"/>
          </w:rPr>
          <w:t>Таблиці A2.1</w:t>
        </w:r>
      </w:hyperlink>
      <w:r w:rsidRPr="00911AD4">
        <w:rPr>
          <w:sz w:val="18"/>
          <w:szCs w:val="18"/>
        </w:rPr>
        <w:t xml:space="preserve"> описані доступні чисті порошки та їхні джерела.</w:t>
      </w:r>
    </w:p>
    <w:p w14:paraId="6CDD4A7F" w14:textId="77777777" w:rsidR="00366CB9" w:rsidRDefault="009D0C1D" w:rsidP="00425523">
      <w:pPr>
        <w:spacing w:line="1" w:lineRule="exact"/>
        <w:sectPr w:rsidR="00366CB9" w:rsidSect="00B3067A">
          <w:footerReference w:type="default" r:id="rId311"/>
          <w:type w:val="nextColumn"/>
          <w:pgSz w:w="11913" w:h="16840"/>
          <w:pgMar w:top="2325" w:right="1378" w:bottom="851" w:left="1372" w:header="0" w:footer="6" w:gutter="0"/>
          <w:paperSrc w:first="15" w:other="15"/>
          <w:cols w:space="720"/>
          <w:noEndnote/>
          <w:docGrid w:linePitch="360"/>
        </w:sectPr>
      </w:pPr>
      <w:r>
        <w:rPr>
          <w:noProof/>
        </w:rPr>
        <w:drawing>
          <wp:anchor distT="0" distB="0" distL="0" distR="0" simplePos="0" relativeHeight="251429888" behindDoc="1" locked="0" layoutInCell="1" allowOverlap="1" wp14:anchorId="2BC5EA4C" wp14:editId="064C4A8E">
            <wp:simplePos x="0" y="0"/>
            <wp:positionH relativeFrom="page">
              <wp:align>left</wp:align>
            </wp:positionH>
            <wp:positionV relativeFrom="page">
              <wp:align>top</wp:align>
            </wp:positionV>
            <wp:extent cx="7560000" cy="1472400"/>
            <wp:effectExtent l="0" t="0" r="3175" b="0"/>
            <wp:wrapNone/>
            <wp:docPr id="132" name="Shape 132"/>
            <wp:cNvGraphicFramePr/>
            <a:graphic xmlns:a="http://schemas.openxmlformats.org/drawingml/2006/main">
              <a:graphicData uri="http://schemas.openxmlformats.org/drawingml/2006/picture">
                <pic:pic xmlns:pic="http://schemas.openxmlformats.org/drawingml/2006/picture">
                  <pic:nvPicPr>
                    <pic:cNvPr id="133" name="Picture box 133"/>
                    <pic:cNvPicPr/>
                  </pic:nvPicPr>
                  <pic:blipFill>
                    <a:blip r:embed="rId100"/>
                    <a:stretch/>
                  </pic:blipFill>
                  <pic:spPr>
                    <a:xfrm>
                      <a:off x="0" y="0"/>
                      <a:ext cx="7560000" cy="1472400"/>
                    </a:xfrm>
                    <a:prstGeom prst="rect">
                      <a:avLst/>
                    </a:prstGeom>
                  </pic:spPr>
                </pic:pic>
              </a:graphicData>
            </a:graphic>
            <wp14:sizeRelH relativeFrom="margin">
              <wp14:pctWidth>0</wp14:pctWidth>
            </wp14:sizeRelH>
            <wp14:sizeRelV relativeFrom="margin">
              <wp14:pctHeight>0</wp14:pctHeight>
            </wp14:sizeRelV>
          </wp:anchor>
        </w:drawing>
      </w:r>
    </w:p>
    <w:p w14:paraId="007FD909"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838"/>
        <w:gridCol w:w="3101"/>
        <w:gridCol w:w="2683"/>
        <w:gridCol w:w="1454"/>
        <w:gridCol w:w="2194"/>
        <w:gridCol w:w="1680"/>
        <w:gridCol w:w="1075"/>
      </w:tblGrid>
      <w:tr w:rsidR="00366CB9" w14:paraId="32A53971" w14:textId="77777777">
        <w:trPr>
          <w:trHeight w:hRule="exact" w:val="542"/>
        </w:trPr>
        <w:tc>
          <w:tcPr>
            <w:tcW w:w="14025" w:type="dxa"/>
            <w:gridSpan w:val="7"/>
            <w:shd w:val="clear" w:color="auto" w:fill="FFFFFF"/>
          </w:tcPr>
          <w:p w14:paraId="43B5DB27" w14:textId="77777777" w:rsidR="00366CB9" w:rsidRPr="00156AC1" w:rsidRDefault="009D0C1D" w:rsidP="00B3067A">
            <w:pPr>
              <w:pStyle w:val="a6"/>
              <w:shd w:val="clear" w:color="auto" w:fill="auto"/>
              <w:rPr>
                <w:sz w:val="24"/>
                <w:szCs w:val="24"/>
              </w:rPr>
            </w:pPr>
            <w:bookmarkStart w:id="211" w:name="bookmark208"/>
            <w:r>
              <w:rPr>
                <w:color w:val="636466"/>
                <w:sz w:val="24"/>
              </w:rPr>
              <w:t>Таблиця A2.1. Наявність чистих порошків від GDF та інших виробників</w:t>
            </w:r>
            <w:bookmarkEnd w:id="211"/>
          </w:p>
        </w:tc>
      </w:tr>
      <w:tr w:rsidR="00366CB9" w14:paraId="4E3C0656" w14:textId="77777777" w:rsidTr="0014192D">
        <w:trPr>
          <w:trHeight w:hRule="exact" w:val="259"/>
        </w:trPr>
        <w:tc>
          <w:tcPr>
            <w:tcW w:w="1838" w:type="dxa"/>
            <w:shd w:val="clear" w:color="auto" w:fill="62A86A"/>
            <w:vAlign w:val="center"/>
          </w:tcPr>
          <w:p w14:paraId="079973EE" w14:textId="77777777" w:rsidR="00366CB9" w:rsidRPr="0014192D" w:rsidRDefault="009D0C1D" w:rsidP="0014192D">
            <w:pPr>
              <w:pStyle w:val="a6"/>
              <w:shd w:val="clear" w:color="auto" w:fill="auto"/>
              <w:rPr>
                <w:sz w:val="14"/>
                <w:szCs w:val="14"/>
              </w:rPr>
            </w:pPr>
            <w:r w:rsidRPr="0014192D">
              <w:rPr>
                <w:color w:val="FFFFFF"/>
                <w:sz w:val="14"/>
                <w:szCs w:val="14"/>
              </w:rPr>
              <w:t>Лікарський засіб</w:t>
            </w:r>
          </w:p>
        </w:tc>
        <w:tc>
          <w:tcPr>
            <w:tcW w:w="3101" w:type="dxa"/>
            <w:shd w:val="clear" w:color="auto" w:fill="62A86A"/>
            <w:vAlign w:val="center"/>
          </w:tcPr>
          <w:p w14:paraId="250116B4" w14:textId="77777777" w:rsidR="00366CB9" w:rsidRPr="0014192D" w:rsidRDefault="009D0C1D" w:rsidP="0014192D">
            <w:pPr>
              <w:pStyle w:val="a6"/>
              <w:shd w:val="clear" w:color="auto" w:fill="auto"/>
              <w:rPr>
                <w:sz w:val="14"/>
                <w:szCs w:val="14"/>
              </w:rPr>
            </w:pPr>
            <w:r w:rsidRPr="0014192D">
              <w:rPr>
                <w:color w:val="FFFFFF"/>
                <w:sz w:val="14"/>
                <w:szCs w:val="14"/>
              </w:rPr>
              <w:t>Опис та компоненти</w:t>
            </w:r>
          </w:p>
        </w:tc>
        <w:tc>
          <w:tcPr>
            <w:tcW w:w="2683" w:type="dxa"/>
            <w:shd w:val="clear" w:color="auto" w:fill="62A86A"/>
            <w:vAlign w:val="center"/>
          </w:tcPr>
          <w:p w14:paraId="35D0B56F" w14:textId="77777777" w:rsidR="00366CB9" w:rsidRPr="0014192D" w:rsidRDefault="009D0C1D" w:rsidP="0014192D">
            <w:pPr>
              <w:pStyle w:val="a6"/>
              <w:shd w:val="clear" w:color="auto" w:fill="auto"/>
              <w:rPr>
                <w:sz w:val="14"/>
                <w:szCs w:val="14"/>
              </w:rPr>
            </w:pPr>
            <w:r w:rsidRPr="0014192D">
              <w:rPr>
                <w:color w:val="FFFFFF"/>
                <w:sz w:val="14"/>
                <w:szCs w:val="14"/>
              </w:rPr>
              <w:t>Виробник (номер за каталогом)</w:t>
            </w:r>
          </w:p>
        </w:tc>
        <w:tc>
          <w:tcPr>
            <w:tcW w:w="1454" w:type="dxa"/>
            <w:shd w:val="clear" w:color="auto" w:fill="62A86A"/>
            <w:vAlign w:val="center"/>
          </w:tcPr>
          <w:p w14:paraId="22CD2616" w14:textId="77777777" w:rsidR="00366CB9" w:rsidRPr="0014192D" w:rsidRDefault="009D0C1D" w:rsidP="0014192D">
            <w:pPr>
              <w:pStyle w:val="a6"/>
              <w:shd w:val="clear" w:color="auto" w:fill="auto"/>
              <w:rPr>
                <w:sz w:val="14"/>
                <w:szCs w:val="14"/>
              </w:rPr>
            </w:pPr>
            <w:r w:rsidRPr="0014192D">
              <w:rPr>
                <w:color w:val="FFFFFF"/>
                <w:sz w:val="14"/>
                <w:szCs w:val="14"/>
              </w:rPr>
              <w:t>Кількість</w:t>
            </w:r>
          </w:p>
        </w:tc>
        <w:tc>
          <w:tcPr>
            <w:tcW w:w="2194" w:type="dxa"/>
            <w:shd w:val="clear" w:color="auto" w:fill="62A86A"/>
            <w:vAlign w:val="center"/>
          </w:tcPr>
          <w:p w14:paraId="333AEDC3" w14:textId="77777777" w:rsidR="00366CB9" w:rsidRPr="0014192D" w:rsidRDefault="009D0C1D" w:rsidP="0014192D">
            <w:pPr>
              <w:pStyle w:val="a6"/>
              <w:shd w:val="clear" w:color="auto" w:fill="auto"/>
              <w:rPr>
                <w:sz w:val="14"/>
                <w:szCs w:val="14"/>
              </w:rPr>
            </w:pPr>
            <w:r w:rsidRPr="0014192D">
              <w:rPr>
                <w:color w:val="FFFFFF"/>
                <w:sz w:val="14"/>
                <w:szCs w:val="14"/>
              </w:rPr>
              <w:t>Номер за каталогом GDF</w:t>
            </w:r>
          </w:p>
        </w:tc>
        <w:tc>
          <w:tcPr>
            <w:tcW w:w="1680" w:type="dxa"/>
            <w:shd w:val="clear" w:color="auto" w:fill="62A86A"/>
            <w:vAlign w:val="center"/>
          </w:tcPr>
          <w:p w14:paraId="76C02E86" w14:textId="77777777" w:rsidR="00366CB9" w:rsidRPr="0014192D" w:rsidRDefault="009D0C1D" w:rsidP="0014192D">
            <w:pPr>
              <w:pStyle w:val="a6"/>
              <w:shd w:val="clear" w:color="auto" w:fill="auto"/>
              <w:rPr>
                <w:sz w:val="14"/>
                <w:szCs w:val="14"/>
              </w:rPr>
            </w:pPr>
            <w:r w:rsidRPr="0014192D">
              <w:rPr>
                <w:color w:val="FFFFFF"/>
                <w:sz w:val="14"/>
                <w:szCs w:val="14"/>
              </w:rPr>
              <w:t>Кількість у GDF</w:t>
            </w:r>
          </w:p>
        </w:tc>
        <w:tc>
          <w:tcPr>
            <w:tcW w:w="1075" w:type="dxa"/>
            <w:shd w:val="clear" w:color="auto" w:fill="62A86A"/>
            <w:vAlign w:val="center"/>
          </w:tcPr>
          <w:p w14:paraId="45C5BEF8" w14:textId="77777777" w:rsidR="00366CB9" w:rsidRPr="0014192D" w:rsidRDefault="009D0C1D" w:rsidP="0014192D">
            <w:pPr>
              <w:pStyle w:val="a6"/>
              <w:shd w:val="clear" w:color="auto" w:fill="auto"/>
              <w:rPr>
                <w:sz w:val="14"/>
                <w:szCs w:val="14"/>
              </w:rPr>
            </w:pPr>
            <w:r w:rsidRPr="0014192D">
              <w:rPr>
                <w:color w:val="FFFFFF"/>
                <w:sz w:val="14"/>
                <w:szCs w:val="14"/>
              </w:rPr>
              <w:t>Зберігання</w:t>
            </w:r>
          </w:p>
        </w:tc>
      </w:tr>
      <w:tr w:rsidR="00366CB9" w14:paraId="6CE1AFB6" w14:textId="77777777" w:rsidTr="0014192D">
        <w:trPr>
          <w:trHeight w:hRule="exact" w:val="240"/>
        </w:trPr>
        <w:tc>
          <w:tcPr>
            <w:tcW w:w="1838" w:type="dxa"/>
            <w:tcBorders>
              <w:bottom w:val="single" w:sz="8" w:space="0" w:color="00B050"/>
            </w:tcBorders>
            <w:shd w:val="clear" w:color="auto" w:fill="FFFFFF"/>
          </w:tcPr>
          <w:p w14:paraId="6FCBEDB3" w14:textId="77777777" w:rsidR="00366CB9" w:rsidRPr="0014192D" w:rsidRDefault="009D0C1D" w:rsidP="0014192D">
            <w:pPr>
              <w:pStyle w:val="a6"/>
              <w:shd w:val="clear" w:color="auto" w:fill="auto"/>
              <w:rPr>
                <w:sz w:val="14"/>
                <w:szCs w:val="14"/>
              </w:rPr>
            </w:pPr>
            <w:r w:rsidRPr="0014192D">
              <w:rPr>
                <w:b w:val="0"/>
                <w:color w:val="000000"/>
                <w:sz w:val="14"/>
                <w:szCs w:val="14"/>
              </w:rPr>
              <w:t>Левофлоксацин</w:t>
            </w:r>
          </w:p>
        </w:tc>
        <w:tc>
          <w:tcPr>
            <w:tcW w:w="3101" w:type="dxa"/>
            <w:tcBorders>
              <w:bottom w:val="single" w:sz="8" w:space="0" w:color="00B050"/>
            </w:tcBorders>
            <w:shd w:val="clear" w:color="auto" w:fill="FFFFFF"/>
          </w:tcPr>
          <w:p w14:paraId="7D6AF1C5" w14:textId="77777777" w:rsidR="00366CB9" w:rsidRPr="0014192D" w:rsidRDefault="009D0C1D" w:rsidP="0014192D">
            <w:pPr>
              <w:pStyle w:val="a6"/>
              <w:shd w:val="clear" w:color="auto" w:fill="auto"/>
              <w:rPr>
                <w:sz w:val="14"/>
                <w:szCs w:val="14"/>
              </w:rPr>
            </w:pPr>
            <w:r w:rsidRPr="0014192D">
              <w:rPr>
                <w:b w:val="0"/>
                <w:color w:val="000000"/>
                <w:sz w:val="14"/>
                <w:szCs w:val="14"/>
              </w:rPr>
              <w:t>&gt; 98 % ВЕРХ</w:t>
            </w:r>
          </w:p>
        </w:tc>
        <w:tc>
          <w:tcPr>
            <w:tcW w:w="2683" w:type="dxa"/>
            <w:tcBorders>
              <w:bottom w:val="single" w:sz="8" w:space="0" w:color="00B050"/>
            </w:tcBorders>
            <w:shd w:val="clear" w:color="auto" w:fill="FFFFFF"/>
          </w:tcPr>
          <w:p w14:paraId="0ACA1B9D" w14:textId="77777777" w:rsidR="00366CB9" w:rsidRPr="0014192D" w:rsidRDefault="009D0C1D" w:rsidP="0014192D">
            <w:pPr>
              <w:pStyle w:val="a6"/>
              <w:shd w:val="clear" w:color="auto" w:fill="auto"/>
              <w:rPr>
                <w:sz w:val="14"/>
                <w:szCs w:val="14"/>
              </w:rPr>
            </w:pPr>
            <w:r w:rsidRPr="0014192D">
              <w:rPr>
                <w:b w:val="0"/>
                <w:color w:val="000000"/>
                <w:sz w:val="14"/>
                <w:szCs w:val="14"/>
              </w:rPr>
              <w:t>Sigma-Aldrich (28266-IG-F)</w:t>
            </w:r>
          </w:p>
        </w:tc>
        <w:tc>
          <w:tcPr>
            <w:tcW w:w="1454" w:type="dxa"/>
            <w:tcBorders>
              <w:bottom w:val="single" w:sz="8" w:space="0" w:color="00B050"/>
            </w:tcBorders>
            <w:shd w:val="clear" w:color="auto" w:fill="FFFFFF"/>
          </w:tcPr>
          <w:p w14:paraId="0692120E" w14:textId="77777777" w:rsidR="00366CB9" w:rsidRPr="0014192D" w:rsidRDefault="009D0C1D" w:rsidP="0014192D">
            <w:pPr>
              <w:pStyle w:val="a6"/>
              <w:shd w:val="clear" w:color="auto" w:fill="auto"/>
              <w:rPr>
                <w:sz w:val="14"/>
                <w:szCs w:val="14"/>
              </w:rPr>
            </w:pPr>
            <w:r w:rsidRPr="0014192D">
              <w:rPr>
                <w:b w:val="0"/>
                <w:color w:val="000000"/>
                <w:sz w:val="14"/>
                <w:szCs w:val="14"/>
              </w:rPr>
              <w:t>1 г</w:t>
            </w:r>
          </w:p>
        </w:tc>
        <w:tc>
          <w:tcPr>
            <w:tcW w:w="2194" w:type="dxa"/>
            <w:tcBorders>
              <w:bottom w:val="single" w:sz="8" w:space="0" w:color="00B050"/>
            </w:tcBorders>
            <w:shd w:val="clear" w:color="auto" w:fill="FFFFFF"/>
          </w:tcPr>
          <w:p w14:paraId="2CCB6985" w14:textId="77777777" w:rsidR="00366CB9" w:rsidRPr="0014192D" w:rsidRDefault="009D0C1D" w:rsidP="0014192D">
            <w:pPr>
              <w:pStyle w:val="a6"/>
              <w:shd w:val="clear" w:color="auto" w:fill="auto"/>
              <w:rPr>
                <w:sz w:val="14"/>
                <w:szCs w:val="14"/>
              </w:rPr>
            </w:pPr>
            <w:r w:rsidRPr="0014192D">
              <w:rPr>
                <w:b w:val="0"/>
                <w:color w:val="000000"/>
                <w:sz w:val="14"/>
                <w:szCs w:val="14"/>
              </w:rPr>
              <w:t>106560</w:t>
            </w:r>
          </w:p>
        </w:tc>
        <w:tc>
          <w:tcPr>
            <w:tcW w:w="1680" w:type="dxa"/>
            <w:tcBorders>
              <w:bottom w:val="single" w:sz="8" w:space="0" w:color="00B050"/>
            </w:tcBorders>
            <w:shd w:val="clear" w:color="auto" w:fill="FFFFFF"/>
          </w:tcPr>
          <w:p w14:paraId="129BE345" w14:textId="77777777" w:rsidR="00366CB9" w:rsidRPr="0014192D" w:rsidRDefault="009D0C1D" w:rsidP="0014192D">
            <w:pPr>
              <w:pStyle w:val="a6"/>
              <w:shd w:val="clear" w:color="auto" w:fill="auto"/>
              <w:rPr>
                <w:sz w:val="14"/>
                <w:szCs w:val="14"/>
              </w:rPr>
            </w:pPr>
            <w:r w:rsidRPr="0014192D">
              <w:rPr>
                <w:b w:val="0"/>
                <w:color w:val="000000"/>
                <w:sz w:val="14"/>
                <w:szCs w:val="14"/>
              </w:rPr>
              <w:t>1 г</w:t>
            </w:r>
          </w:p>
        </w:tc>
        <w:tc>
          <w:tcPr>
            <w:tcW w:w="1075" w:type="dxa"/>
            <w:tcBorders>
              <w:bottom w:val="single" w:sz="8" w:space="0" w:color="00B050"/>
            </w:tcBorders>
            <w:shd w:val="clear" w:color="auto" w:fill="FFFFFF"/>
          </w:tcPr>
          <w:p w14:paraId="016A7A47" w14:textId="77777777" w:rsidR="00366CB9" w:rsidRPr="0014192D" w:rsidRDefault="009D0C1D" w:rsidP="0014192D">
            <w:pPr>
              <w:pStyle w:val="a6"/>
              <w:shd w:val="clear" w:color="auto" w:fill="auto"/>
              <w:rPr>
                <w:sz w:val="14"/>
                <w:szCs w:val="14"/>
              </w:rPr>
            </w:pPr>
            <w:r w:rsidRPr="0014192D">
              <w:rPr>
                <w:b w:val="0"/>
                <w:color w:val="000000"/>
                <w:sz w:val="14"/>
                <w:szCs w:val="14"/>
              </w:rPr>
              <w:t>КТ</w:t>
            </w:r>
          </w:p>
        </w:tc>
      </w:tr>
      <w:tr w:rsidR="00366CB9" w14:paraId="1ECAAA6A" w14:textId="77777777" w:rsidTr="0014192D">
        <w:trPr>
          <w:trHeight w:hRule="exact" w:val="432"/>
        </w:trPr>
        <w:tc>
          <w:tcPr>
            <w:tcW w:w="1838" w:type="dxa"/>
            <w:tcBorders>
              <w:top w:val="single" w:sz="8" w:space="0" w:color="00B050"/>
              <w:bottom w:val="single" w:sz="8" w:space="0" w:color="00B050"/>
            </w:tcBorders>
            <w:shd w:val="clear" w:color="auto" w:fill="FFFFFF"/>
          </w:tcPr>
          <w:p w14:paraId="291EC29E" w14:textId="77777777" w:rsidR="00366CB9" w:rsidRPr="0014192D" w:rsidRDefault="009D0C1D" w:rsidP="0014192D">
            <w:pPr>
              <w:pStyle w:val="a6"/>
              <w:shd w:val="clear" w:color="auto" w:fill="auto"/>
              <w:rPr>
                <w:sz w:val="14"/>
                <w:szCs w:val="14"/>
              </w:rPr>
            </w:pPr>
            <w:r w:rsidRPr="0014192D">
              <w:rPr>
                <w:b w:val="0"/>
                <w:color w:val="000000"/>
                <w:sz w:val="14"/>
                <w:szCs w:val="14"/>
              </w:rPr>
              <w:t>Моксифлоксацин BACTEC</w:t>
            </w:r>
          </w:p>
          <w:p w14:paraId="1C1D0330" w14:textId="77777777" w:rsidR="00366CB9" w:rsidRPr="0014192D" w:rsidRDefault="009D0C1D" w:rsidP="0014192D">
            <w:pPr>
              <w:pStyle w:val="a6"/>
              <w:shd w:val="clear" w:color="auto" w:fill="auto"/>
              <w:spacing w:line="230" w:lineRule="auto"/>
              <w:rPr>
                <w:sz w:val="14"/>
                <w:szCs w:val="14"/>
              </w:rPr>
            </w:pPr>
            <w:r w:rsidRPr="0014192D">
              <w:rPr>
                <w:b w:val="0"/>
                <w:color w:val="000000"/>
                <w:sz w:val="14"/>
                <w:szCs w:val="14"/>
              </w:rPr>
              <w:t>Флакон MGIT</w:t>
            </w:r>
          </w:p>
        </w:tc>
        <w:tc>
          <w:tcPr>
            <w:tcW w:w="3101" w:type="dxa"/>
            <w:tcBorders>
              <w:top w:val="single" w:sz="8" w:space="0" w:color="00B050"/>
              <w:bottom w:val="single" w:sz="8" w:space="0" w:color="00B050"/>
            </w:tcBorders>
            <w:shd w:val="clear" w:color="auto" w:fill="FFFFFF"/>
          </w:tcPr>
          <w:p w14:paraId="20100F79" w14:textId="77777777" w:rsidR="00366CB9" w:rsidRPr="0014192D" w:rsidRDefault="009D0C1D" w:rsidP="0014192D">
            <w:pPr>
              <w:pStyle w:val="a6"/>
              <w:shd w:val="clear" w:color="auto" w:fill="auto"/>
              <w:rPr>
                <w:sz w:val="14"/>
                <w:szCs w:val="14"/>
              </w:rPr>
            </w:pPr>
            <w:r w:rsidRPr="0014192D">
              <w:rPr>
                <w:b w:val="0"/>
                <w:color w:val="000000"/>
                <w:sz w:val="14"/>
                <w:szCs w:val="14"/>
              </w:rPr>
              <w:t>Моксифлоксацину гідрохлорид 249 мкг/флакон</w:t>
            </w:r>
          </w:p>
        </w:tc>
        <w:tc>
          <w:tcPr>
            <w:tcW w:w="2683" w:type="dxa"/>
            <w:tcBorders>
              <w:top w:val="single" w:sz="8" w:space="0" w:color="00B050"/>
              <w:bottom w:val="single" w:sz="8" w:space="0" w:color="00B050"/>
            </w:tcBorders>
            <w:shd w:val="clear" w:color="auto" w:fill="FFFFFF"/>
          </w:tcPr>
          <w:p w14:paraId="232E4FED" w14:textId="77777777" w:rsidR="00366CB9" w:rsidRPr="0014192D" w:rsidRDefault="009D0C1D" w:rsidP="0014192D">
            <w:pPr>
              <w:pStyle w:val="a6"/>
              <w:shd w:val="clear" w:color="auto" w:fill="auto"/>
              <w:rPr>
                <w:sz w:val="14"/>
                <w:szCs w:val="14"/>
              </w:rPr>
            </w:pPr>
            <w:r w:rsidRPr="0014192D">
              <w:rPr>
                <w:b w:val="0"/>
                <w:color w:val="000000"/>
                <w:sz w:val="14"/>
                <w:szCs w:val="14"/>
              </w:rPr>
              <w:t>Номер BD: 215404</w:t>
            </w:r>
          </w:p>
        </w:tc>
        <w:tc>
          <w:tcPr>
            <w:tcW w:w="1454" w:type="dxa"/>
            <w:tcBorders>
              <w:top w:val="single" w:sz="8" w:space="0" w:color="00B050"/>
              <w:bottom w:val="single" w:sz="8" w:space="0" w:color="00B050"/>
            </w:tcBorders>
            <w:shd w:val="clear" w:color="auto" w:fill="FFFFFF"/>
          </w:tcPr>
          <w:p w14:paraId="42BD0F10" w14:textId="77777777" w:rsidR="00366CB9" w:rsidRPr="0014192D" w:rsidRDefault="009D0C1D" w:rsidP="0014192D">
            <w:pPr>
              <w:pStyle w:val="a6"/>
              <w:shd w:val="clear" w:color="auto" w:fill="auto"/>
              <w:spacing w:line="233" w:lineRule="auto"/>
              <w:rPr>
                <w:sz w:val="14"/>
                <w:szCs w:val="14"/>
              </w:rPr>
            </w:pPr>
            <w:r w:rsidRPr="0014192D">
              <w:rPr>
                <w:b w:val="0"/>
                <w:color w:val="000000"/>
                <w:sz w:val="14"/>
                <w:szCs w:val="14"/>
              </w:rPr>
              <w:t>6 флаконів по 249 мкг</w:t>
            </w:r>
          </w:p>
        </w:tc>
        <w:tc>
          <w:tcPr>
            <w:tcW w:w="2194" w:type="dxa"/>
            <w:tcBorders>
              <w:top w:val="single" w:sz="8" w:space="0" w:color="00B050"/>
              <w:bottom w:val="single" w:sz="8" w:space="0" w:color="00B050"/>
            </w:tcBorders>
            <w:shd w:val="clear" w:color="auto" w:fill="FFFFFF"/>
          </w:tcPr>
          <w:p w14:paraId="69F7BC17" w14:textId="77777777" w:rsidR="00366CB9" w:rsidRPr="0014192D" w:rsidRDefault="009D0C1D" w:rsidP="0014192D">
            <w:pPr>
              <w:pStyle w:val="a6"/>
              <w:shd w:val="clear" w:color="auto" w:fill="auto"/>
              <w:rPr>
                <w:sz w:val="14"/>
                <w:szCs w:val="14"/>
              </w:rPr>
            </w:pPr>
            <w:r w:rsidRPr="0014192D">
              <w:rPr>
                <w:b w:val="0"/>
                <w:color w:val="000000"/>
                <w:sz w:val="14"/>
                <w:szCs w:val="14"/>
              </w:rPr>
              <w:t>106975</w:t>
            </w:r>
          </w:p>
        </w:tc>
        <w:tc>
          <w:tcPr>
            <w:tcW w:w="1680" w:type="dxa"/>
            <w:tcBorders>
              <w:top w:val="single" w:sz="8" w:space="0" w:color="00B050"/>
              <w:bottom w:val="single" w:sz="8" w:space="0" w:color="00B050"/>
            </w:tcBorders>
            <w:shd w:val="clear" w:color="auto" w:fill="FFFFFF"/>
          </w:tcPr>
          <w:p w14:paraId="5FF7B20B" w14:textId="77777777" w:rsidR="00366CB9" w:rsidRPr="0014192D" w:rsidRDefault="009D0C1D" w:rsidP="0014192D">
            <w:pPr>
              <w:pStyle w:val="a6"/>
              <w:shd w:val="clear" w:color="auto" w:fill="auto"/>
              <w:spacing w:line="233" w:lineRule="auto"/>
              <w:rPr>
                <w:sz w:val="14"/>
                <w:szCs w:val="14"/>
              </w:rPr>
            </w:pPr>
            <w:r w:rsidRPr="0014192D">
              <w:rPr>
                <w:b w:val="0"/>
                <w:color w:val="000000"/>
                <w:sz w:val="14"/>
                <w:szCs w:val="14"/>
              </w:rPr>
              <w:t>6 флаконів по 249 мкг</w:t>
            </w:r>
          </w:p>
        </w:tc>
        <w:tc>
          <w:tcPr>
            <w:tcW w:w="1075" w:type="dxa"/>
            <w:tcBorders>
              <w:top w:val="single" w:sz="8" w:space="0" w:color="00B050"/>
              <w:bottom w:val="single" w:sz="8" w:space="0" w:color="00B050"/>
            </w:tcBorders>
            <w:shd w:val="clear" w:color="auto" w:fill="FFFFFF"/>
          </w:tcPr>
          <w:p w14:paraId="3C763B38" w14:textId="77777777" w:rsidR="00366CB9" w:rsidRPr="0014192D" w:rsidRDefault="009D0C1D" w:rsidP="0014192D">
            <w:pPr>
              <w:pStyle w:val="a6"/>
              <w:shd w:val="clear" w:color="auto" w:fill="auto"/>
              <w:rPr>
                <w:sz w:val="14"/>
                <w:szCs w:val="14"/>
              </w:rPr>
            </w:pPr>
            <w:r w:rsidRPr="0014192D">
              <w:rPr>
                <w:b w:val="0"/>
                <w:color w:val="000000"/>
                <w:sz w:val="14"/>
                <w:szCs w:val="14"/>
              </w:rPr>
              <w:t>2-8 °C</w:t>
            </w:r>
          </w:p>
        </w:tc>
      </w:tr>
      <w:tr w:rsidR="00366CB9" w14:paraId="2944EA42" w14:textId="77777777" w:rsidTr="0014192D">
        <w:trPr>
          <w:trHeight w:hRule="exact" w:val="518"/>
        </w:trPr>
        <w:tc>
          <w:tcPr>
            <w:tcW w:w="1838" w:type="dxa"/>
            <w:tcBorders>
              <w:top w:val="single" w:sz="8" w:space="0" w:color="00B050"/>
              <w:bottom w:val="single" w:sz="8" w:space="0" w:color="00B050"/>
            </w:tcBorders>
            <w:shd w:val="clear" w:color="auto" w:fill="FFFFFF"/>
          </w:tcPr>
          <w:p w14:paraId="5FF85A88" w14:textId="77777777" w:rsidR="00366CB9" w:rsidRPr="0014192D" w:rsidRDefault="009D0C1D" w:rsidP="0014192D">
            <w:pPr>
              <w:pStyle w:val="a6"/>
              <w:shd w:val="clear" w:color="auto" w:fill="auto"/>
              <w:rPr>
                <w:sz w:val="14"/>
                <w:szCs w:val="14"/>
              </w:rPr>
            </w:pPr>
            <w:r w:rsidRPr="0014192D">
              <w:rPr>
                <w:b w:val="0"/>
                <w:color w:val="000000"/>
                <w:sz w:val="14"/>
                <w:szCs w:val="14"/>
              </w:rPr>
              <w:t>Бедаквілін</w:t>
            </w:r>
          </w:p>
        </w:tc>
        <w:tc>
          <w:tcPr>
            <w:tcW w:w="3101" w:type="dxa"/>
            <w:tcBorders>
              <w:top w:val="single" w:sz="8" w:space="0" w:color="00B050"/>
              <w:bottom w:val="single" w:sz="8" w:space="0" w:color="00B050"/>
            </w:tcBorders>
            <w:shd w:val="clear" w:color="auto" w:fill="FFFFFF"/>
          </w:tcPr>
          <w:p w14:paraId="55B5EBD2" w14:textId="77777777" w:rsidR="00366CB9" w:rsidRPr="0014192D" w:rsidRDefault="009D0C1D" w:rsidP="0014192D">
            <w:pPr>
              <w:pStyle w:val="a6"/>
              <w:shd w:val="clear" w:color="auto" w:fill="auto"/>
              <w:spacing w:after="40"/>
              <w:rPr>
                <w:sz w:val="14"/>
                <w:szCs w:val="14"/>
              </w:rPr>
            </w:pPr>
            <w:r w:rsidRPr="0014192D">
              <w:rPr>
                <w:b w:val="0"/>
                <w:color w:val="000000"/>
                <w:sz w:val="14"/>
                <w:szCs w:val="14"/>
              </w:rPr>
              <w:t>Бедаквіліну фумарат</w:t>
            </w:r>
          </w:p>
          <w:p w14:paraId="3F24BE04" w14:textId="77777777" w:rsidR="00366CB9" w:rsidRPr="0014192D" w:rsidRDefault="009D0C1D" w:rsidP="0014192D">
            <w:pPr>
              <w:pStyle w:val="a6"/>
              <w:shd w:val="clear" w:color="auto" w:fill="auto"/>
              <w:rPr>
                <w:sz w:val="14"/>
                <w:szCs w:val="14"/>
              </w:rPr>
            </w:pPr>
            <w:r w:rsidRPr="0014192D">
              <w:rPr>
                <w:b w:val="0"/>
                <w:color w:val="000000"/>
                <w:sz w:val="14"/>
                <w:szCs w:val="14"/>
              </w:rPr>
              <w:t>12 мг солі BDQ фумарату в перерахунку на</w:t>
            </w:r>
          </w:p>
          <w:p w14:paraId="7F9A7A6A" w14:textId="77777777" w:rsidR="00366CB9" w:rsidRPr="0014192D" w:rsidRDefault="009D0C1D" w:rsidP="0014192D">
            <w:pPr>
              <w:pStyle w:val="a6"/>
              <w:shd w:val="clear" w:color="auto" w:fill="auto"/>
              <w:rPr>
                <w:sz w:val="14"/>
                <w:szCs w:val="14"/>
              </w:rPr>
            </w:pPr>
            <w:r w:rsidRPr="0014192D">
              <w:rPr>
                <w:b w:val="0"/>
                <w:color w:val="000000"/>
                <w:sz w:val="14"/>
                <w:szCs w:val="14"/>
              </w:rPr>
              <w:t>10 мг основи BDQ</w:t>
            </w:r>
          </w:p>
        </w:tc>
        <w:tc>
          <w:tcPr>
            <w:tcW w:w="2683" w:type="dxa"/>
            <w:tcBorders>
              <w:top w:val="single" w:sz="8" w:space="0" w:color="00B050"/>
              <w:bottom w:val="single" w:sz="8" w:space="0" w:color="00B050"/>
            </w:tcBorders>
            <w:shd w:val="clear" w:color="auto" w:fill="FFFFFF"/>
          </w:tcPr>
          <w:p w14:paraId="645721FA" w14:textId="77777777" w:rsidR="00366CB9" w:rsidRPr="0014192D" w:rsidRDefault="009D0C1D" w:rsidP="0014192D">
            <w:pPr>
              <w:pStyle w:val="a6"/>
              <w:shd w:val="clear" w:color="auto" w:fill="auto"/>
              <w:rPr>
                <w:sz w:val="14"/>
                <w:szCs w:val="14"/>
              </w:rPr>
            </w:pPr>
            <w:r w:rsidRPr="0014192D">
              <w:rPr>
                <w:b w:val="0"/>
                <w:color w:val="000000"/>
                <w:sz w:val="14"/>
                <w:szCs w:val="14"/>
              </w:rPr>
              <w:t>Доступно (безкоштовно)</w:t>
            </w:r>
            <w:r w:rsidRPr="0014192D">
              <w:rPr>
                <w:b w:val="0"/>
                <w:color w:val="000000"/>
                <w:sz w:val="14"/>
                <w:szCs w:val="14"/>
                <w:vertAlign w:val="superscript"/>
              </w:rPr>
              <w:t xml:space="preserve">a </w:t>
            </w:r>
            <w:r w:rsidRPr="0014192D">
              <w:rPr>
                <w:b w:val="0"/>
                <w:color w:val="000000"/>
                <w:sz w:val="14"/>
                <w:szCs w:val="14"/>
              </w:rPr>
              <w:t>у BEI Resources</w:t>
            </w:r>
            <w:r w:rsidRPr="0014192D">
              <w:rPr>
                <w:b w:val="0"/>
                <w:color w:val="000000"/>
                <w:sz w:val="14"/>
                <w:szCs w:val="14"/>
                <w:vertAlign w:val="superscript"/>
              </w:rPr>
              <w:t>b</w:t>
            </w:r>
          </w:p>
        </w:tc>
        <w:tc>
          <w:tcPr>
            <w:tcW w:w="1454" w:type="dxa"/>
            <w:tcBorders>
              <w:top w:val="single" w:sz="8" w:space="0" w:color="00B050"/>
              <w:bottom w:val="single" w:sz="8" w:space="0" w:color="00B050"/>
            </w:tcBorders>
            <w:shd w:val="clear" w:color="auto" w:fill="FFFFFF"/>
          </w:tcPr>
          <w:p w14:paraId="7DBF5C31" w14:textId="77777777" w:rsidR="00366CB9" w:rsidRPr="0014192D" w:rsidRDefault="009D0C1D" w:rsidP="0014192D">
            <w:pPr>
              <w:pStyle w:val="a6"/>
              <w:shd w:val="clear" w:color="auto" w:fill="auto"/>
              <w:rPr>
                <w:sz w:val="14"/>
                <w:szCs w:val="14"/>
              </w:rPr>
            </w:pPr>
            <w:r w:rsidRPr="0014192D">
              <w:rPr>
                <w:b w:val="0"/>
                <w:color w:val="000000"/>
                <w:sz w:val="14"/>
                <w:szCs w:val="14"/>
              </w:rPr>
              <w:t>20 мг</w:t>
            </w:r>
          </w:p>
        </w:tc>
        <w:tc>
          <w:tcPr>
            <w:tcW w:w="2194" w:type="dxa"/>
            <w:tcBorders>
              <w:top w:val="single" w:sz="8" w:space="0" w:color="00B050"/>
              <w:bottom w:val="single" w:sz="8" w:space="0" w:color="00B050"/>
            </w:tcBorders>
            <w:shd w:val="clear" w:color="auto" w:fill="FFFFFF"/>
          </w:tcPr>
          <w:p w14:paraId="3140C4FA" w14:textId="77777777" w:rsidR="00366CB9" w:rsidRPr="0014192D" w:rsidRDefault="009D0C1D" w:rsidP="0014192D">
            <w:pPr>
              <w:pStyle w:val="a6"/>
              <w:shd w:val="clear" w:color="auto" w:fill="auto"/>
              <w:rPr>
                <w:sz w:val="14"/>
                <w:szCs w:val="14"/>
              </w:rPr>
            </w:pPr>
            <w:r w:rsidRPr="0014192D">
              <w:rPr>
                <w:b w:val="0"/>
                <w:color w:val="000000"/>
                <w:sz w:val="14"/>
                <w:szCs w:val="14"/>
              </w:rPr>
              <w:t>Не застосовується</w:t>
            </w:r>
          </w:p>
        </w:tc>
        <w:tc>
          <w:tcPr>
            <w:tcW w:w="1680" w:type="dxa"/>
            <w:tcBorders>
              <w:top w:val="single" w:sz="8" w:space="0" w:color="00B050"/>
              <w:bottom w:val="single" w:sz="8" w:space="0" w:color="00B050"/>
            </w:tcBorders>
            <w:shd w:val="clear" w:color="auto" w:fill="FFFFFF"/>
          </w:tcPr>
          <w:p w14:paraId="1CD18A5B" w14:textId="77777777" w:rsidR="00366CB9" w:rsidRPr="0014192D" w:rsidRDefault="009D0C1D" w:rsidP="0014192D">
            <w:pPr>
              <w:pStyle w:val="a6"/>
              <w:shd w:val="clear" w:color="auto" w:fill="auto"/>
              <w:rPr>
                <w:sz w:val="14"/>
                <w:szCs w:val="14"/>
              </w:rPr>
            </w:pPr>
            <w:r w:rsidRPr="0014192D">
              <w:rPr>
                <w:b w:val="0"/>
                <w:color w:val="000000"/>
                <w:sz w:val="14"/>
                <w:szCs w:val="14"/>
              </w:rPr>
              <w:t>Не застосовується</w:t>
            </w:r>
          </w:p>
        </w:tc>
        <w:tc>
          <w:tcPr>
            <w:tcW w:w="1075" w:type="dxa"/>
            <w:tcBorders>
              <w:top w:val="single" w:sz="8" w:space="0" w:color="00B050"/>
              <w:bottom w:val="single" w:sz="8" w:space="0" w:color="00B050"/>
            </w:tcBorders>
            <w:shd w:val="clear" w:color="auto" w:fill="FFFFFF"/>
          </w:tcPr>
          <w:p w14:paraId="2DB58F3D" w14:textId="77777777" w:rsidR="00366CB9" w:rsidRPr="0014192D" w:rsidRDefault="009D0C1D" w:rsidP="0014192D">
            <w:pPr>
              <w:pStyle w:val="a6"/>
              <w:shd w:val="clear" w:color="auto" w:fill="auto"/>
              <w:rPr>
                <w:sz w:val="14"/>
                <w:szCs w:val="14"/>
              </w:rPr>
            </w:pPr>
            <w:r w:rsidRPr="0014192D">
              <w:rPr>
                <w:b w:val="0"/>
                <w:color w:val="000000"/>
                <w:sz w:val="14"/>
                <w:szCs w:val="14"/>
              </w:rPr>
              <w:t>КТ</w:t>
            </w:r>
          </w:p>
        </w:tc>
      </w:tr>
      <w:tr w:rsidR="00366CB9" w14:paraId="2C7451F4" w14:textId="77777777" w:rsidTr="0014192D">
        <w:trPr>
          <w:trHeight w:hRule="exact" w:val="677"/>
        </w:trPr>
        <w:tc>
          <w:tcPr>
            <w:tcW w:w="1838" w:type="dxa"/>
            <w:tcBorders>
              <w:top w:val="single" w:sz="8" w:space="0" w:color="00B050"/>
              <w:bottom w:val="single" w:sz="8" w:space="0" w:color="00B050"/>
            </w:tcBorders>
            <w:shd w:val="clear" w:color="auto" w:fill="FFFFFF"/>
          </w:tcPr>
          <w:p w14:paraId="53DBAA4F" w14:textId="77777777" w:rsidR="00366CB9" w:rsidRPr="0014192D" w:rsidRDefault="009D0C1D" w:rsidP="0014192D">
            <w:pPr>
              <w:pStyle w:val="a6"/>
              <w:shd w:val="clear" w:color="auto" w:fill="auto"/>
              <w:rPr>
                <w:sz w:val="14"/>
                <w:szCs w:val="14"/>
              </w:rPr>
            </w:pPr>
            <w:r w:rsidRPr="0014192D">
              <w:rPr>
                <w:b w:val="0"/>
                <w:color w:val="000000"/>
                <w:sz w:val="14"/>
                <w:szCs w:val="14"/>
              </w:rPr>
              <w:t>Бедаквілін BACTEC</w:t>
            </w:r>
          </w:p>
          <w:p w14:paraId="2D218BB7" w14:textId="77777777" w:rsidR="00366CB9" w:rsidRPr="0014192D" w:rsidRDefault="009D0C1D" w:rsidP="0014192D">
            <w:pPr>
              <w:pStyle w:val="a6"/>
              <w:shd w:val="clear" w:color="auto" w:fill="auto"/>
              <w:spacing w:line="230" w:lineRule="auto"/>
              <w:rPr>
                <w:sz w:val="14"/>
                <w:szCs w:val="14"/>
              </w:rPr>
            </w:pPr>
            <w:r w:rsidRPr="0014192D">
              <w:rPr>
                <w:b w:val="0"/>
                <w:color w:val="000000"/>
                <w:sz w:val="14"/>
                <w:szCs w:val="14"/>
              </w:rPr>
              <w:t>Флакон MGIT</w:t>
            </w:r>
          </w:p>
        </w:tc>
        <w:tc>
          <w:tcPr>
            <w:tcW w:w="3101" w:type="dxa"/>
            <w:tcBorders>
              <w:top w:val="single" w:sz="8" w:space="0" w:color="00B050"/>
              <w:bottom w:val="single" w:sz="8" w:space="0" w:color="00B050"/>
            </w:tcBorders>
            <w:shd w:val="clear" w:color="auto" w:fill="FFFFFF"/>
          </w:tcPr>
          <w:p w14:paraId="7AF9BE59" w14:textId="77777777" w:rsidR="00366CB9" w:rsidRPr="0014192D" w:rsidRDefault="009D0C1D" w:rsidP="0014192D">
            <w:pPr>
              <w:pStyle w:val="a6"/>
              <w:shd w:val="clear" w:color="auto" w:fill="auto"/>
              <w:spacing w:after="40"/>
              <w:rPr>
                <w:sz w:val="14"/>
                <w:szCs w:val="14"/>
              </w:rPr>
            </w:pPr>
            <w:r w:rsidRPr="0014192D">
              <w:rPr>
                <w:b w:val="0"/>
                <w:color w:val="000000"/>
                <w:sz w:val="14"/>
                <w:szCs w:val="14"/>
              </w:rPr>
              <w:t>Бедаквіліну фумарат</w:t>
            </w:r>
          </w:p>
          <w:p w14:paraId="5A08587D" w14:textId="77777777" w:rsidR="00366CB9" w:rsidRPr="0014192D" w:rsidRDefault="009D0C1D" w:rsidP="0014192D">
            <w:pPr>
              <w:pStyle w:val="a6"/>
              <w:shd w:val="clear" w:color="auto" w:fill="auto"/>
              <w:rPr>
                <w:sz w:val="14"/>
                <w:szCs w:val="14"/>
              </w:rPr>
            </w:pPr>
            <w:r w:rsidRPr="0014192D">
              <w:rPr>
                <w:b w:val="0"/>
                <w:color w:val="000000"/>
                <w:sz w:val="14"/>
                <w:szCs w:val="14"/>
              </w:rPr>
              <w:t>170 мкг (активний); фіколл (неактивний).</w:t>
            </w:r>
          </w:p>
          <w:p w14:paraId="0D378C81" w14:textId="77777777" w:rsidR="00366CB9" w:rsidRPr="0014192D" w:rsidRDefault="009D0C1D" w:rsidP="0014192D">
            <w:pPr>
              <w:pStyle w:val="a6"/>
              <w:shd w:val="clear" w:color="auto" w:fill="auto"/>
              <w:spacing w:line="230" w:lineRule="auto"/>
              <w:rPr>
                <w:sz w:val="14"/>
                <w:szCs w:val="14"/>
              </w:rPr>
            </w:pPr>
            <w:r w:rsidRPr="0014192D">
              <w:rPr>
                <w:b w:val="0"/>
                <w:color w:val="000000"/>
                <w:sz w:val="14"/>
                <w:szCs w:val="14"/>
              </w:rPr>
              <w:t>Вміст флакону, розчинний у 2 мл DMSO</w:t>
            </w:r>
          </w:p>
        </w:tc>
        <w:tc>
          <w:tcPr>
            <w:tcW w:w="2683" w:type="dxa"/>
            <w:tcBorders>
              <w:top w:val="single" w:sz="8" w:space="0" w:color="00B050"/>
              <w:bottom w:val="single" w:sz="8" w:space="0" w:color="00B050"/>
            </w:tcBorders>
            <w:shd w:val="clear" w:color="auto" w:fill="FFFFFF"/>
          </w:tcPr>
          <w:p w14:paraId="2715E338" w14:textId="77777777" w:rsidR="00366CB9" w:rsidRPr="0014192D" w:rsidRDefault="009D0C1D" w:rsidP="0014192D">
            <w:pPr>
              <w:pStyle w:val="a6"/>
              <w:shd w:val="clear" w:color="auto" w:fill="auto"/>
              <w:rPr>
                <w:sz w:val="14"/>
                <w:szCs w:val="14"/>
              </w:rPr>
            </w:pPr>
            <w:r w:rsidRPr="0014192D">
              <w:rPr>
                <w:b w:val="0"/>
                <w:color w:val="000000"/>
                <w:sz w:val="14"/>
                <w:szCs w:val="14"/>
              </w:rPr>
              <w:t>Номер BD: 215449</w:t>
            </w:r>
          </w:p>
        </w:tc>
        <w:tc>
          <w:tcPr>
            <w:tcW w:w="1454" w:type="dxa"/>
            <w:tcBorders>
              <w:top w:val="single" w:sz="8" w:space="0" w:color="00B050"/>
              <w:bottom w:val="single" w:sz="8" w:space="0" w:color="00B050"/>
            </w:tcBorders>
            <w:shd w:val="clear" w:color="auto" w:fill="FFFFFF"/>
          </w:tcPr>
          <w:p w14:paraId="0DBA9138" w14:textId="77777777" w:rsidR="00366CB9" w:rsidRPr="0014192D" w:rsidRDefault="009D0C1D" w:rsidP="0014192D">
            <w:pPr>
              <w:pStyle w:val="a6"/>
              <w:shd w:val="clear" w:color="auto" w:fill="auto"/>
              <w:rPr>
                <w:sz w:val="14"/>
                <w:szCs w:val="14"/>
              </w:rPr>
            </w:pPr>
            <w:r w:rsidRPr="0014192D">
              <w:rPr>
                <w:b w:val="0"/>
                <w:color w:val="000000"/>
                <w:sz w:val="14"/>
                <w:szCs w:val="14"/>
              </w:rPr>
              <w:t>170 мкг (2 флакони)</w:t>
            </w:r>
          </w:p>
        </w:tc>
        <w:tc>
          <w:tcPr>
            <w:tcW w:w="2194" w:type="dxa"/>
            <w:tcBorders>
              <w:top w:val="single" w:sz="8" w:space="0" w:color="00B050"/>
              <w:bottom w:val="single" w:sz="8" w:space="0" w:color="00B050"/>
            </w:tcBorders>
            <w:shd w:val="clear" w:color="auto" w:fill="FFFFFF"/>
          </w:tcPr>
          <w:p w14:paraId="4961DBD2" w14:textId="77777777" w:rsidR="00366CB9" w:rsidRPr="0014192D" w:rsidRDefault="009D0C1D" w:rsidP="0014192D">
            <w:pPr>
              <w:pStyle w:val="a6"/>
              <w:shd w:val="clear" w:color="auto" w:fill="auto"/>
              <w:rPr>
                <w:sz w:val="14"/>
                <w:szCs w:val="14"/>
              </w:rPr>
            </w:pPr>
            <w:r w:rsidRPr="0014192D">
              <w:rPr>
                <w:b w:val="0"/>
                <w:color w:val="000000"/>
                <w:sz w:val="14"/>
                <w:szCs w:val="14"/>
              </w:rPr>
              <w:t>106976</w:t>
            </w:r>
          </w:p>
        </w:tc>
        <w:tc>
          <w:tcPr>
            <w:tcW w:w="1680" w:type="dxa"/>
            <w:tcBorders>
              <w:top w:val="single" w:sz="8" w:space="0" w:color="00B050"/>
              <w:bottom w:val="single" w:sz="8" w:space="0" w:color="00B050"/>
            </w:tcBorders>
            <w:shd w:val="clear" w:color="auto" w:fill="FFFFFF"/>
          </w:tcPr>
          <w:p w14:paraId="4A3AF642" w14:textId="77777777" w:rsidR="00366CB9" w:rsidRPr="0014192D" w:rsidRDefault="009D0C1D" w:rsidP="0014192D">
            <w:pPr>
              <w:pStyle w:val="a6"/>
              <w:shd w:val="clear" w:color="auto" w:fill="auto"/>
              <w:rPr>
                <w:sz w:val="14"/>
                <w:szCs w:val="14"/>
              </w:rPr>
            </w:pPr>
            <w:r w:rsidRPr="0014192D">
              <w:rPr>
                <w:b w:val="0"/>
                <w:color w:val="000000"/>
                <w:sz w:val="14"/>
                <w:szCs w:val="14"/>
              </w:rPr>
              <w:t>2 флакони об’ємом 170 мкг</w:t>
            </w:r>
          </w:p>
        </w:tc>
        <w:tc>
          <w:tcPr>
            <w:tcW w:w="1075" w:type="dxa"/>
            <w:tcBorders>
              <w:top w:val="single" w:sz="8" w:space="0" w:color="00B050"/>
              <w:bottom w:val="single" w:sz="8" w:space="0" w:color="00B050"/>
            </w:tcBorders>
            <w:shd w:val="clear" w:color="auto" w:fill="FFFFFF"/>
          </w:tcPr>
          <w:p w14:paraId="53061C30" w14:textId="77777777" w:rsidR="00366CB9" w:rsidRPr="0014192D" w:rsidRDefault="009D0C1D" w:rsidP="0014192D">
            <w:pPr>
              <w:pStyle w:val="a6"/>
              <w:shd w:val="clear" w:color="auto" w:fill="auto"/>
              <w:rPr>
                <w:sz w:val="14"/>
                <w:szCs w:val="14"/>
              </w:rPr>
            </w:pPr>
            <w:r w:rsidRPr="0014192D">
              <w:rPr>
                <w:b w:val="0"/>
                <w:color w:val="000000"/>
                <w:sz w:val="14"/>
                <w:szCs w:val="14"/>
              </w:rPr>
              <w:t>2-8 °C</w:t>
            </w:r>
          </w:p>
        </w:tc>
      </w:tr>
      <w:tr w:rsidR="00366CB9" w14:paraId="26F0504F" w14:textId="77777777" w:rsidTr="0014192D">
        <w:trPr>
          <w:trHeight w:hRule="exact" w:val="792"/>
        </w:trPr>
        <w:tc>
          <w:tcPr>
            <w:tcW w:w="1838" w:type="dxa"/>
            <w:tcBorders>
              <w:top w:val="single" w:sz="8" w:space="0" w:color="00B050"/>
              <w:bottom w:val="single" w:sz="8" w:space="0" w:color="00B050"/>
            </w:tcBorders>
            <w:shd w:val="clear" w:color="auto" w:fill="FFFFFF"/>
          </w:tcPr>
          <w:p w14:paraId="0578C26E" w14:textId="77777777" w:rsidR="00366CB9" w:rsidRPr="0014192D" w:rsidRDefault="009D0C1D" w:rsidP="0014192D">
            <w:pPr>
              <w:pStyle w:val="a6"/>
              <w:shd w:val="clear" w:color="auto" w:fill="auto"/>
              <w:rPr>
                <w:sz w:val="14"/>
                <w:szCs w:val="14"/>
              </w:rPr>
            </w:pPr>
            <w:r w:rsidRPr="0014192D">
              <w:rPr>
                <w:b w:val="0"/>
                <w:color w:val="000000"/>
                <w:sz w:val="14"/>
                <w:szCs w:val="14"/>
              </w:rPr>
              <w:t>Етіонамід</w:t>
            </w:r>
          </w:p>
        </w:tc>
        <w:tc>
          <w:tcPr>
            <w:tcW w:w="3101" w:type="dxa"/>
            <w:tcBorders>
              <w:top w:val="single" w:sz="8" w:space="0" w:color="00B050"/>
              <w:bottom w:val="single" w:sz="8" w:space="0" w:color="00B050"/>
            </w:tcBorders>
            <w:shd w:val="clear" w:color="auto" w:fill="FFFFFF"/>
          </w:tcPr>
          <w:p w14:paraId="04C79FB3" w14:textId="77777777" w:rsidR="00366CB9" w:rsidRPr="0014192D" w:rsidRDefault="009D0C1D" w:rsidP="0014192D">
            <w:pPr>
              <w:pStyle w:val="a6"/>
              <w:shd w:val="clear" w:color="auto" w:fill="auto"/>
              <w:rPr>
                <w:sz w:val="14"/>
                <w:szCs w:val="14"/>
              </w:rPr>
            </w:pPr>
            <w:r w:rsidRPr="0014192D">
              <w:rPr>
                <w:b w:val="0"/>
                <w:color w:val="000000"/>
                <w:sz w:val="14"/>
                <w:szCs w:val="14"/>
              </w:rPr>
              <w:t>830 мкг (активний); фіколл (неактивний) Вміст флакону, розчинний у 4 мл стерильної, дистильованої води</w:t>
            </w:r>
          </w:p>
        </w:tc>
        <w:tc>
          <w:tcPr>
            <w:tcW w:w="2683" w:type="dxa"/>
            <w:tcBorders>
              <w:top w:val="single" w:sz="8" w:space="0" w:color="00B050"/>
              <w:bottom w:val="single" w:sz="8" w:space="0" w:color="00B050"/>
            </w:tcBorders>
            <w:shd w:val="clear" w:color="auto" w:fill="FFFFFF"/>
          </w:tcPr>
          <w:p w14:paraId="7946502B" w14:textId="77777777" w:rsidR="00366CB9" w:rsidRPr="0014192D" w:rsidRDefault="009D0C1D" w:rsidP="0014192D">
            <w:pPr>
              <w:pStyle w:val="a6"/>
              <w:shd w:val="clear" w:color="auto" w:fill="auto"/>
              <w:rPr>
                <w:sz w:val="14"/>
                <w:szCs w:val="14"/>
              </w:rPr>
            </w:pPr>
            <w:r w:rsidRPr="0014192D">
              <w:rPr>
                <w:b w:val="0"/>
                <w:color w:val="000000"/>
                <w:sz w:val="14"/>
                <w:szCs w:val="14"/>
              </w:rPr>
              <w:t>Номер BD: 215355</w:t>
            </w:r>
          </w:p>
        </w:tc>
        <w:tc>
          <w:tcPr>
            <w:tcW w:w="1454" w:type="dxa"/>
            <w:tcBorders>
              <w:top w:val="single" w:sz="8" w:space="0" w:color="00B050"/>
              <w:bottom w:val="single" w:sz="8" w:space="0" w:color="00B050"/>
            </w:tcBorders>
            <w:shd w:val="clear" w:color="auto" w:fill="FFFFFF"/>
          </w:tcPr>
          <w:p w14:paraId="197E8007" w14:textId="77777777" w:rsidR="00366CB9" w:rsidRPr="0014192D" w:rsidRDefault="009D0C1D" w:rsidP="0014192D">
            <w:pPr>
              <w:pStyle w:val="a6"/>
              <w:shd w:val="clear" w:color="auto" w:fill="auto"/>
              <w:rPr>
                <w:sz w:val="14"/>
                <w:szCs w:val="14"/>
              </w:rPr>
            </w:pPr>
            <w:r w:rsidRPr="0014192D">
              <w:rPr>
                <w:b w:val="0"/>
                <w:color w:val="000000"/>
                <w:sz w:val="14"/>
                <w:szCs w:val="14"/>
              </w:rPr>
              <w:t>830 мкг (6 флаконів)</w:t>
            </w:r>
          </w:p>
        </w:tc>
        <w:tc>
          <w:tcPr>
            <w:tcW w:w="2194" w:type="dxa"/>
            <w:tcBorders>
              <w:top w:val="single" w:sz="8" w:space="0" w:color="00B050"/>
              <w:bottom w:val="single" w:sz="8" w:space="0" w:color="00B050"/>
            </w:tcBorders>
            <w:shd w:val="clear" w:color="auto" w:fill="FFFFFF"/>
          </w:tcPr>
          <w:p w14:paraId="25025081" w14:textId="77777777" w:rsidR="00366CB9" w:rsidRPr="0014192D" w:rsidRDefault="009D0C1D" w:rsidP="0014192D">
            <w:pPr>
              <w:pStyle w:val="a6"/>
              <w:shd w:val="clear" w:color="auto" w:fill="auto"/>
              <w:rPr>
                <w:sz w:val="14"/>
                <w:szCs w:val="14"/>
              </w:rPr>
            </w:pPr>
            <w:r w:rsidRPr="0014192D">
              <w:rPr>
                <w:b w:val="0"/>
                <w:color w:val="000000"/>
                <w:sz w:val="14"/>
                <w:szCs w:val="14"/>
              </w:rPr>
              <w:t>Див. каталог GDF або зв’яжіться з GDF або виробником для отримання додаткової інформації</w:t>
            </w:r>
          </w:p>
        </w:tc>
        <w:tc>
          <w:tcPr>
            <w:tcW w:w="1680" w:type="dxa"/>
            <w:tcBorders>
              <w:top w:val="single" w:sz="8" w:space="0" w:color="00B050"/>
              <w:bottom w:val="single" w:sz="8" w:space="0" w:color="00B050"/>
            </w:tcBorders>
            <w:shd w:val="clear" w:color="auto" w:fill="FFFFFF"/>
          </w:tcPr>
          <w:p w14:paraId="64D73509" w14:textId="77777777" w:rsidR="00366CB9" w:rsidRPr="0014192D" w:rsidRDefault="009D0C1D" w:rsidP="0014192D">
            <w:pPr>
              <w:pStyle w:val="a6"/>
              <w:shd w:val="clear" w:color="auto" w:fill="auto"/>
              <w:rPr>
                <w:sz w:val="14"/>
                <w:szCs w:val="14"/>
              </w:rPr>
            </w:pPr>
            <w:r w:rsidRPr="0014192D">
              <w:rPr>
                <w:b w:val="0"/>
                <w:color w:val="000000"/>
                <w:sz w:val="14"/>
                <w:szCs w:val="14"/>
              </w:rPr>
              <w:t>Зв’яжіться з GDF або BD</w:t>
            </w:r>
          </w:p>
        </w:tc>
        <w:tc>
          <w:tcPr>
            <w:tcW w:w="1075" w:type="dxa"/>
            <w:tcBorders>
              <w:top w:val="single" w:sz="8" w:space="0" w:color="00B050"/>
              <w:bottom w:val="single" w:sz="8" w:space="0" w:color="00B050"/>
            </w:tcBorders>
            <w:shd w:val="clear" w:color="auto" w:fill="FFFFFF"/>
          </w:tcPr>
          <w:p w14:paraId="2F1A81BF" w14:textId="77777777" w:rsidR="00366CB9" w:rsidRPr="0014192D" w:rsidRDefault="009D0C1D" w:rsidP="0014192D">
            <w:pPr>
              <w:pStyle w:val="a6"/>
              <w:shd w:val="clear" w:color="auto" w:fill="auto"/>
              <w:rPr>
                <w:sz w:val="14"/>
                <w:szCs w:val="14"/>
              </w:rPr>
            </w:pPr>
            <w:r w:rsidRPr="0014192D">
              <w:rPr>
                <w:b w:val="0"/>
                <w:color w:val="000000"/>
                <w:sz w:val="14"/>
                <w:szCs w:val="14"/>
              </w:rPr>
              <w:t>2-8 °C</w:t>
            </w:r>
          </w:p>
        </w:tc>
      </w:tr>
      <w:tr w:rsidR="00366CB9" w14:paraId="403D8AB0" w14:textId="77777777" w:rsidTr="0014192D">
        <w:trPr>
          <w:trHeight w:hRule="exact" w:val="250"/>
        </w:trPr>
        <w:tc>
          <w:tcPr>
            <w:tcW w:w="1838" w:type="dxa"/>
            <w:tcBorders>
              <w:top w:val="single" w:sz="8" w:space="0" w:color="00B050"/>
              <w:bottom w:val="single" w:sz="8" w:space="0" w:color="00B050"/>
            </w:tcBorders>
            <w:shd w:val="clear" w:color="auto" w:fill="FFFFFF"/>
          </w:tcPr>
          <w:p w14:paraId="6C45AAF5" w14:textId="77777777" w:rsidR="00366CB9" w:rsidRPr="0014192D" w:rsidRDefault="00366CB9" w:rsidP="0014192D">
            <w:pPr>
              <w:rPr>
                <w:sz w:val="14"/>
                <w:szCs w:val="14"/>
              </w:rPr>
            </w:pPr>
          </w:p>
        </w:tc>
        <w:tc>
          <w:tcPr>
            <w:tcW w:w="3101" w:type="dxa"/>
            <w:tcBorders>
              <w:top w:val="single" w:sz="8" w:space="0" w:color="00B050"/>
              <w:bottom w:val="single" w:sz="8" w:space="0" w:color="00B050"/>
            </w:tcBorders>
            <w:shd w:val="clear" w:color="auto" w:fill="FFFFFF"/>
          </w:tcPr>
          <w:p w14:paraId="47BC650D" w14:textId="77777777" w:rsidR="00366CB9" w:rsidRPr="0014192D" w:rsidRDefault="009D0C1D" w:rsidP="0014192D">
            <w:pPr>
              <w:pStyle w:val="a6"/>
              <w:shd w:val="clear" w:color="auto" w:fill="auto"/>
              <w:rPr>
                <w:sz w:val="14"/>
                <w:szCs w:val="14"/>
              </w:rPr>
            </w:pPr>
            <w:r w:rsidRPr="0014192D">
              <w:rPr>
                <w:b w:val="0"/>
                <w:color w:val="000000"/>
                <w:sz w:val="14"/>
                <w:szCs w:val="14"/>
              </w:rPr>
              <w:t>Чиста субстанція</w:t>
            </w:r>
          </w:p>
        </w:tc>
        <w:tc>
          <w:tcPr>
            <w:tcW w:w="2683" w:type="dxa"/>
            <w:tcBorders>
              <w:top w:val="single" w:sz="8" w:space="0" w:color="00B050"/>
              <w:bottom w:val="single" w:sz="8" w:space="0" w:color="00B050"/>
            </w:tcBorders>
            <w:shd w:val="clear" w:color="auto" w:fill="FFFFFF"/>
          </w:tcPr>
          <w:p w14:paraId="217D7ADE" w14:textId="77777777" w:rsidR="00366CB9" w:rsidRPr="0014192D" w:rsidRDefault="009D0C1D" w:rsidP="0014192D">
            <w:pPr>
              <w:pStyle w:val="a6"/>
              <w:shd w:val="clear" w:color="auto" w:fill="auto"/>
              <w:rPr>
                <w:sz w:val="14"/>
                <w:szCs w:val="14"/>
              </w:rPr>
            </w:pPr>
            <w:r w:rsidRPr="0014192D">
              <w:rPr>
                <w:b w:val="0"/>
                <w:color w:val="000000"/>
                <w:sz w:val="14"/>
                <w:szCs w:val="14"/>
              </w:rPr>
              <w:t>Sigma Aldrich (E6005)</w:t>
            </w:r>
          </w:p>
        </w:tc>
        <w:tc>
          <w:tcPr>
            <w:tcW w:w="1454" w:type="dxa"/>
            <w:tcBorders>
              <w:top w:val="single" w:sz="8" w:space="0" w:color="00B050"/>
              <w:bottom w:val="single" w:sz="8" w:space="0" w:color="00B050"/>
            </w:tcBorders>
            <w:shd w:val="clear" w:color="auto" w:fill="FFFFFF"/>
          </w:tcPr>
          <w:p w14:paraId="65DF53A3" w14:textId="77777777" w:rsidR="00366CB9" w:rsidRPr="0014192D" w:rsidRDefault="009D0C1D" w:rsidP="0014192D">
            <w:pPr>
              <w:pStyle w:val="a6"/>
              <w:shd w:val="clear" w:color="auto" w:fill="auto"/>
              <w:rPr>
                <w:sz w:val="14"/>
                <w:szCs w:val="14"/>
              </w:rPr>
            </w:pPr>
            <w:r w:rsidRPr="0014192D">
              <w:rPr>
                <w:b w:val="0"/>
                <w:color w:val="000000"/>
                <w:sz w:val="14"/>
                <w:szCs w:val="14"/>
              </w:rPr>
              <w:t>5 г</w:t>
            </w:r>
          </w:p>
        </w:tc>
        <w:tc>
          <w:tcPr>
            <w:tcW w:w="2194" w:type="dxa"/>
            <w:tcBorders>
              <w:top w:val="single" w:sz="8" w:space="0" w:color="00B050"/>
              <w:bottom w:val="single" w:sz="8" w:space="0" w:color="00B050"/>
            </w:tcBorders>
            <w:shd w:val="clear" w:color="auto" w:fill="FFFFFF"/>
          </w:tcPr>
          <w:p w14:paraId="43988EDF" w14:textId="77777777" w:rsidR="00366CB9" w:rsidRPr="0014192D" w:rsidRDefault="009D0C1D" w:rsidP="0014192D">
            <w:pPr>
              <w:pStyle w:val="a6"/>
              <w:shd w:val="clear" w:color="auto" w:fill="auto"/>
              <w:rPr>
                <w:sz w:val="14"/>
                <w:szCs w:val="14"/>
              </w:rPr>
            </w:pPr>
            <w:r w:rsidRPr="0014192D">
              <w:rPr>
                <w:b w:val="0"/>
                <w:color w:val="000000"/>
                <w:sz w:val="14"/>
                <w:szCs w:val="14"/>
              </w:rPr>
              <w:t>106316</w:t>
            </w:r>
          </w:p>
        </w:tc>
        <w:tc>
          <w:tcPr>
            <w:tcW w:w="1680" w:type="dxa"/>
            <w:tcBorders>
              <w:top w:val="single" w:sz="8" w:space="0" w:color="00B050"/>
              <w:bottom w:val="single" w:sz="8" w:space="0" w:color="00B050"/>
            </w:tcBorders>
            <w:shd w:val="clear" w:color="auto" w:fill="FFFFFF"/>
          </w:tcPr>
          <w:p w14:paraId="4EADE81D" w14:textId="77777777" w:rsidR="00366CB9" w:rsidRPr="0014192D" w:rsidRDefault="009D0C1D" w:rsidP="0014192D">
            <w:pPr>
              <w:pStyle w:val="a6"/>
              <w:shd w:val="clear" w:color="auto" w:fill="auto"/>
              <w:rPr>
                <w:sz w:val="14"/>
                <w:szCs w:val="14"/>
              </w:rPr>
            </w:pPr>
            <w:r w:rsidRPr="0014192D">
              <w:rPr>
                <w:b w:val="0"/>
                <w:color w:val="000000"/>
                <w:sz w:val="14"/>
                <w:szCs w:val="14"/>
              </w:rPr>
              <w:t>5 г</w:t>
            </w:r>
          </w:p>
        </w:tc>
        <w:tc>
          <w:tcPr>
            <w:tcW w:w="1075" w:type="dxa"/>
            <w:tcBorders>
              <w:top w:val="single" w:sz="8" w:space="0" w:color="00B050"/>
              <w:bottom w:val="single" w:sz="8" w:space="0" w:color="00B050"/>
            </w:tcBorders>
            <w:shd w:val="clear" w:color="auto" w:fill="FFFFFF"/>
          </w:tcPr>
          <w:p w14:paraId="00AE77FB" w14:textId="77777777" w:rsidR="00366CB9" w:rsidRPr="0014192D" w:rsidRDefault="009D0C1D" w:rsidP="0014192D">
            <w:pPr>
              <w:pStyle w:val="a6"/>
              <w:shd w:val="clear" w:color="auto" w:fill="auto"/>
              <w:rPr>
                <w:sz w:val="14"/>
                <w:szCs w:val="14"/>
              </w:rPr>
            </w:pPr>
            <w:r w:rsidRPr="0014192D">
              <w:rPr>
                <w:b w:val="0"/>
                <w:color w:val="000000"/>
                <w:sz w:val="14"/>
                <w:szCs w:val="14"/>
              </w:rPr>
              <w:t>2-8 °C</w:t>
            </w:r>
          </w:p>
        </w:tc>
      </w:tr>
      <w:tr w:rsidR="00366CB9" w14:paraId="43371698" w14:textId="77777777" w:rsidTr="0014192D">
        <w:trPr>
          <w:trHeight w:hRule="exact" w:val="926"/>
        </w:trPr>
        <w:tc>
          <w:tcPr>
            <w:tcW w:w="1838" w:type="dxa"/>
            <w:tcBorders>
              <w:top w:val="single" w:sz="8" w:space="0" w:color="00B050"/>
              <w:bottom w:val="single" w:sz="8" w:space="0" w:color="00B050"/>
            </w:tcBorders>
            <w:shd w:val="clear" w:color="auto" w:fill="FFFFFF"/>
          </w:tcPr>
          <w:p w14:paraId="13FE45C0" w14:textId="77777777" w:rsidR="00366CB9" w:rsidRPr="0014192D" w:rsidRDefault="009D0C1D" w:rsidP="0014192D">
            <w:pPr>
              <w:pStyle w:val="a6"/>
              <w:shd w:val="clear" w:color="auto" w:fill="auto"/>
              <w:rPr>
                <w:sz w:val="14"/>
                <w:szCs w:val="14"/>
              </w:rPr>
            </w:pPr>
            <w:r w:rsidRPr="0014192D">
              <w:rPr>
                <w:b w:val="0"/>
                <w:color w:val="000000"/>
                <w:sz w:val="14"/>
                <w:szCs w:val="14"/>
              </w:rPr>
              <w:t>Лінезолід</w:t>
            </w:r>
          </w:p>
        </w:tc>
        <w:tc>
          <w:tcPr>
            <w:tcW w:w="3101" w:type="dxa"/>
            <w:tcBorders>
              <w:top w:val="single" w:sz="8" w:space="0" w:color="00B050"/>
              <w:bottom w:val="single" w:sz="8" w:space="0" w:color="00B050"/>
            </w:tcBorders>
            <w:shd w:val="clear" w:color="auto" w:fill="FFFFFF"/>
          </w:tcPr>
          <w:p w14:paraId="1CC6A474" w14:textId="77777777" w:rsidR="00366CB9" w:rsidRPr="0014192D" w:rsidRDefault="009D0C1D" w:rsidP="0014192D">
            <w:pPr>
              <w:pStyle w:val="a6"/>
              <w:shd w:val="clear" w:color="auto" w:fill="auto"/>
              <w:rPr>
                <w:sz w:val="14"/>
                <w:szCs w:val="14"/>
              </w:rPr>
            </w:pPr>
            <w:r w:rsidRPr="0014192D">
              <w:rPr>
                <w:b w:val="0"/>
                <w:color w:val="000000"/>
                <w:sz w:val="14"/>
                <w:szCs w:val="14"/>
              </w:rPr>
              <w:t>Чиста субстанція ≥ 98 % активності</w:t>
            </w:r>
          </w:p>
        </w:tc>
        <w:tc>
          <w:tcPr>
            <w:tcW w:w="2683" w:type="dxa"/>
            <w:tcBorders>
              <w:top w:val="single" w:sz="8" w:space="0" w:color="00B050"/>
              <w:bottom w:val="single" w:sz="8" w:space="0" w:color="00B050"/>
            </w:tcBorders>
            <w:shd w:val="clear" w:color="auto" w:fill="FFFFFF"/>
          </w:tcPr>
          <w:p w14:paraId="0B9FB77B" w14:textId="77777777" w:rsidR="00366CB9" w:rsidRPr="0014192D" w:rsidRDefault="009D0C1D" w:rsidP="0014192D">
            <w:pPr>
              <w:pStyle w:val="a6"/>
              <w:shd w:val="clear" w:color="auto" w:fill="auto"/>
              <w:spacing w:after="40" w:line="233" w:lineRule="auto"/>
              <w:rPr>
                <w:sz w:val="14"/>
                <w:szCs w:val="14"/>
              </w:rPr>
            </w:pPr>
            <w:r w:rsidRPr="0014192D">
              <w:rPr>
                <w:b w:val="0"/>
                <w:i/>
                <w:color w:val="000000"/>
                <w:sz w:val="14"/>
                <w:szCs w:val="14"/>
              </w:rPr>
              <w:t>(1)</w:t>
            </w:r>
            <w:r w:rsidRPr="0014192D">
              <w:rPr>
                <w:b w:val="0"/>
                <w:color w:val="000000"/>
                <w:sz w:val="14"/>
                <w:szCs w:val="14"/>
              </w:rPr>
              <w:t xml:space="preserve"> Sigma (PZ0014–5MG); (PZ0014–25MG)</w:t>
            </w:r>
          </w:p>
          <w:p w14:paraId="094EAC26" w14:textId="77777777" w:rsidR="00366CB9" w:rsidRPr="0014192D" w:rsidRDefault="009D0C1D" w:rsidP="0014192D">
            <w:pPr>
              <w:pStyle w:val="a6"/>
              <w:shd w:val="clear" w:color="auto" w:fill="auto"/>
              <w:spacing w:after="40" w:line="233" w:lineRule="auto"/>
              <w:rPr>
                <w:sz w:val="14"/>
                <w:szCs w:val="14"/>
              </w:rPr>
            </w:pPr>
            <w:r w:rsidRPr="0014192D">
              <w:rPr>
                <w:b w:val="0"/>
                <w:i/>
                <w:color w:val="000000"/>
                <w:sz w:val="14"/>
                <w:szCs w:val="14"/>
              </w:rPr>
              <w:t>(2)</w:t>
            </w:r>
            <w:r w:rsidRPr="0014192D">
              <w:rPr>
                <w:b w:val="0"/>
                <w:color w:val="000000"/>
                <w:sz w:val="14"/>
                <w:szCs w:val="14"/>
              </w:rPr>
              <w:t xml:space="preserve"> Cayman Chemical</w:t>
            </w:r>
          </w:p>
          <w:p w14:paraId="2A2EE5B4" w14:textId="77777777" w:rsidR="00366CB9" w:rsidRPr="0014192D" w:rsidRDefault="009D0C1D" w:rsidP="0014192D">
            <w:pPr>
              <w:pStyle w:val="a6"/>
              <w:shd w:val="clear" w:color="auto" w:fill="auto"/>
              <w:spacing w:after="40" w:line="233" w:lineRule="auto"/>
              <w:rPr>
                <w:sz w:val="14"/>
                <w:szCs w:val="14"/>
              </w:rPr>
            </w:pPr>
            <w:r w:rsidRPr="0014192D">
              <w:rPr>
                <w:b w:val="0"/>
                <w:color w:val="000000"/>
                <w:sz w:val="14"/>
                <w:szCs w:val="14"/>
              </w:rPr>
              <w:t>(CAS 165800–03–3)</w:t>
            </w:r>
          </w:p>
        </w:tc>
        <w:tc>
          <w:tcPr>
            <w:tcW w:w="1454" w:type="dxa"/>
            <w:tcBorders>
              <w:top w:val="single" w:sz="8" w:space="0" w:color="00B050"/>
              <w:bottom w:val="single" w:sz="8" w:space="0" w:color="00B050"/>
            </w:tcBorders>
            <w:shd w:val="clear" w:color="auto" w:fill="FFFFFF"/>
          </w:tcPr>
          <w:p w14:paraId="642EF132" w14:textId="77777777" w:rsidR="00366CB9" w:rsidRPr="0014192D" w:rsidRDefault="009D0C1D" w:rsidP="0014192D">
            <w:pPr>
              <w:pStyle w:val="a6"/>
              <w:shd w:val="clear" w:color="auto" w:fill="auto"/>
              <w:rPr>
                <w:sz w:val="14"/>
                <w:szCs w:val="14"/>
              </w:rPr>
            </w:pPr>
            <w:r w:rsidRPr="0014192D">
              <w:rPr>
                <w:b w:val="0"/>
                <w:color w:val="000000"/>
                <w:sz w:val="14"/>
                <w:szCs w:val="14"/>
              </w:rPr>
              <w:t>5 мг/</w:t>
            </w:r>
          </w:p>
          <w:p w14:paraId="77E7FDF3" w14:textId="77777777" w:rsidR="00366CB9" w:rsidRPr="0014192D" w:rsidRDefault="009D0C1D" w:rsidP="0014192D">
            <w:pPr>
              <w:pStyle w:val="a6"/>
              <w:shd w:val="clear" w:color="auto" w:fill="auto"/>
              <w:spacing w:after="40" w:line="230" w:lineRule="auto"/>
              <w:rPr>
                <w:sz w:val="14"/>
                <w:szCs w:val="14"/>
              </w:rPr>
            </w:pPr>
            <w:r w:rsidRPr="0014192D">
              <w:rPr>
                <w:b w:val="0"/>
                <w:color w:val="000000"/>
                <w:sz w:val="14"/>
                <w:szCs w:val="14"/>
              </w:rPr>
              <w:t>25 мг</w:t>
            </w:r>
          </w:p>
          <w:p w14:paraId="1A065DF9" w14:textId="77777777" w:rsidR="00366CB9" w:rsidRPr="0014192D" w:rsidRDefault="009D0C1D" w:rsidP="0014192D">
            <w:pPr>
              <w:pStyle w:val="a6"/>
              <w:shd w:val="clear" w:color="auto" w:fill="auto"/>
              <w:rPr>
                <w:sz w:val="14"/>
                <w:szCs w:val="14"/>
              </w:rPr>
            </w:pPr>
            <w:r w:rsidRPr="0014192D">
              <w:rPr>
                <w:b w:val="0"/>
                <w:color w:val="000000"/>
                <w:sz w:val="14"/>
                <w:szCs w:val="14"/>
              </w:rPr>
              <w:t>25 мг</w:t>
            </w:r>
          </w:p>
        </w:tc>
        <w:tc>
          <w:tcPr>
            <w:tcW w:w="2194" w:type="dxa"/>
            <w:tcBorders>
              <w:top w:val="single" w:sz="8" w:space="0" w:color="00B050"/>
              <w:bottom w:val="single" w:sz="8" w:space="0" w:color="00B050"/>
            </w:tcBorders>
            <w:shd w:val="clear" w:color="auto" w:fill="FFFFFF"/>
          </w:tcPr>
          <w:p w14:paraId="014FD554" w14:textId="77777777" w:rsidR="00366CB9" w:rsidRPr="0014192D" w:rsidRDefault="009D0C1D" w:rsidP="0014192D">
            <w:pPr>
              <w:pStyle w:val="a6"/>
              <w:shd w:val="clear" w:color="auto" w:fill="auto"/>
              <w:rPr>
                <w:sz w:val="14"/>
                <w:szCs w:val="14"/>
              </w:rPr>
            </w:pPr>
            <w:r w:rsidRPr="0014192D">
              <w:rPr>
                <w:b w:val="0"/>
                <w:color w:val="000000"/>
                <w:sz w:val="14"/>
                <w:szCs w:val="14"/>
              </w:rPr>
              <w:t>106653</w:t>
            </w:r>
          </w:p>
        </w:tc>
        <w:tc>
          <w:tcPr>
            <w:tcW w:w="1680" w:type="dxa"/>
            <w:tcBorders>
              <w:top w:val="single" w:sz="8" w:space="0" w:color="00B050"/>
              <w:bottom w:val="single" w:sz="8" w:space="0" w:color="00B050"/>
            </w:tcBorders>
            <w:shd w:val="clear" w:color="auto" w:fill="FFFFFF"/>
          </w:tcPr>
          <w:p w14:paraId="6EB7B002" w14:textId="77777777" w:rsidR="00366CB9" w:rsidRPr="0014192D" w:rsidRDefault="009D0C1D" w:rsidP="0014192D">
            <w:pPr>
              <w:pStyle w:val="a6"/>
              <w:shd w:val="clear" w:color="auto" w:fill="auto"/>
              <w:rPr>
                <w:sz w:val="14"/>
                <w:szCs w:val="14"/>
              </w:rPr>
            </w:pPr>
            <w:r w:rsidRPr="0014192D">
              <w:rPr>
                <w:b w:val="0"/>
                <w:color w:val="000000"/>
                <w:sz w:val="14"/>
                <w:szCs w:val="14"/>
              </w:rPr>
              <w:t>25 мг</w:t>
            </w:r>
          </w:p>
        </w:tc>
        <w:tc>
          <w:tcPr>
            <w:tcW w:w="1075" w:type="dxa"/>
            <w:tcBorders>
              <w:top w:val="single" w:sz="8" w:space="0" w:color="00B050"/>
              <w:bottom w:val="single" w:sz="8" w:space="0" w:color="00B050"/>
            </w:tcBorders>
            <w:shd w:val="clear" w:color="auto" w:fill="FFFFFF"/>
          </w:tcPr>
          <w:p w14:paraId="17E83B49" w14:textId="77777777" w:rsidR="00366CB9" w:rsidRPr="0014192D" w:rsidRDefault="009D0C1D" w:rsidP="0014192D">
            <w:pPr>
              <w:pStyle w:val="a6"/>
              <w:shd w:val="clear" w:color="auto" w:fill="auto"/>
              <w:rPr>
                <w:sz w:val="14"/>
                <w:szCs w:val="14"/>
              </w:rPr>
            </w:pPr>
            <w:r w:rsidRPr="0014192D">
              <w:rPr>
                <w:b w:val="0"/>
                <w:color w:val="000000"/>
                <w:sz w:val="14"/>
                <w:szCs w:val="14"/>
              </w:rPr>
              <w:t>КТ</w:t>
            </w:r>
          </w:p>
        </w:tc>
      </w:tr>
      <w:tr w:rsidR="00366CB9" w14:paraId="38C6F518" w14:textId="77777777" w:rsidTr="0014192D">
        <w:trPr>
          <w:trHeight w:hRule="exact" w:val="250"/>
        </w:trPr>
        <w:tc>
          <w:tcPr>
            <w:tcW w:w="1838" w:type="dxa"/>
            <w:tcBorders>
              <w:top w:val="single" w:sz="8" w:space="0" w:color="00B050"/>
              <w:bottom w:val="single" w:sz="8" w:space="0" w:color="00B050"/>
            </w:tcBorders>
            <w:shd w:val="clear" w:color="auto" w:fill="FFFFFF"/>
          </w:tcPr>
          <w:p w14:paraId="336A8C1A" w14:textId="77777777" w:rsidR="00366CB9" w:rsidRPr="0014192D" w:rsidRDefault="009D0C1D" w:rsidP="0014192D">
            <w:pPr>
              <w:pStyle w:val="a6"/>
              <w:shd w:val="clear" w:color="auto" w:fill="auto"/>
              <w:rPr>
                <w:sz w:val="14"/>
                <w:szCs w:val="14"/>
              </w:rPr>
            </w:pPr>
            <w:r w:rsidRPr="0014192D">
              <w:rPr>
                <w:b w:val="0"/>
                <w:color w:val="000000"/>
                <w:sz w:val="14"/>
                <w:szCs w:val="14"/>
              </w:rPr>
              <w:t>Клофазимін</w:t>
            </w:r>
          </w:p>
        </w:tc>
        <w:tc>
          <w:tcPr>
            <w:tcW w:w="3101" w:type="dxa"/>
            <w:tcBorders>
              <w:top w:val="single" w:sz="8" w:space="0" w:color="00B050"/>
              <w:bottom w:val="single" w:sz="8" w:space="0" w:color="00B050"/>
            </w:tcBorders>
            <w:shd w:val="clear" w:color="auto" w:fill="FFFFFF"/>
          </w:tcPr>
          <w:p w14:paraId="198D94D8" w14:textId="77777777" w:rsidR="00366CB9" w:rsidRPr="0014192D" w:rsidRDefault="009D0C1D" w:rsidP="0014192D">
            <w:pPr>
              <w:pStyle w:val="a6"/>
              <w:shd w:val="clear" w:color="auto" w:fill="auto"/>
              <w:rPr>
                <w:sz w:val="14"/>
                <w:szCs w:val="14"/>
              </w:rPr>
            </w:pPr>
            <w:r w:rsidRPr="0014192D">
              <w:rPr>
                <w:b w:val="0"/>
                <w:color w:val="000000"/>
                <w:sz w:val="14"/>
                <w:szCs w:val="14"/>
              </w:rPr>
              <w:t>Чиста субстанція</w:t>
            </w:r>
          </w:p>
        </w:tc>
        <w:tc>
          <w:tcPr>
            <w:tcW w:w="2683" w:type="dxa"/>
            <w:tcBorders>
              <w:top w:val="single" w:sz="8" w:space="0" w:color="00B050"/>
              <w:bottom w:val="single" w:sz="8" w:space="0" w:color="00B050"/>
            </w:tcBorders>
            <w:shd w:val="clear" w:color="auto" w:fill="FFFFFF"/>
          </w:tcPr>
          <w:p w14:paraId="6793DC50" w14:textId="77777777" w:rsidR="00366CB9" w:rsidRPr="0014192D" w:rsidRDefault="009D0C1D" w:rsidP="0014192D">
            <w:pPr>
              <w:pStyle w:val="a6"/>
              <w:shd w:val="clear" w:color="auto" w:fill="auto"/>
              <w:rPr>
                <w:sz w:val="14"/>
                <w:szCs w:val="14"/>
              </w:rPr>
            </w:pPr>
            <w:r w:rsidRPr="0014192D">
              <w:rPr>
                <w:b w:val="0"/>
                <w:color w:val="000000"/>
                <w:sz w:val="14"/>
                <w:szCs w:val="14"/>
              </w:rPr>
              <w:t>Sigma-Aldrich (C8895–1G)</w:t>
            </w:r>
          </w:p>
        </w:tc>
        <w:tc>
          <w:tcPr>
            <w:tcW w:w="1454" w:type="dxa"/>
            <w:tcBorders>
              <w:top w:val="single" w:sz="8" w:space="0" w:color="00B050"/>
              <w:bottom w:val="single" w:sz="8" w:space="0" w:color="00B050"/>
            </w:tcBorders>
            <w:shd w:val="clear" w:color="auto" w:fill="FFFFFF"/>
          </w:tcPr>
          <w:p w14:paraId="2E77CB98" w14:textId="77777777" w:rsidR="00366CB9" w:rsidRPr="0014192D" w:rsidRDefault="009D0C1D" w:rsidP="0014192D">
            <w:pPr>
              <w:pStyle w:val="a6"/>
              <w:shd w:val="clear" w:color="auto" w:fill="auto"/>
              <w:rPr>
                <w:sz w:val="14"/>
                <w:szCs w:val="14"/>
              </w:rPr>
            </w:pPr>
            <w:r w:rsidRPr="0014192D">
              <w:rPr>
                <w:b w:val="0"/>
                <w:color w:val="000000"/>
                <w:sz w:val="14"/>
                <w:szCs w:val="14"/>
              </w:rPr>
              <w:t>1 г</w:t>
            </w:r>
          </w:p>
        </w:tc>
        <w:tc>
          <w:tcPr>
            <w:tcW w:w="2194" w:type="dxa"/>
            <w:tcBorders>
              <w:top w:val="single" w:sz="8" w:space="0" w:color="00B050"/>
              <w:bottom w:val="single" w:sz="8" w:space="0" w:color="00B050"/>
            </w:tcBorders>
            <w:shd w:val="clear" w:color="auto" w:fill="FFFFFF"/>
          </w:tcPr>
          <w:p w14:paraId="44CA5A97" w14:textId="77777777" w:rsidR="00366CB9" w:rsidRPr="0014192D" w:rsidRDefault="009D0C1D" w:rsidP="0014192D">
            <w:pPr>
              <w:pStyle w:val="a6"/>
              <w:shd w:val="clear" w:color="auto" w:fill="auto"/>
              <w:rPr>
                <w:sz w:val="14"/>
                <w:szCs w:val="14"/>
              </w:rPr>
            </w:pPr>
            <w:r w:rsidRPr="0014192D">
              <w:rPr>
                <w:b w:val="0"/>
                <w:color w:val="000000"/>
                <w:sz w:val="14"/>
                <w:szCs w:val="14"/>
              </w:rPr>
              <w:t>106654</w:t>
            </w:r>
          </w:p>
        </w:tc>
        <w:tc>
          <w:tcPr>
            <w:tcW w:w="1680" w:type="dxa"/>
            <w:tcBorders>
              <w:top w:val="single" w:sz="8" w:space="0" w:color="00B050"/>
              <w:bottom w:val="single" w:sz="8" w:space="0" w:color="00B050"/>
            </w:tcBorders>
            <w:shd w:val="clear" w:color="auto" w:fill="FFFFFF"/>
          </w:tcPr>
          <w:p w14:paraId="22021A90" w14:textId="77777777" w:rsidR="00366CB9" w:rsidRPr="0014192D" w:rsidRDefault="009D0C1D" w:rsidP="0014192D">
            <w:pPr>
              <w:pStyle w:val="a6"/>
              <w:shd w:val="clear" w:color="auto" w:fill="auto"/>
              <w:rPr>
                <w:sz w:val="14"/>
                <w:szCs w:val="14"/>
              </w:rPr>
            </w:pPr>
            <w:r w:rsidRPr="0014192D">
              <w:rPr>
                <w:b w:val="0"/>
                <w:color w:val="000000"/>
                <w:sz w:val="14"/>
                <w:szCs w:val="14"/>
              </w:rPr>
              <w:t>1 г</w:t>
            </w:r>
          </w:p>
        </w:tc>
        <w:tc>
          <w:tcPr>
            <w:tcW w:w="1075" w:type="dxa"/>
            <w:tcBorders>
              <w:top w:val="single" w:sz="8" w:space="0" w:color="00B050"/>
              <w:bottom w:val="single" w:sz="8" w:space="0" w:color="00B050"/>
            </w:tcBorders>
            <w:shd w:val="clear" w:color="auto" w:fill="FFFFFF"/>
          </w:tcPr>
          <w:p w14:paraId="45C1D9A2" w14:textId="77777777" w:rsidR="00366CB9" w:rsidRPr="0014192D" w:rsidRDefault="009D0C1D" w:rsidP="0014192D">
            <w:pPr>
              <w:pStyle w:val="a6"/>
              <w:shd w:val="clear" w:color="auto" w:fill="auto"/>
              <w:rPr>
                <w:sz w:val="14"/>
                <w:szCs w:val="14"/>
              </w:rPr>
            </w:pPr>
            <w:r w:rsidRPr="0014192D">
              <w:rPr>
                <w:b w:val="0"/>
                <w:color w:val="000000"/>
                <w:sz w:val="14"/>
                <w:szCs w:val="14"/>
              </w:rPr>
              <w:t>КТ</w:t>
            </w:r>
          </w:p>
        </w:tc>
      </w:tr>
      <w:tr w:rsidR="00366CB9" w14:paraId="2D3AA0B5" w14:textId="77777777" w:rsidTr="0014192D">
        <w:trPr>
          <w:trHeight w:hRule="exact" w:val="804"/>
        </w:trPr>
        <w:tc>
          <w:tcPr>
            <w:tcW w:w="1838" w:type="dxa"/>
            <w:tcBorders>
              <w:top w:val="single" w:sz="8" w:space="0" w:color="00B050"/>
              <w:bottom w:val="single" w:sz="8" w:space="0" w:color="00B050"/>
            </w:tcBorders>
            <w:shd w:val="clear" w:color="auto" w:fill="FFFFFF"/>
          </w:tcPr>
          <w:p w14:paraId="43B55A02" w14:textId="77777777" w:rsidR="00366CB9" w:rsidRPr="0014192D" w:rsidRDefault="009D0C1D" w:rsidP="0014192D">
            <w:pPr>
              <w:pStyle w:val="a6"/>
              <w:shd w:val="clear" w:color="auto" w:fill="auto"/>
              <w:rPr>
                <w:sz w:val="14"/>
                <w:szCs w:val="14"/>
              </w:rPr>
            </w:pPr>
            <w:r w:rsidRPr="0014192D">
              <w:rPr>
                <w:b w:val="0"/>
                <w:color w:val="000000"/>
                <w:sz w:val="14"/>
                <w:szCs w:val="14"/>
              </w:rPr>
              <w:t>Деламанід</w:t>
            </w:r>
          </w:p>
        </w:tc>
        <w:tc>
          <w:tcPr>
            <w:tcW w:w="3101" w:type="dxa"/>
            <w:tcBorders>
              <w:top w:val="single" w:sz="8" w:space="0" w:color="00B050"/>
              <w:bottom w:val="single" w:sz="8" w:space="0" w:color="00B050"/>
            </w:tcBorders>
            <w:shd w:val="clear" w:color="auto" w:fill="FFFFFF"/>
          </w:tcPr>
          <w:p w14:paraId="1F4AD2B9" w14:textId="77777777" w:rsidR="00366CB9" w:rsidRPr="0014192D" w:rsidRDefault="009D0C1D" w:rsidP="0014192D">
            <w:pPr>
              <w:pStyle w:val="a6"/>
              <w:shd w:val="clear" w:color="auto" w:fill="auto"/>
              <w:rPr>
                <w:sz w:val="14"/>
                <w:szCs w:val="14"/>
              </w:rPr>
            </w:pPr>
            <w:r w:rsidRPr="0014192D">
              <w:rPr>
                <w:b w:val="0"/>
                <w:color w:val="000000"/>
                <w:sz w:val="14"/>
                <w:szCs w:val="14"/>
              </w:rPr>
              <w:t>Чиста субстанція</w:t>
            </w:r>
          </w:p>
        </w:tc>
        <w:tc>
          <w:tcPr>
            <w:tcW w:w="2683" w:type="dxa"/>
            <w:tcBorders>
              <w:top w:val="single" w:sz="8" w:space="0" w:color="00B050"/>
              <w:bottom w:val="single" w:sz="8" w:space="0" w:color="00B050"/>
            </w:tcBorders>
            <w:shd w:val="clear" w:color="auto" w:fill="FFFFFF"/>
          </w:tcPr>
          <w:p w14:paraId="1482CE70" w14:textId="77777777" w:rsidR="00366CB9" w:rsidRPr="0014192D" w:rsidRDefault="009D0C1D" w:rsidP="0014192D">
            <w:pPr>
              <w:pStyle w:val="a6"/>
              <w:shd w:val="clear" w:color="auto" w:fill="auto"/>
              <w:spacing w:after="40"/>
              <w:rPr>
                <w:sz w:val="14"/>
                <w:szCs w:val="14"/>
              </w:rPr>
            </w:pPr>
            <w:r w:rsidRPr="0014192D">
              <w:rPr>
                <w:b w:val="0"/>
                <w:color w:val="000000"/>
                <w:sz w:val="14"/>
                <w:szCs w:val="14"/>
              </w:rPr>
              <w:t>Доступ:</w:t>
            </w:r>
          </w:p>
          <w:p w14:paraId="7936603F" w14:textId="77777777" w:rsidR="00366CB9" w:rsidRPr="0014192D" w:rsidRDefault="009D0C1D" w:rsidP="0014192D">
            <w:pPr>
              <w:pStyle w:val="a6"/>
              <w:shd w:val="clear" w:color="auto" w:fill="auto"/>
              <w:rPr>
                <w:sz w:val="14"/>
                <w:szCs w:val="14"/>
              </w:rPr>
            </w:pPr>
            <w:r w:rsidRPr="0014192D">
              <w:rPr>
                <w:b w:val="0"/>
                <w:color w:val="000000"/>
                <w:sz w:val="14"/>
                <w:szCs w:val="14"/>
              </w:rPr>
              <w:t>BEI Resources</w:t>
            </w:r>
            <w:r w:rsidRPr="0014192D">
              <w:rPr>
                <w:b w:val="0"/>
                <w:color w:val="000000"/>
                <w:sz w:val="14"/>
                <w:szCs w:val="14"/>
                <w:vertAlign w:val="superscript"/>
              </w:rPr>
              <w:t>b</w:t>
            </w:r>
          </w:p>
        </w:tc>
        <w:tc>
          <w:tcPr>
            <w:tcW w:w="1454" w:type="dxa"/>
            <w:tcBorders>
              <w:top w:val="single" w:sz="8" w:space="0" w:color="00B050"/>
              <w:bottom w:val="single" w:sz="8" w:space="0" w:color="00B050"/>
            </w:tcBorders>
            <w:shd w:val="clear" w:color="auto" w:fill="FFFFFF"/>
          </w:tcPr>
          <w:p w14:paraId="36174E9E" w14:textId="77777777" w:rsidR="00366CB9" w:rsidRPr="0014192D" w:rsidRDefault="009D0C1D" w:rsidP="0014192D">
            <w:pPr>
              <w:pStyle w:val="a6"/>
              <w:shd w:val="clear" w:color="auto" w:fill="auto"/>
              <w:rPr>
                <w:sz w:val="14"/>
                <w:szCs w:val="14"/>
              </w:rPr>
            </w:pPr>
            <w:r w:rsidRPr="0014192D">
              <w:rPr>
                <w:b w:val="0"/>
                <w:color w:val="000000"/>
                <w:sz w:val="14"/>
                <w:szCs w:val="14"/>
              </w:rPr>
              <w:t>20 мг</w:t>
            </w:r>
          </w:p>
        </w:tc>
        <w:tc>
          <w:tcPr>
            <w:tcW w:w="2194" w:type="dxa"/>
            <w:tcBorders>
              <w:top w:val="single" w:sz="8" w:space="0" w:color="00B050"/>
              <w:bottom w:val="single" w:sz="8" w:space="0" w:color="00B050"/>
            </w:tcBorders>
            <w:shd w:val="clear" w:color="auto" w:fill="FFFFFF"/>
          </w:tcPr>
          <w:p w14:paraId="372FD572" w14:textId="77777777" w:rsidR="00366CB9" w:rsidRPr="0014192D" w:rsidRDefault="009D0C1D" w:rsidP="0014192D">
            <w:pPr>
              <w:pStyle w:val="a6"/>
              <w:shd w:val="clear" w:color="auto" w:fill="auto"/>
              <w:rPr>
                <w:sz w:val="14"/>
                <w:szCs w:val="14"/>
              </w:rPr>
            </w:pPr>
            <w:r w:rsidRPr="0014192D">
              <w:rPr>
                <w:b w:val="0"/>
                <w:color w:val="000000"/>
                <w:sz w:val="14"/>
                <w:szCs w:val="14"/>
              </w:rPr>
              <w:t>Не застосовується</w:t>
            </w:r>
          </w:p>
        </w:tc>
        <w:tc>
          <w:tcPr>
            <w:tcW w:w="1680" w:type="dxa"/>
            <w:tcBorders>
              <w:top w:val="single" w:sz="8" w:space="0" w:color="00B050"/>
              <w:bottom w:val="single" w:sz="8" w:space="0" w:color="00B050"/>
            </w:tcBorders>
            <w:shd w:val="clear" w:color="auto" w:fill="FFFFFF"/>
          </w:tcPr>
          <w:p w14:paraId="411C4C48" w14:textId="77777777" w:rsidR="00366CB9" w:rsidRPr="0014192D" w:rsidRDefault="009D0C1D" w:rsidP="0014192D">
            <w:pPr>
              <w:pStyle w:val="a6"/>
              <w:shd w:val="clear" w:color="auto" w:fill="auto"/>
              <w:rPr>
                <w:sz w:val="14"/>
                <w:szCs w:val="14"/>
              </w:rPr>
            </w:pPr>
            <w:r w:rsidRPr="0014192D">
              <w:rPr>
                <w:b w:val="0"/>
                <w:color w:val="000000"/>
                <w:sz w:val="14"/>
                <w:szCs w:val="14"/>
              </w:rPr>
              <w:t>Не застосовується</w:t>
            </w:r>
          </w:p>
        </w:tc>
        <w:tc>
          <w:tcPr>
            <w:tcW w:w="1075" w:type="dxa"/>
            <w:tcBorders>
              <w:top w:val="single" w:sz="8" w:space="0" w:color="00B050"/>
              <w:bottom w:val="single" w:sz="8" w:space="0" w:color="00B050"/>
            </w:tcBorders>
            <w:shd w:val="clear" w:color="auto" w:fill="FFFFFF"/>
          </w:tcPr>
          <w:p w14:paraId="75A74623" w14:textId="77777777" w:rsidR="00366CB9" w:rsidRPr="0014192D" w:rsidRDefault="009D0C1D" w:rsidP="0014192D">
            <w:pPr>
              <w:pStyle w:val="a6"/>
              <w:shd w:val="clear" w:color="auto" w:fill="auto"/>
              <w:rPr>
                <w:sz w:val="14"/>
                <w:szCs w:val="14"/>
              </w:rPr>
            </w:pPr>
            <w:r w:rsidRPr="0014192D">
              <w:rPr>
                <w:b w:val="0"/>
                <w:color w:val="000000"/>
                <w:sz w:val="14"/>
                <w:szCs w:val="14"/>
              </w:rPr>
              <w:t>КТ (зберігайте подалі від джерел світла та тепла)</w:t>
            </w:r>
          </w:p>
        </w:tc>
      </w:tr>
      <w:tr w:rsidR="00366CB9" w14:paraId="716A3AFC" w14:textId="77777777" w:rsidTr="0014192D">
        <w:trPr>
          <w:trHeight w:hRule="exact" w:val="432"/>
        </w:trPr>
        <w:tc>
          <w:tcPr>
            <w:tcW w:w="1838" w:type="dxa"/>
            <w:tcBorders>
              <w:top w:val="single" w:sz="8" w:space="0" w:color="00B050"/>
            </w:tcBorders>
            <w:shd w:val="clear" w:color="auto" w:fill="FFFFFF"/>
          </w:tcPr>
          <w:p w14:paraId="3D33FA20" w14:textId="77777777" w:rsidR="00366CB9" w:rsidRPr="0014192D" w:rsidRDefault="009D0C1D" w:rsidP="0014192D">
            <w:pPr>
              <w:pStyle w:val="a6"/>
              <w:shd w:val="clear" w:color="auto" w:fill="auto"/>
              <w:rPr>
                <w:sz w:val="14"/>
                <w:szCs w:val="14"/>
              </w:rPr>
            </w:pPr>
            <w:r w:rsidRPr="0014192D">
              <w:rPr>
                <w:b w:val="0"/>
                <w:color w:val="000000"/>
                <w:sz w:val="14"/>
                <w:szCs w:val="14"/>
              </w:rPr>
              <w:t>Амікацин</w:t>
            </w:r>
          </w:p>
        </w:tc>
        <w:tc>
          <w:tcPr>
            <w:tcW w:w="3101" w:type="dxa"/>
            <w:tcBorders>
              <w:top w:val="single" w:sz="8" w:space="0" w:color="00B050"/>
              <w:bottom w:val="single" w:sz="8" w:space="0" w:color="00B050"/>
            </w:tcBorders>
            <w:shd w:val="clear" w:color="auto" w:fill="FFFFFF"/>
          </w:tcPr>
          <w:p w14:paraId="0E0F6436" w14:textId="77777777" w:rsidR="00366CB9" w:rsidRPr="0014192D" w:rsidRDefault="009D0C1D" w:rsidP="0014192D">
            <w:pPr>
              <w:pStyle w:val="a6"/>
              <w:shd w:val="clear" w:color="auto" w:fill="auto"/>
              <w:spacing w:line="233" w:lineRule="auto"/>
              <w:rPr>
                <w:sz w:val="14"/>
                <w:szCs w:val="14"/>
              </w:rPr>
            </w:pPr>
            <w:r w:rsidRPr="0014192D">
              <w:rPr>
                <w:b w:val="0"/>
                <w:color w:val="000000"/>
                <w:sz w:val="14"/>
                <w:szCs w:val="14"/>
              </w:rPr>
              <w:t>Активність солі амікацину дисульфату: 674-786 мкг/мг (на основі амікацину)</w:t>
            </w:r>
          </w:p>
        </w:tc>
        <w:tc>
          <w:tcPr>
            <w:tcW w:w="2683" w:type="dxa"/>
            <w:tcBorders>
              <w:top w:val="single" w:sz="8" w:space="0" w:color="00B050"/>
              <w:bottom w:val="single" w:sz="8" w:space="0" w:color="00B050"/>
            </w:tcBorders>
            <w:shd w:val="clear" w:color="auto" w:fill="FFFFFF"/>
          </w:tcPr>
          <w:p w14:paraId="7F842323" w14:textId="77777777" w:rsidR="00366CB9" w:rsidRPr="0014192D" w:rsidRDefault="009D0C1D" w:rsidP="0014192D">
            <w:pPr>
              <w:pStyle w:val="a6"/>
              <w:shd w:val="clear" w:color="auto" w:fill="auto"/>
              <w:rPr>
                <w:sz w:val="14"/>
                <w:szCs w:val="14"/>
              </w:rPr>
            </w:pPr>
            <w:r w:rsidRPr="0014192D">
              <w:rPr>
                <w:b w:val="0"/>
                <w:color w:val="000000"/>
                <w:sz w:val="14"/>
                <w:szCs w:val="14"/>
              </w:rPr>
              <w:t>Sigma-Aldrich (A1774–250MG)</w:t>
            </w:r>
          </w:p>
        </w:tc>
        <w:tc>
          <w:tcPr>
            <w:tcW w:w="1454" w:type="dxa"/>
            <w:tcBorders>
              <w:top w:val="single" w:sz="8" w:space="0" w:color="00B050"/>
              <w:bottom w:val="single" w:sz="8" w:space="0" w:color="00B050"/>
            </w:tcBorders>
            <w:shd w:val="clear" w:color="auto" w:fill="FFFFFF"/>
          </w:tcPr>
          <w:p w14:paraId="0B44E669" w14:textId="77777777" w:rsidR="00366CB9" w:rsidRPr="0014192D" w:rsidRDefault="009D0C1D" w:rsidP="0014192D">
            <w:pPr>
              <w:pStyle w:val="a6"/>
              <w:shd w:val="clear" w:color="auto" w:fill="auto"/>
              <w:rPr>
                <w:sz w:val="14"/>
                <w:szCs w:val="14"/>
              </w:rPr>
            </w:pPr>
            <w:r w:rsidRPr="0014192D">
              <w:rPr>
                <w:b w:val="0"/>
                <w:color w:val="000000"/>
                <w:sz w:val="14"/>
                <w:szCs w:val="14"/>
              </w:rPr>
              <w:t>250 мг</w:t>
            </w:r>
          </w:p>
        </w:tc>
        <w:tc>
          <w:tcPr>
            <w:tcW w:w="2194" w:type="dxa"/>
            <w:tcBorders>
              <w:top w:val="single" w:sz="8" w:space="0" w:color="00B050"/>
              <w:bottom w:val="single" w:sz="8" w:space="0" w:color="00B050"/>
            </w:tcBorders>
            <w:shd w:val="clear" w:color="auto" w:fill="FFFFFF"/>
          </w:tcPr>
          <w:p w14:paraId="6D4804D0" w14:textId="77777777" w:rsidR="00366CB9" w:rsidRPr="0014192D" w:rsidRDefault="009D0C1D" w:rsidP="0014192D">
            <w:pPr>
              <w:pStyle w:val="a6"/>
              <w:shd w:val="clear" w:color="auto" w:fill="auto"/>
              <w:rPr>
                <w:sz w:val="14"/>
                <w:szCs w:val="14"/>
              </w:rPr>
            </w:pPr>
            <w:r w:rsidRPr="0014192D">
              <w:rPr>
                <w:b w:val="0"/>
                <w:color w:val="000000"/>
                <w:sz w:val="14"/>
                <w:szCs w:val="14"/>
              </w:rPr>
              <w:t>106318</w:t>
            </w:r>
          </w:p>
        </w:tc>
        <w:tc>
          <w:tcPr>
            <w:tcW w:w="1680" w:type="dxa"/>
            <w:tcBorders>
              <w:top w:val="single" w:sz="8" w:space="0" w:color="00B050"/>
              <w:bottom w:val="single" w:sz="8" w:space="0" w:color="00B050"/>
            </w:tcBorders>
            <w:shd w:val="clear" w:color="auto" w:fill="FFFFFF"/>
          </w:tcPr>
          <w:p w14:paraId="7EED8204" w14:textId="77777777" w:rsidR="00366CB9" w:rsidRPr="0014192D" w:rsidRDefault="009D0C1D" w:rsidP="0014192D">
            <w:pPr>
              <w:pStyle w:val="a6"/>
              <w:shd w:val="clear" w:color="auto" w:fill="auto"/>
              <w:rPr>
                <w:sz w:val="14"/>
                <w:szCs w:val="14"/>
              </w:rPr>
            </w:pPr>
            <w:r w:rsidRPr="0014192D">
              <w:rPr>
                <w:b w:val="0"/>
                <w:color w:val="000000"/>
                <w:sz w:val="14"/>
                <w:szCs w:val="14"/>
              </w:rPr>
              <w:t>5 г</w:t>
            </w:r>
          </w:p>
        </w:tc>
        <w:tc>
          <w:tcPr>
            <w:tcW w:w="1075" w:type="dxa"/>
            <w:tcBorders>
              <w:top w:val="single" w:sz="8" w:space="0" w:color="00B050"/>
              <w:bottom w:val="single" w:sz="8" w:space="0" w:color="00B050"/>
            </w:tcBorders>
            <w:shd w:val="clear" w:color="auto" w:fill="FFFFFF"/>
          </w:tcPr>
          <w:p w14:paraId="78A1C75D" w14:textId="77777777" w:rsidR="00366CB9" w:rsidRPr="0014192D" w:rsidRDefault="009D0C1D" w:rsidP="0014192D">
            <w:pPr>
              <w:pStyle w:val="a6"/>
              <w:shd w:val="clear" w:color="auto" w:fill="auto"/>
              <w:rPr>
                <w:sz w:val="14"/>
                <w:szCs w:val="14"/>
              </w:rPr>
            </w:pPr>
            <w:r w:rsidRPr="0014192D">
              <w:rPr>
                <w:b w:val="0"/>
                <w:color w:val="000000"/>
                <w:sz w:val="14"/>
                <w:szCs w:val="14"/>
              </w:rPr>
              <w:t>2-8 °C</w:t>
            </w:r>
          </w:p>
        </w:tc>
      </w:tr>
      <w:tr w:rsidR="00366CB9" w14:paraId="404B7CB5" w14:textId="77777777" w:rsidTr="0014192D">
        <w:trPr>
          <w:trHeight w:hRule="exact" w:val="427"/>
        </w:trPr>
        <w:tc>
          <w:tcPr>
            <w:tcW w:w="1838" w:type="dxa"/>
            <w:tcBorders>
              <w:bottom w:val="single" w:sz="8" w:space="0" w:color="00B050"/>
            </w:tcBorders>
            <w:shd w:val="clear" w:color="auto" w:fill="FFFFFF"/>
          </w:tcPr>
          <w:p w14:paraId="1365CDA9" w14:textId="77777777" w:rsidR="00366CB9" w:rsidRPr="0014192D" w:rsidRDefault="00366CB9" w:rsidP="0014192D">
            <w:pPr>
              <w:rPr>
                <w:sz w:val="14"/>
                <w:szCs w:val="14"/>
              </w:rPr>
            </w:pPr>
          </w:p>
        </w:tc>
        <w:tc>
          <w:tcPr>
            <w:tcW w:w="3101" w:type="dxa"/>
            <w:tcBorders>
              <w:top w:val="single" w:sz="8" w:space="0" w:color="00B050"/>
              <w:bottom w:val="single" w:sz="8" w:space="0" w:color="00B050"/>
            </w:tcBorders>
            <w:shd w:val="clear" w:color="auto" w:fill="FFFFFF"/>
          </w:tcPr>
          <w:p w14:paraId="438F8677" w14:textId="77777777" w:rsidR="00366CB9" w:rsidRPr="0014192D" w:rsidRDefault="00366CB9" w:rsidP="0014192D">
            <w:pPr>
              <w:rPr>
                <w:sz w:val="14"/>
                <w:szCs w:val="14"/>
              </w:rPr>
            </w:pPr>
          </w:p>
        </w:tc>
        <w:tc>
          <w:tcPr>
            <w:tcW w:w="2683" w:type="dxa"/>
            <w:tcBorders>
              <w:top w:val="single" w:sz="8" w:space="0" w:color="00B050"/>
              <w:bottom w:val="single" w:sz="8" w:space="0" w:color="00B050"/>
            </w:tcBorders>
            <w:shd w:val="clear" w:color="auto" w:fill="FFFFFF"/>
          </w:tcPr>
          <w:p w14:paraId="7426544D" w14:textId="77777777" w:rsidR="00366CB9" w:rsidRPr="0014192D" w:rsidRDefault="009D0C1D" w:rsidP="0014192D">
            <w:pPr>
              <w:pStyle w:val="a6"/>
              <w:shd w:val="clear" w:color="auto" w:fill="auto"/>
              <w:rPr>
                <w:sz w:val="14"/>
                <w:szCs w:val="14"/>
              </w:rPr>
            </w:pPr>
            <w:r w:rsidRPr="0014192D">
              <w:rPr>
                <w:b w:val="0"/>
                <w:color w:val="000000"/>
                <w:sz w:val="14"/>
                <w:szCs w:val="14"/>
              </w:rPr>
              <w:t>BD REF 215350</w:t>
            </w:r>
          </w:p>
        </w:tc>
        <w:tc>
          <w:tcPr>
            <w:tcW w:w="1454" w:type="dxa"/>
            <w:tcBorders>
              <w:top w:val="single" w:sz="8" w:space="0" w:color="00B050"/>
              <w:bottom w:val="single" w:sz="8" w:space="0" w:color="00B050"/>
            </w:tcBorders>
            <w:shd w:val="clear" w:color="auto" w:fill="FFFFFF"/>
          </w:tcPr>
          <w:p w14:paraId="7D7CFC57" w14:textId="77777777" w:rsidR="00366CB9" w:rsidRPr="0014192D" w:rsidRDefault="009D0C1D" w:rsidP="0014192D">
            <w:pPr>
              <w:pStyle w:val="a6"/>
              <w:shd w:val="clear" w:color="auto" w:fill="auto"/>
              <w:rPr>
                <w:sz w:val="14"/>
                <w:szCs w:val="14"/>
              </w:rPr>
            </w:pPr>
            <w:r w:rsidRPr="0014192D">
              <w:rPr>
                <w:b w:val="0"/>
                <w:color w:val="000000"/>
                <w:sz w:val="14"/>
                <w:szCs w:val="14"/>
              </w:rPr>
              <w:t>6 флаконів по 332 мкг</w:t>
            </w:r>
          </w:p>
        </w:tc>
        <w:tc>
          <w:tcPr>
            <w:tcW w:w="2194" w:type="dxa"/>
            <w:tcBorders>
              <w:top w:val="single" w:sz="8" w:space="0" w:color="00B050"/>
              <w:bottom w:val="single" w:sz="8" w:space="0" w:color="00B050"/>
            </w:tcBorders>
            <w:shd w:val="clear" w:color="auto" w:fill="FFFFFF"/>
          </w:tcPr>
          <w:p w14:paraId="3EE984E0" w14:textId="77777777" w:rsidR="00366CB9" w:rsidRPr="0014192D" w:rsidRDefault="009D0C1D" w:rsidP="0014192D">
            <w:pPr>
              <w:pStyle w:val="a6"/>
              <w:shd w:val="clear" w:color="auto" w:fill="auto"/>
              <w:rPr>
                <w:sz w:val="14"/>
                <w:szCs w:val="14"/>
              </w:rPr>
            </w:pPr>
            <w:r w:rsidRPr="0014192D">
              <w:rPr>
                <w:b w:val="0"/>
                <w:color w:val="000000"/>
                <w:sz w:val="14"/>
                <w:szCs w:val="14"/>
              </w:rPr>
              <w:t>106586</w:t>
            </w:r>
          </w:p>
        </w:tc>
        <w:tc>
          <w:tcPr>
            <w:tcW w:w="1680" w:type="dxa"/>
            <w:tcBorders>
              <w:top w:val="single" w:sz="8" w:space="0" w:color="00B050"/>
              <w:bottom w:val="single" w:sz="8" w:space="0" w:color="00B050"/>
            </w:tcBorders>
            <w:shd w:val="clear" w:color="auto" w:fill="FFFFFF"/>
          </w:tcPr>
          <w:p w14:paraId="1F9B552D" w14:textId="77777777" w:rsidR="00366CB9" w:rsidRPr="0014192D" w:rsidRDefault="009D0C1D" w:rsidP="0014192D">
            <w:pPr>
              <w:pStyle w:val="a6"/>
              <w:shd w:val="clear" w:color="auto" w:fill="auto"/>
              <w:rPr>
                <w:sz w:val="14"/>
                <w:szCs w:val="14"/>
              </w:rPr>
            </w:pPr>
            <w:r w:rsidRPr="0014192D">
              <w:rPr>
                <w:b w:val="0"/>
                <w:color w:val="000000"/>
                <w:sz w:val="14"/>
                <w:szCs w:val="14"/>
              </w:rPr>
              <w:t>6 флаконів по 332 мкг</w:t>
            </w:r>
          </w:p>
        </w:tc>
        <w:tc>
          <w:tcPr>
            <w:tcW w:w="1075" w:type="dxa"/>
            <w:tcBorders>
              <w:top w:val="single" w:sz="8" w:space="0" w:color="00B050"/>
              <w:bottom w:val="single" w:sz="8" w:space="0" w:color="00B050"/>
            </w:tcBorders>
            <w:shd w:val="clear" w:color="auto" w:fill="FFFFFF"/>
          </w:tcPr>
          <w:p w14:paraId="251F63FC" w14:textId="77777777" w:rsidR="00366CB9" w:rsidRPr="0014192D" w:rsidRDefault="009D0C1D" w:rsidP="0014192D">
            <w:pPr>
              <w:pStyle w:val="a6"/>
              <w:shd w:val="clear" w:color="auto" w:fill="auto"/>
              <w:rPr>
                <w:sz w:val="14"/>
                <w:szCs w:val="14"/>
              </w:rPr>
            </w:pPr>
            <w:r w:rsidRPr="0014192D">
              <w:rPr>
                <w:b w:val="0"/>
                <w:color w:val="000000"/>
                <w:sz w:val="14"/>
                <w:szCs w:val="14"/>
              </w:rPr>
              <w:t>2-8 °C</w:t>
            </w:r>
          </w:p>
        </w:tc>
      </w:tr>
      <w:tr w:rsidR="00366CB9" w14:paraId="61F6F301" w14:textId="77777777" w:rsidTr="0014192D">
        <w:trPr>
          <w:trHeight w:hRule="exact" w:val="432"/>
        </w:trPr>
        <w:tc>
          <w:tcPr>
            <w:tcW w:w="1838" w:type="dxa"/>
            <w:tcBorders>
              <w:top w:val="single" w:sz="8" w:space="0" w:color="00B050"/>
              <w:bottom w:val="single" w:sz="8" w:space="0" w:color="00B050"/>
            </w:tcBorders>
            <w:shd w:val="clear" w:color="auto" w:fill="FFFFFF"/>
          </w:tcPr>
          <w:p w14:paraId="2AFC1481" w14:textId="77777777" w:rsidR="00366CB9" w:rsidRPr="0014192D" w:rsidRDefault="009D0C1D" w:rsidP="0014192D">
            <w:pPr>
              <w:pStyle w:val="a6"/>
              <w:shd w:val="clear" w:color="auto" w:fill="auto"/>
              <w:rPr>
                <w:sz w:val="14"/>
                <w:szCs w:val="14"/>
              </w:rPr>
            </w:pPr>
            <w:r w:rsidRPr="0014192D">
              <w:rPr>
                <w:b w:val="0"/>
                <w:color w:val="000000"/>
                <w:sz w:val="14"/>
                <w:szCs w:val="14"/>
              </w:rPr>
              <w:t>Стрептоміцин</w:t>
            </w:r>
          </w:p>
        </w:tc>
        <w:tc>
          <w:tcPr>
            <w:tcW w:w="3101" w:type="dxa"/>
            <w:tcBorders>
              <w:top w:val="single" w:sz="8" w:space="0" w:color="00B050"/>
              <w:bottom w:val="single" w:sz="8" w:space="0" w:color="00B050"/>
            </w:tcBorders>
            <w:shd w:val="clear" w:color="auto" w:fill="FFFFFF"/>
          </w:tcPr>
          <w:p w14:paraId="23AB7028" w14:textId="77777777" w:rsidR="00366CB9" w:rsidRPr="0014192D" w:rsidRDefault="009D0C1D" w:rsidP="0014192D">
            <w:pPr>
              <w:pStyle w:val="a6"/>
              <w:shd w:val="clear" w:color="auto" w:fill="auto"/>
              <w:spacing w:line="233" w:lineRule="auto"/>
              <w:rPr>
                <w:sz w:val="14"/>
                <w:szCs w:val="14"/>
              </w:rPr>
            </w:pPr>
            <w:r w:rsidRPr="0014192D">
              <w:rPr>
                <w:b w:val="0"/>
                <w:color w:val="000000"/>
                <w:sz w:val="14"/>
                <w:szCs w:val="14"/>
              </w:rPr>
              <w:t>Стрептоміцину сульфат Активність ≥ 720 мкг/мг (на основі стрептоміцину)</w:t>
            </w:r>
          </w:p>
        </w:tc>
        <w:tc>
          <w:tcPr>
            <w:tcW w:w="2683" w:type="dxa"/>
            <w:tcBorders>
              <w:top w:val="single" w:sz="8" w:space="0" w:color="00B050"/>
              <w:bottom w:val="single" w:sz="8" w:space="0" w:color="00B050"/>
            </w:tcBorders>
            <w:shd w:val="clear" w:color="auto" w:fill="FFFFFF"/>
          </w:tcPr>
          <w:p w14:paraId="02FA7977" w14:textId="77777777" w:rsidR="00366CB9" w:rsidRPr="0014192D" w:rsidRDefault="009D0C1D" w:rsidP="0014192D">
            <w:pPr>
              <w:pStyle w:val="a6"/>
              <w:shd w:val="clear" w:color="auto" w:fill="auto"/>
              <w:rPr>
                <w:sz w:val="14"/>
                <w:szCs w:val="14"/>
              </w:rPr>
            </w:pPr>
            <w:r w:rsidRPr="0014192D">
              <w:rPr>
                <w:b w:val="0"/>
                <w:color w:val="000000"/>
                <w:sz w:val="14"/>
                <w:szCs w:val="14"/>
              </w:rPr>
              <w:t>Sigma-Aldrich (D7253–5G)</w:t>
            </w:r>
          </w:p>
        </w:tc>
        <w:tc>
          <w:tcPr>
            <w:tcW w:w="1454" w:type="dxa"/>
            <w:tcBorders>
              <w:top w:val="single" w:sz="8" w:space="0" w:color="00B050"/>
              <w:bottom w:val="single" w:sz="8" w:space="0" w:color="00B050"/>
            </w:tcBorders>
            <w:shd w:val="clear" w:color="auto" w:fill="FFFFFF"/>
          </w:tcPr>
          <w:p w14:paraId="5E126FEB" w14:textId="77777777" w:rsidR="00366CB9" w:rsidRPr="0014192D" w:rsidRDefault="009D0C1D" w:rsidP="0014192D">
            <w:pPr>
              <w:pStyle w:val="a6"/>
              <w:shd w:val="clear" w:color="auto" w:fill="auto"/>
              <w:rPr>
                <w:sz w:val="14"/>
                <w:szCs w:val="14"/>
              </w:rPr>
            </w:pPr>
            <w:r w:rsidRPr="0014192D">
              <w:rPr>
                <w:b w:val="0"/>
                <w:color w:val="000000"/>
                <w:sz w:val="14"/>
                <w:szCs w:val="14"/>
              </w:rPr>
              <w:t>5 г</w:t>
            </w:r>
          </w:p>
        </w:tc>
        <w:tc>
          <w:tcPr>
            <w:tcW w:w="2194" w:type="dxa"/>
            <w:tcBorders>
              <w:top w:val="single" w:sz="8" w:space="0" w:color="00B050"/>
              <w:bottom w:val="single" w:sz="8" w:space="0" w:color="00B050"/>
            </w:tcBorders>
            <w:shd w:val="clear" w:color="auto" w:fill="FFFFFF"/>
          </w:tcPr>
          <w:p w14:paraId="045C723A" w14:textId="77777777" w:rsidR="00366CB9" w:rsidRPr="0014192D" w:rsidRDefault="009D0C1D" w:rsidP="0014192D">
            <w:pPr>
              <w:pStyle w:val="a6"/>
              <w:shd w:val="clear" w:color="auto" w:fill="auto"/>
              <w:rPr>
                <w:sz w:val="14"/>
                <w:szCs w:val="14"/>
              </w:rPr>
            </w:pPr>
            <w:r w:rsidRPr="0014192D">
              <w:rPr>
                <w:b w:val="0"/>
                <w:color w:val="000000"/>
                <w:sz w:val="14"/>
                <w:szCs w:val="14"/>
              </w:rPr>
              <w:t>106311</w:t>
            </w:r>
          </w:p>
        </w:tc>
        <w:tc>
          <w:tcPr>
            <w:tcW w:w="1680" w:type="dxa"/>
            <w:tcBorders>
              <w:top w:val="single" w:sz="8" w:space="0" w:color="00B050"/>
              <w:bottom w:val="single" w:sz="8" w:space="0" w:color="00B050"/>
            </w:tcBorders>
            <w:shd w:val="clear" w:color="auto" w:fill="FFFFFF"/>
          </w:tcPr>
          <w:p w14:paraId="6996DC1B" w14:textId="77777777" w:rsidR="00366CB9" w:rsidRPr="0014192D" w:rsidRDefault="009D0C1D" w:rsidP="0014192D">
            <w:pPr>
              <w:pStyle w:val="a6"/>
              <w:shd w:val="clear" w:color="auto" w:fill="auto"/>
              <w:rPr>
                <w:sz w:val="14"/>
                <w:szCs w:val="14"/>
              </w:rPr>
            </w:pPr>
            <w:r w:rsidRPr="0014192D">
              <w:rPr>
                <w:b w:val="0"/>
                <w:color w:val="000000"/>
                <w:sz w:val="14"/>
                <w:szCs w:val="14"/>
              </w:rPr>
              <w:t>5 г</w:t>
            </w:r>
          </w:p>
        </w:tc>
        <w:tc>
          <w:tcPr>
            <w:tcW w:w="1075" w:type="dxa"/>
            <w:tcBorders>
              <w:top w:val="single" w:sz="8" w:space="0" w:color="00B050"/>
              <w:bottom w:val="single" w:sz="8" w:space="0" w:color="00B050"/>
            </w:tcBorders>
            <w:shd w:val="clear" w:color="auto" w:fill="FFFFFF"/>
          </w:tcPr>
          <w:p w14:paraId="5B86EB1F" w14:textId="77777777" w:rsidR="00366CB9" w:rsidRPr="0014192D" w:rsidRDefault="009D0C1D" w:rsidP="0014192D">
            <w:pPr>
              <w:pStyle w:val="a6"/>
              <w:shd w:val="clear" w:color="auto" w:fill="auto"/>
              <w:rPr>
                <w:sz w:val="14"/>
                <w:szCs w:val="14"/>
              </w:rPr>
            </w:pPr>
            <w:r w:rsidRPr="0014192D">
              <w:rPr>
                <w:b w:val="0"/>
                <w:color w:val="000000"/>
                <w:sz w:val="14"/>
                <w:szCs w:val="14"/>
              </w:rPr>
              <w:t>2-8 °C</w:t>
            </w:r>
          </w:p>
        </w:tc>
      </w:tr>
      <w:tr w:rsidR="00366CB9" w14:paraId="21F3BEC0" w14:textId="77777777" w:rsidTr="0014192D">
        <w:trPr>
          <w:trHeight w:hRule="exact" w:val="494"/>
        </w:trPr>
        <w:tc>
          <w:tcPr>
            <w:tcW w:w="1838" w:type="dxa"/>
            <w:tcBorders>
              <w:top w:val="single" w:sz="8" w:space="0" w:color="00B050"/>
            </w:tcBorders>
            <w:shd w:val="clear" w:color="auto" w:fill="FFFFFF"/>
          </w:tcPr>
          <w:p w14:paraId="59D55909" w14:textId="77777777" w:rsidR="00366CB9" w:rsidRPr="0014192D" w:rsidRDefault="009D0C1D" w:rsidP="0014192D">
            <w:pPr>
              <w:pStyle w:val="a6"/>
              <w:shd w:val="clear" w:color="auto" w:fill="auto"/>
              <w:rPr>
                <w:sz w:val="14"/>
                <w:szCs w:val="14"/>
              </w:rPr>
            </w:pPr>
            <w:r w:rsidRPr="0014192D">
              <w:rPr>
                <w:b w:val="0"/>
                <w:color w:val="000000"/>
                <w:sz w:val="14"/>
                <w:szCs w:val="14"/>
              </w:rPr>
              <w:t>Претоманід</w:t>
            </w:r>
          </w:p>
        </w:tc>
        <w:tc>
          <w:tcPr>
            <w:tcW w:w="3101" w:type="dxa"/>
            <w:tcBorders>
              <w:top w:val="single" w:sz="8" w:space="0" w:color="00B050"/>
              <w:bottom w:val="single" w:sz="8" w:space="0" w:color="00B050"/>
            </w:tcBorders>
            <w:shd w:val="clear" w:color="auto" w:fill="FFFFFF"/>
          </w:tcPr>
          <w:p w14:paraId="68C588C8" w14:textId="77777777" w:rsidR="00366CB9" w:rsidRPr="0014192D" w:rsidRDefault="009D0C1D" w:rsidP="0014192D">
            <w:pPr>
              <w:pStyle w:val="a6"/>
              <w:shd w:val="clear" w:color="auto" w:fill="auto"/>
              <w:rPr>
                <w:sz w:val="14"/>
                <w:szCs w:val="14"/>
              </w:rPr>
            </w:pPr>
            <w:r w:rsidRPr="0014192D">
              <w:rPr>
                <w:b w:val="0"/>
                <w:color w:val="000000"/>
                <w:sz w:val="14"/>
                <w:szCs w:val="14"/>
              </w:rPr>
              <w:t>Чиста субстанція</w:t>
            </w:r>
          </w:p>
        </w:tc>
        <w:tc>
          <w:tcPr>
            <w:tcW w:w="2683" w:type="dxa"/>
            <w:tcBorders>
              <w:top w:val="single" w:sz="8" w:space="0" w:color="00B050"/>
              <w:bottom w:val="single" w:sz="8" w:space="0" w:color="00B050"/>
            </w:tcBorders>
            <w:shd w:val="clear" w:color="auto" w:fill="FFFFFF"/>
          </w:tcPr>
          <w:p w14:paraId="7D1D4AAD" w14:textId="77777777" w:rsidR="00366CB9" w:rsidRPr="0014192D" w:rsidRDefault="009D0C1D" w:rsidP="0014192D">
            <w:pPr>
              <w:pStyle w:val="a6"/>
              <w:shd w:val="clear" w:color="auto" w:fill="auto"/>
              <w:spacing w:after="40"/>
              <w:rPr>
                <w:sz w:val="14"/>
                <w:szCs w:val="14"/>
              </w:rPr>
            </w:pPr>
            <w:r w:rsidRPr="0014192D">
              <w:rPr>
                <w:b w:val="0"/>
                <w:color w:val="000000"/>
                <w:sz w:val="14"/>
                <w:szCs w:val="14"/>
              </w:rPr>
              <w:t>Доступ:</w:t>
            </w:r>
          </w:p>
          <w:p w14:paraId="67C6CFDF" w14:textId="77777777" w:rsidR="00366CB9" w:rsidRPr="0014192D" w:rsidRDefault="009D0C1D" w:rsidP="0014192D">
            <w:pPr>
              <w:pStyle w:val="a6"/>
              <w:shd w:val="clear" w:color="auto" w:fill="auto"/>
              <w:rPr>
                <w:sz w:val="14"/>
                <w:szCs w:val="14"/>
              </w:rPr>
            </w:pPr>
            <w:r w:rsidRPr="0014192D">
              <w:rPr>
                <w:b w:val="0"/>
                <w:color w:val="000000"/>
                <w:sz w:val="14"/>
                <w:szCs w:val="14"/>
              </w:rPr>
              <w:t>BEI Resources</w:t>
            </w:r>
            <w:r w:rsidRPr="0014192D">
              <w:rPr>
                <w:b w:val="0"/>
                <w:color w:val="000000"/>
                <w:sz w:val="14"/>
                <w:szCs w:val="14"/>
                <w:vertAlign w:val="superscript"/>
              </w:rPr>
              <w:t>b</w:t>
            </w:r>
          </w:p>
        </w:tc>
        <w:tc>
          <w:tcPr>
            <w:tcW w:w="1454" w:type="dxa"/>
            <w:tcBorders>
              <w:top w:val="single" w:sz="8" w:space="0" w:color="00B050"/>
              <w:bottom w:val="single" w:sz="8" w:space="0" w:color="00B050"/>
            </w:tcBorders>
            <w:shd w:val="clear" w:color="auto" w:fill="FFFFFF"/>
          </w:tcPr>
          <w:p w14:paraId="5121961F" w14:textId="77777777" w:rsidR="00366CB9" w:rsidRPr="0014192D" w:rsidRDefault="009D0C1D" w:rsidP="0014192D">
            <w:pPr>
              <w:pStyle w:val="a6"/>
              <w:shd w:val="clear" w:color="auto" w:fill="auto"/>
              <w:rPr>
                <w:sz w:val="14"/>
                <w:szCs w:val="14"/>
              </w:rPr>
            </w:pPr>
            <w:r w:rsidRPr="0014192D">
              <w:rPr>
                <w:b w:val="0"/>
                <w:color w:val="000000"/>
                <w:sz w:val="14"/>
                <w:szCs w:val="14"/>
              </w:rPr>
              <w:t>40 мг</w:t>
            </w:r>
          </w:p>
        </w:tc>
        <w:tc>
          <w:tcPr>
            <w:tcW w:w="2194" w:type="dxa"/>
            <w:tcBorders>
              <w:top w:val="single" w:sz="8" w:space="0" w:color="00B050"/>
              <w:bottom w:val="single" w:sz="8" w:space="0" w:color="00B050"/>
            </w:tcBorders>
            <w:shd w:val="clear" w:color="auto" w:fill="FFFFFF"/>
          </w:tcPr>
          <w:p w14:paraId="1089039F" w14:textId="77777777" w:rsidR="00366CB9" w:rsidRPr="0014192D" w:rsidRDefault="009D0C1D" w:rsidP="0014192D">
            <w:pPr>
              <w:pStyle w:val="a6"/>
              <w:shd w:val="clear" w:color="auto" w:fill="auto"/>
              <w:rPr>
                <w:sz w:val="14"/>
                <w:szCs w:val="14"/>
              </w:rPr>
            </w:pPr>
            <w:r w:rsidRPr="0014192D">
              <w:rPr>
                <w:b w:val="0"/>
                <w:color w:val="000000"/>
                <w:sz w:val="14"/>
                <w:szCs w:val="14"/>
              </w:rPr>
              <w:t>Не застосовується</w:t>
            </w:r>
          </w:p>
        </w:tc>
        <w:tc>
          <w:tcPr>
            <w:tcW w:w="1680" w:type="dxa"/>
            <w:tcBorders>
              <w:top w:val="single" w:sz="8" w:space="0" w:color="00B050"/>
              <w:bottom w:val="single" w:sz="8" w:space="0" w:color="00B050"/>
            </w:tcBorders>
            <w:shd w:val="clear" w:color="auto" w:fill="FFFFFF"/>
          </w:tcPr>
          <w:p w14:paraId="735CB4DD" w14:textId="77777777" w:rsidR="00366CB9" w:rsidRPr="0014192D" w:rsidRDefault="009D0C1D" w:rsidP="0014192D">
            <w:pPr>
              <w:pStyle w:val="a6"/>
              <w:shd w:val="clear" w:color="auto" w:fill="auto"/>
              <w:rPr>
                <w:sz w:val="14"/>
                <w:szCs w:val="14"/>
              </w:rPr>
            </w:pPr>
            <w:r w:rsidRPr="0014192D">
              <w:rPr>
                <w:b w:val="0"/>
                <w:color w:val="000000"/>
                <w:sz w:val="14"/>
                <w:szCs w:val="14"/>
              </w:rPr>
              <w:t>Не застосовується</w:t>
            </w:r>
          </w:p>
        </w:tc>
        <w:tc>
          <w:tcPr>
            <w:tcW w:w="1075" w:type="dxa"/>
            <w:tcBorders>
              <w:top w:val="single" w:sz="8" w:space="0" w:color="00B050"/>
              <w:bottom w:val="single" w:sz="8" w:space="0" w:color="00B050"/>
            </w:tcBorders>
            <w:shd w:val="clear" w:color="auto" w:fill="FFFFFF"/>
          </w:tcPr>
          <w:p w14:paraId="469374C7" w14:textId="77777777" w:rsidR="00366CB9" w:rsidRPr="0014192D" w:rsidRDefault="009D0C1D" w:rsidP="0014192D">
            <w:pPr>
              <w:pStyle w:val="a6"/>
              <w:shd w:val="clear" w:color="auto" w:fill="auto"/>
              <w:rPr>
                <w:sz w:val="14"/>
                <w:szCs w:val="14"/>
              </w:rPr>
            </w:pPr>
            <w:r w:rsidRPr="0014192D">
              <w:rPr>
                <w:b w:val="0"/>
                <w:color w:val="000000"/>
                <w:sz w:val="14"/>
                <w:szCs w:val="14"/>
              </w:rPr>
              <w:t>КТ</w:t>
            </w:r>
          </w:p>
        </w:tc>
      </w:tr>
      <w:tr w:rsidR="00366CB9" w14:paraId="5A2346F5" w14:textId="77777777" w:rsidTr="0014192D">
        <w:trPr>
          <w:trHeight w:hRule="exact" w:val="970"/>
        </w:trPr>
        <w:tc>
          <w:tcPr>
            <w:tcW w:w="1838" w:type="dxa"/>
            <w:tcBorders>
              <w:bottom w:val="single" w:sz="8" w:space="0" w:color="00B050"/>
            </w:tcBorders>
            <w:shd w:val="clear" w:color="auto" w:fill="FFFFFF"/>
          </w:tcPr>
          <w:p w14:paraId="1EE99808" w14:textId="77777777" w:rsidR="00366CB9" w:rsidRPr="0014192D" w:rsidRDefault="00366CB9" w:rsidP="0014192D">
            <w:pPr>
              <w:rPr>
                <w:sz w:val="14"/>
                <w:szCs w:val="14"/>
              </w:rPr>
            </w:pPr>
          </w:p>
        </w:tc>
        <w:tc>
          <w:tcPr>
            <w:tcW w:w="3101" w:type="dxa"/>
            <w:tcBorders>
              <w:top w:val="single" w:sz="8" w:space="0" w:color="00B050"/>
              <w:bottom w:val="single" w:sz="8" w:space="0" w:color="00B050"/>
            </w:tcBorders>
            <w:shd w:val="clear" w:color="auto" w:fill="FFFFFF"/>
          </w:tcPr>
          <w:p w14:paraId="027A1AF0" w14:textId="77777777" w:rsidR="00366CB9" w:rsidRPr="0014192D" w:rsidRDefault="00366CB9" w:rsidP="0014192D">
            <w:pPr>
              <w:rPr>
                <w:sz w:val="14"/>
                <w:szCs w:val="14"/>
              </w:rPr>
            </w:pPr>
          </w:p>
        </w:tc>
        <w:tc>
          <w:tcPr>
            <w:tcW w:w="2683" w:type="dxa"/>
            <w:tcBorders>
              <w:top w:val="single" w:sz="8" w:space="0" w:color="00B050"/>
              <w:bottom w:val="single" w:sz="8" w:space="0" w:color="00B050"/>
            </w:tcBorders>
            <w:shd w:val="clear" w:color="auto" w:fill="FFFFFF"/>
          </w:tcPr>
          <w:p w14:paraId="21682D39" w14:textId="77777777" w:rsidR="00366CB9" w:rsidRPr="0014192D" w:rsidRDefault="009D0C1D" w:rsidP="0014192D">
            <w:pPr>
              <w:pStyle w:val="a6"/>
              <w:shd w:val="clear" w:color="auto" w:fill="auto"/>
              <w:rPr>
                <w:sz w:val="14"/>
                <w:szCs w:val="14"/>
              </w:rPr>
            </w:pPr>
            <w:r w:rsidRPr="0014192D">
              <w:rPr>
                <w:b w:val="0"/>
                <w:color w:val="000000"/>
                <w:sz w:val="14"/>
                <w:szCs w:val="14"/>
              </w:rPr>
              <w:t>Sigma-Aldrich (SML1290)</w:t>
            </w:r>
          </w:p>
        </w:tc>
        <w:tc>
          <w:tcPr>
            <w:tcW w:w="1454" w:type="dxa"/>
            <w:tcBorders>
              <w:top w:val="single" w:sz="8" w:space="0" w:color="00B050"/>
              <w:bottom w:val="single" w:sz="8" w:space="0" w:color="00B050"/>
            </w:tcBorders>
            <w:shd w:val="clear" w:color="auto" w:fill="FFFFFF"/>
          </w:tcPr>
          <w:p w14:paraId="349BBADA" w14:textId="77777777" w:rsidR="00366CB9" w:rsidRPr="0014192D" w:rsidRDefault="009D0C1D" w:rsidP="0014192D">
            <w:pPr>
              <w:pStyle w:val="a6"/>
              <w:shd w:val="clear" w:color="auto" w:fill="auto"/>
              <w:rPr>
                <w:sz w:val="14"/>
                <w:szCs w:val="14"/>
              </w:rPr>
            </w:pPr>
            <w:r w:rsidRPr="0014192D">
              <w:rPr>
                <w:b w:val="0"/>
                <w:color w:val="000000"/>
                <w:sz w:val="14"/>
                <w:szCs w:val="14"/>
              </w:rPr>
              <w:t>10 або 50 мг</w:t>
            </w:r>
          </w:p>
        </w:tc>
        <w:tc>
          <w:tcPr>
            <w:tcW w:w="2194" w:type="dxa"/>
            <w:tcBorders>
              <w:top w:val="single" w:sz="8" w:space="0" w:color="00B050"/>
              <w:bottom w:val="single" w:sz="8" w:space="0" w:color="00B050"/>
            </w:tcBorders>
            <w:shd w:val="clear" w:color="auto" w:fill="FFFFFF"/>
          </w:tcPr>
          <w:p w14:paraId="555C1130" w14:textId="77777777" w:rsidR="00366CB9" w:rsidRPr="0014192D" w:rsidRDefault="009D0C1D" w:rsidP="0014192D">
            <w:pPr>
              <w:pStyle w:val="a6"/>
              <w:shd w:val="clear" w:color="auto" w:fill="auto"/>
              <w:rPr>
                <w:sz w:val="14"/>
                <w:szCs w:val="14"/>
              </w:rPr>
            </w:pPr>
            <w:r w:rsidRPr="0014192D">
              <w:rPr>
                <w:b w:val="0"/>
                <w:color w:val="000000"/>
                <w:sz w:val="14"/>
                <w:szCs w:val="14"/>
              </w:rPr>
              <w:t>Див. каталог GDF або зв’яжіться з GDF або виробником для отримання додаткової інформації</w:t>
            </w:r>
          </w:p>
        </w:tc>
        <w:tc>
          <w:tcPr>
            <w:tcW w:w="1680" w:type="dxa"/>
            <w:tcBorders>
              <w:top w:val="single" w:sz="8" w:space="0" w:color="00B050"/>
              <w:bottom w:val="single" w:sz="8" w:space="0" w:color="00B050"/>
            </w:tcBorders>
            <w:shd w:val="clear" w:color="auto" w:fill="FFFFFF"/>
          </w:tcPr>
          <w:p w14:paraId="480C5007" w14:textId="77777777" w:rsidR="00366CB9" w:rsidRPr="0014192D" w:rsidRDefault="009D0C1D" w:rsidP="0014192D">
            <w:pPr>
              <w:pStyle w:val="a6"/>
              <w:shd w:val="clear" w:color="auto" w:fill="auto"/>
              <w:rPr>
                <w:sz w:val="14"/>
                <w:szCs w:val="14"/>
              </w:rPr>
            </w:pPr>
            <w:r w:rsidRPr="0014192D">
              <w:rPr>
                <w:b w:val="0"/>
                <w:color w:val="000000"/>
                <w:sz w:val="14"/>
                <w:szCs w:val="14"/>
              </w:rPr>
              <w:t>Див. каталог GDF або зв’яжіться з GDF або виробником для отримання додаткової інформації</w:t>
            </w:r>
          </w:p>
        </w:tc>
        <w:tc>
          <w:tcPr>
            <w:tcW w:w="1075" w:type="dxa"/>
            <w:tcBorders>
              <w:top w:val="single" w:sz="8" w:space="0" w:color="00B050"/>
              <w:bottom w:val="single" w:sz="8" w:space="0" w:color="00B050"/>
            </w:tcBorders>
            <w:shd w:val="clear" w:color="auto" w:fill="FFFFFF"/>
          </w:tcPr>
          <w:p w14:paraId="1B670479" w14:textId="77777777" w:rsidR="00366CB9" w:rsidRPr="0014192D" w:rsidRDefault="009D0C1D" w:rsidP="0014192D">
            <w:pPr>
              <w:pStyle w:val="a6"/>
              <w:shd w:val="clear" w:color="auto" w:fill="auto"/>
              <w:rPr>
                <w:sz w:val="14"/>
                <w:szCs w:val="14"/>
              </w:rPr>
            </w:pPr>
            <w:r w:rsidRPr="0014192D">
              <w:rPr>
                <w:b w:val="0"/>
                <w:color w:val="000000"/>
                <w:sz w:val="14"/>
                <w:szCs w:val="14"/>
              </w:rPr>
              <w:t>–20 °C</w:t>
            </w:r>
          </w:p>
        </w:tc>
      </w:tr>
      <w:tr w:rsidR="00366CB9" w14:paraId="61713EB4" w14:textId="77777777" w:rsidTr="0014192D">
        <w:trPr>
          <w:trHeight w:hRule="exact" w:val="499"/>
        </w:trPr>
        <w:tc>
          <w:tcPr>
            <w:tcW w:w="1838" w:type="dxa"/>
            <w:tcBorders>
              <w:top w:val="single" w:sz="8" w:space="0" w:color="00B050"/>
              <w:bottom w:val="single" w:sz="8" w:space="0" w:color="00B050"/>
            </w:tcBorders>
            <w:shd w:val="clear" w:color="auto" w:fill="FFFFFF"/>
          </w:tcPr>
          <w:p w14:paraId="16661D44" w14:textId="77777777" w:rsidR="00366CB9" w:rsidRPr="0014192D" w:rsidRDefault="009D0C1D" w:rsidP="0014192D">
            <w:pPr>
              <w:pStyle w:val="a6"/>
              <w:shd w:val="clear" w:color="auto" w:fill="auto"/>
              <w:rPr>
                <w:sz w:val="14"/>
                <w:szCs w:val="14"/>
              </w:rPr>
            </w:pPr>
            <w:r w:rsidRPr="0014192D">
              <w:rPr>
                <w:b w:val="0"/>
                <w:color w:val="000000"/>
                <w:sz w:val="14"/>
                <w:szCs w:val="14"/>
              </w:rPr>
              <w:t>Циклосерин</w:t>
            </w:r>
          </w:p>
        </w:tc>
        <w:tc>
          <w:tcPr>
            <w:tcW w:w="3101" w:type="dxa"/>
            <w:tcBorders>
              <w:top w:val="single" w:sz="8" w:space="0" w:color="00B050"/>
              <w:bottom w:val="single" w:sz="8" w:space="0" w:color="00B050"/>
            </w:tcBorders>
            <w:shd w:val="clear" w:color="auto" w:fill="FFFFFF"/>
          </w:tcPr>
          <w:p w14:paraId="667D81A2" w14:textId="77777777" w:rsidR="00366CB9" w:rsidRPr="0014192D" w:rsidRDefault="009D0C1D" w:rsidP="0014192D">
            <w:pPr>
              <w:pStyle w:val="a6"/>
              <w:shd w:val="clear" w:color="auto" w:fill="auto"/>
              <w:spacing w:after="40"/>
              <w:rPr>
                <w:sz w:val="14"/>
                <w:szCs w:val="14"/>
              </w:rPr>
            </w:pPr>
            <w:r w:rsidRPr="0014192D">
              <w:rPr>
                <w:b w:val="0"/>
                <w:color w:val="000000"/>
                <w:sz w:val="14"/>
                <w:szCs w:val="14"/>
              </w:rPr>
              <w:t>Чиста субстанція</w:t>
            </w:r>
          </w:p>
          <w:p w14:paraId="77E30C13" w14:textId="77777777" w:rsidR="00366CB9" w:rsidRPr="0014192D" w:rsidRDefault="009D0C1D" w:rsidP="0014192D">
            <w:pPr>
              <w:pStyle w:val="a6"/>
              <w:shd w:val="clear" w:color="auto" w:fill="auto"/>
              <w:rPr>
                <w:sz w:val="14"/>
                <w:szCs w:val="14"/>
              </w:rPr>
            </w:pPr>
            <w:r w:rsidRPr="0014192D">
              <w:rPr>
                <w:b w:val="0"/>
                <w:color w:val="000000"/>
                <w:sz w:val="14"/>
                <w:szCs w:val="14"/>
              </w:rPr>
              <w:t>≥ 98 %</w:t>
            </w:r>
          </w:p>
        </w:tc>
        <w:tc>
          <w:tcPr>
            <w:tcW w:w="2683" w:type="dxa"/>
            <w:tcBorders>
              <w:top w:val="single" w:sz="8" w:space="0" w:color="00B050"/>
              <w:bottom w:val="single" w:sz="8" w:space="0" w:color="00B050"/>
            </w:tcBorders>
            <w:shd w:val="clear" w:color="auto" w:fill="FFFFFF"/>
          </w:tcPr>
          <w:p w14:paraId="5C532824" w14:textId="77777777" w:rsidR="00366CB9" w:rsidRPr="0014192D" w:rsidRDefault="009D0C1D" w:rsidP="0014192D">
            <w:pPr>
              <w:pStyle w:val="a6"/>
              <w:shd w:val="clear" w:color="auto" w:fill="auto"/>
              <w:rPr>
                <w:sz w:val="14"/>
                <w:szCs w:val="14"/>
              </w:rPr>
            </w:pPr>
            <w:r w:rsidRPr="0014192D">
              <w:rPr>
                <w:b w:val="0"/>
                <w:color w:val="000000"/>
                <w:sz w:val="14"/>
                <w:szCs w:val="14"/>
              </w:rPr>
              <w:t>Sigma-Aldrich (C6880)</w:t>
            </w:r>
          </w:p>
        </w:tc>
        <w:tc>
          <w:tcPr>
            <w:tcW w:w="1454" w:type="dxa"/>
            <w:tcBorders>
              <w:top w:val="single" w:sz="8" w:space="0" w:color="00B050"/>
              <w:bottom w:val="single" w:sz="8" w:space="0" w:color="00B050"/>
            </w:tcBorders>
            <w:shd w:val="clear" w:color="auto" w:fill="FFFFFF"/>
          </w:tcPr>
          <w:p w14:paraId="7D37D500" w14:textId="77777777" w:rsidR="00366CB9" w:rsidRPr="0014192D" w:rsidRDefault="009D0C1D" w:rsidP="0014192D">
            <w:pPr>
              <w:pStyle w:val="a6"/>
              <w:shd w:val="clear" w:color="auto" w:fill="auto"/>
              <w:rPr>
                <w:sz w:val="14"/>
                <w:szCs w:val="14"/>
              </w:rPr>
            </w:pPr>
            <w:r w:rsidRPr="0014192D">
              <w:rPr>
                <w:b w:val="0"/>
                <w:color w:val="000000"/>
                <w:sz w:val="14"/>
                <w:szCs w:val="14"/>
              </w:rPr>
              <w:t>1 мг або 5 мг</w:t>
            </w:r>
          </w:p>
        </w:tc>
        <w:tc>
          <w:tcPr>
            <w:tcW w:w="2194" w:type="dxa"/>
            <w:tcBorders>
              <w:top w:val="single" w:sz="8" w:space="0" w:color="00B050"/>
              <w:bottom w:val="single" w:sz="8" w:space="0" w:color="00B050"/>
            </w:tcBorders>
            <w:shd w:val="clear" w:color="auto" w:fill="FFFFFF"/>
          </w:tcPr>
          <w:p w14:paraId="61F35EBA" w14:textId="77777777" w:rsidR="00366CB9" w:rsidRPr="0014192D" w:rsidRDefault="009D0C1D" w:rsidP="0014192D">
            <w:pPr>
              <w:pStyle w:val="a6"/>
              <w:shd w:val="clear" w:color="auto" w:fill="auto"/>
              <w:rPr>
                <w:sz w:val="14"/>
                <w:szCs w:val="14"/>
              </w:rPr>
            </w:pPr>
            <w:r w:rsidRPr="0014192D">
              <w:rPr>
                <w:b w:val="0"/>
                <w:color w:val="000000"/>
                <w:sz w:val="14"/>
                <w:szCs w:val="14"/>
              </w:rPr>
              <w:t>Недоступно</w:t>
            </w:r>
          </w:p>
        </w:tc>
        <w:tc>
          <w:tcPr>
            <w:tcW w:w="1680" w:type="dxa"/>
            <w:tcBorders>
              <w:top w:val="single" w:sz="8" w:space="0" w:color="00B050"/>
              <w:bottom w:val="single" w:sz="8" w:space="0" w:color="00B050"/>
            </w:tcBorders>
            <w:shd w:val="clear" w:color="auto" w:fill="FFFFFF"/>
          </w:tcPr>
          <w:p w14:paraId="5085FDFB" w14:textId="77777777" w:rsidR="00366CB9" w:rsidRPr="0014192D" w:rsidRDefault="009D0C1D" w:rsidP="0014192D">
            <w:pPr>
              <w:pStyle w:val="a6"/>
              <w:shd w:val="clear" w:color="auto" w:fill="auto"/>
              <w:rPr>
                <w:sz w:val="14"/>
                <w:szCs w:val="14"/>
              </w:rPr>
            </w:pPr>
            <w:r w:rsidRPr="0014192D">
              <w:rPr>
                <w:b w:val="0"/>
                <w:color w:val="000000"/>
                <w:sz w:val="14"/>
                <w:szCs w:val="14"/>
              </w:rPr>
              <w:t>Недоступно</w:t>
            </w:r>
          </w:p>
        </w:tc>
        <w:tc>
          <w:tcPr>
            <w:tcW w:w="1075" w:type="dxa"/>
            <w:tcBorders>
              <w:top w:val="single" w:sz="8" w:space="0" w:color="00B050"/>
              <w:bottom w:val="single" w:sz="8" w:space="0" w:color="00B050"/>
            </w:tcBorders>
            <w:shd w:val="clear" w:color="auto" w:fill="FFFFFF"/>
          </w:tcPr>
          <w:p w14:paraId="3F6D5C0D" w14:textId="77777777" w:rsidR="00366CB9" w:rsidRPr="0014192D" w:rsidRDefault="009D0C1D" w:rsidP="0014192D">
            <w:pPr>
              <w:pStyle w:val="a6"/>
              <w:shd w:val="clear" w:color="auto" w:fill="auto"/>
              <w:rPr>
                <w:sz w:val="14"/>
                <w:szCs w:val="14"/>
              </w:rPr>
            </w:pPr>
            <w:r w:rsidRPr="0014192D">
              <w:rPr>
                <w:b w:val="0"/>
                <w:color w:val="000000"/>
                <w:sz w:val="14"/>
                <w:szCs w:val="14"/>
              </w:rPr>
              <w:t>Див. виноску</w:t>
            </w:r>
            <w:r w:rsidRPr="0014192D">
              <w:rPr>
                <w:b w:val="0"/>
                <w:color w:val="000000"/>
                <w:sz w:val="14"/>
                <w:szCs w:val="14"/>
                <w:vertAlign w:val="superscript"/>
              </w:rPr>
              <w:t>c</w:t>
            </w:r>
          </w:p>
        </w:tc>
      </w:tr>
      <w:tr w:rsidR="00366CB9" w14:paraId="6B5880A5" w14:textId="77777777" w:rsidTr="0014192D">
        <w:trPr>
          <w:trHeight w:hRule="exact" w:val="1421"/>
        </w:trPr>
        <w:tc>
          <w:tcPr>
            <w:tcW w:w="14025" w:type="dxa"/>
            <w:gridSpan w:val="7"/>
            <w:tcBorders>
              <w:top w:val="single" w:sz="8" w:space="0" w:color="00B050"/>
            </w:tcBorders>
            <w:shd w:val="clear" w:color="auto" w:fill="FFFFFF"/>
            <w:vAlign w:val="bottom"/>
          </w:tcPr>
          <w:p w14:paraId="507F7361" w14:textId="77777777" w:rsidR="00366CB9" w:rsidRDefault="009D0C1D" w:rsidP="00B3067A">
            <w:pPr>
              <w:pStyle w:val="a6"/>
              <w:shd w:val="clear" w:color="auto" w:fill="auto"/>
              <w:spacing w:after="40" w:line="266" w:lineRule="auto"/>
              <w:rPr>
                <w:sz w:val="17"/>
                <w:szCs w:val="17"/>
              </w:rPr>
            </w:pPr>
            <w:r>
              <w:rPr>
                <w:b w:val="0"/>
                <w:color w:val="000000"/>
                <w:sz w:val="17"/>
              </w:rPr>
              <w:t>КТ: кімнатна температура.</w:t>
            </w:r>
          </w:p>
          <w:p w14:paraId="447A30F9" w14:textId="4CDB90C0" w:rsidR="00366CB9" w:rsidRDefault="009D0C1D" w:rsidP="0014192D">
            <w:pPr>
              <w:pStyle w:val="a6"/>
              <w:shd w:val="clear" w:color="auto" w:fill="auto"/>
              <w:tabs>
                <w:tab w:val="left" w:pos="131"/>
              </w:tabs>
              <w:spacing w:after="40" w:line="266" w:lineRule="auto"/>
              <w:rPr>
                <w:sz w:val="17"/>
                <w:szCs w:val="17"/>
              </w:rPr>
            </w:pPr>
            <w:r>
              <w:rPr>
                <w:b w:val="0"/>
                <w:color w:val="000000"/>
                <w:sz w:val="17"/>
                <w:vertAlign w:val="superscript"/>
              </w:rPr>
              <w:t>a</w:t>
            </w:r>
            <w:r w:rsidR="0014192D">
              <w:tab/>
            </w:r>
            <w:r>
              <w:rPr>
                <w:b w:val="0"/>
                <w:color w:val="000000"/>
                <w:sz w:val="17"/>
              </w:rPr>
              <w:t>Безкоштовна доставка при вказанні перевізника як JNJ.</w:t>
            </w:r>
          </w:p>
          <w:p w14:paraId="1EB5870B" w14:textId="577300CF" w:rsidR="00366CB9" w:rsidRDefault="009D0C1D" w:rsidP="0014192D">
            <w:pPr>
              <w:pStyle w:val="a6"/>
              <w:shd w:val="clear" w:color="auto" w:fill="auto"/>
              <w:tabs>
                <w:tab w:val="left" w:pos="131"/>
              </w:tabs>
              <w:spacing w:after="40" w:line="266" w:lineRule="auto"/>
              <w:rPr>
                <w:sz w:val="17"/>
                <w:szCs w:val="17"/>
              </w:rPr>
            </w:pPr>
            <w:r>
              <w:rPr>
                <w:b w:val="0"/>
                <w:color w:val="000000"/>
                <w:sz w:val="17"/>
                <w:vertAlign w:val="superscript"/>
              </w:rPr>
              <w:t>b</w:t>
            </w:r>
            <w:r w:rsidR="0014192D">
              <w:tab/>
            </w:r>
            <w:r>
              <w:rPr>
                <w:b w:val="0"/>
                <w:color w:val="000000"/>
                <w:sz w:val="17"/>
              </w:rPr>
              <w:t xml:space="preserve">Перейдіть за посиланням </w:t>
            </w:r>
            <w:hyperlink r:id="rId312" w:history="1">
              <w:r w:rsidR="00366CB9">
                <w:rPr>
                  <w:color w:val="000000"/>
                  <w:sz w:val="18"/>
                </w:rPr>
                <w:t>https://www.beiresources.org</w:t>
              </w:r>
            </w:hyperlink>
            <w:r>
              <w:rPr>
                <w:b w:val="0"/>
                <w:color w:val="000000"/>
                <w:sz w:val="18"/>
              </w:rPr>
              <w:t xml:space="preserve">; </w:t>
            </w:r>
            <w:r>
              <w:rPr>
                <w:b w:val="0"/>
                <w:color w:val="000000"/>
                <w:sz w:val="17"/>
              </w:rPr>
              <w:t>збір з найближчого аеропорту та митне оформлення лікарського засобу є обов’язком лабораторії, що отримує.</w:t>
            </w:r>
          </w:p>
          <w:p w14:paraId="350A6885" w14:textId="328DF343" w:rsidR="00366CB9" w:rsidRDefault="009D0C1D" w:rsidP="0014192D">
            <w:pPr>
              <w:pStyle w:val="a6"/>
              <w:shd w:val="clear" w:color="auto" w:fill="auto"/>
              <w:tabs>
                <w:tab w:val="left" w:pos="131"/>
              </w:tabs>
              <w:spacing w:after="40" w:line="266" w:lineRule="auto"/>
              <w:ind w:left="160" w:hanging="160"/>
              <w:jc w:val="both"/>
              <w:rPr>
                <w:sz w:val="17"/>
                <w:szCs w:val="17"/>
              </w:rPr>
            </w:pPr>
            <w:r>
              <w:rPr>
                <w:b w:val="0"/>
                <w:color w:val="000000"/>
                <w:sz w:val="17"/>
                <w:vertAlign w:val="superscript"/>
              </w:rPr>
              <w:t>c</w:t>
            </w:r>
            <w:r w:rsidR="0014192D">
              <w:tab/>
            </w:r>
            <w:r>
              <w:rPr>
                <w:b w:val="0"/>
                <w:color w:val="000000"/>
                <w:sz w:val="17"/>
              </w:rPr>
              <w:t>Враховуючи відому термостабільність DCS, порошок DCS необхідно зберігати згідно з інструкціями виробника, а маткові розчини у стерильній дистильованій/деіонізованій воді необхідно зберігати за температури -70 °C ± 10 °C протягом 6 місяців (тобто не слід застосовувати нижчі температури, а флакони не слід повторно заморожувати).</w:t>
            </w:r>
          </w:p>
        </w:tc>
      </w:tr>
    </w:tbl>
    <w:tbl>
      <w:tblPr>
        <w:tblOverlap w:val="never"/>
        <w:tblW w:w="0" w:type="auto"/>
        <w:tblLayout w:type="fixed"/>
        <w:tblCellMar>
          <w:left w:w="10" w:type="dxa"/>
          <w:right w:w="10" w:type="dxa"/>
        </w:tblCellMar>
        <w:tblLook w:val="0000" w:firstRow="0" w:lastRow="0" w:firstColumn="0" w:lastColumn="0" w:noHBand="0" w:noVBand="0"/>
      </w:tblPr>
      <w:tblGrid>
        <w:gridCol w:w="182"/>
      </w:tblGrid>
      <w:tr w:rsidR="00366CB9" w14:paraId="2BB3A4FD" w14:textId="77777777">
        <w:trPr>
          <w:trHeight w:hRule="exact" w:val="610"/>
        </w:trPr>
        <w:tc>
          <w:tcPr>
            <w:tcW w:w="182" w:type="dxa"/>
            <w:shd w:val="clear" w:color="auto" w:fill="FFFFFF"/>
            <w:textDirection w:val="tbRl"/>
          </w:tcPr>
          <w:p w14:paraId="3D4C1AF9" w14:textId="77777777" w:rsidR="00366CB9" w:rsidRDefault="009D0C1D" w:rsidP="00425523">
            <w:pPr>
              <w:pStyle w:val="a6"/>
              <w:framePr w:w="182" w:h="5390" w:wrap="none" w:vAnchor="page" w:hAnchor="page" w:x="690" w:y="776"/>
              <w:shd w:val="clear" w:color="auto" w:fill="auto"/>
              <w:rPr>
                <w:sz w:val="15"/>
                <w:szCs w:val="15"/>
              </w:rPr>
            </w:pPr>
            <w:r>
              <w:rPr>
                <w:b w:val="0"/>
                <w:color w:val="019648"/>
                <w:sz w:val="15"/>
              </w:rPr>
              <w:t>170</w:t>
            </w:r>
          </w:p>
        </w:tc>
      </w:tr>
      <w:tr w:rsidR="00366CB9" w14:paraId="50DA5BDD" w14:textId="77777777" w:rsidTr="00723AF7">
        <w:trPr>
          <w:trHeight w:hRule="exact" w:val="5342"/>
        </w:trPr>
        <w:tc>
          <w:tcPr>
            <w:tcW w:w="182" w:type="dxa"/>
            <w:shd w:val="clear" w:color="auto" w:fill="FFFFFF"/>
            <w:textDirection w:val="tbRl"/>
          </w:tcPr>
          <w:p w14:paraId="25CD5248" w14:textId="77777777" w:rsidR="00366CB9" w:rsidRDefault="009D0C1D" w:rsidP="00425523">
            <w:pPr>
              <w:pStyle w:val="a6"/>
              <w:framePr w:w="182" w:h="5390" w:wrap="none" w:vAnchor="page" w:hAnchor="page" w:x="690" w:y="776"/>
              <w:shd w:val="clear" w:color="auto" w:fill="auto"/>
              <w:rPr>
                <w:sz w:val="15"/>
                <w:szCs w:val="15"/>
              </w:rPr>
            </w:pPr>
            <w:r>
              <w:rPr>
                <w:b w:val="0"/>
                <w:color w:val="019648"/>
                <w:sz w:val="15"/>
              </w:rPr>
              <w:t xml:space="preserve">Операційний довідник </w:t>
            </w:r>
            <w:r>
              <w:rPr>
                <w:b w:val="0"/>
                <w:color w:val="F07A72"/>
                <w:sz w:val="15"/>
              </w:rPr>
              <w:t xml:space="preserve">ВООЗ </w:t>
            </w:r>
            <w:r>
              <w:rPr>
                <w:b w:val="0"/>
                <w:color w:val="019648"/>
                <w:sz w:val="15"/>
              </w:rPr>
              <w:t>щодо туберкульозу. Модуль 3: діагностика</w:t>
            </w:r>
          </w:p>
        </w:tc>
      </w:tr>
    </w:tbl>
    <w:p w14:paraId="6403009B" w14:textId="77777777" w:rsidR="00366CB9" w:rsidRDefault="00366CB9" w:rsidP="00425523">
      <w:pPr>
        <w:spacing w:line="1" w:lineRule="exact"/>
        <w:sectPr w:rsidR="00366CB9" w:rsidSect="0014192D">
          <w:footerReference w:type="even" r:id="rId313"/>
          <w:pgSz w:w="16840" w:h="11913" w:orient="landscape"/>
          <w:pgMar w:top="890" w:right="1315" w:bottom="142" w:left="1497" w:header="0" w:footer="6" w:gutter="0"/>
          <w:paperSrc w:first="15" w:other="15"/>
          <w:cols w:space="720"/>
          <w:noEndnote/>
          <w:docGrid w:linePitch="360"/>
        </w:sectPr>
      </w:pPr>
    </w:p>
    <w:p w14:paraId="623B138C" w14:textId="77777777" w:rsidR="00366CB9" w:rsidRDefault="00366CB9" w:rsidP="00425523">
      <w:pPr>
        <w:spacing w:line="1" w:lineRule="exact"/>
      </w:pPr>
    </w:p>
    <w:p w14:paraId="0F69C884" w14:textId="77777777" w:rsidR="00366CB9" w:rsidRDefault="009D0C1D" w:rsidP="00B3067A">
      <w:pPr>
        <w:pStyle w:val="22"/>
        <w:shd w:val="clear" w:color="auto" w:fill="auto"/>
        <w:spacing w:line="240" w:lineRule="auto"/>
        <w:jc w:val="both"/>
        <w:rPr>
          <w:sz w:val="38"/>
          <w:szCs w:val="38"/>
        </w:rPr>
      </w:pPr>
      <w:bookmarkStart w:id="212" w:name="bookmark210"/>
      <w:bookmarkStart w:id="213" w:name="bookmark211"/>
      <w:bookmarkStart w:id="214" w:name="bookmark209"/>
      <w:r>
        <w:rPr>
          <w:sz w:val="38"/>
        </w:rPr>
        <w:t>Список літератури для Додатка 2</w:t>
      </w:r>
      <w:bookmarkEnd w:id="212"/>
      <w:bookmarkEnd w:id="213"/>
      <w:bookmarkEnd w:id="214"/>
    </w:p>
    <w:p w14:paraId="683E1D95" w14:textId="7FEC560C" w:rsidR="00366CB9" w:rsidRPr="0014192D" w:rsidRDefault="009D0C1D" w:rsidP="00B3067A">
      <w:pPr>
        <w:pStyle w:val="1"/>
        <w:shd w:val="clear" w:color="auto" w:fill="auto"/>
        <w:spacing w:after="60" w:line="310" w:lineRule="auto"/>
        <w:ind w:left="480" w:hanging="480"/>
        <w:jc w:val="both"/>
        <w:rPr>
          <w:sz w:val="18"/>
          <w:szCs w:val="18"/>
        </w:rPr>
      </w:pPr>
      <w:r>
        <w:rPr>
          <w:sz w:val="19"/>
        </w:rPr>
        <w:t xml:space="preserve">1. </w:t>
      </w:r>
      <w:r w:rsidR="0014192D">
        <w:tab/>
      </w:r>
      <w:r w:rsidRPr="0014192D">
        <w:rPr>
          <w:sz w:val="18"/>
          <w:szCs w:val="18"/>
        </w:rPr>
        <w:t xml:space="preserve">Technical manual for drug susceptibility testing of medicines used in the treatment of tuberculosis. Geneva: World Health Organization; 2018 </w:t>
      </w:r>
      <w:hyperlink r:id="rId314" w:history="1">
        <w:r w:rsidR="00366CB9" w:rsidRPr="0014192D">
          <w:rPr>
            <w:sz w:val="18"/>
            <w:szCs w:val="18"/>
          </w:rPr>
          <w:t>(</w:t>
        </w:r>
        <w:r w:rsidR="00366CB9" w:rsidRPr="0014192D">
          <w:rPr>
            <w:color w:val="019648"/>
            <w:sz w:val="18"/>
            <w:szCs w:val="18"/>
          </w:rPr>
          <w:t>https://www.who.int/publications/i/item/</w:t>
        </w:r>
      </w:hyperlink>
      <w:r w:rsidRPr="0014192D">
        <w:rPr>
          <w:color w:val="019648"/>
          <w:sz w:val="18"/>
          <w:szCs w:val="18"/>
        </w:rPr>
        <w:t xml:space="preserve"> </w:t>
      </w:r>
      <w:hyperlink r:id="rId315" w:history="1">
        <w:r w:rsidR="00366CB9" w:rsidRPr="0014192D">
          <w:rPr>
            <w:color w:val="019648"/>
            <w:sz w:val="18"/>
            <w:szCs w:val="18"/>
          </w:rPr>
          <w:t>9789241514842</w:t>
        </w:r>
      </w:hyperlink>
      <w:r w:rsidRPr="0014192D">
        <w:rPr>
          <w:sz w:val="18"/>
          <w:szCs w:val="18"/>
        </w:rPr>
        <w:t>).</w:t>
      </w:r>
    </w:p>
    <w:p w14:paraId="3201CEB9" w14:textId="279D758D" w:rsidR="00366CB9" w:rsidRPr="0014192D" w:rsidRDefault="009D0C1D" w:rsidP="00B3067A">
      <w:pPr>
        <w:pStyle w:val="1"/>
        <w:shd w:val="clear" w:color="auto" w:fill="auto"/>
        <w:spacing w:line="310" w:lineRule="auto"/>
        <w:ind w:left="480" w:hanging="480"/>
        <w:jc w:val="both"/>
        <w:rPr>
          <w:sz w:val="18"/>
          <w:szCs w:val="18"/>
        </w:rPr>
      </w:pPr>
      <w:r w:rsidRPr="0014192D">
        <w:rPr>
          <w:sz w:val="18"/>
          <w:szCs w:val="18"/>
        </w:rPr>
        <w:t xml:space="preserve">2. </w:t>
      </w:r>
      <w:r w:rsidR="0014192D" w:rsidRPr="0014192D">
        <w:rPr>
          <w:sz w:val="18"/>
          <w:szCs w:val="18"/>
        </w:rPr>
        <w:tab/>
      </w:r>
      <w:r w:rsidRPr="0014192D">
        <w:rPr>
          <w:sz w:val="18"/>
          <w:szCs w:val="18"/>
        </w:rPr>
        <w:t>Technical report on critical concentrations for drug susceptibility testing of medicines used in the treatment of drug-resistant tuberculosis. Geneva: World Health Organization; 2018 (</w:t>
      </w:r>
      <w:hyperlink r:id="rId316" w:history="1">
        <w:r w:rsidR="00366CB9" w:rsidRPr="0014192D">
          <w:rPr>
            <w:color w:val="019648"/>
            <w:sz w:val="18"/>
            <w:szCs w:val="18"/>
          </w:rPr>
          <w:t>https://www.</w:t>
        </w:r>
      </w:hyperlink>
      <w:r w:rsidRPr="0014192D">
        <w:rPr>
          <w:color w:val="019648"/>
          <w:sz w:val="18"/>
          <w:szCs w:val="18"/>
        </w:rPr>
        <w:t xml:space="preserve"> </w:t>
      </w:r>
      <w:hyperlink r:id="rId317" w:history="1">
        <w:r w:rsidR="00366CB9" w:rsidRPr="0014192D">
          <w:rPr>
            <w:color w:val="019648"/>
            <w:sz w:val="18"/>
            <w:szCs w:val="18"/>
          </w:rPr>
          <w:t>who.int/publications/i/item/WHO-CDS-TB-2018.5</w:t>
        </w:r>
      </w:hyperlink>
      <w:r w:rsidRPr="0014192D">
        <w:rPr>
          <w:sz w:val="18"/>
          <w:szCs w:val="18"/>
        </w:rPr>
        <w:t>).</w:t>
      </w:r>
    </w:p>
    <w:p w14:paraId="0A6450C6" w14:textId="77777777" w:rsidR="00366CB9" w:rsidRDefault="00366CB9" w:rsidP="00425523">
      <w:pPr>
        <w:spacing w:line="1" w:lineRule="exact"/>
        <w:sectPr w:rsidR="00366CB9" w:rsidSect="00B3067A">
          <w:footerReference w:type="default" r:id="rId318"/>
          <w:pgSz w:w="11913" w:h="16840"/>
          <w:pgMar w:top="1469" w:right="1378" w:bottom="851" w:left="1372" w:header="0" w:footer="6" w:gutter="0"/>
          <w:paperSrc w:first="15" w:other="15"/>
          <w:cols w:space="720"/>
          <w:noEndnote/>
          <w:docGrid w:linePitch="360"/>
        </w:sectPr>
      </w:pPr>
    </w:p>
    <w:p w14:paraId="457B6CEF" w14:textId="77777777" w:rsidR="00366CB9" w:rsidRDefault="00366CB9" w:rsidP="00425523">
      <w:pPr>
        <w:spacing w:line="1" w:lineRule="exact"/>
      </w:pPr>
    </w:p>
    <w:p w14:paraId="2B0EDEB9" w14:textId="77777777" w:rsidR="00366CB9" w:rsidRDefault="009D0C1D" w:rsidP="00B3067A">
      <w:pPr>
        <w:pStyle w:val="11"/>
        <w:shd w:val="clear" w:color="auto" w:fill="auto"/>
        <w:spacing w:before="0" w:after="700" w:line="259" w:lineRule="auto"/>
      </w:pPr>
      <w:bookmarkStart w:id="215" w:name="bookmark214"/>
      <w:bookmarkStart w:id="216" w:name="bookmark215"/>
      <w:bookmarkStart w:id="217" w:name="bookmark212"/>
      <w:bookmarkStart w:id="218" w:name="bookmark213"/>
      <w:r>
        <w:t>Додаток 3. Впровадження технологій секвенування наступного покоління</w:t>
      </w:r>
      <w:bookmarkEnd w:id="215"/>
      <w:bookmarkEnd w:id="216"/>
      <w:bookmarkEnd w:id="217"/>
      <w:bookmarkEnd w:id="218"/>
    </w:p>
    <w:p w14:paraId="74832723"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 xml:space="preserve">Всесвітня організація охорони здоров’я (ВООЗ) нещодавно опублікувала публікацію </w:t>
      </w:r>
      <w:r w:rsidRPr="0014192D">
        <w:rPr>
          <w:i/>
          <w:sz w:val="18"/>
          <w:szCs w:val="18"/>
        </w:rPr>
        <w:t>«Використання технології секвенування наступного покоління для епідеміологічного нагляду за лікарсько-стійким туберкульозом: посібник з впровадження» (</w:t>
      </w:r>
      <w:hyperlink w:anchor="bookmark216" w:tooltip="Поточний документ">
        <w:r w:rsidR="00366CB9" w:rsidRPr="0014192D">
          <w:rPr>
            <w:i/>
            <w:sz w:val="18"/>
            <w:szCs w:val="18"/>
          </w:rPr>
          <w:t>1</w:t>
        </w:r>
      </w:hyperlink>
      <w:r w:rsidRPr="0014192D">
        <w:rPr>
          <w:i/>
          <w:sz w:val="18"/>
          <w:szCs w:val="18"/>
        </w:rPr>
        <w:t>),</w:t>
      </w:r>
      <w:r w:rsidRPr="0014192D">
        <w:rPr>
          <w:sz w:val="18"/>
          <w:szCs w:val="18"/>
        </w:rPr>
        <w:t xml:space="preserve"> що надає практичні вказівки щодо планування та впровадження технології секвенування наступного покоління (СНП) для характеристики бактерій комплексу </w:t>
      </w:r>
      <w:r w:rsidRPr="0014192D">
        <w:rPr>
          <w:i/>
          <w:sz w:val="18"/>
          <w:szCs w:val="18"/>
        </w:rPr>
        <w:t>Mycobacterium tuberculosis</w:t>
      </w:r>
      <w:r w:rsidRPr="0014192D">
        <w:rPr>
          <w:sz w:val="18"/>
          <w:szCs w:val="18"/>
        </w:rPr>
        <w:t xml:space="preserve"> (MTBC). У цьому посібнику основна увага приділяється виявленню мутацій, пов’язаних з медикаментозною резистентністю, для епідеміологічного нагляду за медикаментозною резистентністю при туберкульозі (ТБ). Керівництво з впровадження також підходить для впровадження тестів цільового секвенування наступного покоління (СНП) для виявлення мутацій, пов’язаних з медикаментозною резистентністю, з метою управління прийняттям клінічних рішень щодо лікування лікарсько-стійкого ТБ (ЛС-ТБ).</w:t>
      </w:r>
    </w:p>
    <w:p w14:paraId="668151F0"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Цей посібник з впровадження доповнює дві інші публікації щодо ТБ:</w:t>
      </w:r>
    </w:p>
    <w:p w14:paraId="0A315781" w14:textId="779A8E6E" w:rsidR="00366CB9" w:rsidRPr="0014192D" w:rsidRDefault="009D0C1D" w:rsidP="00B3067A">
      <w:pPr>
        <w:pStyle w:val="1"/>
        <w:shd w:val="clear" w:color="auto" w:fill="auto"/>
        <w:spacing w:line="324" w:lineRule="auto"/>
        <w:ind w:left="300" w:hanging="300"/>
        <w:jc w:val="both"/>
        <w:rPr>
          <w:sz w:val="18"/>
          <w:szCs w:val="18"/>
        </w:rPr>
      </w:pPr>
      <w:r w:rsidRPr="0014192D">
        <w:rPr>
          <w:i/>
          <w:color w:val="019648"/>
          <w:sz w:val="18"/>
          <w:szCs w:val="18"/>
        </w:rPr>
        <w:t xml:space="preserve">• </w:t>
      </w:r>
      <w:r w:rsidR="0014192D">
        <w:tab/>
      </w:r>
      <w:r w:rsidR="0014192D" w:rsidRPr="0014192D">
        <w:rPr>
          <w:i/>
          <w:sz w:val="18"/>
          <w:szCs w:val="18"/>
        </w:rPr>
        <w:t xml:space="preserve"> </w:t>
      </w:r>
      <w:r w:rsidRPr="0014192D">
        <w:rPr>
          <w:i/>
          <w:sz w:val="18"/>
          <w:szCs w:val="18"/>
        </w:rPr>
        <w:t>«Використання технологій секвенування наступного покоління для виявлення мутацій, пов’язаних з медикаментозною резистентністю у комплексі Mycobacterium tuberculosis: технічний посібник» (</w:t>
      </w:r>
      <w:hyperlink w:anchor="bookmark216" w:tooltip="Поточний документ">
        <w:r w:rsidR="00366CB9" w:rsidRPr="0014192D">
          <w:rPr>
            <w:i/>
            <w:sz w:val="18"/>
            <w:szCs w:val="18"/>
          </w:rPr>
          <w:t>2</w:t>
        </w:r>
      </w:hyperlink>
      <w:r w:rsidRPr="0014192D">
        <w:rPr>
          <w:i/>
          <w:sz w:val="18"/>
          <w:szCs w:val="18"/>
        </w:rPr>
        <w:t>)</w:t>
      </w:r>
      <w:r w:rsidRPr="0014192D">
        <w:rPr>
          <w:sz w:val="18"/>
          <w:szCs w:val="18"/>
        </w:rPr>
        <w:t xml:space="preserve"> – у цьому документі представлено огляд методів та робочих процесів СНП, та комплексний огляд наукових доказів щодо характеристики генетичної основи фенотипової резистентності до основних протитуберкульозних препаратів; та</w:t>
      </w:r>
    </w:p>
    <w:p w14:paraId="21F6B83F" w14:textId="26C25BF9" w:rsidR="00366CB9" w:rsidRPr="0014192D" w:rsidRDefault="009D0C1D" w:rsidP="00B3067A">
      <w:pPr>
        <w:pStyle w:val="1"/>
        <w:shd w:val="clear" w:color="auto" w:fill="auto"/>
        <w:spacing w:after="140" w:line="324" w:lineRule="auto"/>
        <w:ind w:left="300" w:hanging="300"/>
        <w:jc w:val="both"/>
        <w:rPr>
          <w:i/>
          <w:iCs/>
          <w:sz w:val="18"/>
          <w:szCs w:val="18"/>
        </w:rPr>
      </w:pPr>
      <w:r w:rsidRPr="0014192D">
        <w:rPr>
          <w:color w:val="019648"/>
          <w:sz w:val="18"/>
          <w:szCs w:val="18"/>
        </w:rPr>
        <w:t xml:space="preserve">• </w:t>
      </w:r>
      <w:r w:rsidR="0014192D">
        <w:tab/>
      </w:r>
      <w:r w:rsidRPr="0014192D">
        <w:rPr>
          <w:sz w:val="18"/>
          <w:szCs w:val="18"/>
        </w:rPr>
        <w:t xml:space="preserve">Друге видання публікації </w:t>
      </w:r>
      <w:r w:rsidRPr="0014192D">
        <w:rPr>
          <w:i/>
          <w:sz w:val="18"/>
          <w:szCs w:val="18"/>
        </w:rPr>
        <w:t>«Каталог мутацій у комплексі Mycobacterium tuberculosis та їхній зв’язок з медикаментозною резистентністю» (</w:t>
      </w:r>
      <w:hyperlink w:anchor="bookmark216" w:tooltip="Поточний документ">
        <w:r w:rsidR="00366CB9" w:rsidRPr="0014192D">
          <w:rPr>
            <w:i/>
            <w:sz w:val="18"/>
            <w:szCs w:val="18"/>
          </w:rPr>
          <w:t>3</w:t>
        </w:r>
      </w:hyperlink>
      <w:r w:rsidRPr="0014192D">
        <w:rPr>
          <w:i/>
          <w:sz w:val="18"/>
          <w:szCs w:val="18"/>
        </w:rPr>
        <w:t>).</w:t>
      </w:r>
    </w:p>
    <w:p w14:paraId="11070E33" w14:textId="77777777" w:rsidR="00366CB9" w:rsidRPr="0014192D" w:rsidRDefault="009D0C1D" w:rsidP="00B3067A">
      <w:pPr>
        <w:pStyle w:val="1"/>
        <w:shd w:val="clear" w:color="auto" w:fill="auto"/>
        <w:spacing w:after="200" w:line="324" w:lineRule="auto"/>
        <w:jc w:val="both"/>
        <w:rPr>
          <w:sz w:val="18"/>
          <w:szCs w:val="18"/>
        </w:rPr>
      </w:pPr>
      <w:r w:rsidRPr="0014192D">
        <w:rPr>
          <w:sz w:val="18"/>
          <w:szCs w:val="18"/>
        </w:rPr>
        <w:t>Технічний посібник (</w:t>
      </w:r>
      <w:hyperlink w:anchor="bookmark216" w:tooltip="Поточний документ">
        <w:r w:rsidR="00366CB9" w:rsidRPr="0014192D">
          <w:rPr>
            <w:sz w:val="18"/>
            <w:szCs w:val="18"/>
          </w:rPr>
          <w:t>2</w:t>
        </w:r>
      </w:hyperlink>
      <w:r w:rsidRPr="0014192D">
        <w:rPr>
          <w:sz w:val="18"/>
          <w:szCs w:val="18"/>
        </w:rPr>
        <w:t>) є основою для прийняття рішень щодо тестування медикаментозної чутливості (ТМЧ) на основі СНП, планом впровадження та практичними вказівками щодо планування та впровадження ТМЧ на основі СНП у країні. Основні етапи впровадження цільового СНП для виявлення мутацій, пов’язаних з медикаментозною резистентністю при ТБ, відповідають етапам, описаним у розділі 3.5 основного документу, з увагою на нюансах технологій СНП (наприклад, обладнання для СНП, потреби в біоінформатиці та форми звітності). Основні етапи:</w:t>
      </w:r>
    </w:p>
    <w:p w14:paraId="56B86EAD" w14:textId="77777777" w:rsidR="00366CB9" w:rsidRPr="0014192D" w:rsidRDefault="009D0C1D" w:rsidP="00B3067A">
      <w:pPr>
        <w:pStyle w:val="1"/>
        <w:numPr>
          <w:ilvl w:val="0"/>
          <w:numId w:val="58"/>
        </w:numPr>
        <w:shd w:val="clear" w:color="auto" w:fill="auto"/>
        <w:tabs>
          <w:tab w:val="left" w:pos="360"/>
        </w:tabs>
        <w:spacing w:line="324" w:lineRule="auto"/>
        <w:ind w:left="420" w:hanging="420"/>
        <w:jc w:val="both"/>
        <w:rPr>
          <w:sz w:val="18"/>
          <w:szCs w:val="18"/>
        </w:rPr>
      </w:pPr>
      <w:r w:rsidRPr="0014192D">
        <w:rPr>
          <w:sz w:val="18"/>
          <w:szCs w:val="18"/>
        </w:rPr>
        <w:t>Визначити заплановане поточне та подальше використання тестів СНП у країні відповідно до цілей національного стратегічного плану (НСП) країни щодо ТБ. Це суттєво вплине на вибір технологій та обладнання, центру (центрів) тестування, систем перенаправлення зразків та цільовий часу обробки результатів;</w:t>
      </w:r>
    </w:p>
    <w:p w14:paraId="7C7ACCDE" w14:textId="77777777" w:rsidR="00366CB9" w:rsidRDefault="009D0C1D" w:rsidP="00425523">
      <w:pPr>
        <w:spacing w:line="1" w:lineRule="exact"/>
        <w:sectPr w:rsidR="00366CB9" w:rsidSect="00B3067A">
          <w:footerReference w:type="even" r:id="rId319"/>
          <w:type w:val="nextColumn"/>
          <w:pgSz w:w="11913" w:h="16840"/>
          <w:pgMar w:top="2325" w:right="1378" w:bottom="851" w:left="1372" w:header="0" w:footer="6" w:gutter="0"/>
          <w:paperSrc w:first="15" w:other="15"/>
          <w:cols w:space="720"/>
          <w:noEndnote/>
          <w:docGrid w:linePitch="360"/>
        </w:sectPr>
      </w:pPr>
      <w:r>
        <w:rPr>
          <w:noProof/>
        </w:rPr>
        <w:drawing>
          <wp:anchor distT="0" distB="0" distL="0" distR="0" simplePos="0" relativeHeight="251430912" behindDoc="1" locked="0" layoutInCell="1" allowOverlap="1" wp14:anchorId="198C2538" wp14:editId="37D4D917">
            <wp:simplePos x="0" y="0"/>
            <wp:positionH relativeFrom="page">
              <wp:align>left</wp:align>
            </wp:positionH>
            <wp:positionV relativeFrom="page">
              <wp:align>top</wp:align>
            </wp:positionV>
            <wp:extent cx="7560000" cy="1472400"/>
            <wp:effectExtent l="0" t="0" r="3175" b="0"/>
            <wp:wrapNone/>
            <wp:docPr id="134" name="Shape 134"/>
            <wp:cNvGraphicFramePr/>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320"/>
                    <a:stretch/>
                  </pic:blipFill>
                  <pic:spPr>
                    <a:xfrm>
                      <a:off x="0" y="0"/>
                      <a:ext cx="7560000" cy="1472400"/>
                    </a:xfrm>
                    <a:prstGeom prst="rect">
                      <a:avLst/>
                    </a:prstGeom>
                  </pic:spPr>
                </pic:pic>
              </a:graphicData>
            </a:graphic>
            <wp14:sizeRelH relativeFrom="margin">
              <wp14:pctWidth>0</wp14:pctWidth>
            </wp14:sizeRelH>
            <wp14:sizeRelV relativeFrom="margin">
              <wp14:pctHeight>0</wp14:pctHeight>
            </wp14:sizeRelV>
          </wp:anchor>
        </w:drawing>
      </w:r>
    </w:p>
    <w:p w14:paraId="0E1261AE" w14:textId="77777777" w:rsidR="00366CB9" w:rsidRDefault="00366CB9" w:rsidP="00425523">
      <w:pPr>
        <w:spacing w:line="1" w:lineRule="exact"/>
      </w:pPr>
    </w:p>
    <w:p w14:paraId="7239FB97" w14:textId="77777777" w:rsidR="00366CB9" w:rsidRPr="0014192D" w:rsidRDefault="009D0C1D" w:rsidP="00B3067A">
      <w:pPr>
        <w:pStyle w:val="1"/>
        <w:numPr>
          <w:ilvl w:val="0"/>
          <w:numId w:val="58"/>
        </w:numPr>
        <w:shd w:val="clear" w:color="auto" w:fill="auto"/>
        <w:tabs>
          <w:tab w:val="left" w:pos="360"/>
        </w:tabs>
        <w:spacing w:after="80" w:line="324" w:lineRule="auto"/>
        <w:ind w:left="380" w:hanging="380"/>
        <w:jc w:val="both"/>
        <w:rPr>
          <w:sz w:val="18"/>
          <w:szCs w:val="18"/>
        </w:rPr>
      </w:pPr>
      <w:r w:rsidRPr="0014192D">
        <w:rPr>
          <w:sz w:val="18"/>
          <w:szCs w:val="18"/>
        </w:rPr>
        <w:t>створити технічну робочу групу для керівництва плануванням, включаючи проведення оцінки готовності, розробку оперативного плану із розрахунком вартості з часовими рамками та етапами, а також нагляд за дотриманням відповідної діяльності та процедур з регулювання;</w:t>
      </w:r>
    </w:p>
    <w:p w14:paraId="3575D694" w14:textId="77777777" w:rsidR="00366CB9" w:rsidRPr="0014192D" w:rsidRDefault="009D0C1D" w:rsidP="00B3067A">
      <w:pPr>
        <w:pStyle w:val="1"/>
        <w:numPr>
          <w:ilvl w:val="0"/>
          <w:numId w:val="58"/>
        </w:numPr>
        <w:shd w:val="clear" w:color="auto" w:fill="auto"/>
        <w:tabs>
          <w:tab w:val="left" w:pos="360"/>
        </w:tabs>
        <w:spacing w:after="80" w:line="326" w:lineRule="auto"/>
        <w:ind w:left="380" w:hanging="380"/>
        <w:jc w:val="both"/>
        <w:rPr>
          <w:sz w:val="18"/>
          <w:szCs w:val="18"/>
        </w:rPr>
      </w:pPr>
      <w:r w:rsidRPr="0014192D">
        <w:rPr>
          <w:sz w:val="18"/>
          <w:szCs w:val="18"/>
        </w:rPr>
        <w:t>відповідно до призначення СНП у країні, обрати, закупити та встановити обладнання на одному або кількох безпечних, надійних та функціональних центрах тестування;</w:t>
      </w:r>
    </w:p>
    <w:p w14:paraId="04B5B606" w14:textId="77777777" w:rsidR="00366CB9" w:rsidRPr="0014192D" w:rsidRDefault="009D0C1D" w:rsidP="00B3067A">
      <w:pPr>
        <w:pStyle w:val="1"/>
        <w:numPr>
          <w:ilvl w:val="0"/>
          <w:numId w:val="58"/>
        </w:numPr>
        <w:shd w:val="clear" w:color="auto" w:fill="auto"/>
        <w:tabs>
          <w:tab w:val="left" w:pos="360"/>
        </w:tabs>
        <w:spacing w:after="80" w:line="326" w:lineRule="auto"/>
        <w:ind w:left="380" w:hanging="380"/>
        <w:jc w:val="both"/>
        <w:rPr>
          <w:sz w:val="18"/>
          <w:szCs w:val="18"/>
        </w:rPr>
      </w:pPr>
      <w:r w:rsidRPr="0014192D">
        <w:rPr>
          <w:sz w:val="18"/>
          <w:szCs w:val="18"/>
        </w:rPr>
        <w:t>встановити процедури прогнозування, замовлення та розподілу, щоб забезпечити надійне та своєчасне постачання якісних реактивів та витратних матеріалів;</w:t>
      </w:r>
    </w:p>
    <w:p w14:paraId="4A14B7E1" w14:textId="77777777" w:rsidR="00366CB9" w:rsidRPr="0014192D" w:rsidRDefault="009D0C1D" w:rsidP="00B3067A">
      <w:pPr>
        <w:pStyle w:val="1"/>
        <w:numPr>
          <w:ilvl w:val="0"/>
          <w:numId w:val="58"/>
        </w:numPr>
        <w:shd w:val="clear" w:color="auto" w:fill="auto"/>
        <w:tabs>
          <w:tab w:val="left" w:pos="360"/>
        </w:tabs>
        <w:spacing w:after="80" w:line="324" w:lineRule="auto"/>
        <w:ind w:left="380" w:hanging="380"/>
        <w:jc w:val="both"/>
        <w:rPr>
          <w:sz w:val="18"/>
          <w:szCs w:val="18"/>
        </w:rPr>
      </w:pPr>
      <w:r w:rsidRPr="0014192D">
        <w:rPr>
          <w:sz w:val="18"/>
          <w:szCs w:val="18"/>
        </w:rPr>
        <w:t>розробити та запровадити чітко визначений вичерпний набір стандартних операційних процедур (СОП) для вирішення всіх аспектів процесу лабораторного тестування, від забору зразків до звітування про результати; надати чіткі вказівки щодо прийняття рішень щодо відбору осіб для ТМЧ на основі СНП;</w:t>
      </w:r>
    </w:p>
    <w:p w14:paraId="17DF1951" w14:textId="77777777" w:rsidR="00366CB9" w:rsidRPr="0014192D" w:rsidRDefault="009D0C1D" w:rsidP="00B3067A">
      <w:pPr>
        <w:pStyle w:val="1"/>
        <w:numPr>
          <w:ilvl w:val="0"/>
          <w:numId w:val="58"/>
        </w:numPr>
        <w:shd w:val="clear" w:color="auto" w:fill="auto"/>
        <w:tabs>
          <w:tab w:val="left" w:pos="360"/>
        </w:tabs>
        <w:spacing w:after="80" w:line="324" w:lineRule="auto"/>
        <w:ind w:left="380" w:hanging="380"/>
        <w:jc w:val="both"/>
        <w:rPr>
          <w:sz w:val="18"/>
          <w:szCs w:val="18"/>
        </w:rPr>
      </w:pPr>
      <w:r w:rsidRPr="0014192D">
        <w:rPr>
          <w:sz w:val="18"/>
          <w:szCs w:val="18"/>
        </w:rPr>
        <w:t>забезпечити достатній об’єм сховища та процеси для резервного копіювання та пошуку великих даних, створених під час СНП; обрати та застосувати відповідні біоінформаційні інструменти для аналізу та тлумачення даних про СНП; а також розробити СОП для безпеки, обміну та забезпечення конфіденційності даних;</w:t>
      </w:r>
    </w:p>
    <w:p w14:paraId="64DB0573" w14:textId="77777777" w:rsidR="00366CB9" w:rsidRPr="0014192D" w:rsidRDefault="009D0C1D" w:rsidP="00B3067A">
      <w:pPr>
        <w:pStyle w:val="1"/>
        <w:numPr>
          <w:ilvl w:val="0"/>
          <w:numId w:val="58"/>
        </w:numPr>
        <w:shd w:val="clear" w:color="auto" w:fill="auto"/>
        <w:tabs>
          <w:tab w:val="left" w:pos="360"/>
        </w:tabs>
        <w:spacing w:after="80" w:line="324" w:lineRule="auto"/>
        <w:ind w:left="380" w:hanging="380"/>
        <w:jc w:val="both"/>
        <w:rPr>
          <w:sz w:val="18"/>
          <w:szCs w:val="18"/>
        </w:rPr>
      </w:pPr>
      <w:r w:rsidRPr="0014192D">
        <w:rPr>
          <w:sz w:val="18"/>
          <w:szCs w:val="18"/>
        </w:rPr>
        <w:t>впровадити комплексну програму забезпечення якості (ЗЯ), що передбачає контроль якості (КЯ), моніторинг показників ефективності, перевірку кваліфікації, повторну перевірку або міжлабораторні порівняння, а також регулярний підтримуючий нагляд на місці (зі своєчасним зворотним зв’язком, коригувальними діями та подальшими діями на кожному етапі процесу);</w:t>
      </w:r>
    </w:p>
    <w:p w14:paraId="416D027D" w14:textId="77777777" w:rsidR="00366CB9" w:rsidRPr="0014192D" w:rsidRDefault="009D0C1D" w:rsidP="00B3067A">
      <w:pPr>
        <w:pStyle w:val="1"/>
        <w:numPr>
          <w:ilvl w:val="0"/>
          <w:numId w:val="58"/>
        </w:numPr>
        <w:shd w:val="clear" w:color="auto" w:fill="auto"/>
        <w:tabs>
          <w:tab w:val="left" w:pos="360"/>
        </w:tabs>
        <w:spacing w:after="80" w:line="324" w:lineRule="auto"/>
        <w:ind w:left="380" w:hanging="380"/>
        <w:jc w:val="both"/>
        <w:rPr>
          <w:sz w:val="18"/>
          <w:szCs w:val="18"/>
        </w:rPr>
      </w:pPr>
      <w:r w:rsidRPr="0014192D">
        <w:rPr>
          <w:sz w:val="18"/>
          <w:szCs w:val="18"/>
        </w:rPr>
        <w:t>оновити форми та реєстри епідеміологічного нагляду для реєстрації відповідних даних про особу, яка отримує лікування, та СНП, в ідеалі через електронну систему реєстрації та звітування про випадки; стандартизувати запис результатів СНП у зручному для читання форматі, щоб полегшити тлумачення;</w:t>
      </w:r>
    </w:p>
    <w:p w14:paraId="0E055CF7" w14:textId="77777777" w:rsidR="00366CB9" w:rsidRPr="0014192D" w:rsidRDefault="009D0C1D" w:rsidP="00B3067A">
      <w:pPr>
        <w:pStyle w:val="1"/>
        <w:numPr>
          <w:ilvl w:val="0"/>
          <w:numId w:val="58"/>
        </w:numPr>
        <w:shd w:val="clear" w:color="auto" w:fill="auto"/>
        <w:tabs>
          <w:tab w:val="left" w:pos="360"/>
        </w:tabs>
        <w:spacing w:after="80" w:line="324" w:lineRule="auto"/>
        <w:ind w:left="380" w:hanging="380"/>
        <w:jc w:val="both"/>
        <w:rPr>
          <w:sz w:val="18"/>
          <w:szCs w:val="18"/>
        </w:rPr>
      </w:pPr>
      <w:r w:rsidRPr="0014192D">
        <w:rPr>
          <w:sz w:val="18"/>
          <w:szCs w:val="18"/>
        </w:rPr>
        <w:t>розробити та впровадити програми навчання, наставництва та оцінки компетентності для забезпечення належної підготовки робочої сили та перевірки знань, навичок та можливостей для впровадження СНП;</w:t>
      </w:r>
    </w:p>
    <w:p w14:paraId="7ECC2440" w14:textId="77777777" w:rsidR="00366CB9" w:rsidRPr="0014192D" w:rsidRDefault="009D0C1D" w:rsidP="00B3067A">
      <w:pPr>
        <w:pStyle w:val="1"/>
        <w:numPr>
          <w:ilvl w:val="0"/>
          <w:numId w:val="58"/>
        </w:numPr>
        <w:shd w:val="clear" w:color="auto" w:fill="auto"/>
        <w:tabs>
          <w:tab w:val="left" w:pos="489"/>
        </w:tabs>
        <w:spacing w:after="300" w:line="326" w:lineRule="auto"/>
        <w:ind w:left="380" w:hanging="380"/>
        <w:jc w:val="both"/>
        <w:rPr>
          <w:sz w:val="18"/>
          <w:szCs w:val="18"/>
        </w:rPr>
      </w:pPr>
      <w:r w:rsidRPr="0014192D">
        <w:rPr>
          <w:sz w:val="18"/>
          <w:szCs w:val="18"/>
        </w:rPr>
        <w:t>встановити та контролювати набір показників або етапів для оцінки процесу впровадження; впровадити систему моніторингу і оцінки (МіО) для оцінки впливу СНП.</w:t>
      </w:r>
    </w:p>
    <w:p w14:paraId="7897B81D"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Посібник також включає 17 додатків для повідомлення про процес впровадження:</w:t>
      </w:r>
    </w:p>
    <w:p w14:paraId="6F7F1CF4"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Додаток 1: Шаблон графіку Ґанта для плану впровадження</w:t>
      </w:r>
    </w:p>
    <w:p w14:paraId="7A86B68C"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Додаток 2: Контрольний перелік для впровадження СНП високого рівня</w:t>
      </w:r>
    </w:p>
    <w:p w14:paraId="1D160715"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Додаток 3: Контрольний перелік для ситуаційного аналізу</w:t>
      </w:r>
    </w:p>
    <w:p w14:paraId="711A6B98" w14:textId="77777777" w:rsidR="00366CB9" w:rsidRPr="0014192D" w:rsidRDefault="009D0C1D" w:rsidP="00B3067A">
      <w:pPr>
        <w:pStyle w:val="1"/>
        <w:shd w:val="clear" w:color="auto" w:fill="auto"/>
        <w:spacing w:after="140" w:line="326" w:lineRule="auto"/>
        <w:jc w:val="both"/>
        <w:rPr>
          <w:sz w:val="18"/>
          <w:szCs w:val="18"/>
        </w:rPr>
      </w:pPr>
      <w:r w:rsidRPr="0014192D">
        <w:rPr>
          <w:sz w:val="18"/>
          <w:szCs w:val="18"/>
        </w:rPr>
        <w:t>Додаток 4: Приклад ситуаційного аналізу для СНП – досвід Південної Африки, Додаток 5: Бюджетні міркування щодо впровадження СНП</w:t>
      </w:r>
    </w:p>
    <w:p w14:paraId="1D9EA48D" w14:textId="77777777" w:rsidR="00366CB9" w:rsidRPr="0014192D" w:rsidRDefault="009D0C1D" w:rsidP="00B3067A">
      <w:pPr>
        <w:pStyle w:val="1"/>
        <w:shd w:val="clear" w:color="auto" w:fill="auto"/>
        <w:spacing w:after="140" w:line="322" w:lineRule="auto"/>
        <w:jc w:val="both"/>
        <w:rPr>
          <w:sz w:val="18"/>
          <w:szCs w:val="18"/>
        </w:rPr>
      </w:pPr>
      <w:r w:rsidRPr="0014192D">
        <w:rPr>
          <w:sz w:val="18"/>
          <w:szCs w:val="18"/>
        </w:rPr>
        <w:t>Додаток 6: Перелік доступних у продажу приладів для СНП, Додаток 7: Контрольний перелік щодо встановлення та ресурси</w:t>
      </w:r>
    </w:p>
    <w:p w14:paraId="6A1B7249" w14:textId="77777777" w:rsidR="00366CB9" w:rsidRPr="0014192D" w:rsidRDefault="009D0C1D" w:rsidP="00B3067A">
      <w:pPr>
        <w:pStyle w:val="1"/>
        <w:shd w:val="clear" w:color="auto" w:fill="auto"/>
        <w:spacing w:line="324" w:lineRule="auto"/>
        <w:jc w:val="both"/>
        <w:rPr>
          <w:sz w:val="18"/>
          <w:szCs w:val="18"/>
        </w:rPr>
      </w:pPr>
      <w:r w:rsidRPr="0014192D">
        <w:rPr>
          <w:sz w:val="18"/>
          <w:szCs w:val="18"/>
        </w:rPr>
        <w:t>Додаток 8: Перелік важливого обладнання та реактивів, необхідних для СНП</w:t>
      </w:r>
    </w:p>
    <w:p w14:paraId="39FC5C25" w14:textId="77777777" w:rsidR="00366CB9" w:rsidRDefault="00366CB9" w:rsidP="00425523">
      <w:pPr>
        <w:spacing w:line="1" w:lineRule="exact"/>
        <w:sectPr w:rsidR="00366CB9" w:rsidSect="00F03360">
          <w:footerReference w:type="default" r:id="rId321"/>
          <w:type w:val="nextColumn"/>
          <w:pgSz w:w="11913" w:h="16840"/>
          <w:pgMar w:top="1469" w:right="1378" w:bottom="851" w:left="1372" w:header="0" w:footer="6" w:gutter="0"/>
          <w:paperSrc w:first="15" w:other="15"/>
          <w:cols w:space="720"/>
          <w:noEndnote/>
          <w:docGrid w:linePitch="360"/>
        </w:sectPr>
      </w:pPr>
    </w:p>
    <w:p w14:paraId="2167DA6D" w14:textId="77777777" w:rsidR="00366CB9" w:rsidRDefault="00366CB9" w:rsidP="00425523">
      <w:pPr>
        <w:spacing w:line="1" w:lineRule="exact"/>
      </w:pPr>
    </w:p>
    <w:p w14:paraId="2833390D" w14:textId="77777777" w:rsidR="00366CB9" w:rsidRPr="0014192D" w:rsidRDefault="009D0C1D" w:rsidP="00B3067A">
      <w:pPr>
        <w:pStyle w:val="1"/>
        <w:shd w:val="clear" w:color="auto" w:fill="auto"/>
        <w:spacing w:after="160" w:line="293" w:lineRule="auto"/>
        <w:jc w:val="both"/>
        <w:rPr>
          <w:sz w:val="18"/>
          <w:szCs w:val="18"/>
        </w:rPr>
      </w:pPr>
      <w:bookmarkStart w:id="219" w:name="bookmark216"/>
      <w:r w:rsidRPr="0014192D">
        <w:rPr>
          <w:sz w:val="18"/>
          <w:szCs w:val="18"/>
        </w:rPr>
        <w:t>Додаток 9: Очікувані потреби у зберіганні даних на основі очікуваного робочого навантаження СНП</w:t>
      </w:r>
      <w:bookmarkEnd w:id="219"/>
    </w:p>
    <w:p w14:paraId="50207D11" w14:textId="77777777" w:rsidR="00366CB9" w:rsidRPr="0014192D" w:rsidRDefault="009D0C1D" w:rsidP="00B3067A">
      <w:pPr>
        <w:pStyle w:val="1"/>
        <w:shd w:val="clear" w:color="auto" w:fill="auto"/>
        <w:spacing w:after="160" w:line="293" w:lineRule="auto"/>
        <w:jc w:val="both"/>
        <w:rPr>
          <w:sz w:val="18"/>
          <w:szCs w:val="18"/>
        </w:rPr>
      </w:pPr>
      <w:r w:rsidRPr="0014192D">
        <w:rPr>
          <w:sz w:val="18"/>
          <w:szCs w:val="18"/>
        </w:rPr>
        <w:t>Додаток 10: Ключові показники якості та міркування щодо контролю якості для робочих процесів СНП</w:t>
      </w:r>
    </w:p>
    <w:p w14:paraId="096ACABF" w14:textId="77777777" w:rsidR="00366CB9" w:rsidRPr="0014192D" w:rsidRDefault="009D0C1D" w:rsidP="00B3067A">
      <w:pPr>
        <w:pStyle w:val="1"/>
        <w:shd w:val="clear" w:color="auto" w:fill="auto"/>
        <w:spacing w:after="160" w:line="293" w:lineRule="auto"/>
        <w:jc w:val="both"/>
        <w:rPr>
          <w:sz w:val="18"/>
          <w:szCs w:val="18"/>
        </w:rPr>
      </w:pPr>
      <w:r w:rsidRPr="0014192D">
        <w:rPr>
          <w:sz w:val="18"/>
          <w:szCs w:val="18"/>
        </w:rPr>
        <w:t>Додаток 11: Програма перевірки кваліфікації ERLTB-NET для СНП для ТБ</w:t>
      </w:r>
    </w:p>
    <w:p w14:paraId="60F0C57F" w14:textId="77777777" w:rsidR="00366CB9" w:rsidRPr="0014192D" w:rsidRDefault="009D0C1D" w:rsidP="00B3067A">
      <w:pPr>
        <w:pStyle w:val="1"/>
        <w:shd w:val="clear" w:color="auto" w:fill="auto"/>
        <w:spacing w:after="160" w:line="326" w:lineRule="auto"/>
        <w:jc w:val="both"/>
        <w:rPr>
          <w:sz w:val="18"/>
          <w:szCs w:val="18"/>
        </w:rPr>
      </w:pPr>
      <w:r w:rsidRPr="0014192D">
        <w:rPr>
          <w:sz w:val="18"/>
          <w:szCs w:val="18"/>
        </w:rPr>
        <w:t>Додаток 12: Дані та показники якості для ТМЧ на основі СНП, Додаток 13: Приклади форм звітності про ТМЧ на основі СНП</w:t>
      </w:r>
    </w:p>
    <w:p w14:paraId="0FD57740" w14:textId="77777777" w:rsidR="00366CB9" w:rsidRPr="0014192D" w:rsidRDefault="009D0C1D" w:rsidP="00B3067A">
      <w:pPr>
        <w:pStyle w:val="1"/>
        <w:shd w:val="clear" w:color="auto" w:fill="auto"/>
        <w:spacing w:line="502" w:lineRule="auto"/>
        <w:jc w:val="both"/>
        <w:rPr>
          <w:sz w:val="18"/>
          <w:szCs w:val="18"/>
        </w:rPr>
      </w:pPr>
      <w:r w:rsidRPr="0014192D">
        <w:rPr>
          <w:sz w:val="18"/>
          <w:szCs w:val="18"/>
        </w:rPr>
        <w:t>Додаток 14: Приклад технічного завдання для старшого дослідника з СНП, молекулярного біолога та фахівця з біоінформатики</w:t>
      </w:r>
    </w:p>
    <w:p w14:paraId="0B4C8B20" w14:textId="77777777" w:rsidR="00366CB9" w:rsidRPr="0014192D" w:rsidRDefault="009D0C1D" w:rsidP="00B3067A">
      <w:pPr>
        <w:pStyle w:val="1"/>
        <w:shd w:val="clear" w:color="auto" w:fill="auto"/>
        <w:spacing w:after="60" w:line="502" w:lineRule="auto"/>
        <w:jc w:val="both"/>
        <w:rPr>
          <w:sz w:val="18"/>
          <w:szCs w:val="18"/>
        </w:rPr>
      </w:pPr>
      <w:r w:rsidRPr="0014192D">
        <w:rPr>
          <w:sz w:val="18"/>
          <w:szCs w:val="18"/>
        </w:rPr>
        <w:t>Додаток 15: Запропонований порядок денний для навчальних програм СНП, Додаток 16: Оцінка компетентності, Додаток 17: Показники впливу</w:t>
      </w:r>
    </w:p>
    <w:p w14:paraId="1281F8EF" w14:textId="77777777" w:rsidR="00366CB9" w:rsidRDefault="009D0C1D" w:rsidP="00B3067A">
      <w:pPr>
        <w:pStyle w:val="22"/>
        <w:shd w:val="clear" w:color="auto" w:fill="auto"/>
        <w:spacing w:line="240" w:lineRule="auto"/>
        <w:jc w:val="both"/>
        <w:rPr>
          <w:sz w:val="38"/>
          <w:szCs w:val="38"/>
        </w:rPr>
      </w:pPr>
      <w:bookmarkStart w:id="220" w:name="bookmark217"/>
      <w:bookmarkStart w:id="221" w:name="bookmark218"/>
      <w:r>
        <w:rPr>
          <w:sz w:val="38"/>
        </w:rPr>
        <w:t>Список літератури для Додатка 3</w:t>
      </w:r>
      <w:bookmarkEnd w:id="220"/>
      <w:bookmarkEnd w:id="221"/>
    </w:p>
    <w:p w14:paraId="1F37A60B" w14:textId="77777777" w:rsidR="00366CB9" w:rsidRPr="0014192D" w:rsidRDefault="009D0C1D" w:rsidP="00B3067A">
      <w:pPr>
        <w:pStyle w:val="1"/>
        <w:numPr>
          <w:ilvl w:val="0"/>
          <w:numId w:val="59"/>
        </w:numPr>
        <w:shd w:val="clear" w:color="auto" w:fill="auto"/>
        <w:tabs>
          <w:tab w:val="left" w:pos="442"/>
        </w:tabs>
        <w:spacing w:after="60" w:line="310" w:lineRule="auto"/>
        <w:ind w:left="480" w:hanging="480"/>
        <w:jc w:val="both"/>
        <w:rPr>
          <w:sz w:val="18"/>
          <w:szCs w:val="18"/>
        </w:rPr>
      </w:pPr>
      <w:r w:rsidRPr="0014192D">
        <w:rPr>
          <w:sz w:val="18"/>
          <w:szCs w:val="18"/>
        </w:rPr>
        <w:t>The use of next-generation sequencing for the surveillance of drug-resistant tuberculosis: an implementation manual. Geneva: World Health Organization; 2023 (</w:t>
      </w:r>
      <w:hyperlink r:id="rId322" w:history="1">
        <w:r w:rsidR="00366CB9" w:rsidRPr="0014192D">
          <w:rPr>
            <w:color w:val="019648"/>
            <w:sz w:val="18"/>
            <w:szCs w:val="18"/>
          </w:rPr>
          <w:t>https://iris.who.int/handle/</w:t>
        </w:r>
      </w:hyperlink>
      <w:r w:rsidRPr="0014192D">
        <w:rPr>
          <w:color w:val="019648"/>
          <w:sz w:val="18"/>
          <w:szCs w:val="18"/>
        </w:rPr>
        <w:t xml:space="preserve"> </w:t>
      </w:r>
      <w:hyperlink r:id="rId323" w:history="1">
        <w:r w:rsidR="00366CB9" w:rsidRPr="0014192D">
          <w:rPr>
            <w:color w:val="019648"/>
            <w:sz w:val="18"/>
            <w:szCs w:val="18"/>
          </w:rPr>
          <w:t>10665/373419</w:t>
        </w:r>
      </w:hyperlink>
      <w:r w:rsidRPr="0014192D">
        <w:rPr>
          <w:sz w:val="18"/>
          <w:szCs w:val="18"/>
        </w:rPr>
        <w:t>). Licence: CC BY-NC-SA 3.0 IGO.</w:t>
      </w:r>
    </w:p>
    <w:p w14:paraId="34E9B6D5" w14:textId="77777777" w:rsidR="00366CB9" w:rsidRPr="0014192D" w:rsidRDefault="009D0C1D" w:rsidP="00B3067A">
      <w:pPr>
        <w:pStyle w:val="1"/>
        <w:numPr>
          <w:ilvl w:val="0"/>
          <w:numId w:val="59"/>
        </w:numPr>
        <w:shd w:val="clear" w:color="auto" w:fill="auto"/>
        <w:tabs>
          <w:tab w:val="left" w:pos="442"/>
        </w:tabs>
        <w:spacing w:after="60" w:line="310" w:lineRule="auto"/>
        <w:ind w:left="480" w:hanging="480"/>
        <w:jc w:val="both"/>
        <w:rPr>
          <w:sz w:val="18"/>
          <w:szCs w:val="18"/>
        </w:rPr>
      </w:pPr>
      <w:r w:rsidRPr="0014192D">
        <w:rPr>
          <w:sz w:val="18"/>
          <w:szCs w:val="18"/>
        </w:rPr>
        <w:t>The use of next-generation sequencing technologies for the detection of mutations associated with drug resistance in Mycobacterium tuberculosis complex: technical guide (WHO/CDS/TB/2018.19). Geneva: World Health Organization; 2018 (</w:t>
      </w:r>
      <w:hyperlink r:id="rId324" w:history="1">
        <w:r w:rsidR="00366CB9" w:rsidRPr="0014192D">
          <w:rPr>
            <w:color w:val="019648"/>
            <w:sz w:val="18"/>
            <w:szCs w:val="18"/>
          </w:rPr>
          <w:t>https://iris.who.int/handle/10665/274443</w:t>
        </w:r>
      </w:hyperlink>
      <w:r w:rsidRPr="0014192D">
        <w:rPr>
          <w:sz w:val="18"/>
          <w:szCs w:val="18"/>
        </w:rPr>
        <w:t>).</w:t>
      </w:r>
    </w:p>
    <w:p w14:paraId="0517E41F" w14:textId="77777777" w:rsidR="00366CB9" w:rsidRPr="0014192D" w:rsidRDefault="009D0C1D" w:rsidP="00B3067A">
      <w:pPr>
        <w:pStyle w:val="1"/>
        <w:numPr>
          <w:ilvl w:val="0"/>
          <w:numId w:val="59"/>
        </w:numPr>
        <w:shd w:val="clear" w:color="auto" w:fill="auto"/>
        <w:tabs>
          <w:tab w:val="left" w:pos="442"/>
        </w:tabs>
        <w:spacing w:line="310" w:lineRule="auto"/>
        <w:ind w:left="480" w:hanging="480"/>
        <w:jc w:val="both"/>
        <w:rPr>
          <w:sz w:val="18"/>
          <w:szCs w:val="18"/>
        </w:rPr>
      </w:pPr>
      <w:r w:rsidRPr="0014192D">
        <w:rPr>
          <w:sz w:val="18"/>
          <w:szCs w:val="18"/>
        </w:rPr>
        <w:t>Catalogue of mutations in Mycobacterium tuberculosis complex and their association with drug resistance, 2nd edition. Geneva: World Health Organization; 2023 (</w:t>
      </w:r>
      <w:hyperlink r:id="rId325" w:history="1">
        <w:r w:rsidR="00366CB9" w:rsidRPr="0014192D">
          <w:rPr>
            <w:color w:val="019648"/>
            <w:sz w:val="18"/>
            <w:szCs w:val="18"/>
          </w:rPr>
          <w:t>https://www.who.int/</w:t>
        </w:r>
      </w:hyperlink>
      <w:r w:rsidRPr="0014192D">
        <w:rPr>
          <w:color w:val="019648"/>
          <w:sz w:val="18"/>
          <w:szCs w:val="18"/>
        </w:rPr>
        <w:t xml:space="preserve"> </w:t>
      </w:r>
      <w:hyperlink r:id="rId326" w:history="1">
        <w:r w:rsidR="00366CB9" w:rsidRPr="0014192D">
          <w:rPr>
            <w:color w:val="019648"/>
            <w:sz w:val="18"/>
            <w:szCs w:val="18"/>
          </w:rPr>
          <w:t>publications/i/item/9789240082410</w:t>
        </w:r>
      </w:hyperlink>
      <w:r w:rsidRPr="0014192D">
        <w:rPr>
          <w:sz w:val="18"/>
          <w:szCs w:val="18"/>
        </w:rPr>
        <w:t>).</w:t>
      </w:r>
    </w:p>
    <w:p w14:paraId="00972B78"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426B4288" w14:textId="77777777" w:rsidR="00366CB9" w:rsidRDefault="00366CB9" w:rsidP="00425523">
      <w:pPr>
        <w:spacing w:line="1" w:lineRule="exact"/>
      </w:pPr>
    </w:p>
    <w:p w14:paraId="27E42E21" w14:textId="77777777" w:rsidR="00366CB9" w:rsidRDefault="009D0C1D" w:rsidP="00B3067A">
      <w:pPr>
        <w:pStyle w:val="11"/>
        <w:shd w:val="clear" w:color="auto" w:fill="auto"/>
        <w:spacing w:before="0" w:after="700" w:line="259" w:lineRule="auto"/>
      </w:pPr>
      <w:bookmarkStart w:id="222" w:name="bookmark221"/>
      <w:bookmarkStart w:id="223" w:name="bookmark222"/>
      <w:bookmarkStart w:id="224" w:name="bookmark219"/>
      <w:bookmarkStart w:id="225" w:name="bookmark220"/>
      <w:r>
        <w:t>Додаток 4. Шкірні тести на виявлення туберкульозної інфекції – детальний опис</w:t>
      </w:r>
      <w:bookmarkEnd w:id="222"/>
      <w:bookmarkEnd w:id="223"/>
      <w:bookmarkEnd w:id="224"/>
      <w:bookmarkEnd w:id="225"/>
    </w:p>
    <w:p w14:paraId="77CA7B4E" w14:textId="77777777" w:rsidR="00366CB9" w:rsidRPr="0014192D" w:rsidRDefault="009D0C1D" w:rsidP="00B3067A">
      <w:pPr>
        <w:pStyle w:val="1"/>
        <w:shd w:val="clear" w:color="auto" w:fill="auto"/>
        <w:spacing w:after="240" w:line="324" w:lineRule="auto"/>
        <w:jc w:val="both"/>
        <w:rPr>
          <w:sz w:val="18"/>
          <w:szCs w:val="18"/>
        </w:rPr>
      </w:pPr>
      <w:r w:rsidRPr="0014192D">
        <w:rPr>
          <w:sz w:val="18"/>
          <w:szCs w:val="18"/>
        </w:rPr>
        <w:t>У цьому додатку наведено покрокові процедури для проведення та зчитування двох типів шкірних тестів на виявлення туберкульозної (ТБ) інфекції: шкірного туберкулінового тесту (TST) і шкірного тесту на основі антигену Mycobacterium tuberculosis (TBST). Фотографії, використані в цьому додатку, були люб’язно надані доктором Richard Menzies та його колегами.</w:t>
      </w:r>
    </w:p>
    <w:p w14:paraId="2DE95EF1" w14:textId="77777777" w:rsidR="00366CB9" w:rsidRDefault="009D0C1D" w:rsidP="00B3067A">
      <w:pPr>
        <w:pStyle w:val="22"/>
        <w:shd w:val="clear" w:color="auto" w:fill="auto"/>
        <w:spacing w:after="180" w:line="240" w:lineRule="auto"/>
        <w:jc w:val="both"/>
        <w:rPr>
          <w:sz w:val="38"/>
          <w:szCs w:val="38"/>
        </w:rPr>
      </w:pPr>
      <w:bookmarkStart w:id="226" w:name="bookmark223"/>
      <w:bookmarkStart w:id="227" w:name="bookmark224"/>
      <w:r>
        <w:rPr>
          <w:sz w:val="38"/>
        </w:rPr>
        <w:t>A1 – Проведення тесту</w:t>
      </w:r>
      <w:bookmarkEnd w:id="226"/>
      <w:bookmarkEnd w:id="227"/>
    </w:p>
    <w:p w14:paraId="6CEC03E9" w14:textId="77777777" w:rsidR="00366CB9" w:rsidRDefault="009D0C1D" w:rsidP="00B3067A">
      <w:pPr>
        <w:pStyle w:val="80"/>
        <w:shd w:val="clear" w:color="auto" w:fill="auto"/>
        <w:spacing w:after="180"/>
      </w:pPr>
      <w:r>
        <w:t>Етап 1. Скринінг на ТБ</w:t>
      </w:r>
    </w:p>
    <w:p w14:paraId="355F02F9" w14:textId="77777777" w:rsidR="00366CB9" w:rsidRPr="0014192D" w:rsidRDefault="009D0C1D" w:rsidP="00B3067A">
      <w:pPr>
        <w:pStyle w:val="1"/>
        <w:shd w:val="clear" w:color="auto" w:fill="auto"/>
        <w:spacing w:after="180" w:line="324" w:lineRule="auto"/>
        <w:jc w:val="both"/>
        <w:rPr>
          <w:sz w:val="18"/>
          <w:szCs w:val="18"/>
        </w:rPr>
      </w:pPr>
      <w:r w:rsidRPr="0014192D">
        <w:rPr>
          <w:sz w:val="18"/>
          <w:szCs w:val="18"/>
        </w:rPr>
        <w:t>В рамках інтегрованої та людиноцентричної допомоги проти туберкульозної інфекції перший візит до лікаря включатиме початок як скринінгу на ТБ, так і тестування на виявлення туберкульозної інфекції. Безпосередньо перед TST або TBST необхідно провести скринінг на ТБ; він має включати перевірку симптомів ТБ та, за можливості, передбачати більш чутливі інструменти, рекомендовані ВООЗ, такі як РОГК (з комп’ютерним виявленням або без нього), швидка діагностика, рекомендована ВООЗ, або С-реактивний білок для людей, які живуть з ВІЛ. Якщо контактна особа має клінічні ознаки, які свідчать про ТБ, то цю особу слід негайно направити для подальшого діагностичного обстеження, яке має бути зроблено в той же день.</w:t>
      </w:r>
    </w:p>
    <w:p w14:paraId="1901D1B7" w14:textId="77777777" w:rsidR="00366CB9" w:rsidRPr="0014192D" w:rsidRDefault="009D0C1D" w:rsidP="00B3067A">
      <w:pPr>
        <w:pStyle w:val="1"/>
        <w:shd w:val="clear" w:color="auto" w:fill="auto"/>
        <w:spacing w:after="180" w:line="324" w:lineRule="auto"/>
        <w:jc w:val="both"/>
        <w:rPr>
          <w:sz w:val="18"/>
          <w:szCs w:val="18"/>
        </w:rPr>
      </w:pPr>
      <w:r w:rsidRPr="0014192D">
        <w:rPr>
          <w:sz w:val="18"/>
          <w:szCs w:val="18"/>
        </w:rPr>
        <w:t>Якщо контактна особа не має симптомів або має лише респіраторні симптоми, не пов’язані з туберкульозом (наприклад, біль у горлі або ринорея, тривалістю лише кілька днів), тоді можна розпочати тестування на виявлення туберкульозної інфекції, і ці симптоми можна повторно оцінити через 48-72 години. Важливо прагнути мінімізувати втрати в рамках каскадної допомоги проти туберкульозної інфекції. Рішення негайно обстежити людину з симптомами або провести тестування на виявлення туберкульозної інфекції і повторно оцінити симптоми під час зчитування результатів є питанням клінічного судження.</w:t>
      </w:r>
    </w:p>
    <w:p w14:paraId="75D7295A" w14:textId="77777777" w:rsidR="00366CB9" w:rsidRDefault="009D0C1D" w:rsidP="00B3067A">
      <w:pPr>
        <w:pStyle w:val="80"/>
        <w:shd w:val="clear" w:color="auto" w:fill="auto"/>
        <w:spacing w:after="180"/>
      </w:pPr>
      <w:r>
        <w:t>Етап 2. Пояснення проведення TST або TBST</w:t>
      </w:r>
    </w:p>
    <w:p w14:paraId="5A5A53A9" w14:textId="77777777" w:rsidR="00366CB9" w:rsidRPr="0014192D" w:rsidRDefault="009D0C1D" w:rsidP="00B3067A">
      <w:pPr>
        <w:pStyle w:val="1"/>
        <w:shd w:val="clear" w:color="auto" w:fill="auto"/>
        <w:spacing w:line="324" w:lineRule="auto"/>
        <w:jc w:val="both"/>
        <w:rPr>
          <w:sz w:val="18"/>
          <w:szCs w:val="18"/>
        </w:rPr>
      </w:pPr>
      <w:r w:rsidRPr="0014192D">
        <w:rPr>
          <w:sz w:val="18"/>
          <w:szCs w:val="18"/>
        </w:rPr>
        <w:t>Підписана інформована згода не вважається необхідною для тестування на виявлення туберкульозної інфекції, оскільки це є частиною звичайного лікування; однак особа, яка проходить тестування, повинна розуміти процедури та погоджуватися з ними. У випадках, коли дитина проходить тест, потрібна згода батьків або опікунів і може бути необхідною присутність батьків або опікунів. Лікар повинен витратити час, щоб пояснити процедури тестування та наголосити на необхідності повернутися для оцінки результатів тесту протягом 72 годин. Лікар повинен нагадати особі повернутись протягом цього терміну для зчитування результатів тесту; лікар також має зберігати конфіденційність особи.</w:t>
      </w:r>
    </w:p>
    <w:p w14:paraId="56485EDF" w14:textId="77777777" w:rsidR="00366CB9" w:rsidRDefault="009D0C1D" w:rsidP="00425523">
      <w:pPr>
        <w:spacing w:line="1" w:lineRule="exact"/>
        <w:sectPr w:rsidR="00366CB9" w:rsidSect="00B3067A">
          <w:headerReference w:type="default" r:id="rId327"/>
          <w:type w:val="nextColumn"/>
          <w:pgSz w:w="11913" w:h="16840"/>
          <w:pgMar w:top="2325" w:right="1378" w:bottom="851" w:left="1372" w:header="0" w:footer="6" w:gutter="0"/>
          <w:paperSrc w:first="15" w:other="15"/>
          <w:cols w:space="720"/>
          <w:noEndnote/>
          <w:docGrid w:linePitch="360"/>
        </w:sectPr>
      </w:pPr>
      <w:r>
        <w:rPr>
          <w:noProof/>
        </w:rPr>
        <w:drawing>
          <wp:anchor distT="0" distB="0" distL="0" distR="0" simplePos="0" relativeHeight="251431936" behindDoc="1" locked="0" layoutInCell="1" allowOverlap="1" wp14:anchorId="338B7E1E" wp14:editId="7B992756">
            <wp:simplePos x="0" y="0"/>
            <wp:positionH relativeFrom="page">
              <wp:align>left</wp:align>
            </wp:positionH>
            <wp:positionV relativeFrom="page">
              <wp:align>top</wp:align>
            </wp:positionV>
            <wp:extent cx="7560000" cy="1472400"/>
            <wp:effectExtent l="0" t="0" r="3175" b="0"/>
            <wp:wrapNone/>
            <wp:docPr id="136" name="Shape 136"/>
            <wp:cNvGraphicFramePr/>
            <a:graphic xmlns:a="http://schemas.openxmlformats.org/drawingml/2006/main">
              <a:graphicData uri="http://schemas.openxmlformats.org/drawingml/2006/picture">
                <pic:pic xmlns:pic="http://schemas.openxmlformats.org/drawingml/2006/picture">
                  <pic:nvPicPr>
                    <pic:cNvPr id="137" name="Picture box 137"/>
                    <pic:cNvPicPr/>
                  </pic:nvPicPr>
                  <pic:blipFill>
                    <a:blip r:embed="rId328"/>
                    <a:stretch/>
                  </pic:blipFill>
                  <pic:spPr>
                    <a:xfrm>
                      <a:off x="0" y="0"/>
                      <a:ext cx="7560000" cy="1472400"/>
                    </a:xfrm>
                    <a:prstGeom prst="rect">
                      <a:avLst/>
                    </a:prstGeom>
                  </pic:spPr>
                </pic:pic>
              </a:graphicData>
            </a:graphic>
            <wp14:sizeRelH relativeFrom="margin">
              <wp14:pctWidth>0</wp14:pctWidth>
            </wp14:sizeRelH>
            <wp14:sizeRelV relativeFrom="margin">
              <wp14:pctHeight>0</wp14:pctHeight>
            </wp14:sizeRelV>
          </wp:anchor>
        </w:drawing>
      </w:r>
    </w:p>
    <w:p w14:paraId="316C811B"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4330"/>
        <w:gridCol w:w="4776"/>
      </w:tblGrid>
      <w:tr w:rsidR="00366CB9" w14:paraId="1DFCAE15" w14:textId="77777777" w:rsidTr="0014192D">
        <w:trPr>
          <w:trHeight w:hRule="exact" w:val="1701"/>
        </w:trPr>
        <w:tc>
          <w:tcPr>
            <w:tcW w:w="9106" w:type="dxa"/>
            <w:gridSpan w:val="2"/>
            <w:shd w:val="clear" w:color="auto" w:fill="FFFFFF"/>
          </w:tcPr>
          <w:p w14:paraId="2AA1B876" w14:textId="77777777" w:rsidR="00366CB9" w:rsidRPr="0014192D" w:rsidRDefault="009D0C1D" w:rsidP="00B3067A">
            <w:pPr>
              <w:pStyle w:val="a6"/>
              <w:shd w:val="clear" w:color="auto" w:fill="auto"/>
              <w:spacing w:after="160" w:line="324" w:lineRule="auto"/>
              <w:jc w:val="both"/>
              <w:rPr>
                <w:sz w:val="18"/>
                <w:szCs w:val="18"/>
              </w:rPr>
            </w:pPr>
            <w:r w:rsidRPr="0014192D">
              <w:rPr>
                <w:b w:val="0"/>
                <w:color w:val="000000"/>
                <w:sz w:val="18"/>
                <w:szCs w:val="24"/>
              </w:rPr>
              <w:t>Якщо для оцінки розміру набряку після внутрішньошкірної ін’єкції застосовується підхід mHealth як процедура контролю якості (mTST) (</w:t>
            </w:r>
            <w:hyperlink w:anchor="bookmark227" w:tooltip="Поточний документ">
              <w:r w:rsidR="00366CB9" w:rsidRPr="0014192D">
                <w:rPr>
                  <w:b w:val="0"/>
                  <w:color w:val="000000"/>
                  <w:sz w:val="18"/>
                  <w:szCs w:val="24"/>
                </w:rPr>
                <w:t>1</w:t>
              </w:r>
            </w:hyperlink>
            <w:r w:rsidRPr="0014192D">
              <w:rPr>
                <w:b w:val="0"/>
                <w:color w:val="000000"/>
                <w:sz w:val="18"/>
                <w:szCs w:val="24"/>
              </w:rPr>
              <w:t>) або подібна, лікар має пояснити пацієнту, що зображення місця ін’єкції будуть зроблені одразу після ін’єкції.</w:t>
            </w:r>
          </w:p>
          <w:p w14:paraId="192E3D91" w14:textId="77777777" w:rsidR="00366CB9" w:rsidRDefault="009D0C1D" w:rsidP="00B3067A">
            <w:pPr>
              <w:pStyle w:val="a6"/>
              <w:shd w:val="clear" w:color="auto" w:fill="auto"/>
            </w:pPr>
            <w:r>
              <w:rPr>
                <w:b w:val="0"/>
                <w:color w:val="019648"/>
              </w:rPr>
              <w:t>Етап 3. Підготовка до проведення TST або TBST</w:t>
            </w:r>
          </w:p>
        </w:tc>
      </w:tr>
      <w:tr w:rsidR="00366CB9" w14:paraId="1C8F856A" w14:textId="77777777" w:rsidTr="0014192D">
        <w:trPr>
          <w:trHeight w:hRule="exact" w:val="3298"/>
        </w:trPr>
        <w:tc>
          <w:tcPr>
            <w:tcW w:w="4330" w:type="dxa"/>
            <w:vMerge w:val="restart"/>
            <w:shd w:val="clear" w:color="auto" w:fill="FFFFFF"/>
          </w:tcPr>
          <w:p w14:paraId="01AF1D45" w14:textId="77777777" w:rsidR="00366CB9" w:rsidRDefault="009D0C1D" w:rsidP="00B3067A">
            <w:pPr>
              <w:pStyle w:val="a6"/>
              <w:shd w:val="clear" w:color="auto" w:fill="auto"/>
              <w:spacing w:line="324" w:lineRule="auto"/>
              <w:jc w:val="both"/>
              <w:rPr>
                <w:sz w:val="20"/>
                <w:szCs w:val="20"/>
              </w:rPr>
            </w:pPr>
            <w:r w:rsidRPr="0014192D">
              <w:rPr>
                <w:b w:val="0"/>
                <w:color w:val="000000"/>
                <w:sz w:val="18"/>
                <w:szCs w:val="24"/>
              </w:rPr>
              <w:t>Важливо, щоб особі, яка проходить обстеження на туберкульоз, було комфортно під час проведення тестування. Особа має сісти, поклавши руку на рівну поверхню, наприклад, кут столу, обличчям до лікаря, який проводитиме тест на виявлення туберкульозної інфекції. Якщо це можливо, тест на виявлення туберкульозної інфекції слід проводити в окремій кімнаті за участю лише особи, яка тестується (доречно членів сім’ї).</w:t>
            </w:r>
          </w:p>
        </w:tc>
        <w:tc>
          <w:tcPr>
            <w:tcW w:w="4776" w:type="dxa"/>
            <w:shd w:val="clear" w:color="auto" w:fill="FFFFFF"/>
          </w:tcPr>
          <w:p w14:paraId="3602980A" w14:textId="77777777" w:rsidR="00366CB9" w:rsidRDefault="009D0C1D" w:rsidP="00B3067A">
            <w:pPr>
              <w:rPr>
                <w:sz w:val="2"/>
                <w:szCs w:val="2"/>
              </w:rPr>
            </w:pPr>
            <w:r>
              <w:rPr>
                <w:noProof/>
              </w:rPr>
              <w:drawing>
                <wp:inline distT="0" distB="0" distL="0" distR="0" wp14:anchorId="7A9084A3" wp14:editId="153D6B76">
                  <wp:extent cx="3032760" cy="209423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329"/>
                          <a:stretch/>
                        </pic:blipFill>
                        <pic:spPr>
                          <a:xfrm>
                            <a:off x="0" y="0"/>
                            <a:ext cx="3032760" cy="2094230"/>
                          </a:xfrm>
                          <a:prstGeom prst="rect">
                            <a:avLst/>
                          </a:prstGeom>
                        </pic:spPr>
                      </pic:pic>
                    </a:graphicData>
                  </a:graphic>
                </wp:inline>
              </w:drawing>
            </w:r>
          </w:p>
        </w:tc>
      </w:tr>
      <w:tr w:rsidR="00366CB9" w14:paraId="4CCF26C0" w14:textId="77777777" w:rsidTr="0014192D">
        <w:trPr>
          <w:trHeight w:hRule="exact" w:val="374"/>
        </w:trPr>
        <w:tc>
          <w:tcPr>
            <w:tcW w:w="4330" w:type="dxa"/>
            <w:vMerge/>
            <w:shd w:val="clear" w:color="auto" w:fill="FFFFFF"/>
          </w:tcPr>
          <w:p w14:paraId="48FDEC74" w14:textId="77777777" w:rsidR="00366CB9" w:rsidRDefault="00366CB9" w:rsidP="00B3067A"/>
        </w:tc>
        <w:tc>
          <w:tcPr>
            <w:tcW w:w="4776" w:type="dxa"/>
            <w:vMerge w:val="restart"/>
            <w:shd w:val="clear" w:color="auto" w:fill="FFFFFF"/>
          </w:tcPr>
          <w:p w14:paraId="5064F9C7" w14:textId="77777777" w:rsidR="00366CB9" w:rsidRDefault="009D0C1D" w:rsidP="00B3067A">
            <w:pPr>
              <w:pStyle w:val="a6"/>
              <w:shd w:val="clear" w:color="auto" w:fill="auto"/>
              <w:spacing w:line="266" w:lineRule="auto"/>
              <w:ind w:left="200"/>
              <w:jc w:val="both"/>
              <w:rPr>
                <w:sz w:val="18"/>
                <w:szCs w:val="18"/>
              </w:rPr>
            </w:pPr>
            <w:r>
              <w:rPr>
                <w:b w:val="0"/>
                <w:color w:val="000000"/>
                <w:sz w:val="18"/>
              </w:rPr>
              <w:t>Підготовка до введення. © Richard Menzies</w:t>
            </w:r>
          </w:p>
        </w:tc>
      </w:tr>
      <w:tr w:rsidR="00366CB9" w14:paraId="067CF07A" w14:textId="77777777" w:rsidTr="0014192D">
        <w:trPr>
          <w:trHeight w:hRule="exact" w:val="528"/>
        </w:trPr>
        <w:tc>
          <w:tcPr>
            <w:tcW w:w="4330" w:type="dxa"/>
            <w:shd w:val="clear" w:color="auto" w:fill="FFFFFF"/>
          </w:tcPr>
          <w:p w14:paraId="420E7D53" w14:textId="77777777" w:rsidR="00366CB9" w:rsidRDefault="009D0C1D" w:rsidP="00B3067A">
            <w:pPr>
              <w:pStyle w:val="a6"/>
              <w:shd w:val="clear" w:color="auto" w:fill="auto"/>
              <w:jc w:val="both"/>
            </w:pPr>
            <w:r>
              <w:rPr>
                <w:b w:val="0"/>
                <w:color w:val="019648"/>
              </w:rPr>
              <w:t>Етап 4. Вибір місця для ін’єкції</w:t>
            </w:r>
          </w:p>
        </w:tc>
        <w:tc>
          <w:tcPr>
            <w:tcW w:w="4776" w:type="dxa"/>
            <w:vMerge/>
            <w:tcBorders>
              <w:top w:val="single" w:sz="8" w:space="0" w:color="00B050"/>
            </w:tcBorders>
            <w:shd w:val="clear" w:color="auto" w:fill="FFFFFF"/>
          </w:tcPr>
          <w:p w14:paraId="40EAB05F" w14:textId="77777777" w:rsidR="00366CB9" w:rsidRDefault="00366CB9" w:rsidP="00B3067A"/>
        </w:tc>
      </w:tr>
      <w:tr w:rsidR="00366CB9" w14:paraId="54B73027" w14:textId="77777777" w:rsidTr="0014192D">
        <w:trPr>
          <w:trHeight w:hRule="exact" w:val="2683"/>
        </w:trPr>
        <w:tc>
          <w:tcPr>
            <w:tcW w:w="4330" w:type="dxa"/>
            <w:vMerge w:val="restart"/>
            <w:shd w:val="clear" w:color="auto" w:fill="FFFFFF"/>
            <w:vAlign w:val="bottom"/>
          </w:tcPr>
          <w:p w14:paraId="02222222" w14:textId="77777777" w:rsidR="00366CB9" w:rsidRPr="0014192D" w:rsidRDefault="009D0C1D" w:rsidP="00B3067A">
            <w:pPr>
              <w:pStyle w:val="a6"/>
              <w:shd w:val="clear" w:color="auto" w:fill="auto"/>
              <w:spacing w:line="324" w:lineRule="auto"/>
              <w:jc w:val="both"/>
              <w:rPr>
                <w:sz w:val="18"/>
                <w:szCs w:val="24"/>
              </w:rPr>
            </w:pPr>
            <w:r w:rsidRPr="0014192D">
              <w:rPr>
                <w:b w:val="0"/>
                <w:color w:val="000000"/>
                <w:sz w:val="18"/>
                <w:szCs w:val="24"/>
              </w:rPr>
              <w:t>Тести TST і TBST зазвичай проводять на внутрішній стороні передпліччя, приблизно на 10 см нижче ліктя (від середини до верхньої третини передпліччя). Місце введення не має містити порізів, опіків або інших травм, а також висипань або екземи. На ділянці також не повинно бути рубців, особливо келоїдів. Захворювання шкіри або шрами можуть бути протипоказанням до введення та перешкоджати належному зчитуванню результату; також вони можуть призводити до більшого дискомфорту під час тестування. Татуювання</w:t>
            </w:r>
          </w:p>
        </w:tc>
        <w:tc>
          <w:tcPr>
            <w:tcW w:w="4776" w:type="dxa"/>
            <w:shd w:val="clear" w:color="auto" w:fill="FFFFFF"/>
          </w:tcPr>
          <w:p w14:paraId="72843376" w14:textId="77777777" w:rsidR="00366CB9" w:rsidRDefault="009D0C1D" w:rsidP="00B3067A">
            <w:pPr>
              <w:rPr>
                <w:sz w:val="2"/>
                <w:szCs w:val="2"/>
              </w:rPr>
            </w:pPr>
            <w:r>
              <w:rPr>
                <w:noProof/>
              </w:rPr>
              <w:drawing>
                <wp:inline distT="0" distB="0" distL="0" distR="0" wp14:anchorId="70504649" wp14:editId="52A5561B">
                  <wp:extent cx="3032760" cy="170370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330"/>
                          <a:stretch/>
                        </pic:blipFill>
                        <pic:spPr>
                          <a:xfrm>
                            <a:off x="0" y="0"/>
                            <a:ext cx="3032760" cy="1703705"/>
                          </a:xfrm>
                          <a:prstGeom prst="rect">
                            <a:avLst/>
                          </a:prstGeom>
                        </pic:spPr>
                      </pic:pic>
                    </a:graphicData>
                  </a:graphic>
                </wp:inline>
              </w:drawing>
            </w:r>
          </w:p>
        </w:tc>
      </w:tr>
      <w:tr w:rsidR="00366CB9" w14:paraId="31000042" w14:textId="77777777">
        <w:trPr>
          <w:trHeight w:hRule="exact" w:val="706"/>
        </w:trPr>
        <w:tc>
          <w:tcPr>
            <w:tcW w:w="4330" w:type="dxa"/>
            <w:vMerge/>
            <w:shd w:val="clear" w:color="auto" w:fill="FFFFFF"/>
            <w:vAlign w:val="bottom"/>
          </w:tcPr>
          <w:p w14:paraId="12BF2382" w14:textId="77777777" w:rsidR="00366CB9" w:rsidRDefault="00366CB9" w:rsidP="00B3067A"/>
        </w:tc>
        <w:tc>
          <w:tcPr>
            <w:tcW w:w="4776" w:type="dxa"/>
            <w:shd w:val="clear" w:color="auto" w:fill="FFFFFF"/>
          </w:tcPr>
          <w:p w14:paraId="49C1F5D0" w14:textId="77777777" w:rsidR="00366CB9" w:rsidRDefault="009D0C1D" w:rsidP="00B3067A">
            <w:pPr>
              <w:pStyle w:val="a6"/>
              <w:shd w:val="clear" w:color="auto" w:fill="auto"/>
              <w:spacing w:line="266" w:lineRule="auto"/>
              <w:ind w:left="200"/>
              <w:jc w:val="both"/>
              <w:rPr>
                <w:sz w:val="18"/>
                <w:szCs w:val="18"/>
              </w:rPr>
            </w:pPr>
            <w:r>
              <w:rPr>
                <w:b w:val="0"/>
                <w:color w:val="000000"/>
                <w:sz w:val="18"/>
              </w:rPr>
              <w:t>Введіть TST або TBST у ділянку, що знаходиться на 10 см нижче ліктя. © Richard Menzies</w:t>
            </w:r>
          </w:p>
        </w:tc>
      </w:tr>
      <w:tr w:rsidR="00366CB9" w14:paraId="2CC7FD88" w14:textId="77777777">
        <w:trPr>
          <w:trHeight w:hRule="exact" w:val="3542"/>
        </w:trPr>
        <w:tc>
          <w:tcPr>
            <w:tcW w:w="9106" w:type="dxa"/>
            <w:gridSpan w:val="2"/>
            <w:shd w:val="clear" w:color="auto" w:fill="FFFFFF"/>
            <w:vAlign w:val="bottom"/>
          </w:tcPr>
          <w:p w14:paraId="6816B9B1" w14:textId="77777777" w:rsidR="00366CB9" w:rsidRPr="0014192D" w:rsidRDefault="009D0C1D" w:rsidP="0014192D">
            <w:pPr>
              <w:pStyle w:val="a6"/>
              <w:shd w:val="clear" w:color="auto" w:fill="auto"/>
              <w:spacing w:after="360" w:line="326" w:lineRule="auto"/>
              <w:jc w:val="both"/>
              <w:rPr>
                <w:sz w:val="18"/>
                <w:szCs w:val="18"/>
              </w:rPr>
            </w:pPr>
            <w:r w:rsidRPr="0014192D">
              <w:rPr>
                <w:b w:val="0"/>
                <w:color w:val="000000"/>
                <w:sz w:val="18"/>
                <w:szCs w:val="24"/>
              </w:rPr>
              <w:t>не є протипоказанням, якщо також необхідно виміряти еритему (лише для C-TST). Якщо наявні такі проблеми зі шкірою, то слід вибрати інше місце для ін’єкції.</w:t>
            </w:r>
          </w:p>
          <w:p w14:paraId="4ADEB3B6" w14:textId="77777777" w:rsidR="00366CB9" w:rsidRDefault="009D0C1D" w:rsidP="00B3067A">
            <w:pPr>
              <w:pStyle w:val="a6"/>
              <w:shd w:val="clear" w:color="auto" w:fill="auto"/>
              <w:spacing w:after="180"/>
              <w:jc w:val="both"/>
            </w:pPr>
            <w:r>
              <w:rPr>
                <w:b w:val="0"/>
                <w:color w:val="019648"/>
              </w:rPr>
              <w:t>Етап 5. Підготовка шприца</w:t>
            </w:r>
          </w:p>
          <w:p w14:paraId="5CA122FC" w14:textId="77777777" w:rsidR="00366CB9" w:rsidRDefault="009D0C1D" w:rsidP="00B3067A">
            <w:pPr>
              <w:pStyle w:val="a6"/>
              <w:shd w:val="clear" w:color="auto" w:fill="auto"/>
              <w:spacing w:after="180" w:line="324" w:lineRule="auto"/>
              <w:jc w:val="both"/>
              <w:rPr>
                <w:sz w:val="20"/>
                <w:szCs w:val="20"/>
              </w:rPr>
            </w:pPr>
            <w:r w:rsidRPr="0014192D">
              <w:rPr>
                <w:b w:val="0"/>
                <w:color w:val="000000"/>
                <w:sz w:val="18"/>
                <w:szCs w:val="24"/>
              </w:rPr>
              <w:t>Наберіть тестову дозу в шприц об’ємом 1 мл, який має маркування для позначення кожного 0,1 мл (або менших одиниць). Важливо видалити повітря зі шприца, щоб запобігти випадковому впорскуванню повітря пацієнту та забезпечити введення повної тестової дози. Шприц необхідно готувати безпосередньо перед введенням; попередні дослідження зі стандартним очищеним білковим похідним (ОБПС) продемонстрували знижену чутливість, якщо шприци готували більш ніж за 20 хвилин до введення (</w:t>
            </w:r>
            <w:hyperlink w:anchor="bookmark227" w:tooltip="Поточний документ">
              <w:r w:rsidR="00366CB9" w:rsidRPr="0014192D">
                <w:rPr>
                  <w:b w:val="0"/>
                  <w:color w:val="000000"/>
                  <w:sz w:val="18"/>
                  <w:szCs w:val="24"/>
                </w:rPr>
                <w:t>2</w:t>
              </w:r>
            </w:hyperlink>
            <w:r w:rsidRPr="0014192D">
              <w:rPr>
                <w:b w:val="0"/>
                <w:color w:val="000000"/>
                <w:sz w:val="18"/>
                <w:szCs w:val="24"/>
              </w:rPr>
              <w:t>). Якщо наявна програма контролю якості mTST або подібна програма, слід підготувати смартфон або цифрову камеру, щоб лікар був готовий зробити фотографії відразу після ін’єкції.</w:t>
            </w:r>
          </w:p>
        </w:tc>
      </w:tr>
    </w:tbl>
    <w:p w14:paraId="0F561809"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74E4CBA3"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4349"/>
        <w:gridCol w:w="4757"/>
      </w:tblGrid>
      <w:tr w:rsidR="00366CB9" w14:paraId="29F72BD9" w14:textId="77777777" w:rsidTr="0014192D">
        <w:trPr>
          <w:trHeight w:hRule="exact" w:val="5102"/>
        </w:trPr>
        <w:tc>
          <w:tcPr>
            <w:tcW w:w="9106" w:type="dxa"/>
            <w:gridSpan w:val="2"/>
            <w:shd w:val="clear" w:color="auto" w:fill="FFFFFF"/>
          </w:tcPr>
          <w:p w14:paraId="0865192A" w14:textId="77777777" w:rsidR="00366CB9" w:rsidRDefault="009D0C1D" w:rsidP="00B3067A">
            <w:pPr>
              <w:pStyle w:val="a6"/>
              <w:shd w:val="clear" w:color="auto" w:fill="auto"/>
              <w:spacing w:after="200"/>
            </w:pPr>
            <w:r>
              <w:rPr>
                <w:b w:val="0"/>
                <w:color w:val="019648"/>
              </w:rPr>
              <w:t>Етап 6. Очищення місця ін’єкції</w:t>
            </w:r>
          </w:p>
          <w:p w14:paraId="298317EE" w14:textId="77777777" w:rsidR="00366CB9" w:rsidRPr="0014192D" w:rsidRDefault="009D0C1D" w:rsidP="00B3067A">
            <w:pPr>
              <w:pStyle w:val="a6"/>
              <w:shd w:val="clear" w:color="auto" w:fill="auto"/>
              <w:spacing w:after="140" w:line="324" w:lineRule="auto"/>
              <w:jc w:val="both"/>
              <w:rPr>
                <w:sz w:val="18"/>
                <w:szCs w:val="18"/>
              </w:rPr>
            </w:pPr>
            <w:r w:rsidRPr="0014192D">
              <w:rPr>
                <w:b w:val="0"/>
                <w:color w:val="000000"/>
                <w:sz w:val="18"/>
                <w:szCs w:val="24"/>
              </w:rPr>
              <w:t>Думки щодо того, як краще очистити місце ін’єкції, розходяться. Можна використовувати тампони, змочені спиртом, але це може спричинити сильніший біль, якщо спирту не дати повністю висохнути (важливо не дути на місце, оскільки це призведе до повторного інфікування області). Дати спирту повністю висохнути особливо важливо при проведенні тесту дитині. Очищення ділянки стерильним фізіологічним розчином або водою є підходящим і спричинить менший біль, якщо рідина не повністю висохла під час ін’єкції.</w:t>
            </w:r>
          </w:p>
          <w:p w14:paraId="2539DDBA" w14:textId="77777777" w:rsidR="00366CB9" w:rsidRPr="0014192D" w:rsidRDefault="009D0C1D" w:rsidP="00B3067A">
            <w:pPr>
              <w:pStyle w:val="a6"/>
              <w:shd w:val="clear" w:color="auto" w:fill="auto"/>
              <w:spacing w:after="140" w:line="324" w:lineRule="auto"/>
              <w:jc w:val="both"/>
              <w:rPr>
                <w:sz w:val="18"/>
                <w:szCs w:val="18"/>
              </w:rPr>
            </w:pPr>
            <w:r w:rsidRPr="0014192D">
              <w:rPr>
                <w:b w:val="0"/>
                <w:color w:val="000000"/>
                <w:sz w:val="18"/>
                <w:szCs w:val="24"/>
              </w:rPr>
              <w:t>Не слід застосовувати місцевий анестетик, оскільки це може викликати чутливість шкіри. Повідомлялось про випадки ущільнення внаслідок нанесення місцевих анестетиків (</w:t>
            </w:r>
            <w:hyperlink w:anchor="bookmark227" w:tooltip="Поточний документ">
              <w:r w:rsidR="00366CB9" w:rsidRPr="0014192D">
                <w:rPr>
                  <w:b w:val="0"/>
                  <w:color w:val="000000"/>
                  <w:sz w:val="18"/>
                  <w:szCs w:val="24"/>
                </w:rPr>
                <w:t>2</w:t>
              </w:r>
            </w:hyperlink>
            <w:r w:rsidRPr="0014192D">
              <w:rPr>
                <w:b w:val="0"/>
                <w:color w:val="000000"/>
                <w:sz w:val="18"/>
                <w:szCs w:val="24"/>
              </w:rPr>
              <w:t>), і це ущільнення буде помилково прийнято за позитивний результат тесту під час зчитування результатів.</w:t>
            </w:r>
          </w:p>
          <w:p w14:paraId="37FC015C" w14:textId="77777777" w:rsidR="00366CB9" w:rsidRDefault="009D0C1D" w:rsidP="00B3067A">
            <w:pPr>
              <w:pStyle w:val="a6"/>
              <w:shd w:val="clear" w:color="auto" w:fill="auto"/>
              <w:spacing w:after="200"/>
            </w:pPr>
            <w:r>
              <w:rPr>
                <w:b w:val="0"/>
                <w:color w:val="019648"/>
              </w:rPr>
              <w:t>Етап 7. Виконання ін’єкції</w:t>
            </w:r>
          </w:p>
          <w:p w14:paraId="59CD09A0" w14:textId="77777777" w:rsidR="00366CB9" w:rsidRDefault="009D0C1D" w:rsidP="00B3067A">
            <w:pPr>
              <w:pStyle w:val="a6"/>
              <w:shd w:val="clear" w:color="auto" w:fill="auto"/>
              <w:spacing w:after="180" w:line="324" w:lineRule="auto"/>
              <w:jc w:val="both"/>
              <w:rPr>
                <w:sz w:val="20"/>
                <w:szCs w:val="20"/>
              </w:rPr>
            </w:pPr>
            <w:r w:rsidRPr="0014192D">
              <w:rPr>
                <w:b w:val="0"/>
                <w:color w:val="000000"/>
                <w:sz w:val="18"/>
                <w:szCs w:val="24"/>
              </w:rPr>
              <w:t>Усі шкірні тести на виявлення туберкульозної інфекції (TST або TBST) проводять за методом внутрішньошкірного введення Манту. Цей спосіб введення було вперше описано для TST декілька десятиріч тому (</w:t>
            </w:r>
            <w:hyperlink w:anchor="bookmark227" w:tooltip="Поточний документ">
              <w:r w:rsidR="00366CB9" w:rsidRPr="0014192D">
                <w:rPr>
                  <w:b w:val="0"/>
                  <w:color w:val="000000"/>
                  <w:sz w:val="18"/>
                  <w:szCs w:val="24"/>
                </w:rPr>
                <w:t>3</w:t>
              </w:r>
            </w:hyperlink>
            <w:r w:rsidRPr="0014192D">
              <w:rPr>
                <w:b w:val="0"/>
                <w:color w:val="000000"/>
                <w:sz w:val="18"/>
                <w:szCs w:val="24"/>
              </w:rPr>
              <w:t>), а виробники трьох TBST описали цей спосіб у своїх монографіях щодо продукту (</w:t>
            </w:r>
            <w:hyperlink w:anchor="bookmark193" w:tooltip="Поточний документ">
              <w:r w:rsidR="00366CB9" w:rsidRPr="0014192D">
                <w:rPr>
                  <w:b w:val="0"/>
                  <w:color w:val="000000"/>
                  <w:sz w:val="18"/>
                  <w:szCs w:val="24"/>
                </w:rPr>
                <w:t>4–6</w:t>
              </w:r>
            </w:hyperlink>
            <w:r w:rsidRPr="0014192D">
              <w:rPr>
                <w:b w:val="0"/>
                <w:color w:val="000000"/>
                <w:sz w:val="18"/>
                <w:szCs w:val="24"/>
              </w:rPr>
              <w:t>). Матеріал не слід вводити підшкірно, оскільки це ускладнює вимірювання результату й навіть може призвести до хибнонегативних результатів.</w:t>
            </w:r>
          </w:p>
        </w:tc>
      </w:tr>
      <w:tr w:rsidR="00366CB9" w14:paraId="1A35A386" w14:textId="77777777" w:rsidTr="0014192D">
        <w:trPr>
          <w:trHeight w:hRule="exact" w:val="2626"/>
        </w:trPr>
        <w:tc>
          <w:tcPr>
            <w:tcW w:w="4349" w:type="dxa"/>
            <w:vMerge w:val="restart"/>
            <w:shd w:val="clear" w:color="auto" w:fill="FFFFFF"/>
            <w:vAlign w:val="bottom"/>
          </w:tcPr>
          <w:p w14:paraId="0A59ECD1" w14:textId="77777777" w:rsidR="00366CB9" w:rsidRPr="0014192D" w:rsidRDefault="009D0C1D" w:rsidP="00B3067A">
            <w:pPr>
              <w:pStyle w:val="a6"/>
              <w:shd w:val="clear" w:color="auto" w:fill="auto"/>
              <w:spacing w:line="324" w:lineRule="auto"/>
              <w:jc w:val="both"/>
              <w:rPr>
                <w:sz w:val="18"/>
                <w:szCs w:val="24"/>
              </w:rPr>
            </w:pPr>
            <w:r w:rsidRPr="0014192D">
              <w:rPr>
                <w:b w:val="0"/>
                <w:color w:val="000000"/>
                <w:sz w:val="18"/>
                <w:szCs w:val="24"/>
              </w:rPr>
              <w:t>Голку (25-27 калібру) надягають на шприц, що потім прикладають на шкіру скошеною стороною догори. Потім лікар вводить голку під шкіру (кінчик голки видно навіть при черезшкірному введенні). Потім повільно (протягом 2-3 секунд) вводиться матеріал. У тих випадках, коли досліджуваний матеріал закінчується одразу, голку слід ввести трохи глибше. Має утворитися невелике ущільнення, або папула, або бульбашка («ущільнення»). Ця бульбашка повинна бути принаймні 7 мм у</w:t>
            </w:r>
          </w:p>
        </w:tc>
        <w:tc>
          <w:tcPr>
            <w:tcW w:w="4757" w:type="dxa"/>
            <w:shd w:val="clear" w:color="auto" w:fill="FFFFFF"/>
          </w:tcPr>
          <w:p w14:paraId="36DEBE41" w14:textId="77777777" w:rsidR="00366CB9" w:rsidRDefault="009D0C1D" w:rsidP="00B3067A">
            <w:pPr>
              <w:rPr>
                <w:sz w:val="2"/>
                <w:szCs w:val="2"/>
              </w:rPr>
            </w:pPr>
            <w:r>
              <w:rPr>
                <w:noProof/>
              </w:rPr>
              <w:drawing>
                <wp:inline distT="0" distB="0" distL="0" distR="0" wp14:anchorId="2BE51FC1" wp14:editId="0FFFEFB4">
                  <wp:extent cx="3020695" cy="166751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331"/>
                          <a:stretch/>
                        </pic:blipFill>
                        <pic:spPr>
                          <a:xfrm>
                            <a:off x="0" y="0"/>
                            <a:ext cx="3020695" cy="1667510"/>
                          </a:xfrm>
                          <a:prstGeom prst="rect">
                            <a:avLst/>
                          </a:prstGeom>
                        </pic:spPr>
                      </pic:pic>
                    </a:graphicData>
                  </a:graphic>
                </wp:inline>
              </w:drawing>
            </w:r>
          </w:p>
        </w:tc>
      </w:tr>
      <w:tr w:rsidR="00366CB9" w14:paraId="7DFD4F49" w14:textId="77777777" w:rsidTr="0014192D">
        <w:trPr>
          <w:trHeight w:hRule="exact" w:val="763"/>
        </w:trPr>
        <w:tc>
          <w:tcPr>
            <w:tcW w:w="4349" w:type="dxa"/>
            <w:vMerge/>
            <w:shd w:val="clear" w:color="auto" w:fill="FFFFFF"/>
            <w:vAlign w:val="bottom"/>
          </w:tcPr>
          <w:p w14:paraId="16CF1257" w14:textId="77777777" w:rsidR="00366CB9" w:rsidRDefault="00366CB9" w:rsidP="00B3067A"/>
        </w:tc>
        <w:tc>
          <w:tcPr>
            <w:tcW w:w="4757" w:type="dxa"/>
            <w:shd w:val="clear" w:color="auto" w:fill="FFFFFF"/>
          </w:tcPr>
          <w:p w14:paraId="20FF5219" w14:textId="77777777" w:rsidR="00366CB9" w:rsidRDefault="009D0C1D" w:rsidP="00B3067A">
            <w:pPr>
              <w:pStyle w:val="a6"/>
              <w:shd w:val="clear" w:color="auto" w:fill="auto"/>
              <w:spacing w:line="266" w:lineRule="auto"/>
              <w:ind w:left="180"/>
              <w:jc w:val="both"/>
              <w:rPr>
                <w:sz w:val="18"/>
                <w:szCs w:val="18"/>
              </w:rPr>
            </w:pPr>
            <w:r>
              <w:rPr>
                <w:b w:val="0"/>
                <w:color w:val="000000"/>
                <w:sz w:val="18"/>
              </w:rPr>
              <w:t>Здійсніть черезшкірне введення. © Richard Menzies</w:t>
            </w:r>
          </w:p>
        </w:tc>
      </w:tr>
      <w:tr w:rsidR="00366CB9" w14:paraId="61D314D1" w14:textId="77777777">
        <w:trPr>
          <w:trHeight w:hRule="exact" w:val="528"/>
        </w:trPr>
        <w:tc>
          <w:tcPr>
            <w:tcW w:w="9106" w:type="dxa"/>
            <w:gridSpan w:val="2"/>
            <w:shd w:val="clear" w:color="auto" w:fill="FFFFFF"/>
          </w:tcPr>
          <w:p w14:paraId="79D7AB49" w14:textId="77777777" w:rsidR="00366CB9" w:rsidRDefault="009D0C1D" w:rsidP="00B3067A">
            <w:pPr>
              <w:pStyle w:val="a6"/>
              <w:shd w:val="clear" w:color="auto" w:fill="auto"/>
              <w:jc w:val="both"/>
              <w:rPr>
                <w:sz w:val="20"/>
                <w:szCs w:val="20"/>
              </w:rPr>
            </w:pPr>
            <w:r w:rsidRPr="0014192D">
              <w:rPr>
                <w:b w:val="0"/>
                <w:color w:val="000000"/>
                <w:sz w:val="18"/>
                <w:szCs w:val="24"/>
              </w:rPr>
              <w:t>діаметрі (</w:t>
            </w:r>
            <w:hyperlink w:anchor="bookmark227" w:tooltip="Поточний документ">
              <w:r w:rsidR="00366CB9" w:rsidRPr="0014192D">
                <w:rPr>
                  <w:b w:val="0"/>
                  <w:color w:val="000000"/>
                  <w:sz w:val="18"/>
                  <w:szCs w:val="24"/>
                </w:rPr>
                <w:t>1</w:t>
              </w:r>
            </w:hyperlink>
            <w:r w:rsidRPr="0014192D">
              <w:rPr>
                <w:b w:val="0"/>
                <w:color w:val="000000"/>
                <w:sz w:val="18"/>
                <w:szCs w:val="24"/>
              </w:rPr>
              <w:t>). Після введення голку необхідно утилізувати.</w:t>
            </w:r>
          </w:p>
        </w:tc>
      </w:tr>
      <w:tr w:rsidR="00366CB9" w14:paraId="19E57A91" w14:textId="77777777">
        <w:trPr>
          <w:trHeight w:hRule="exact" w:val="523"/>
        </w:trPr>
        <w:tc>
          <w:tcPr>
            <w:tcW w:w="9106" w:type="dxa"/>
            <w:gridSpan w:val="2"/>
            <w:shd w:val="clear" w:color="auto" w:fill="FFFFFF"/>
          </w:tcPr>
          <w:p w14:paraId="79D27528" w14:textId="77777777" w:rsidR="00366CB9" w:rsidRDefault="009D0C1D" w:rsidP="00B3067A">
            <w:pPr>
              <w:pStyle w:val="a6"/>
              <w:shd w:val="clear" w:color="auto" w:fill="auto"/>
              <w:jc w:val="both"/>
            </w:pPr>
            <w:r>
              <w:rPr>
                <w:b w:val="0"/>
                <w:color w:val="019648"/>
              </w:rPr>
              <w:t>Етап 8. Після ін’єкції</w:t>
            </w:r>
          </w:p>
        </w:tc>
      </w:tr>
      <w:tr w:rsidR="00366CB9" w14:paraId="3462D010" w14:textId="77777777">
        <w:trPr>
          <w:trHeight w:hRule="exact" w:val="1589"/>
        </w:trPr>
        <w:tc>
          <w:tcPr>
            <w:tcW w:w="4349" w:type="dxa"/>
            <w:vMerge w:val="restart"/>
            <w:shd w:val="clear" w:color="auto" w:fill="FFFFFF"/>
          </w:tcPr>
          <w:p w14:paraId="139BCA0C" w14:textId="77777777" w:rsidR="00366CB9" w:rsidRPr="0014192D" w:rsidRDefault="009D0C1D" w:rsidP="00B3067A">
            <w:pPr>
              <w:pStyle w:val="a6"/>
              <w:shd w:val="clear" w:color="auto" w:fill="auto"/>
              <w:spacing w:line="324" w:lineRule="auto"/>
              <w:jc w:val="both"/>
              <w:rPr>
                <w:sz w:val="18"/>
                <w:szCs w:val="24"/>
              </w:rPr>
            </w:pPr>
            <w:r w:rsidRPr="0014192D">
              <w:rPr>
                <w:b w:val="0"/>
                <w:color w:val="000000"/>
                <w:sz w:val="18"/>
                <w:szCs w:val="24"/>
              </w:rPr>
              <w:t>Після ін’єкції на шкірі повинно залишитися невелике ущільнення або пухирець. Якщо є невелика кровотеча, її можна стерти. Немає потреби покривати місце введення пов’язкою або бинтом, а також не потрібно позначати це місце (наявність великого кола або хрестика на передпліччі може бути стигматизуючим, особливо для дітей).</w:t>
            </w:r>
          </w:p>
        </w:tc>
        <w:tc>
          <w:tcPr>
            <w:tcW w:w="4757" w:type="dxa"/>
            <w:shd w:val="clear" w:color="auto" w:fill="FFFFFF"/>
          </w:tcPr>
          <w:p w14:paraId="5AA2D8C4" w14:textId="77777777" w:rsidR="00366CB9" w:rsidRDefault="009D0C1D" w:rsidP="00B3067A">
            <w:pPr>
              <w:rPr>
                <w:sz w:val="2"/>
                <w:szCs w:val="2"/>
              </w:rPr>
            </w:pPr>
            <w:r>
              <w:rPr>
                <w:noProof/>
              </w:rPr>
              <w:drawing>
                <wp:inline distT="0" distB="0" distL="0" distR="0" wp14:anchorId="689B95E5" wp14:editId="33D2534D">
                  <wp:extent cx="3020695" cy="100901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332"/>
                          <a:stretch/>
                        </pic:blipFill>
                        <pic:spPr>
                          <a:xfrm>
                            <a:off x="0" y="0"/>
                            <a:ext cx="3020695" cy="1009015"/>
                          </a:xfrm>
                          <a:prstGeom prst="rect">
                            <a:avLst/>
                          </a:prstGeom>
                        </pic:spPr>
                      </pic:pic>
                    </a:graphicData>
                  </a:graphic>
                </wp:inline>
              </w:drawing>
            </w:r>
          </w:p>
        </w:tc>
      </w:tr>
      <w:tr w:rsidR="00366CB9" w14:paraId="3BE5FCC3" w14:textId="77777777">
        <w:trPr>
          <w:trHeight w:hRule="exact" w:val="1997"/>
        </w:trPr>
        <w:tc>
          <w:tcPr>
            <w:tcW w:w="4349" w:type="dxa"/>
            <w:vMerge/>
            <w:shd w:val="clear" w:color="auto" w:fill="FFFFFF"/>
          </w:tcPr>
          <w:p w14:paraId="4DD4CF20" w14:textId="77777777" w:rsidR="00366CB9" w:rsidRDefault="00366CB9" w:rsidP="00B3067A"/>
        </w:tc>
        <w:tc>
          <w:tcPr>
            <w:tcW w:w="4757" w:type="dxa"/>
            <w:shd w:val="clear" w:color="auto" w:fill="FFFFFF"/>
          </w:tcPr>
          <w:p w14:paraId="781AEC3E" w14:textId="77777777" w:rsidR="00366CB9" w:rsidRDefault="009D0C1D" w:rsidP="00B3067A">
            <w:pPr>
              <w:pStyle w:val="a6"/>
              <w:shd w:val="clear" w:color="auto" w:fill="auto"/>
              <w:spacing w:line="266" w:lineRule="auto"/>
              <w:ind w:left="180"/>
              <w:jc w:val="both"/>
              <w:rPr>
                <w:sz w:val="18"/>
                <w:szCs w:val="18"/>
              </w:rPr>
            </w:pPr>
            <w:r>
              <w:rPr>
                <w:b w:val="0"/>
                <w:color w:val="000000"/>
                <w:sz w:val="18"/>
              </w:rPr>
              <w:t>Після введення має спостерігатись невелике ущільнення. © Richard Menzies</w:t>
            </w:r>
          </w:p>
        </w:tc>
      </w:tr>
    </w:tbl>
    <w:p w14:paraId="011E9099" w14:textId="77777777" w:rsidR="00366CB9" w:rsidRDefault="00366CB9" w:rsidP="00425523">
      <w:pPr>
        <w:spacing w:line="1" w:lineRule="exact"/>
        <w:sectPr w:rsidR="00366CB9" w:rsidSect="00F03360">
          <w:footerReference w:type="default" r:id="rId333"/>
          <w:type w:val="nextColumn"/>
          <w:pgSz w:w="11913" w:h="16840"/>
          <w:pgMar w:top="1469" w:right="1378" w:bottom="851" w:left="1372" w:header="0" w:footer="6" w:gutter="0"/>
          <w:paperSrc w:first="15" w:other="15"/>
          <w:cols w:space="720"/>
          <w:noEndnote/>
          <w:docGrid w:linePitch="360"/>
        </w:sectPr>
      </w:pPr>
    </w:p>
    <w:p w14:paraId="0C9DE333" w14:textId="77777777" w:rsidR="00366CB9" w:rsidRDefault="00366CB9" w:rsidP="00425523">
      <w:pPr>
        <w:spacing w:line="1" w:lineRule="exact"/>
      </w:pPr>
    </w:p>
    <w:p w14:paraId="2021D60D" w14:textId="77777777" w:rsidR="00366CB9" w:rsidRDefault="009D0C1D" w:rsidP="00B3067A">
      <w:pPr>
        <w:pStyle w:val="80"/>
        <w:shd w:val="clear" w:color="auto" w:fill="auto"/>
      </w:pPr>
      <w:r>
        <w:t>Етап 9. Зробіть фотографії (для mHealth – якщо є)</w:t>
      </w:r>
    </w:p>
    <w:p w14:paraId="4D1D6A61" w14:textId="77777777" w:rsidR="00366CB9" w:rsidRPr="0014192D" w:rsidRDefault="009D0C1D" w:rsidP="00B3067A">
      <w:pPr>
        <w:pStyle w:val="1"/>
        <w:shd w:val="clear" w:color="auto" w:fill="auto"/>
        <w:spacing w:after="160" w:line="324" w:lineRule="auto"/>
        <w:jc w:val="both"/>
        <w:rPr>
          <w:sz w:val="18"/>
          <w:szCs w:val="18"/>
        </w:rPr>
      </w:pPr>
      <w:r w:rsidRPr="0014192D">
        <w:rPr>
          <w:sz w:val="18"/>
          <w:szCs w:val="18"/>
        </w:rPr>
        <w:t>Якщо діє програма контролю якості mHealth, лікар повинен зробити кілька фотографій місця ін’єкції. Шприц слід розташувати так, щоб було видно градаційні позначки, на відстані 2 см від місця ін’єкції (у напрямку до ліктя). Після відходу пацієнта слід надіслати керівнику три найкращі фотографії.</w:t>
      </w:r>
    </w:p>
    <w:p w14:paraId="7C86EF87" w14:textId="77777777" w:rsidR="00366CB9" w:rsidRDefault="009D0C1D" w:rsidP="00B3067A">
      <w:pPr>
        <w:pStyle w:val="80"/>
        <w:shd w:val="clear" w:color="auto" w:fill="auto"/>
        <w:jc w:val="both"/>
      </w:pPr>
      <w:r>
        <w:t>Етап 10. Забезпечення догляду після проведення тесту TST</w:t>
      </w:r>
    </w:p>
    <w:p w14:paraId="5F9FFFEF" w14:textId="77777777" w:rsidR="00366CB9" w:rsidRPr="0014192D" w:rsidRDefault="009D0C1D" w:rsidP="00B3067A">
      <w:pPr>
        <w:pStyle w:val="1"/>
        <w:shd w:val="clear" w:color="auto" w:fill="auto"/>
        <w:spacing w:after="160" w:line="324" w:lineRule="auto"/>
        <w:jc w:val="both"/>
        <w:rPr>
          <w:sz w:val="18"/>
          <w:szCs w:val="18"/>
        </w:rPr>
      </w:pPr>
      <w:r w:rsidRPr="0014192D">
        <w:rPr>
          <w:sz w:val="18"/>
          <w:szCs w:val="18"/>
        </w:rPr>
        <w:t>Пацієнт повинен сидіти в клініці протягом 10-15 хвилин. Це здійснюється з метою спостереження у разі алергії або анафілаксії, що спостерігається рідко (1 раз на мільйон) (</w:t>
      </w:r>
      <w:hyperlink w:anchor="bookmark196" w:tooltip="Поточний документ">
        <w:r w:rsidR="00366CB9" w:rsidRPr="0014192D">
          <w:rPr>
            <w:sz w:val="18"/>
            <w:szCs w:val="18"/>
          </w:rPr>
          <w:t>25</w:t>
        </w:r>
      </w:hyperlink>
      <w:r w:rsidRPr="0014192D">
        <w:rPr>
          <w:sz w:val="18"/>
          <w:szCs w:val="18"/>
        </w:rPr>
        <w:t>), або вазовагальної непритомності, що спостерігається набагато частіше, ніж анафілаксія, та може призвести до травми внаслідок падіння. Якщо людина відчуває непритомність під час або після ін’єкції, переконайтеся, що вона захищена від падіння, і негайно зафіксуйте життєво важливі показники, зокрема артеріальний тиск і частоту серцевих скорочень. У разі прискореної частоти серцевих скорочень та низького артеріального тиску, а також за наявності інших ознак анафілаксії, необхідно забезпечити догляд за пацієнтом у разі можливої анафілактичної реакції. Якщо частота серцевих скорочень низька (&lt; 60 ударів на хвилину), то це, швидше за все, буде простою вазовагальною непритомністю. Покладіть пацієнта головою вниз та застосовуйте інші прийоми, ефективні для вазовагальної реакції.</w:t>
      </w:r>
    </w:p>
    <w:p w14:paraId="182A5143" w14:textId="77777777" w:rsidR="00366CB9" w:rsidRPr="0014192D" w:rsidRDefault="009D0C1D" w:rsidP="00B3067A">
      <w:pPr>
        <w:pStyle w:val="1"/>
        <w:shd w:val="clear" w:color="auto" w:fill="auto"/>
        <w:spacing w:after="160" w:line="322" w:lineRule="auto"/>
        <w:jc w:val="both"/>
        <w:rPr>
          <w:sz w:val="18"/>
          <w:szCs w:val="18"/>
        </w:rPr>
      </w:pPr>
      <w:r w:rsidRPr="0014192D">
        <w:rPr>
          <w:sz w:val="18"/>
          <w:szCs w:val="18"/>
        </w:rPr>
        <w:t>Перед випискою поясніть пацієнту про догляд за місцем введення; зокрема, про заборону енергійного тертя під час миття та розчісування у разі сильного свербежу. У разі пухирів або болю повідомте пацієнту про необхідність холодних компресів та нестероїдних протизапальних препаратів для полегшення болю.</w:t>
      </w:r>
    </w:p>
    <w:p w14:paraId="2A7C3E39" w14:textId="77777777" w:rsidR="00366CB9" w:rsidRDefault="009D0C1D" w:rsidP="00B3067A">
      <w:pPr>
        <w:pStyle w:val="80"/>
        <w:shd w:val="clear" w:color="auto" w:fill="auto"/>
      </w:pPr>
      <w:r>
        <w:t>Етап 11. Організування зчитування результату</w:t>
      </w:r>
    </w:p>
    <w:p w14:paraId="7B6BE419" w14:textId="77777777" w:rsidR="00366CB9" w:rsidRPr="0014192D" w:rsidRDefault="009D0C1D" w:rsidP="00B3067A">
      <w:pPr>
        <w:pStyle w:val="1"/>
        <w:shd w:val="clear" w:color="auto" w:fill="auto"/>
        <w:spacing w:after="160" w:line="324" w:lineRule="auto"/>
        <w:jc w:val="both"/>
        <w:rPr>
          <w:sz w:val="18"/>
          <w:szCs w:val="18"/>
        </w:rPr>
      </w:pPr>
      <w:r w:rsidRPr="0014192D">
        <w:rPr>
          <w:sz w:val="18"/>
          <w:szCs w:val="18"/>
        </w:rPr>
        <w:t>Нагадайте пацієнту про необхідність повернутись через 48-72 години (24-72 години для C-TST) для зчитування результату та записатись на прийом (з датою та часом) для зчитування. Гнучкість важлива для пристосування до графіків пацієнтів. В ідеалі, зчитування має бути заплановано через 48 годин, щоб, якщо пацієнт не може прийти, зчитування можна було перенести на наступний день і залишатися в межах 72-годинного максимального вікна для зчитування. Особа, яка пройшла тестування, повинна знати, що показання будуть недійсні, якщо після ін’єкції пройшло більше 72 годин.</w:t>
      </w:r>
    </w:p>
    <w:p w14:paraId="751A99A6" w14:textId="77777777" w:rsidR="00366CB9" w:rsidRDefault="009D0C1D" w:rsidP="00B3067A">
      <w:pPr>
        <w:pStyle w:val="80"/>
        <w:shd w:val="clear" w:color="auto" w:fill="auto"/>
      </w:pPr>
      <w:r>
        <w:t>Етап 12. Запис результату і детальні дані документу</w:t>
      </w:r>
    </w:p>
    <w:p w14:paraId="18857E34" w14:textId="77777777" w:rsidR="00366CB9" w:rsidRPr="0014192D" w:rsidRDefault="009D0C1D" w:rsidP="00B3067A">
      <w:pPr>
        <w:pStyle w:val="1"/>
        <w:shd w:val="clear" w:color="auto" w:fill="auto"/>
        <w:spacing w:after="160" w:line="326" w:lineRule="auto"/>
        <w:jc w:val="both"/>
        <w:rPr>
          <w:sz w:val="18"/>
          <w:szCs w:val="18"/>
        </w:rPr>
      </w:pPr>
      <w:r w:rsidRPr="0014192D">
        <w:rPr>
          <w:sz w:val="18"/>
          <w:szCs w:val="18"/>
        </w:rPr>
        <w:t>У медичній карті пацієнта або у спеціальних формах чи реєстрах, залежно від обставин, важливо зафіксувати таку інформацію про проведення тесту:</w:t>
      </w:r>
    </w:p>
    <w:p w14:paraId="54473EF8" w14:textId="3FABA45E" w:rsidR="00366CB9" w:rsidRPr="0014192D" w:rsidRDefault="009D0C1D" w:rsidP="0014192D">
      <w:pPr>
        <w:pStyle w:val="1"/>
        <w:shd w:val="clear" w:color="auto" w:fill="auto"/>
        <w:spacing w:line="324" w:lineRule="auto"/>
        <w:ind w:left="284" w:hanging="284"/>
        <w:jc w:val="both"/>
        <w:rPr>
          <w:sz w:val="18"/>
          <w:szCs w:val="18"/>
        </w:rPr>
      </w:pPr>
      <w:r w:rsidRPr="0014192D">
        <w:rPr>
          <w:color w:val="019648"/>
          <w:sz w:val="18"/>
          <w:szCs w:val="18"/>
        </w:rPr>
        <w:t xml:space="preserve">• </w:t>
      </w:r>
      <w:r w:rsidR="0014192D">
        <w:tab/>
      </w:r>
      <w:r w:rsidRPr="0014192D">
        <w:rPr>
          <w:sz w:val="18"/>
          <w:szCs w:val="18"/>
        </w:rPr>
        <w:t>ім’я та прізвище особи, яка проводить TST або TBST;</w:t>
      </w:r>
    </w:p>
    <w:p w14:paraId="4C47A522" w14:textId="21E8E983" w:rsidR="00366CB9" w:rsidRPr="0014192D" w:rsidRDefault="009D0C1D" w:rsidP="0014192D">
      <w:pPr>
        <w:pStyle w:val="1"/>
        <w:shd w:val="clear" w:color="auto" w:fill="auto"/>
        <w:spacing w:line="324" w:lineRule="auto"/>
        <w:ind w:left="284" w:hanging="284"/>
        <w:jc w:val="both"/>
        <w:rPr>
          <w:sz w:val="18"/>
          <w:szCs w:val="18"/>
        </w:rPr>
      </w:pPr>
      <w:r w:rsidRPr="0014192D">
        <w:rPr>
          <w:color w:val="019648"/>
          <w:sz w:val="18"/>
          <w:szCs w:val="18"/>
        </w:rPr>
        <w:t xml:space="preserve">• </w:t>
      </w:r>
      <w:r w:rsidR="0014192D">
        <w:tab/>
      </w:r>
      <w:r w:rsidRPr="0014192D">
        <w:rPr>
          <w:sz w:val="18"/>
          <w:szCs w:val="18"/>
        </w:rPr>
        <w:t>дата та час введення;</w:t>
      </w:r>
    </w:p>
    <w:p w14:paraId="7396D88C" w14:textId="3048718E" w:rsidR="00366CB9" w:rsidRPr="0014192D" w:rsidRDefault="009D0C1D" w:rsidP="0014192D">
      <w:pPr>
        <w:pStyle w:val="1"/>
        <w:shd w:val="clear" w:color="auto" w:fill="auto"/>
        <w:spacing w:line="324" w:lineRule="auto"/>
        <w:ind w:left="284" w:hanging="284"/>
        <w:jc w:val="both"/>
        <w:rPr>
          <w:sz w:val="18"/>
          <w:szCs w:val="18"/>
        </w:rPr>
      </w:pPr>
      <w:r w:rsidRPr="0014192D">
        <w:rPr>
          <w:color w:val="019648"/>
          <w:sz w:val="18"/>
          <w:szCs w:val="18"/>
        </w:rPr>
        <w:t xml:space="preserve">• </w:t>
      </w:r>
      <w:r w:rsidR="0014192D">
        <w:tab/>
      </w:r>
      <w:r w:rsidRPr="0014192D">
        <w:rPr>
          <w:sz w:val="18"/>
          <w:szCs w:val="18"/>
        </w:rPr>
        <w:t>продукт та номер партії;</w:t>
      </w:r>
    </w:p>
    <w:p w14:paraId="7CFE72D5" w14:textId="1DA2A666" w:rsidR="00366CB9" w:rsidRPr="0014192D" w:rsidRDefault="009D0C1D" w:rsidP="0014192D">
      <w:pPr>
        <w:pStyle w:val="1"/>
        <w:shd w:val="clear" w:color="auto" w:fill="auto"/>
        <w:spacing w:line="324" w:lineRule="auto"/>
        <w:ind w:left="284" w:hanging="284"/>
        <w:jc w:val="both"/>
        <w:rPr>
          <w:sz w:val="18"/>
          <w:szCs w:val="18"/>
        </w:rPr>
      </w:pPr>
      <w:r w:rsidRPr="0014192D">
        <w:rPr>
          <w:color w:val="019648"/>
          <w:sz w:val="18"/>
          <w:szCs w:val="18"/>
        </w:rPr>
        <w:t xml:space="preserve">• </w:t>
      </w:r>
      <w:r w:rsidR="0014192D">
        <w:tab/>
      </w:r>
      <w:r w:rsidRPr="0014192D">
        <w:rPr>
          <w:sz w:val="18"/>
          <w:szCs w:val="18"/>
        </w:rPr>
        <w:t>дата відкриття флакона з продуктом (якщо флакони використовуються протягом кількох днів, згідно з інструкціями виробника);</w:t>
      </w:r>
    </w:p>
    <w:p w14:paraId="48885EDF" w14:textId="2D21F41B" w:rsidR="00366CB9" w:rsidRPr="0014192D" w:rsidRDefault="009D0C1D" w:rsidP="0014192D">
      <w:pPr>
        <w:pStyle w:val="1"/>
        <w:shd w:val="clear" w:color="auto" w:fill="auto"/>
        <w:spacing w:line="324" w:lineRule="auto"/>
        <w:ind w:left="284" w:hanging="284"/>
        <w:rPr>
          <w:sz w:val="18"/>
          <w:szCs w:val="18"/>
        </w:rPr>
      </w:pPr>
      <w:r w:rsidRPr="0014192D">
        <w:rPr>
          <w:color w:val="019648"/>
          <w:sz w:val="18"/>
          <w:szCs w:val="18"/>
        </w:rPr>
        <w:t xml:space="preserve">• </w:t>
      </w:r>
      <w:r w:rsidR="0014192D">
        <w:tab/>
      </w:r>
      <w:r w:rsidRPr="0014192D">
        <w:rPr>
          <w:sz w:val="18"/>
          <w:szCs w:val="18"/>
        </w:rPr>
        <w:t>місце введення;</w:t>
      </w:r>
    </w:p>
    <w:p w14:paraId="32AC76D7" w14:textId="1540E47B" w:rsidR="00366CB9" w:rsidRPr="0014192D" w:rsidRDefault="009D0C1D" w:rsidP="0014192D">
      <w:pPr>
        <w:pStyle w:val="1"/>
        <w:shd w:val="clear" w:color="auto" w:fill="auto"/>
        <w:spacing w:line="324" w:lineRule="auto"/>
        <w:ind w:left="284" w:hanging="284"/>
        <w:rPr>
          <w:sz w:val="18"/>
          <w:szCs w:val="18"/>
        </w:rPr>
      </w:pPr>
      <w:r w:rsidRPr="0014192D">
        <w:rPr>
          <w:color w:val="019648"/>
          <w:sz w:val="18"/>
          <w:szCs w:val="18"/>
        </w:rPr>
        <w:t xml:space="preserve">• </w:t>
      </w:r>
      <w:r w:rsidR="0014192D">
        <w:tab/>
      </w:r>
      <w:r w:rsidRPr="0014192D">
        <w:rPr>
          <w:sz w:val="18"/>
          <w:szCs w:val="18"/>
        </w:rPr>
        <w:t>чи спостерігався пухирець, а також будь-яка кровотеча або витік досліджуваної рідини;</w:t>
      </w:r>
    </w:p>
    <w:p w14:paraId="1D57EA2D" w14:textId="532DB14C" w:rsidR="00366CB9" w:rsidRPr="0014192D" w:rsidRDefault="009D0C1D" w:rsidP="0014192D">
      <w:pPr>
        <w:pStyle w:val="1"/>
        <w:shd w:val="clear" w:color="auto" w:fill="auto"/>
        <w:spacing w:line="324" w:lineRule="auto"/>
        <w:ind w:left="284" w:hanging="284"/>
        <w:jc w:val="both"/>
        <w:rPr>
          <w:sz w:val="18"/>
          <w:szCs w:val="18"/>
        </w:rPr>
      </w:pPr>
      <w:r w:rsidRPr="0014192D">
        <w:rPr>
          <w:color w:val="019648"/>
          <w:sz w:val="18"/>
          <w:szCs w:val="18"/>
        </w:rPr>
        <w:t xml:space="preserve">• </w:t>
      </w:r>
      <w:r w:rsidR="0014192D">
        <w:tab/>
      </w:r>
      <w:r w:rsidRPr="0014192D">
        <w:rPr>
          <w:sz w:val="18"/>
          <w:szCs w:val="18"/>
        </w:rPr>
        <w:t>будь-яке небажане явище – якщо у пацієнта спостерігалась артеріальна гіпотензія або втрата свідомості, важливо задокументувати, чи було це пов’язано з вазовагальною реакцією або анафілаксією; та</w:t>
      </w:r>
    </w:p>
    <w:p w14:paraId="50BF928B" w14:textId="6F52314F" w:rsidR="00366CB9" w:rsidRPr="0014192D" w:rsidRDefault="009D0C1D" w:rsidP="0014192D">
      <w:pPr>
        <w:pStyle w:val="1"/>
        <w:shd w:val="clear" w:color="auto" w:fill="auto"/>
        <w:spacing w:line="324" w:lineRule="auto"/>
        <w:ind w:left="284" w:hanging="284"/>
        <w:rPr>
          <w:sz w:val="18"/>
          <w:szCs w:val="18"/>
        </w:rPr>
      </w:pPr>
      <w:r w:rsidRPr="0014192D">
        <w:rPr>
          <w:color w:val="019648"/>
          <w:sz w:val="18"/>
          <w:szCs w:val="18"/>
        </w:rPr>
        <w:t xml:space="preserve">• </w:t>
      </w:r>
      <w:r w:rsidR="0014192D">
        <w:tab/>
      </w:r>
      <w:r w:rsidRPr="0014192D">
        <w:rPr>
          <w:sz w:val="18"/>
          <w:szCs w:val="18"/>
        </w:rPr>
        <w:t>дата та час візиту для зчитування результатів.</w:t>
      </w:r>
    </w:p>
    <w:p w14:paraId="6065C24D"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3ADBDBB7" w14:textId="77777777" w:rsidR="00366CB9" w:rsidRDefault="00366CB9" w:rsidP="00425523">
      <w:pPr>
        <w:spacing w:line="1" w:lineRule="exact"/>
      </w:pPr>
    </w:p>
    <w:p w14:paraId="1F88C9DC" w14:textId="77777777" w:rsidR="00366CB9" w:rsidRDefault="009D0C1D" w:rsidP="00B3067A">
      <w:pPr>
        <w:pStyle w:val="22"/>
        <w:shd w:val="clear" w:color="auto" w:fill="auto"/>
        <w:spacing w:after="200" w:line="240" w:lineRule="auto"/>
        <w:jc w:val="both"/>
        <w:rPr>
          <w:sz w:val="38"/>
          <w:szCs w:val="38"/>
        </w:rPr>
      </w:pPr>
      <w:bookmarkStart w:id="228" w:name="bookmark225"/>
      <w:bookmarkStart w:id="229" w:name="bookmark226"/>
      <w:r>
        <w:rPr>
          <w:sz w:val="38"/>
        </w:rPr>
        <w:t>A2 – Зчитування результату TST або TBST</w:t>
      </w:r>
      <w:bookmarkEnd w:id="228"/>
      <w:bookmarkEnd w:id="229"/>
    </w:p>
    <w:p w14:paraId="5DB4B03F" w14:textId="77777777" w:rsidR="00366CB9" w:rsidRDefault="009D0C1D" w:rsidP="00B3067A">
      <w:pPr>
        <w:pStyle w:val="80"/>
        <w:shd w:val="clear" w:color="auto" w:fill="auto"/>
        <w:jc w:val="both"/>
      </w:pPr>
      <w:r>
        <w:t>Етап 1. Огляд пацієнта</w:t>
      </w:r>
    </w:p>
    <w:p w14:paraId="77DA4AFB"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Пацієнтів слід оглянути якнайшвидше після того, як вони прибули для зчитування результату тесту TST або TBST. На зчитування результату тесту може потребуватись менше 3 хвилин (</w:t>
      </w:r>
      <w:hyperlink w:anchor="bookmark227" w:tooltip="Поточний документ">
        <w:r w:rsidR="00366CB9" w:rsidRPr="0014192D">
          <w:rPr>
            <w:sz w:val="18"/>
            <w:szCs w:val="18"/>
          </w:rPr>
          <w:t>7</w:t>
        </w:r>
      </w:hyperlink>
      <w:r w:rsidRPr="0014192D">
        <w:rPr>
          <w:sz w:val="18"/>
          <w:szCs w:val="18"/>
        </w:rPr>
        <w:t>). Якщо людині доводиться довгий час чекати просто для зчитування результату, це може перешкодити іншим контактам у тій самій сім’ї звертатися для тестування чи оцінки результату, а також може перешкодити тій самій особі повторити тест, якщо це буде необхідно.</w:t>
      </w:r>
    </w:p>
    <w:p w14:paraId="0C7B872F" w14:textId="77777777" w:rsidR="00366CB9" w:rsidRDefault="009D0C1D" w:rsidP="00B3067A">
      <w:pPr>
        <w:pStyle w:val="80"/>
        <w:shd w:val="clear" w:color="auto" w:fill="auto"/>
        <w:jc w:val="both"/>
      </w:pPr>
      <w:r>
        <w:t>Етап 2. Повторна перевірка симптомів</w:t>
      </w:r>
    </w:p>
    <w:p w14:paraId="79FDBD42"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Якщо на момент проведення тесту у людини були респіраторні симптоми, не пов’язані з туберкульозом, то ці симптоми слід перевірити повторно під час зчитування. Якщо симптоми стали менш виражені або зникли, то в алгоритмі цю людину можна вважати як таку, у якої «немає симптомів». Однак, якщо симптоми не зменшилися – і особливо якщо симптоми погіршилися або свідчать про туберкульоз (наприклад, лихоманка або нічна пітливість), – слід вважати, що у людини є симптоми для обстеження. У таких випадках результат TST або TBST слід зчитати та записати, але людину слід негайно направити на медичне обстеження, включаючи рентген грудної клітки (РОГК) (якщо ще не проведено) та інші відповідні тести, незалежно від результату тесту на виявлення туберкульозної інфекції.</w:t>
      </w:r>
    </w:p>
    <w:p w14:paraId="16528D1B" w14:textId="77777777" w:rsidR="00366CB9" w:rsidRDefault="009D0C1D" w:rsidP="00B3067A">
      <w:pPr>
        <w:pStyle w:val="80"/>
        <w:shd w:val="clear" w:color="auto" w:fill="auto"/>
        <w:jc w:val="both"/>
      </w:pPr>
      <w:r>
        <w:t>Етап 3. Місце і положення пацієнта для зчитування результату</w:t>
      </w:r>
    </w:p>
    <w:p w14:paraId="77FC0FA9" w14:textId="77777777" w:rsidR="00366CB9" w:rsidRPr="0014192D" w:rsidRDefault="009D0C1D" w:rsidP="00B3067A">
      <w:pPr>
        <w:pStyle w:val="1"/>
        <w:shd w:val="clear" w:color="auto" w:fill="auto"/>
        <w:spacing w:after="140" w:line="326" w:lineRule="auto"/>
        <w:jc w:val="both"/>
        <w:rPr>
          <w:sz w:val="18"/>
          <w:szCs w:val="18"/>
        </w:rPr>
      </w:pPr>
      <w:r w:rsidRPr="0014192D">
        <w:rPr>
          <w:sz w:val="18"/>
          <w:szCs w:val="18"/>
        </w:rPr>
        <w:t>Зчитування має проводитися в окремій кімнаті (по можливості), поза полем зору інших людей (хоча члени сім’ї можуть бути присутні, якщо це доцільно). Для оптимального вимірювання пацієнту слід сидіти, спираючись на руку.</w:t>
      </w:r>
    </w:p>
    <w:p w14:paraId="1BF1B1D8" w14:textId="77777777" w:rsidR="00366CB9" w:rsidRDefault="009D0C1D" w:rsidP="00B3067A">
      <w:pPr>
        <w:pStyle w:val="80"/>
        <w:shd w:val="clear" w:color="auto" w:fill="auto"/>
        <w:jc w:val="both"/>
      </w:pPr>
      <w:r>
        <w:t>Етап 4. Огляд місця ін’єкції</w:t>
      </w:r>
    </w:p>
    <w:p w14:paraId="2240713B"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Слід ретельно оглянути місце ін’єкції ТСТ або ТБСТ. Якщо є пухирі, пошкодження шкіри або лімфаденіт, це слід зареєструвати, оскільки вони вважаються сильними позитивними реакціями для всіх шкірних проб на виявлення туберкульозної інфекції.</w:t>
      </w:r>
    </w:p>
    <w:p w14:paraId="1D449C08"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Еритема або почервоніння є показником потенційного ущільнення (якщо є еритема, то може бути ущільнення). Однак, еритему не потрібно оцінювати для TST (</w:t>
      </w:r>
      <w:hyperlink w:anchor="bookmark227" w:tooltip="Поточний документ">
        <w:r w:rsidR="00366CB9" w:rsidRPr="0014192D">
          <w:rPr>
            <w:sz w:val="18"/>
            <w:szCs w:val="18"/>
          </w:rPr>
          <w:t>3</w:t>
        </w:r>
      </w:hyperlink>
      <w:r w:rsidRPr="0014192D">
        <w:rPr>
          <w:sz w:val="18"/>
          <w:szCs w:val="18"/>
        </w:rPr>
        <w:t>) або для Cy-Tb (</w:t>
      </w:r>
      <w:hyperlink w:anchor="bookmark227" w:tooltip="Поточний документ">
        <w:r w:rsidR="00366CB9" w:rsidRPr="0014192D">
          <w:rPr>
            <w:sz w:val="18"/>
            <w:szCs w:val="18"/>
          </w:rPr>
          <w:t>6</w:t>
        </w:r>
      </w:hyperlink>
      <w:r w:rsidRPr="0014192D">
        <w:rPr>
          <w:sz w:val="18"/>
          <w:szCs w:val="18"/>
        </w:rPr>
        <w:t>), та її необхідно оцінювати для тесту Diaskintest лише за відсутності ущільнення (</w:t>
      </w:r>
      <w:hyperlink w:anchor="bookmark227" w:tooltip="Поточний документ">
        <w:r w:rsidR="00366CB9" w:rsidRPr="0014192D">
          <w:rPr>
            <w:sz w:val="18"/>
            <w:szCs w:val="18"/>
          </w:rPr>
          <w:t>5</w:t>
        </w:r>
      </w:hyperlink>
      <w:r w:rsidRPr="0014192D">
        <w:rPr>
          <w:sz w:val="18"/>
          <w:szCs w:val="18"/>
        </w:rPr>
        <w:t>). Для C-TST необхідно визначити межі та оцінити еритему (</w:t>
      </w:r>
      <w:hyperlink w:anchor="bookmark227" w:tooltip="Поточний документ">
        <w:r w:rsidR="00366CB9" w:rsidRPr="0014192D">
          <w:rPr>
            <w:sz w:val="18"/>
            <w:szCs w:val="18"/>
          </w:rPr>
          <w:t>4</w:t>
        </w:r>
      </w:hyperlink>
      <w:r w:rsidRPr="0014192D">
        <w:rPr>
          <w:sz w:val="18"/>
          <w:szCs w:val="18"/>
        </w:rPr>
        <w:t>).</w:t>
      </w:r>
    </w:p>
    <w:p w14:paraId="6C22B033"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Ущільнення або набряк можна виявити візуально або на дотик.</w:t>
      </w:r>
    </w:p>
    <w:p w14:paraId="09CE97CE"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Якщо немає почервоніння та видимого чи пальпованого ущільнення, то тест є негативним і результат позначається як «0 мм». Так само, якщо є еритема, але немає явного набряку, а при легкій пальпації немає ознак ущільнення, ущільнення можна вважати негативним і можна записати «0 мм». Якщо можна пропальпувати будь-яку припухлість або ущільнення, їх слід демаркувати (див. етап 5) і виміряти.</w:t>
      </w:r>
    </w:p>
    <w:p w14:paraId="55A2764D" w14:textId="77777777" w:rsidR="00366CB9" w:rsidRPr="0014192D" w:rsidRDefault="009D0C1D" w:rsidP="00B3067A">
      <w:pPr>
        <w:pStyle w:val="1"/>
        <w:shd w:val="clear" w:color="auto" w:fill="auto"/>
        <w:spacing w:line="324" w:lineRule="auto"/>
        <w:jc w:val="both"/>
        <w:rPr>
          <w:sz w:val="18"/>
          <w:szCs w:val="18"/>
        </w:rPr>
      </w:pPr>
      <w:r w:rsidRPr="0014192D">
        <w:rPr>
          <w:sz w:val="18"/>
          <w:szCs w:val="18"/>
        </w:rPr>
        <w:t>Якщо наявна програма контролю якості mHealth, слід зробити фотографії місця ін’єкції.</w:t>
      </w:r>
    </w:p>
    <w:p w14:paraId="54A15837"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4CC21391" w14:textId="77777777" w:rsidR="00366CB9" w:rsidRDefault="00366CB9" w:rsidP="00425523">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4349"/>
        <w:gridCol w:w="4757"/>
      </w:tblGrid>
      <w:tr w:rsidR="00366CB9" w14:paraId="2757E3D1" w14:textId="77777777">
        <w:trPr>
          <w:trHeight w:hRule="exact" w:val="4421"/>
        </w:trPr>
        <w:tc>
          <w:tcPr>
            <w:tcW w:w="9106" w:type="dxa"/>
            <w:gridSpan w:val="2"/>
            <w:shd w:val="clear" w:color="auto" w:fill="FFFFFF"/>
            <w:vAlign w:val="center"/>
          </w:tcPr>
          <w:p w14:paraId="4C75767F" w14:textId="77777777" w:rsidR="00366CB9" w:rsidRDefault="009D0C1D" w:rsidP="00B3067A">
            <w:pPr>
              <w:pStyle w:val="a6"/>
              <w:shd w:val="clear" w:color="auto" w:fill="auto"/>
              <w:spacing w:after="200"/>
            </w:pPr>
            <w:r>
              <w:rPr>
                <w:b w:val="0"/>
                <w:color w:val="019648"/>
              </w:rPr>
              <w:t>Етап 5. Демаркування ущільнення</w:t>
            </w:r>
          </w:p>
          <w:p w14:paraId="514FB14A" w14:textId="77777777" w:rsidR="00366CB9" w:rsidRPr="0014192D" w:rsidRDefault="009D0C1D" w:rsidP="00B3067A">
            <w:pPr>
              <w:pStyle w:val="a6"/>
              <w:shd w:val="clear" w:color="auto" w:fill="auto"/>
              <w:spacing w:after="140" w:line="326" w:lineRule="auto"/>
              <w:jc w:val="both"/>
              <w:rPr>
                <w:sz w:val="18"/>
                <w:szCs w:val="18"/>
              </w:rPr>
            </w:pPr>
            <w:r w:rsidRPr="0014192D">
              <w:rPr>
                <w:b w:val="0"/>
                <w:color w:val="000000"/>
                <w:sz w:val="18"/>
                <w:szCs w:val="24"/>
              </w:rPr>
              <w:t>Для TST, Cy-Tb та Diaskintest оцінюють ущільнення (</w:t>
            </w:r>
            <w:hyperlink w:anchor="bookmark193" w:tooltip="Поточний документ">
              <w:r w:rsidR="00366CB9" w:rsidRPr="0014192D">
                <w:rPr>
                  <w:b w:val="0"/>
                  <w:color w:val="000000"/>
                  <w:sz w:val="18"/>
                  <w:szCs w:val="24"/>
                </w:rPr>
                <w:t>3, 5, 6</w:t>
              </w:r>
            </w:hyperlink>
            <w:r w:rsidRPr="0014192D">
              <w:rPr>
                <w:b w:val="0"/>
                <w:color w:val="000000"/>
                <w:sz w:val="18"/>
                <w:szCs w:val="24"/>
              </w:rPr>
              <w:t>). Для C-TST оцінюють ущільнення та еритеми, а найбільше з двох значень використовується для клінічного лікування пацієнтів (</w:t>
            </w:r>
            <w:hyperlink w:anchor="bookmark227" w:tooltip="Поточний документ">
              <w:r w:rsidR="00366CB9" w:rsidRPr="0014192D">
                <w:rPr>
                  <w:b w:val="0"/>
                  <w:color w:val="000000"/>
                  <w:sz w:val="18"/>
                  <w:szCs w:val="24"/>
                </w:rPr>
                <w:t>4</w:t>
              </w:r>
            </w:hyperlink>
            <w:r w:rsidRPr="0014192D">
              <w:rPr>
                <w:b w:val="0"/>
                <w:color w:val="000000"/>
                <w:sz w:val="18"/>
                <w:szCs w:val="24"/>
              </w:rPr>
              <w:t>).</w:t>
            </w:r>
          </w:p>
          <w:p w14:paraId="795144D6" w14:textId="77777777" w:rsidR="00366CB9" w:rsidRPr="0014192D" w:rsidRDefault="009D0C1D" w:rsidP="00B3067A">
            <w:pPr>
              <w:pStyle w:val="a6"/>
              <w:shd w:val="clear" w:color="auto" w:fill="auto"/>
              <w:spacing w:after="140" w:line="324" w:lineRule="auto"/>
              <w:jc w:val="both"/>
              <w:rPr>
                <w:sz w:val="18"/>
                <w:szCs w:val="18"/>
              </w:rPr>
            </w:pPr>
            <w:r w:rsidRPr="0014192D">
              <w:rPr>
                <w:b w:val="0"/>
                <w:color w:val="000000"/>
                <w:sz w:val="18"/>
                <w:szCs w:val="24"/>
              </w:rPr>
              <w:t>Для розмежування країв ущільнення можна застосовувати метод кулькової ручки (</w:t>
            </w:r>
            <w:hyperlink w:anchor="bookmark227" w:tooltip="Поточний документ">
              <w:r w:rsidR="00366CB9" w:rsidRPr="0014192D">
                <w:rPr>
                  <w:b w:val="0"/>
                  <w:color w:val="000000"/>
                  <w:sz w:val="18"/>
                  <w:szCs w:val="24"/>
                </w:rPr>
                <w:t>8</w:t>
              </w:r>
            </w:hyperlink>
            <w:r w:rsidRPr="0014192D">
              <w:rPr>
                <w:b w:val="0"/>
                <w:color w:val="000000"/>
                <w:sz w:val="18"/>
                <w:szCs w:val="24"/>
              </w:rPr>
              <w:t>). При цьому методі кінчиком кулькової ручки обережно натискають на шкіру під кутом 45 градусів у напрямку до місця ін’єкції. У разі твердого та чіткого ущільнення кінчик кулькової ручки послідовно зупинятиметься на краях. Цю процедуру повторюють кілька разів з різних напрямків навколо місця введення. Якщо немає видимого або пальпованого ущільнення, не потрібно використовувати кулькову ручку; результат можна позначити як «0 мм».</w:t>
            </w:r>
          </w:p>
          <w:p w14:paraId="3DCAC798" w14:textId="77777777" w:rsidR="00366CB9" w:rsidRDefault="009D0C1D" w:rsidP="00B3067A">
            <w:pPr>
              <w:pStyle w:val="a6"/>
              <w:shd w:val="clear" w:color="auto" w:fill="auto"/>
              <w:spacing w:after="160" w:line="326" w:lineRule="auto"/>
              <w:jc w:val="both"/>
              <w:rPr>
                <w:sz w:val="20"/>
                <w:szCs w:val="20"/>
              </w:rPr>
            </w:pPr>
            <w:r w:rsidRPr="0014192D">
              <w:rPr>
                <w:b w:val="0"/>
                <w:color w:val="000000"/>
                <w:sz w:val="18"/>
                <w:szCs w:val="24"/>
              </w:rPr>
              <w:t>Великі реакції можуть бути болючими, тому немає необхідності наполягати на демаркуванні та вимірюванні великих больових ущільнень. Їх можна просто позначити як «більше 15 мм» або «більше 20 мм» і зазначити будь-які пухирі або некроз шкіри.</w:t>
            </w:r>
          </w:p>
        </w:tc>
      </w:tr>
      <w:tr w:rsidR="00366CB9" w14:paraId="2B1377AE" w14:textId="77777777" w:rsidTr="00B3067A">
        <w:trPr>
          <w:trHeight w:hRule="exact" w:val="2626"/>
        </w:trPr>
        <w:tc>
          <w:tcPr>
            <w:tcW w:w="9106" w:type="dxa"/>
            <w:gridSpan w:val="2"/>
            <w:shd w:val="clear" w:color="auto" w:fill="FFFFFF"/>
          </w:tcPr>
          <w:p w14:paraId="71CB9B58" w14:textId="77777777" w:rsidR="00366CB9" w:rsidRDefault="009D0C1D" w:rsidP="00B3067A">
            <w:pPr>
              <w:rPr>
                <w:sz w:val="2"/>
                <w:szCs w:val="2"/>
              </w:rPr>
            </w:pPr>
            <w:r>
              <w:rPr>
                <w:noProof/>
              </w:rPr>
              <w:drawing>
                <wp:inline distT="0" distB="0" distL="0" distR="0" wp14:anchorId="26D27409" wp14:editId="72BA468C">
                  <wp:extent cx="5782310" cy="166751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334"/>
                          <a:stretch/>
                        </pic:blipFill>
                        <pic:spPr>
                          <a:xfrm>
                            <a:off x="0" y="0"/>
                            <a:ext cx="5782310" cy="1667510"/>
                          </a:xfrm>
                          <a:prstGeom prst="rect">
                            <a:avLst/>
                          </a:prstGeom>
                        </pic:spPr>
                      </pic:pic>
                    </a:graphicData>
                  </a:graphic>
                </wp:inline>
              </w:drawing>
            </w:r>
          </w:p>
        </w:tc>
      </w:tr>
      <w:tr w:rsidR="00366CB9" w14:paraId="375C653A" w14:textId="77777777">
        <w:trPr>
          <w:trHeight w:hRule="exact" w:val="960"/>
        </w:trPr>
        <w:tc>
          <w:tcPr>
            <w:tcW w:w="9106" w:type="dxa"/>
            <w:gridSpan w:val="2"/>
            <w:shd w:val="clear" w:color="auto" w:fill="FFFFFF"/>
          </w:tcPr>
          <w:p w14:paraId="24E319AA" w14:textId="77777777" w:rsidR="00366CB9" w:rsidRDefault="009D0C1D" w:rsidP="00B3067A">
            <w:pPr>
              <w:pStyle w:val="a6"/>
              <w:shd w:val="clear" w:color="auto" w:fill="auto"/>
              <w:spacing w:line="266" w:lineRule="auto"/>
              <w:rPr>
                <w:sz w:val="18"/>
                <w:szCs w:val="18"/>
              </w:rPr>
            </w:pPr>
            <w:r>
              <w:rPr>
                <w:b w:val="0"/>
                <w:color w:val="000000"/>
                <w:sz w:val="18"/>
              </w:rPr>
              <w:t>Кілька разів з різних боків розмежовуйте краї ущільнення кульковою ручкою. © Richard Menzies</w:t>
            </w:r>
          </w:p>
        </w:tc>
      </w:tr>
      <w:tr w:rsidR="00366CB9" w14:paraId="31BD63DC" w14:textId="77777777">
        <w:trPr>
          <w:trHeight w:hRule="exact" w:val="4728"/>
        </w:trPr>
        <w:tc>
          <w:tcPr>
            <w:tcW w:w="4349" w:type="dxa"/>
            <w:vMerge w:val="restart"/>
            <w:shd w:val="clear" w:color="auto" w:fill="FFFFFF"/>
          </w:tcPr>
          <w:p w14:paraId="6EA42D12" w14:textId="77777777" w:rsidR="00366CB9" w:rsidRDefault="009D0C1D" w:rsidP="00B3067A">
            <w:pPr>
              <w:pStyle w:val="a6"/>
              <w:shd w:val="clear" w:color="auto" w:fill="auto"/>
              <w:spacing w:after="200"/>
            </w:pPr>
            <w:r>
              <w:rPr>
                <w:b w:val="0"/>
                <w:color w:val="019648"/>
              </w:rPr>
              <w:t>Етап 6. Вимірювання</w:t>
            </w:r>
          </w:p>
          <w:p w14:paraId="2B6204ED" w14:textId="77777777" w:rsidR="00366CB9" w:rsidRPr="0014192D" w:rsidRDefault="009D0C1D" w:rsidP="00B3067A">
            <w:pPr>
              <w:pStyle w:val="a6"/>
              <w:shd w:val="clear" w:color="auto" w:fill="auto"/>
              <w:spacing w:after="140" w:line="324" w:lineRule="auto"/>
              <w:jc w:val="both"/>
              <w:rPr>
                <w:sz w:val="18"/>
                <w:szCs w:val="18"/>
              </w:rPr>
            </w:pPr>
            <w:r w:rsidRPr="0014192D">
              <w:rPr>
                <w:b w:val="0"/>
                <w:color w:val="000000"/>
                <w:sz w:val="18"/>
                <w:szCs w:val="24"/>
              </w:rPr>
              <w:t>Після того, як краї ущільнення (або, у випадку C-TST, еритеми) були демарковані, слід виміряти діаметр ущільнення. Для Cy-Tb та TST поперечний діаметр вимірюють та записують в міліметрах (</w:t>
            </w:r>
            <w:hyperlink w:anchor="bookmark227" w:tooltip="Поточний документ">
              <w:r w:rsidR="00366CB9" w:rsidRPr="0014192D">
                <w:rPr>
                  <w:b w:val="0"/>
                  <w:color w:val="000000"/>
                  <w:sz w:val="18"/>
                  <w:szCs w:val="24"/>
                </w:rPr>
                <w:t>3, 6</w:t>
              </w:r>
            </w:hyperlink>
            <w:r w:rsidRPr="0014192D">
              <w:rPr>
                <w:b w:val="0"/>
                <w:color w:val="000000"/>
                <w:sz w:val="18"/>
                <w:szCs w:val="24"/>
              </w:rPr>
              <w:t>). Для C-TST вимірюють поперечний та поздовжній діаметри еритеми та ущільнення, та записують середнє значення кожного з них (</w:t>
            </w:r>
            <w:hyperlink w:anchor="bookmark227" w:tooltip="Поточний документ">
              <w:r w:rsidR="00366CB9" w:rsidRPr="0014192D">
                <w:rPr>
                  <w:b w:val="0"/>
                  <w:color w:val="000000"/>
                  <w:sz w:val="18"/>
                  <w:szCs w:val="24"/>
                </w:rPr>
                <w:t>4</w:t>
              </w:r>
            </w:hyperlink>
            <w:r w:rsidRPr="0014192D">
              <w:rPr>
                <w:b w:val="0"/>
                <w:color w:val="000000"/>
                <w:sz w:val="18"/>
                <w:szCs w:val="24"/>
              </w:rPr>
              <w:t>). Найбільше з цих двох значень буде прийнято у якості клінічно значущої інформації. Для Diaskintest записують найбільший діаметр ущільнення у розмірі (</w:t>
            </w:r>
            <w:hyperlink w:anchor="bookmark227" w:tooltip="Поточний документ">
              <w:r w:rsidR="00366CB9" w:rsidRPr="0014192D">
                <w:rPr>
                  <w:b w:val="0"/>
                  <w:color w:val="000000"/>
                  <w:sz w:val="18"/>
                  <w:szCs w:val="24"/>
                </w:rPr>
                <w:t>5</w:t>
              </w:r>
            </w:hyperlink>
            <w:r w:rsidRPr="0014192D">
              <w:rPr>
                <w:b w:val="0"/>
                <w:color w:val="000000"/>
                <w:sz w:val="18"/>
                <w:szCs w:val="24"/>
              </w:rPr>
              <w:t>).</w:t>
            </w:r>
          </w:p>
          <w:p w14:paraId="6A63B576" w14:textId="77777777" w:rsidR="00366CB9" w:rsidRDefault="009D0C1D" w:rsidP="00B3067A">
            <w:pPr>
              <w:pStyle w:val="a6"/>
              <w:shd w:val="clear" w:color="auto" w:fill="auto"/>
              <w:spacing w:after="160" w:line="326" w:lineRule="auto"/>
              <w:jc w:val="both"/>
              <w:rPr>
                <w:sz w:val="20"/>
                <w:szCs w:val="20"/>
              </w:rPr>
            </w:pPr>
            <w:r w:rsidRPr="0014192D">
              <w:rPr>
                <w:b w:val="0"/>
                <w:color w:val="000000"/>
                <w:sz w:val="18"/>
                <w:szCs w:val="24"/>
              </w:rPr>
              <w:t>Оцінка розміру реакції часто враховує похибку округлення, оскільки зчитувачі</w:t>
            </w:r>
          </w:p>
        </w:tc>
        <w:tc>
          <w:tcPr>
            <w:tcW w:w="4757" w:type="dxa"/>
            <w:shd w:val="clear" w:color="auto" w:fill="FFFFFF"/>
          </w:tcPr>
          <w:p w14:paraId="0E356702" w14:textId="77777777" w:rsidR="00366CB9" w:rsidRDefault="009D0C1D" w:rsidP="00B3067A">
            <w:pPr>
              <w:rPr>
                <w:sz w:val="2"/>
                <w:szCs w:val="2"/>
              </w:rPr>
            </w:pPr>
            <w:r>
              <w:rPr>
                <w:noProof/>
              </w:rPr>
              <w:drawing>
                <wp:inline distT="0" distB="0" distL="0" distR="0" wp14:anchorId="6F315B6C" wp14:editId="538D3419">
                  <wp:extent cx="3020695" cy="300228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335"/>
                          <a:stretch/>
                        </pic:blipFill>
                        <pic:spPr>
                          <a:xfrm>
                            <a:off x="0" y="0"/>
                            <a:ext cx="3020695" cy="3002280"/>
                          </a:xfrm>
                          <a:prstGeom prst="rect">
                            <a:avLst/>
                          </a:prstGeom>
                        </pic:spPr>
                      </pic:pic>
                    </a:graphicData>
                  </a:graphic>
                </wp:inline>
              </w:drawing>
            </w:r>
          </w:p>
        </w:tc>
      </w:tr>
      <w:tr w:rsidR="00366CB9" w14:paraId="53463FBE" w14:textId="77777777">
        <w:trPr>
          <w:trHeight w:hRule="exact" w:val="1243"/>
        </w:trPr>
        <w:tc>
          <w:tcPr>
            <w:tcW w:w="4349" w:type="dxa"/>
            <w:vMerge/>
            <w:shd w:val="clear" w:color="auto" w:fill="FFFFFF"/>
          </w:tcPr>
          <w:p w14:paraId="49ACC83C" w14:textId="77777777" w:rsidR="00366CB9" w:rsidRDefault="00366CB9" w:rsidP="00B3067A"/>
        </w:tc>
        <w:tc>
          <w:tcPr>
            <w:tcW w:w="4757" w:type="dxa"/>
            <w:shd w:val="clear" w:color="auto" w:fill="FFFFFF"/>
          </w:tcPr>
          <w:p w14:paraId="048A936C" w14:textId="77777777" w:rsidR="00366CB9" w:rsidRDefault="009D0C1D" w:rsidP="00B3067A">
            <w:pPr>
              <w:pStyle w:val="a6"/>
              <w:shd w:val="clear" w:color="auto" w:fill="auto"/>
              <w:spacing w:line="266" w:lineRule="auto"/>
              <w:ind w:left="180"/>
              <w:rPr>
                <w:sz w:val="18"/>
                <w:szCs w:val="18"/>
              </w:rPr>
            </w:pPr>
            <w:r>
              <w:rPr>
                <w:b w:val="0"/>
                <w:color w:val="000000"/>
                <w:sz w:val="18"/>
              </w:rPr>
              <w:t>Оцінюють ущільнення між розмежуваннями. © Richard Menzies</w:t>
            </w:r>
          </w:p>
        </w:tc>
      </w:tr>
    </w:tbl>
    <w:p w14:paraId="49084DFD"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5EA4C750" w14:textId="77777777" w:rsidR="00366CB9" w:rsidRDefault="00366CB9" w:rsidP="00425523">
      <w:pPr>
        <w:spacing w:line="1" w:lineRule="exact"/>
      </w:pPr>
    </w:p>
    <w:p w14:paraId="727F312F" w14:textId="77777777" w:rsidR="00366CB9" w:rsidRPr="0014192D" w:rsidRDefault="009D0C1D" w:rsidP="00B3067A">
      <w:pPr>
        <w:pStyle w:val="1"/>
        <w:shd w:val="clear" w:color="auto" w:fill="auto"/>
        <w:spacing w:after="140" w:line="326" w:lineRule="auto"/>
        <w:jc w:val="both"/>
        <w:rPr>
          <w:sz w:val="18"/>
          <w:szCs w:val="18"/>
        </w:rPr>
      </w:pPr>
      <w:r w:rsidRPr="0014192D">
        <w:rPr>
          <w:sz w:val="18"/>
          <w:szCs w:val="18"/>
        </w:rPr>
        <w:t>групують зчитування по 5, 10 та 15 мм. Для уникнення помилки можна використовувати штангенциркулі.</w:t>
      </w:r>
    </w:p>
    <w:p w14:paraId="148ED236" w14:textId="77777777" w:rsidR="00366CB9" w:rsidRDefault="009D0C1D" w:rsidP="00B3067A">
      <w:pPr>
        <w:pStyle w:val="80"/>
        <w:shd w:val="clear" w:color="auto" w:fill="auto"/>
      </w:pPr>
      <w:r>
        <w:t>Етап 7. Догляд після проведення тесту TST</w:t>
      </w:r>
    </w:p>
    <w:p w14:paraId="46231817"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Якщо у пацієнта є пухирі або пошкодження шкіри, важливо запобігти вторинному інфікуванню. Місце слід ретельно очистити і накрити сухою пов’язкою. Пацієнтів слід проінструктувати не розчісувати ділянку.</w:t>
      </w:r>
    </w:p>
    <w:p w14:paraId="4B600638"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Місцеві стероїди є протипоказаними, оскільки їхня неефективність була доведена в плацебо-контрольованих дослідженнях (</w:t>
      </w:r>
      <w:hyperlink w:anchor="bookmark227" w:tooltip="Поточний документ">
        <w:r w:rsidR="00366CB9" w:rsidRPr="0014192D">
          <w:rPr>
            <w:sz w:val="18"/>
            <w:szCs w:val="18"/>
          </w:rPr>
          <w:t>9</w:t>
        </w:r>
      </w:hyperlink>
      <w:r w:rsidRPr="0014192D">
        <w:rPr>
          <w:sz w:val="18"/>
          <w:szCs w:val="18"/>
        </w:rPr>
        <w:t>). Підшкірне введення стероїдів під ущільненням може бути ефективнішим, але консервативного лікування з холодними компресами та сухими пов’язками для покриття місця ураження, як правило, достатньо, так само як і призначення пероральних анальгетиків (аспірин або ацетамінофен/парацетамол).</w:t>
      </w:r>
    </w:p>
    <w:p w14:paraId="3DDB6058" w14:textId="77777777" w:rsidR="00366CB9" w:rsidRDefault="009D0C1D" w:rsidP="00B3067A">
      <w:pPr>
        <w:pStyle w:val="80"/>
        <w:shd w:val="clear" w:color="auto" w:fill="auto"/>
      </w:pPr>
      <w:r>
        <w:t>Етап 8. Управління результатами</w:t>
      </w:r>
    </w:p>
    <w:p w14:paraId="240BED2E"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Якщо тест негативний (відповідно до розділу 3 основного тексту) і у пацієнта немає симптомів (або якщо симптоми зникають), то пацієнта можна виписати. У деяких ситуаціях особи, з якими був прямий контакт, пройдуть другий тест на виявлення туберкульозної інфекції через 8 тижнів після закінчення впливу, якщо початковий тест буде негативним – особливо у тих, хто нещодавно контактував із туберкульозною інфекцією або переніс супутню вірусну інфекцію. У цьому випадку слід записатися на проведення другого тесту.</w:t>
      </w:r>
    </w:p>
    <w:p w14:paraId="7896D60C"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Якщо тест позитивний, людину слід негайно направити на медичне обстеження та рентгенографію. У добре організованому особистісно-орієнтованому каскаді медичної допомоги медичне обстеження (включно з РОГК) доступне у тому ж самому центрі й у той самий день. Це мінімізує затримки між першим визначенням контакту та початком відповідної терапії ТБ або туберкульозної інфекції.</w:t>
      </w:r>
    </w:p>
    <w:p w14:paraId="4D9E907B" w14:textId="77777777" w:rsidR="00366CB9" w:rsidRDefault="009D0C1D" w:rsidP="00B3067A">
      <w:pPr>
        <w:pStyle w:val="80"/>
        <w:shd w:val="clear" w:color="auto" w:fill="auto"/>
        <w:jc w:val="both"/>
      </w:pPr>
      <w:r>
        <w:t>Етап 9. Запис і реєстрація</w:t>
      </w:r>
    </w:p>
    <w:p w14:paraId="57199DEB"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Результати TST або TBST необхідно записати у карту пацієнта або реєстри (або у карту та реєстри); можна зазначити додаткову інформацію залежно від закладу та організації програми.</w:t>
      </w:r>
    </w:p>
    <w:p w14:paraId="0CCC150B" w14:textId="77777777" w:rsidR="00366CB9" w:rsidRPr="0014192D" w:rsidRDefault="009D0C1D" w:rsidP="00B3067A">
      <w:pPr>
        <w:pStyle w:val="1"/>
        <w:shd w:val="clear" w:color="auto" w:fill="auto"/>
        <w:spacing w:after="140" w:line="324" w:lineRule="auto"/>
        <w:jc w:val="both"/>
        <w:rPr>
          <w:sz w:val="18"/>
          <w:szCs w:val="18"/>
        </w:rPr>
      </w:pPr>
      <w:r w:rsidRPr="0014192D">
        <w:rPr>
          <w:sz w:val="18"/>
          <w:szCs w:val="18"/>
        </w:rPr>
        <w:t>Необхідно записати наступне:</w:t>
      </w:r>
    </w:p>
    <w:p w14:paraId="0C500437" w14:textId="010A4848" w:rsidR="00366CB9" w:rsidRPr="0014192D" w:rsidRDefault="009D0C1D" w:rsidP="0014192D">
      <w:pPr>
        <w:pStyle w:val="1"/>
        <w:shd w:val="clear" w:color="auto" w:fill="auto"/>
        <w:spacing w:line="324" w:lineRule="auto"/>
        <w:ind w:left="284" w:hanging="284"/>
        <w:jc w:val="both"/>
        <w:rPr>
          <w:sz w:val="18"/>
          <w:szCs w:val="18"/>
        </w:rPr>
      </w:pPr>
      <w:r w:rsidRPr="0014192D">
        <w:rPr>
          <w:color w:val="019648"/>
          <w:sz w:val="18"/>
          <w:szCs w:val="18"/>
        </w:rPr>
        <w:t xml:space="preserve">• </w:t>
      </w:r>
      <w:r w:rsidR="0014192D">
        <w:tab/>
      </w:r>
      <w:r w:rsidRPr="0014192D">
        <w:rPr>
          <w:sz w:val="18"/>
          <w:szCs w:val="18"/>
        </w:rPr>
        <w:t>дата та час зчитування;</w:t>
      </w:r>
    </w:p>
    <w:p w14:paraId="74BE74D0" w14:textId="5EC70DFC" w:rsidR="00366CB9" w:rsidRPr="0014192D" w:rsidRDefault="009D0C1D" w:rsidP="0014192D">
      <w:pPr>
        <w:pStyle w:val="1"/>
        <w:shd w:val="clear" w:color="auto" w:fill="auto"/>
        <w:spacing w:line="324" w:lineRule="auto"/>
        <w:ind w:left="284" w:hanging="284"/>
        <w:jc w:val="both"/>
        <w:rPr>
          <w:sz w:val="18"/>
          <w:szCs w:val="18"/>
        </w:rPr>
      </w:pPr>
      <w:r w:rsidRPr="0014192D">
        <w:rPr>
          <w:color w:val="019648"/>
          <w:sz w:val="18"/>
          <w:szCs w:val="18"/>
        </w:rPr>
        <w:t xml:space="preserve">• </w:t>
      </w:r>
      <w:r w:rsidR="0014192D">
        <w:tab/>
      </w:r>
      <w:r w:rsidRPr="0014192D">
        <w:rPr>
          <w:sz w:val="18"/>
          <w:szCs w:val="18"/>
        </w:rPr>
        <w:t>продукт та номер партії;</w:t>
      </w:r>
    </w:p>
    <w:p w14:paraId="499450AA" w14:textId="34B981F3" w:rsidR="00366CB9" w:rsidRPr="0014192D" w:rsidRDefault="009D0C1D" w:rsidP="0014192D">
      <w:pPr>
        <w:pStyle w:val="1"/>
        <w:shd w:val="clear" w:color="auto" w:fill="auto"/>
        <w:spacing w:line="324" w:lineRule="auto"/>
        <w:ind w:left="284" w:hanging="284"/>
        <w:jc w:val="both"/>
        <w:rPr>
          <w:sz w:val="18"/>
          <w:szCs w:val="18"/>
        </w:rPr>
      </w:pPr>
      <w:r w:rsidRPr="0014192D">
        <w:rPr>
          <w:color w:val="019648"/>
          <w:sz w:val="18"/>
          <w:szCs w:val="18"/>
        </w:rPr>
        <w:t xml:space="preserve">• </w:t>
      </w:r>
      <w:r w:rsidR="0014192D">
        <w:tab/>
      </w:r>
      <w:r w:rsidRPr="0014192D">
        <w:rPr>
          <w:sz w:val="18"/>
          <w:szCs w:val="18"/>
        </w:rPr>
        <w:t>розмір ущільнення в міліметрах (поперечний, максимальний або середній діаметр, залежно від тесту);</w:t>
      </w:r>
    </w:p>
    <w:p w14:paraId="59E76266" w14:textId="7AC3863A" w:rsidR="00366CB9" w:rsidRPr="0014192D" w:rsidRDefault="009D0C1D" w:rsidP="0014192D">
      <w:pPr>
        <w:pStyle w:val="1"/>
        <w:shd w:val="clear" w:color="auto" w:fill="auto"/>
        <w:spacing w:line="324" w:lineRule="auto"/>
        <w:ind w:left="284" w:hanging="284"/>
        <w:jc w:val="both"/>
        <w:rPr>
          <w:sz w:val="18"/>
          <w:szCs w:val="18"/>
        </w:rPr>
      </w:pPr>
      <w:r w:rsidRPr="0014192D">
        <w:rPr>
          <w:color w:val="019648"/>
          <w:sz w:val="18"/>
          <w:szCs w:val="18"/>
        </w:rPr>
        <w:t xml:space="preserve">• </w:t>
      </w:r>
      <w:r w:rsidR="0014192D">
        <w:tab/>
      </w:r>
      <w:r w:rsidRPr="0014192D">
        <w:rPr>
          <w:sz w:val="18"/>
          <w:szCs w:val="18"/>
        </w:rPr>
        <w:t>для C-TST,також необхідно записати середній діаметр еритеми, а для Diaskintest – еритему (але лише за відсутності ущільнення); для TST та Cy-Tb еритему не потрібно реєструвати;</w:t>
      </w:r>
    </w:p>
    <w:p w14:paraId="1CB6B853" w14:textId="15D4B74E" w:rsidR="00366CB9" w:rsidRPr="0014192D" w:rsidRDefault="009D0C1D" w:rsidP="0014192D">
      <w:pPr>
        <w:pStyle w:val="1"/>
        <w:shd w:val="clear" w:color="auto" w:fill="auto"/>
        <w:spacing w:line="324" w:lineRule="auto"/>
        <w:ind w:left="284" w:hanging="284"/>
        <w:rPr>
          <w:sz w:val="18"/>
          <w:szCs w:val="18"/>
        </w:rPr>
      </w:pPr>
      <w:r w:rsidRPr="0014192D">
        <w:rPr>
          <w:color w:val="019648"/>
          <w:sz w:val="18"/>
          <w:szCs w:val="18"/>
        </w:rPr>
        <w:t xml:space="preserve">• </w:t>
      </w:r>
      <w:r w:rsidR="0014192D">
        <w:tab/>
      </w:r>
      <w:r w:rsidRPr="0014192D">
        <w:rPr>
          <w:sz w:val="18"/>
          <w:szCs w:val="18"/>
        </w:rPr>
        <w:t>наявність пухирів, некрозу шкіри, лімфангіту або лімфаденопатії; та</w:t>
      </w:r>
    </w:p>
    <w:p w14:paraId="28CA16C1" w14:textId="7CDDCF8C" w:rsidR="00366CB9" w:rsidRPr="0014192D" w:rsidRDefault="009D0C1D" w:rsidP="0014192D">
      <w:pPr>
        <w:pStyle w:val="1"/>
        <w:shd w:val="clear" w:color="auto" w:fill="auto"/>
        <w:spacing w:after="140" w:line="324" w:lineRule="auto"/>
        <w:ind w:left="284" w:hanging="284"/>
        <w:jc w:val="both"/>
        <w:rPr>
          <w:sz w:val="18"/>
          <w:szCs w:val="18"/>
        </w:rPr>
      </w:pPr>
      <w:r w:rsidRPr="0014192D">
        <w:rPr>
          <w:color w:val="019648"/>
          <w:sz w:val="18"/>
          <w:szCs w:val="18"/>
        </w:rPr>
        <w:t xml:space="preserve">• </w:t>
      </w:r>
      <w:r w:rsidR="0014192D">
        <w:tab/>
      </w:r>
      <w:r w:rsidRPr="0014192D">
        <w:rPr>
          <w:sz w:val="18"/>
          <w:szCs w:val="18"/>
        </w:rPr>
        <w:t>для осіб з позитивними результатами тестів – розпорядження: дата та час подальшого медичного обстеження та РОГК; для осіб з негативними результати тестів – дата та час подальшого візиту, за необхідності.</w:t>
      </w:r>
    </w:p>
    <w:p w14:paraId="6BD7B258" w14:textId="77777777" w:rsidR="00366CB9" w:rsidRPr="0014192D" w:rsidRDefault="009D0C1D" w:rsidP="00B3067A">
      <w:pPr>
        <w:pStyle w:val="1"/>
        <w:shd w:val="clear" w:color="auto" w:fill="auto"/>
        <w:spacing w:line="324" w:lineRule="auto"/>
        <w:rPr>
          <w:sz w:val="18"/>
          <w:szCs w:val="18"/>
        </w:rPr>
      </w:pPr>
      <w:r w:rsidRPr="0014192D">
        <w:rPr>
          <w:sz w:val="18"/>
          <w:szCs w:val="18"/>
        </w:rPr>
        <w:t>У деяких статтях представлено корисну загальну інформацію про шкірні тести на виявлення туберкульозної інфекції (</w:t>
      </w:r>
      <w:hyperlink w:anchor="bookmark227" w:tooltip="Поточний документ">
        <w:r w:rsidR="00366CB9" w:rsidRPr="0014192D">
          <w:rPr>
            <w:sz w:val="18"/>
            <w:szCs w:val="18"/>
          </w:rPr>
          <w:t>10, 11</w:t>
        </w:r>
      </w:hyperlink>
      <w:r w:rsidRPr="0014192D">
        <w:rPr>
          <w:sz w:val="18"/>
          <w:szCs w:val="18"/>
        </w:rPr>
        <w:t>).</w:t>
      </w:r>
    </w:p>
    <w:p w14:paraId="4CE1B7B4"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0A51573A" w14:textId="77777777" w:rsidR="00366CB9" w:rsidRDefault="00366CB9" w:rsidP="00425523">
      <w:pPr>
        <w:spacing w:line="1" w:lineRule="exact"/>
      </w:pPr>
    </w:p>
    <w:p w14:paraId="6D8BEF95" w14:textId="77777777" w:rsidR="00366CB9" w:rsidRDefault="009D0C1D" w:rsidP="00B3067A">
      <w:pPr>
        <w:pStyle w:val="22"/>
        <w:shd w:val="clear" w:color="auto" w:fill="auto"/>
        <w:spacing w:line="240" w:lineRule="auto"/>
        <w:jc w:val="both"/>
        <w:rPr>
          <w:sz w:val="38"/>
          <w:szCs w:val="38"/>
        </w:rPr>
      </w:pPr>
      <w:bookmarkStart w:id="230" w:name="bookmark228"/>
      <w:bookmarkStart w:id="231" w:name="bookmark229"/>
      <w:bookmarkStart w:id="232" w:name="bookmark227"/>
      <w:r>
        <w:rPr>
          <w:sz w:val="38"/>
        </w:rPr>
        <w:t>Список літератури для Додатка 4</w:t>
      </w:r>
      <w:bookmarkEnd w:id="230"/>
      <w:bookmarkEnd w:id="231"/>
      <w:bookmarkEnd w:id="232"/>
    </w:p>
    <w:p w14:paraId="2C732B14" w14:textId="77777777" w:rsidR="00366CB9" w:rsidRDefault="009D0C1D" w:rsidP="00B3067A">
      <w:pPr>
        <w:pStyle w:val="1"/>
        <w:numPr>
          <w:ilvl w:val="0"/>
          <w:numId w:val="60"/>
        </w:numPr>
        <w:shd w:val="clear" w:color="auto" w:fill="auto"/>
        <w:tabs>
          <w:tab w:val="left" w:pos="442"/>
        </w:tabs>
        <w:spacing w:after="60" w:line="310" w:lineRule="auto"/>
        <w:ind w:left="480" w:hanging="480"/>
        <w:jc w:val="both"/>
        <w:rPr>
          <w:sz w:val="19"/>
          <w:szCs w:val="19"/>
        </w:rPr>
      </w:pPr>
      <w:r>
        <w:rPr>
          <w:sz w:val="19"/>
        </w:rPr>
        <w:t>Moayedi-Nia S, Barss L, Oxlade O, Valiquette C, Ly MX, Campbell JR et al. The mTST – an mHealth approach for training and quality assurance of tuberculin skin test administration and reading. PLoS One. 2019;14:e0215240 (</w:t>
      </w:r>
      <w:hyperlink r:id="rId336" w:history="1">
        <w:r w:rsidR="00366CB9">
          <w:rPr>
            <w:color w:val="019648"/>
            <w:sz w:val="19"/>
          </w:rPr>
          <w:t>https://doi.org/10.1371/journal.pone.0215240</w:t>
        </w:r>
      </w:hyperlink>
      <w:r>
        <w:rPr>
          <w:sz w:val="19"/>
        </w:rPr>
        <w:t>).</w:t>
      </w:r>
    </w:p>
    <w:p w14:paraId="59487328" w14:textId="77777777" w:rsidR="00366CB9" w:rsidRDefault="009D0C1D" w:rsidP="00B3067A">
      <w:pPr>
        <w:pStyle w:val="1"/>
        <w:numPr>
          <w:ilvl w:val="0"/>
          <w:numId w:val="60"/>
        </w:numPr>
        <w:shd w:val="clear" w:color="auto" w:fill="auto"/>
        <w:tabs>
          <w:tab w:val="left" w:pos="442"/>
        </w:tabs>
        <w:spacing w:after="60" w:line="307" w:lineRule="auto"/>
        <w:ind w:left="480" w:hanging="480"/>
        <w:jc w:val="both"/>
        <w:rPr>
          <w:sz w:val="19"/>
          <w:szCs w:val="19"/>
        </w:rPr>
      </w:pPr>
      <w:r>
        <w:rPr>
          <w:sz w:val="19"/>
        </w:rPr>
        <w:t xml:space="preserve">Menzies D, Doherty T. Diagnosis of latent tuberculosis infection. In: Raviglione M (ed), Reichman and Hershfield’s tuberculosis, a comprehensive international approach. New York: Informa Healthcare USA; 2006:215–63 </w:t>
      </w:r>
      <w:hyperlink r:id="rId337" w:history="1">
        <w:r w:rsidR="00366CB9">
          <w:rPr>
            <w:sz w:val="19"/>
          </w:rPr>
          <w:t>(</w:t>
        </w:r>
        <w:r w:rsidR="00366CB9">
          <w:rPr>
            <w:color w:val="019648"/>
            <w:sz w:val="19"/>
          </w:rPr>
          <w:t>https://www.taylorfrancis.com/chapters/edit/10.3109/9780203908464–15/</w:t>
        </w:r>
      </w:hyperlink>
      <w:r>
        <w:rPr>
          <w:color w:val="019648"/>
          <w:sz w:val="19"/>
        </w:rPr>
        <w:t xml:space="preserve"> </w:t>
      </w:r>
      <w:hyperlink r:id="rId338" w:history="1">
        <w:r w:rsidR="00366CB9">
          <w:rPr>
            <w:color w:val="019648"/>
            <w:sz w:val="19"/>
          </w:rPr>
          <w:t>diagnosis-latent-tuberculosis-infection-dick-menzies-mark-doherty</w:t>
        </w:r>
      </w:hyperlink>
      <w:r>
        <w:rPr>
          <w:sz w:val="19"/>
        </w:rPr>
        <w:t>).</w:t>
      </w:r>
    </w:p>
    <w:p w14:paraId="4B76BE04" w14:textId="77777777" w:rsidR="00366CB9" w:rsidRDefault="009D0C1D" w:rsidP="00B3067A">
      <w:pPr>
        <w:pStyle w:val="1"/>
        <w:numPr>
          <w:ilvl w:val="0"/>
          <w:numId w:val="60"/>
        </w:numPr>
        <w:shd w:val="clear" w:color="auto" w:fill="auto"/>
        <w:tabs>
          <w:tab w:val="left" w:pos="442"/>
        </w:tabs>
        <w:spacing w:after="60" w:line="305" w:lineRule="auto"/>
        <w:ind w:left="480" w:hanging="480"/>
        <w:jc w:val="both"/>
        <w:rPr>
          <w:sz w:val="19"/>
          <w:szCs w:val="19"/>
        </w:rPr>
      </w:pPr>
      <w:r>
        <w:rPr>
          <w:sz w:val="19"/>
        </w:rPr>
        <w:t>The WHO standard tuberculin test. Geneva: World Health Organization; 1963 (</w:t>
      </w:r>
      <w:hyperlink r:id="rId339" w:history="1">
        <w:r w:rsidR="00366CB9">
          <w:rPr>
            <w:color w:val="019648"/>
            <w:sz w:val="19"/>
          </w:rPr>
          <w:t>https://apps.who.int/</w:t>
        </w:r>
      </w:hyperlink>
      <w:r>
        <w:rPr>
          <w:color w:val="019648"/>
          <w:sz w:val="19"/>
        </w:rPr>
        <w:t xml:space="preserve"> </w:t>
      </w:r>
      <w:hyperlink r:id="rId340" w:history="1">
        <w:r w:rsidR="00366CB9">
          <w:rPr>
            <w:color w:val="019648"/>
            <w:sz w:val="19"/>
          </w:rPr>
          <w:t>iris/handle/10665/112241</w:t>
        </w:r>
      </w:hyperlink>
      <w:r>
        <w:rPr>
          <w:sz w:val="19"/>
        </w:rPr>
        <w:t>).</w:t>
      </w:r>
    </w:p>
    <w:p w14:paraId="25647C4B" w14:textId="77777777" w:rsidR="00366CB9" w:rsidRDefault="009D0C1D" w:rsidP="00B3067A">
      <w:pPr>
        <w:pStyle w:val="1"/>
        <w:numPr>
          <w:ilvl w:val="0"/>
          <w:numId w:val="60"/>
        </w:numPr>
        <w:shd w:val="clear" w:color="auto" w:fill="auto"/>
        <w:tabs>
          <w:tab w:val="left" w:pos="442"/>
        </w:tabs>
        <w:spacing w:after="60" w:line="307" w:lineRule="auto"/>
        <w:rPr>
          <w:sz w:val="19"/>
          <w:szCs w:val="19"/>
        </w:rPr>
      </w:pPr>
      <w:r>
        <w:rPr>
          <w:sz w:val="19"/>
        </w:rPr>
        <w:t>C-TST package insert. China: Anhui Zhifei Longcom; 2022.</w:t>
      </w:r>
    </w:p>
    <w:p w14:paraId="1B00FEBF" w14:textId="77777777" w:rsidR="00366CB9" w:rsidRDefault="009D0C1D" w:rsidP="00B3067A">
      <w:pPr>
        <w:pStyle w:val="1"/>
        <w:numPr>
          <w:ilvl w:val="0"/>
          <w:numId w:val="60"/>
        </w:numPr>
        <w:shd w:val="clear" w:color="auto" w:fill="auto"/>
        <w:tabs>
          <w:tab w:val="left" w:pos="442"/>
        </w:tabs>
        <w:spacing w:after="60" w:line="305" w:lineRule="auto"/>
        <w:ind w:left="480" w:hanging="480"/>
        <w:jc w:val="both"/>
        <w:rPr>
          <w:sz w:val="19"/>
          <w:szCs w:val="19"/>
        </w:rPr>
      </w:pPr>
      <w:r>
        <w:rPr>
          <w:sz w:val="19"/>
        </w:rPr>
        <w:t>Diaskintest package insert. Russian Federation: Generium; 2022 (</w:t>
      </w:r>
      <w:hyperlink r:id="rId341" w:history="1">
        <w:r w:rsidR="00366CB9">
          <w:rPr>
            <w:color w:val="019648"/>
            <w:sz w:val="19"/>
          </w:rPr>
          <w:t>https://www.generium.ru/en/</w:t>
        </w:r>
      </w:hyperlink>
      <w:r>
        <w:rPr>
          <w:color w:val="019648"/>
          <w:sz w:val="19"/>
        </w:rPr>
        <w:t xml:space="preserve"> </w:t>
      </w:r>
      <w:hyperlink r:id="rId342" w:history="1">
        <w:r w:rsidR="00366CB9">
          <w:rPr>
            <w:color w:val="019648"/>
            <w:sz w:val="19"/>
          </w:rPr>
          <w:t>products/diaskintest/</w:t>
        </w:r>
      </w:hyperlink>
      <w:r>
        <w:rPr>
          <w:sz w:val="19"/>
        </w:rPr>
        <w:t>).</w:t>
      </w:r>
    </w:p>
    <w:p w14:paraId="1039B364" w14:textId="77777777" w:rsidR="00366CB9" w:rsidRDefault="009D0C1D" w:rsidP="00B3067A">
      <w:pPr>
        <w:pStyle w:val="1"/>
        <w:numPr>
          <w:ilvl w:val="0"/>
          <w:numId w:val="60"/>
        </w:numPr>
        <w:shd w:val="clear" w:color="auto" w:fill="auto"/>
        <w:tabs>
          <w:tab w:val="left" w:pos="442"/>
        </w:tabs>
        <w:spacing w:after="60" w:line="307" w:lineRule="auto"/>
        <w:rPr>
          <w:sz w:val="19"/>
          <w:szCs w:val="19"/>
        </w:rPr>
      </w:pPr>
      <w:r>
        <w:rPr>
          <w:sz w:val="19"/>
        </w:rPr>
        <w:t>Cy-Tb package insert. India: Serum Institute; 2022.</w:t>
      </w:r>
    </w:p>
    <w:p w14:paraId="10A3BA2E" w14:textId="77777777" w:rsidR="00366CB9" w:rsidRDefault="009D0C1D" w:rsidP="00B3067A">
      <w:pPr>
        <w:pStyle w:val="1"/>
        <w:numPr>
          <w:ilvl w:val="0"/>
          <w:numId w:val="60"/>
        </w:numPr>
        <w:shd w:val="clear" w:color="auto" w:fill="auto"/>
        <w:tabs>
          <w:tab w:val="left" w:pos="442"/>
        </w:tabs>
        <w:spacing w:after="60" w:line="310" w:lineRule="auto"/>
        <w:ind w:left="480" w:hanging="480"/>
        <w:jc w:val="both"/>
        <w:rPr>
          <w:sz w:val="19"/>
          <w:szCs w:val="19"/>
        </w:rPr>
      </w:pPr>
      <w:r>
        <w:rPr>
          <w:sz w:val="19"/>
        </w:rPr>
        <w:t>Alsdurf H, Hill P, Matteelli A, Getahun H, Menzies D. The cascade of care in diagnosis and treatment of latent tuberculosis infection: a systematic review and meta-analysis. Lancet Infect Dis. 2016;16:1269 (</w:t>
      </w:r>
      <w:hyperlink r:id="rId343" w:history="1">
        <w:r w:rsidR="00366CB9">
          <w:rPr>
            <w:color w:val="019648"/>
            <w:sz w:val="19"/>
          </w:rPr>
          <w:t>https://doi.org/10.1016/S1473-3099(16)30216-X</w:t>
        </w:r>
      </w:hyperlink>
      <w:r>
        <w:rPr>
          <w:sz w:val="19"/>
        </w:rPr>
        <w:t>).</w:t>
      </w:r>
    </w:p>
    <w:p w14:paraId="742A28AF" w14:textId="77777777" w:rsidR="00366CB9" w:rsidRDefault="009D0C1D" w:rsidP="00B3067A">
      <w:pPr>
        <w:pStyle w:val="1"/>
        <w:numPr>
          <w:ilvl w:val="0"/>
          <w:numId w:val="60"/>
        </w:numPr>
        <w:shd w:val="clear" w:color="auto" w:fill="auto"/>
        <w:tabs>
          <w:tab w:val="left" w:pos="442"/>
        </w:tabs>
        <w:spacing w:after="60" w:line="305" w:lineRule="auto"/>
        <w:ind w:left="480" w:hanging="480"/>
        <w:jc w:val="both"/>
        <w:rPr>
          <w:sz w:val="19"/>
          <w:szCs w:val="19"/>
        </w:rPr>
      </w:pPr>
      <w:r>
        <w:rPr>
          <w:sz w:val="19"/>
        </w:rPr>
        <w:t>Sokal J. Measurement of delayed skin-test responses. New Eng J Med. 1975;293:501–2 (</w:t>
      </w:r>
      <w:hyperlink r:id="rId344" w:history="1">
        <w:r w:rsidR="00366CB9">
          <w:rPr>
            <w:color w:val="019648"/>
            <w:sz w:val="19"/>
          </w:rPr>
          <w:t>https://</w:t>
        </w:r>
      </w:hyperlink>
      <w:r>
        <w:rPr>
          <w:color w:val="019648"/>
          <w:sz w:val="19"/>
        </w:rPr>
        <w:t xml:space="preserve"> </w:t>
      </w:r>
      <w:hyperlink r:id="rId345" w:history="1">
        <w:r w:rsidR="00366CB9">
          <w:rPr>
            <w:color w:val="019648"/>
            <w:sz w:val="19"/>
          </w:rPr>
          <w:t>doi.org/10.1056/NEJM197509042931013</w:t>
        </w:r>
      </w:hyperlink>
      <w:r>
        <w:rPr>
          <w:sz w:val="19"/>
        </w:rPr>
        <w:t>).</w:t>
      </w:r>
    </w:p>
    <w:p w14:paraId="1067C7B3" w14:textId="77777777" w:rsidR="00366CB9" w:rsidRDefault="009D0C1D" w:rsidP="00B3067A">
      <w:pPr>
        <w:pStyle w:val="1"/>
        <w:numPr>
          <w:ilvl w:val="0"/>
          <w:numId w:val="60"/>
        </w:numPr>
        <w:shd w:val="clear" w:color="auto" w:fill="auto"/>
        <w:tabs>
          <w:tab w:val="left" w:pos="442"/>
        </w:tabs>
        <w:spacing w:after="60" w:line="305" w:lineRule="auto"/>
        <w:ind w:left="480" w:hanging="480"/>
        <w:jc w:val="both"/>
        <w:rPr>
          <w:sz w:val="19"/>
          <w:szCs w:val="19"/>
        </w:rPr>
      </w:pPr>
      <w:r>
        <w:rPr>
          <w:sz w:val="19"/>
        </w:rPr>
        <w:t>Hanson M, Comstock G. Efficacy of hydrocortisone ointment in the treatment of local reactions to tuberculin skin tests. Am Rev Respir Dis. 1968;97:472–3 (</w:t>
      </w:r>
      <w:hyperlink r:id="rId346" w:history="1">
        <w:r w:rsidR="00366CB9">
          <w:rPr>
            <w:color w:val="019648"/>
            <w:sz w:val="19"/>
          </w:rPr>
          <w:t>https://pubmed.ncbi.nlm.nih.gov/5638501/</w:t>
        </w:r>
      </w:hyperlink>
      <w:r>
        <w:rPr>
          <w:sz w:val="19"/>
        </w:rPr>
        <w:t>).</w:t>
      </w:r>
    </w:p>
    <w:p w14:paraId="7864D6E5" w14:textId="77777777" w:rsidR="00366CB9" w:rsidRDefault="009D0C1D" w:rsidP="00B3067A">
      <w:pPr>
        <w:pStyle w:val="1"/>
        <w:numPr>
          <w:ilvl w:val="0"/>
          <w:numId w:val="60"/>
        </w:numPr>
        <w:shd w:val="clear" w:color="auto" w:fill="auto"/>
        <w:tabs>
          <w:tab w:val="left" w:pos="453"/>
        </w:tabs>
        <w:spacing w:after="60" w:line="307" w:lineRule="auto"/>
        <w:ind w:left="480" w:hanging="480"/>
        <w:jc w:val="both"/>
        <w:rPr>
          <w:sz w:val="19"/>
          <w:szCs w:val="19"/>
        </w:rPr>
      </w:pPr>
      <w:r>
        <w:rPr>
          <w:sz w:val="19"/>
        </w:rPr>
        <w:t>Lewinsohn D, Leonard M, Lobue P. Official American Thoracic Society/Infectious Diseases Society of America/Centers for Disease Control and Prevention clinical practice guidelines: diagnosis of tuberculosis in adults and children. Clin Infect Dis. 2017;64:111–5 (</w:t>
      </w:r>
      <w:hyperlink r:id="rId347" w:history="1">
        <w:r w:rsidR="00366CB9">
          <w:rPr>
            <w:color w:val="019648"/>
            <w:sz w:val="19"/>
          </w:rPr>
          <w:t>https://pubmed.ncbi.nlm.nih.</w:t>
        </w:r>
      </w:hyperlink>
      <w:r>
        <w:rPr>
          <w:color w:val="019648"/>
          <w:sz w:val="19"/>
        </w:rPr>
        <w:t xml:space="preserve"> </w:t>
      </w:r>
      <w:hyperlink r:id="rId348" w:history="1">
        <w:r w:rsidR="00366CB9">
          <w:rPr>
            <w:color w:val="019648"/>
            <w:sz w:val="19"/>
          </w:rPr>
          <w:t>gov/28052967/</w:t>
        </w:r>
      </w:hyperlink>
      <w:r>
        <w:rPr>
          <w:sz w:val="19"/>
        </w:rPr>
        <w:t>).</w:t>
      </w:r>
    </w:p>
    <w:p w14:paraId="4F950A39" w14:textId="77777777" w:rsidR="00366CB9" w:rsidRDefault="009D0C1D" w:rsidP="00B3067A">
      <w:pPr>
        <w:pStyle w:val="1"/>
        <w:numPr>
          <w:ilvl w:val="0"/>
          <w:numId w:val="60"/>
        </w:numPr>
        <w:shd w:val="clear" w:color="auto" w:fill="auto"/>
        <w:tabs>
          <w:tab w:val="left" w:pos="453"/>
        </w:tabs>
        <w:spacing w:line="305" w:lineRule="auto"/>
        <w:ind w:left="480" w:hanging="480"/>
        <w:jc w:val="both"/>
        <w:rPr>
          <w:sz w:val="19"/>
          <w:szCs w:val="19"/>
        </w:rPr>
      </w:pPr>
      <w:r>
        <w:rPr>
          <w:sz w:val="19"/>
        </w:rPr>
        <w:t>Campbell J, Pease C, Daley P, Pai M, Menzies D. Diagnosis of tuberculosis infection. In: Menzies D (ed), Canadian tuberculosis standards – 8th edition. Ottawa: Canadian Thoracic Society; 2022:49–65 (</w:t>
      </w:r>
      <w:hyperlink r:id="rId349" w:history="1">
        <w:r w:rsidR="00366CB9">
          <w:rPr>
            <w:color w:val="019648"/>
            <w:sz w:val="19"/>
          </w:rPr>
          <w:t>https://doi.org/10.1080/24745332.2022.2036503</w:t>
        </w:r>
      </w:hyperlink>
      <w:r>
        <w:rPr>
          <w:sz w:val="19"/>
        </w:rPr>
        <w:t>).</w:t>
      </w:r>
    </w:p>
    <w:p w14:paraId="23B61070" w14:textId="77777777" w:rsidR="00366CB9" w:rsidRDefault="00366CB9" w:rsidP="00425523">
      <w:pPr>
        <w:spacing w:line="1" w:lineRule="exact"/>
        <w:sectPr w:rsidR="00366CB9" w:rsidSect="00F03360">
          <w:type w:val="nextColumn"/>
          <w:pgSz w:w="11913" w:h="16840"/>
          <w:pgMar w:top="1469" w:right="1378" w:bottom="851" w:left="1372" w:header="0" w:footer="6" w:gutter="0"/>
          <w:paperSrc w:first="15" w:other="15"/>
          <w:cols w:space="720"/>
          <w:noEndnote/>
          <w:docGrid w:linePitch="360"/>
        </w:sectPr>
      </w:pPr>
    </w:p>
    <w:p w14:paraId="1AA16976" w14:textId="77777777" w:rsidR="00366CB9" w:rsidRDefault="00366CB9" w:rsidP="00425523">
      <w:pPr>
        <w:spacing w:line="1" w:lineRule="exact"/>
      </w:pPr>
    </w:p>
    <w:p w14:paraId="3D57A65D" w14:textId="77777777" w:rsidR="00366CB9" w:rsidRDefault="00366CB9" w:rsidP="00B3067A"/>
    <w:p w14:paraId="66961719" w14:textId="77777777" w:rsidR="00366CB9" w:rsidRDefault="00366CB9" w:rsidP="00425523">
      <w:pPr>
        <w:spacing w:line="1" w:lineRule="exact"/>
        <w:sectPr w:rsidR="00366CB9" w:rsidSect="0028397B">
          <w:footerReference w:type="default" r:id="rId350"/>
          <w:pgSz w:w="11913" w:h="16840"/>
          <w:pgMar w:top="357" w:right="357" w:bottom="357" w:left="357" w:header="0" w:footer="6" w:gutter="0"/>
          <w:cols w:space="720"/>
          <w:noEndnote/>
          <w:docGrid w:linePitch="360"/>
        </w:sectPr>
      </w:pPr>
    </w:p>
    <w:p w14:paraId="270107B4" w14:textId="77777777" w:rsidR="00366CB9" w:rsidRDefault="00366CB9" w:rsidP="00425523">
      <w:pPr>
        <w:spacing w:line="1" w:lineRule="exact"/>
      </w:pPr>
    </w:p>
    <w:p w14:paraId="6D915443" w14:textId="77777777" w:rsidR="00366CB9" w:rsidRDefault="009D0C1D" w:rsidP="00B3067A">
      <w:pPr>
        <w:pStyle w:val="a4"/>
        <w:framePr w:w="5256" w:wrap="none" w:vAnchor="page" w:hAnchor="page" w:x="960" w:y="14093"/>
        <w:shd w:val="clear" w:color="auto" w:fill="auto"/>
        <w:spacing w:after="60" w:line="343" w:lineRule="auto"/>
        <w:rPr>
          <w:sz w:val="20"/>
          <w:szCs w:val="20"/>
        </w:rPr>
      </w:pPr>
      <w:r>
        <w:rPr>
          <w:b w:val="0"/>
          <w:color w:val="FFFFFF"/>
          <w:sz w:val="20"/>
        </w:rPr>
        <w:t>За додатковою інформацією звертайтесь:</w:t>
      </w:r>
    </w:p>
    <w:p w14:paraId="7B5A804D" w14:textId="77777777" w:rsidR="00366CB9" w:rsidRDefault="009D0C1D" w:rsidP="00B3067A">
      <w:pPr>
        <w:pStyle w:val="a4"/>
        <w:framePr w:w="5256" w:wrap="none" w:vAnchor="page" w:hAnchor="page" w:x="960" w:y="14093"/>
        <w:shd w:val="clear" w:color="auto" w:fill="auto"/>
        <w:spacing w:line="343" w:lineRule="auto"/>
        <w:rPr>
          <w:sz w:val="20"/>
          <w:szCs w:val="20"/>
        </w:rPr>
      </w:pPr>
      <w:r>
        <w:rPr>
          <w:color w:val="FFFFFF"/>
          <w:sz w:val="20"/>
        </w:rPr>
        <w:t>Глобальна програма з туберкульозу та здоров’я легень</w:t>
      </w:r>
    </w:p>
    <w:p w14:paraId="59F914D0" w14:textId="77777777" w:rsidR="00366CB9" w:rsidRDefault="009D0C1D" w:rsidP="00B3067A">
      <w:pPr>
        <w:pStyle w:val="a4"/>
        <w:framePr w:w="5256" w:wrap="none" w:vAnchor="page" w:hAnchor="page" w:x="960" w:y="14093"/>
        <w:shd w:val="clear" w:color="auto" w:fill="auto"/>
        <w:spacing w:line="343" w:lineRule="auto"/>
        <w:rPr>
          <w:sz w:val="20"/>
          <w:szCs w:val="20"/>
        </w:rPr>
      </w:pPr>
      <w:r>
        <w:rPr>
          <w:b w:val="0"/>
          <w:color w:val="FFFFFF"/>
          <w:sz w:val="20"/>
        </w:rPr>
        <w:t xml:space="preserve">20, Avenue Appia CH-1211 Geneva 27 Switzerland Веб-сайт: </w:t>
      </w:r>
      <w:hyperlink r:id="rId351" w:history="1">
        <w:r w:rsidR="00366CB9">
          <w:rPr>
            <w:b w:val="0"/>
            <w:color w:val="FFFFFF"/>
            <w:sz w:val="20"/>
          </w:rPr>
          <w:t>www.who.int/tb</w:t>
        </w:r>
      </w:hyperlink>
    </w:p>
    <w:p w14:paraId="43A05FBB" w14:textId="77777777" w:rsidR="00366CB9" w:rsidRDefault="009D0C1D" w:rsidP="00425523">
      <w:pPr>
        <w:spacing w:line="1" w:lineRule="exact"/>
      </w:pPr>
      <w:r>
        <w:rPr>
          <w:noProof/>
        </w:rPr>
        <w:drawing>
          <wp:anchor distT="0" distB="0" distL="0" distR="0" simplePos="0" relativeHeight="251432960" behindDoc="1" locked="0" layoutInCell="1" allowOverlap="1" wp14:anchorId="6B147247" wp14:editId="3D87023B">
            <wp:simplePos x="0" y="0"/>
            <wp:positionH relativeFrom="page">
              <wp:posOffset>2540</wp:posOffset>
            </wp:positionH>
            <wp:positionV relativeFrom="page">
              <wp:posOffset>-635</wp:posOffset>
            </wp:positionV>
            <wp:extent cx="7559040" cy="10692130"/>
            <wp:effectExtent l="0" t="0" r="0" b="0"/>
            <wp:wrapNone/>
            <wp:docPr id="144" name="Shape 144"/>
            <wp:cNvGraphicFramePr/>
            <a:graphic xmlns:a="http://schemas.openxmlformats.org/drawingml/2006/main">
              <a:graphicData uri="http://schemas.openxmlformats.org/drawingml/2006/picture">
                <pic:pic xmlns:pic="http://schemas.openxmlformats.org/drawingml/2006/picture">
                  <pic:nvPicPr>
                    <pic:cNvPr id="145" name="Picture box 145"/>
                    <pic:cNvPicPr/>
                  </pic:nvPicPr>
                  <pic:blipFill>
                    <a:blip r:embed="rId352"/>
                    <a:stretch/>
                  </pic:blipFill>
                  <pic:spPr>
                    <a:xfrm>
                      <a:off x="0" y="0"/>
                      <a:ext cx="7559040" cy="10692130"/>
                    </a:xfrm>
                    <a:prstGeom prst="rect">
                      <a:avLst/>
                    </a:prstGeom>
                  </pic:spPr>
                </pic:pic>
              </a:graphicData>
            </a:graphic>
          </wp:anchor>
        </w:drawing>
      </w:r>
    </w:p>
    <w:sectPr w:rsidR="00366CB9" w:rsidSect="0028397B">
      <w:pgSz w:w="11913" w:h="16840"/>
      <w:pgMar w:top="357" w:right="357" w:bottom="357" w:left="357"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2DE55" w14:textId="77777777" w:rsidR="009D0C1D" w:rsidRDefault="009D0C1D">
      <w:r>
        <w:separator/>
      </w:r>
    </w:p>
  </w:endnote>
  <w:endnote w:type="continuationSeparator" w:id="0">
    <w:p w14:paraId="0C18CDF3" w14:textId="77777777" w:rsidR="009D0C1D" w:rsidRDefault="009D0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UZZZY J+ Avenir LT Std">
    <w:altName w:val="Cambria"/>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n-ea">
    <w:altName w:val="Cambria"/>
    <w:panose1 w:val="00000000000000000000"/>
    <w:charset w:val="00"/>
    <w:family w:val="roman"/>
    <w:notTrueType/>
    <w:pitch w:val="default"/>
  </w:font>
  <w:font w:name="+mn-cs">
    <w:altName w:val="Cambri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168E5" w14:textId="77777777" w:rsidR="009D0C1D" w:rsidRPr="00BA379B" w:rsidRDefault="009D0C1D" w:rsidP="00BA379B">
    <w:pPr>
      <w:pStyle w:val="af2"/>
    </w:pPr>
    <w:r>
      <w:rPr>
        <w:noProof/>
      </w:rPr>
      <mc:AlternateContent>
        <mc:Choice Requires="wps">
          <w:drawing>
            <wp:anchor distT="0" distB="0" distL="114300" distR="114300" simplePos="0" relativeHeight="251673600" behindDoc="0" locked="0" layoutInCell="1" allowOverlap="1" wp14:anchorId="5DD1D595" wp14:editId="55FB9E67">
              <wp:simplePos x="0" y="0"/>
              <wp:positionH relativeFrom="page">
                <wp:posOffset>532765</wp:posOffset>
              </wp:positionH>
              <wp:positionV relativeFrom="page">
                <wp:posOffset>10200005</wp:posOffset>
              </wp:positionV>
              <wp:extent cx="3456000" cy="144000"/>
              <wp:effectExtent l="0" t="0" r="0" b="8255"/>
              <wp:wrapNone/>
              <wp:docPr id="107688867" name="Поле 2"/>
              <wp:cNvGraphicFramePr/>
              <a:graphic xmlns:a="http://schemas.openxmlformats.org/drawingml/2006/main">
                <a:graphicData uri="http://schemas.microsoft.com/office/word/2010/wordprocessingShape">
                  <wps:wsp>
                    <wps:cNvSpPr txBox="1"/>
                    <wps:spPr>
                      <a:xfrm>
                        <a:off x="0" y="0"/>
                        <a:ext cx="3456000" cy="144000"/>
                      </a:xfrm>
                      <a:prstGeom prst="rect">
                        <a:avLst/>
                      </a:prstGeom>
                      <a:solidFill>
                        <a:sysClr val="window" lastClr="FFFFFF"/>
                      </a:solidFill>
                      <a:ln w="6350">
                        <a:noFill/>
                      </a:ln>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4771"/>
                          </w:tblGrid>
                          <w:tr w:rsidR="009D0C1D" w:rsidRPr="00FC26B4" w14:paraId="2BA05BC3" w14:textId="77777777" w:rsidTr="009D0C1D">
                            <w:trPr>
                              <w:trHeight w:hRule="exact" w:val="197"/>
                            </w:trPr>
                            <w:tc>
                              <w:tcPr>
                                <w:tcW w:w="547" w:type="dxa"/>
                                <w:shd w:val="clear" w:color="auto" w:fill="FFFFFF"/>
                              </w:tcPr>
                              <w:p w14:paraId="620DD09A" w14:textId="77777777" w:rsidR="009D0C1D" w:rsidRPr="00FC26B4" w:rsidRDefault="009D0C1D" w:rsidP="00FC26B4">
                                <w:pPr>
                                  <w:rPr>
                                    <w:color w:val="019648"/>
                                    <w:sz w:val="15"/>
                                    <w:szCs w:val="15"/>
                                  </w:rPr>
                                </w:pPr>
                                <w:r>
                                  <w:rPr>
                                    <w:color w:val="019648"/>
                                    <w:sz w:val="15"/>
                                  </w:rPr>
                                  <w:t>iv</w:t>
                                </w:r>
                              </w:p>
                            </w:tc>
                            <w:tc>
                              <w:tcPr>
                                <w:tcW w:w="4771" w:type="dxa"/>
                                <w:shd w:val="clear" w:color="auto" w:fill="FFFFFF"/>
                              </w:tcPr>
                              <w:p w14:paraId="47087C96" w14:textId="7A663729" w:rsidR="009D0C1D" w:rsidRPr="00FC26B4" w:rsidRDefault="009D0C1D" w:rsidP="00FC26B4">
                                <w:pPr>
                                  <w:rPr>
                                    <w:b/>
                                    <w:bCs/>
                                    <w:color w:val="EBEBEB"/>
                                    <w:sz w:val="15"/>
                                    <w:szCs w:val="15"/>
                                  </w:rPr>
                                </w:pPr>
                              </w:p>
                            </w:tc>
                          </w:tr>
                        </w:tbl>
                        <w:p w14:paraId="41ED1671" w14:textId="77777777" w:rsidR="009D0C1D" w:rsidRDefault="009D0C1D" w:rsidP="00BA379B">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DD1D595" id="_x0000_t202" coordsize="21600,21600" o:spt="202" path="m,l,21600r21600,l21600,xe">
              <v:stroke joinstyle="miter"/>
              <v:path gradientshapeok="t" o:connecttype="rect"/>
            </v:shapetype>
            <v:shape id="Поле 2" o:spid="_x0000_s1550" type="#_x0000_t202" style="position:absolute;margin-left:41.95pt;margin-top:803.15pt;width:272.15pt;height:11.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" fillcolor="window" stroked="f" strokeweight=".5pt">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4771"/>
                    </w:tblGrid>
                    <w:tr w:rsidR="009D0C1D" w:rsidRPr="00FC26B4" w14:paraId="2BA05BC3" w14:textId="77777777" w:rsidTr="009D0C1D">
                      <w:trPr>
                        <w:trHeight w:hRule="exact" w:val="197"/>
                      </w:trPr>
                      <w:tc>
                        <w:tcPr>
                          <w:tcW w:w="547" w:type="dxa"/>
                          <w:shd w:val="clear" w:color="auto" w:fill="FFFFFF"/>
                        </w:tcPr>
                        <w:p w14:paraId="620DD09A" w14:textId="77777777" w:rsidR="009D0C1D" w:rsidRPr="00FC26B4" w:rsidRDefault="009D0C1D" w:rsidP="00FC26B4">
                          <w:pPr>
                            <w:rPr>
                              <w:color w:val="019648"/>
                              <w:sz w:val="15"/>
                              <w:szCs w:val="15"/>
                            </w:rPr>
                          </w:pPr>
                          <w:r>
                            <w:rPr>
                              <w:color w:val="019648"/>
                              <w:sz w:val="15"/>
                            </w:rPr>
                            <w:t>iv</w:t>
                          </w:r>
                        </w:p>
                      </w:tc>
                      <w:tc>
                        <w:tcPr>
                          <w:tcW w:w="4771" w:type="dxa"/>
                          <w:shd w:val="clear" w:color="auto" w:fill="FFFFFF"/>
                        </w:tcPr>
                        <w:p w14:paraId="47087C96" w14:textId="7A663729" w:rsidR="009D0C1D" w:rsidRPr="00FC26B4" w:rsidRDefault="009D0C1D" w:rsidP="00FC26B4">
                          <w:pPr>
                            <w:rPr>
                              <w:b/>
                              <w:bCs/>
                              <w:color w:val="EBEBEB"/>
                              <w:sz w:val="15"/>
                              <w:szCs w:val="15"/>
                            </w:rPr>
                          </w:pPr>
                        </w:p>
                      </w:tc>
                    </w:tr>
                  </w:tbl>
                  <w:p w14:paraId="41ED1671" w14:textId="77777777" w:rsidR="009D0C1D" w:rsidRDefault="009D0C1D" w:rsidP="00BA379B">
                    <w:pPr>
                      <w:spacing w:line="17" w:lineRule="auto"/>
                      <w:jc w:val="both"/>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99C93" w14:textId="06BA3AAE" w:rsidR="009D0C1D" w:rsidRPr="00BA379B" w:rsidRDefault="009D0C1D" w:rsidP="00BA379B">
    <w:pPr>
      <w:pStyle w:val="af2"/>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275F0" w14:textId="48973503" w:rsidR="009D0C1D" w:rsidRPr="00BA379B" w:rsidRDefault="009D0C1D" w:rsidP="00BA379B">
    <w:pPr>
      <w:pStyle w:val="af2"/>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2917B" w14:textId="77777777" w:rsidR="009D0C1D" w:rsidRPr="00BD21B8" w:rsidRDefault="009D0C1D" w:rsidP="00BD21B8">
    <w:pPr>
      <w:pStyle w:val="af2"/>
    </w:pPr>
    <w:r>
      <w:rPr>
        <w:noProof/>
      </w:rPr>
      <mc:AlternateContent>
        <mc:Choice Requires="wps">
          <w:drawing>
            <wp:anchor distT="0" distB="0" distL="114300" distR="114300" simplePos="0" relativeHeight="251685888" behindDoc="0" locked="0" layoutInCell="1" allowOverlap="1" wp14:anchorId="0093FE12" wp14:editId="7AC0F3EB">
              <wp:simplePos x="0" y="0"/>
              <wp:positionH relativeFrom="page">
                <wp:posOffset>533400</wp:posOffset>
              </wp:positionH>
              <wp:positionV relativeFrom="page">
                <wp:posOffset>10199370</wp:posOffset>
              </wp:positionV>
              <wp:extent cx="3798000" cy="144000"/>
              <wp:effectExtent l="0" t="0" r="0" b="8255"/>
              <wp:wrapNone/>
              <wp:docPr id="328815477" name="Поле 2"/>
              <wp:cNvGraphicFramePr/>
              <a:graphic xmlns:a="http://schemas.openxmlformats.org/drawingml/2006/main">
                <a:graphicData uri="http://schemas.microsoft.com/office/word/2010/wordprocessingShape">
                  <wps:wsp>
                    <wps:cNvSpPr txBox="1"/>
                    <wps:spPr>
                      <a:xfrm>
                        <a:off x="0" y="0"/>
                        <a:ext cx="3798000" cy="144000"/>
                      </a:xfrm>
                      <a:prstGeom prst="rect">
                        <a:avLst/>
                      </a:prstGeom>
                      <a:solidFill>
                        <a:sysClr val="window" lastClr="FFFFFF"/>
                      </a:solidFill>
                      <a:ln w="6350">
                        <a:noFill/>
                      </a:ln>
                    </wps:spPr>
                    <wps:txbx>
                      <w:txbxContent>
                        <w:tbl>
                          <w:tblPr>
                            <w:tblOverlap w:val="never"/>
                            <w:tblW w:w="5812" w:type="dxa"/>
                            <w:tblLayout w:type="fixed"/>
                            <w:tblCellMar>
                              <w:left w:w="10" w:type="dxa"/>
                              <w:right w:w="10" w:type="dxa"/>
                            </w:tblCellMar>
                            <w:tblLook w:val="0000" w:firstRow="0" w:lastRow="0" w:firstColumn="0" w:lastColumn="0" w:noHBand="0" w:noVBand="0"/>
                          </w:tblPr>
                          <w:tblGrid>
                            <w:gridCol w:w="547"/>
                            <w:gridCol w:w="5265"/>
                          </w:tblGrid>
                          <w:tr w:rsidR="009D0C1D" w:rsidRPr="00FC26B4" w14:paraId="7E77E352" w14:textId="77777777" w:rsidTr="00CE4227">
                            <w:trPr>
                              <w:trHeight w:hRule="exact" w:val="197"/>
                            </w:trPr>
                            <w:tc>
                              <w:tcPr>
                                <w:tcW w:w="547" w:type="dxa"/>
                                <w:shd w:val="clear" w:color="auto" w:fill="FFFFFF"/>
                              </w:tcPr>
                              <w:p w14:paraId="63692A48"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5487F2BB"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5858B680" w14:textId="77777777" w:rsidR="009D0C1D" w:rsidRDefault="009D0C1D" w:rsidP="00FC26B4">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93FE12" id="_x0000_t202" coordsize="21600,21600" o:spt="202" path="m,l,21600r21600,l21600,xe">
              <v:stroke joinstyle="miter"/>
              <v:path gradientshapeok="t" o:connecttype="rect"/>
            </v:shapetype>
            <v:shape id="_x0000_s1559" type="#_x0000_t202" style="position:absolute;margin-left:42pt;margin-top:803.1pt;width:299.05pt;height:11.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" fillcolor="window" stroked="f" strokeweight=".5pt">
              <v:textbox style="mso-fit-shape-to-text:t" inset="0,0,0,0">
                <w:txbxContent>
                  <w:tbl>
                    <w:tblPr>
                      <w:tblOverlap w:val="never"/>
                      <w:tblW w:w="5812" w:type="dxa"/>
                      <w:tblLayout w:type="fixed"/>
                      <w:tblCellMar>
                        <w:left w:w="10" w:type="dxa"/>
                        <w:right w:w="10" w:type="dxa"/>
                      </w:tblCellMar>
                      <w:tblLook w:val="0000" w:firstRow="0" w:lastRow="0" w:firstColumn="0" w:lastColumn="0" w:noHBand="0" w:noVBand="0"/>
                    </w:tblPr>
                    <w:tblGrid>
                      <w:gridCol w:w="547"/>
                      <w:gridCol w:w="5265"/>
                    </w:tblGrid>
                    <w:tr w:rsidR="009D0C1D" w:rsidRPr="00FC26B4" w14:paraId="7E77E352" w14:textId="77777777" w:rsidTr="00CE4227">
                      <w:trPr>
                        <w:trHeight w:hRule="exact" w:val="197"/>
                      </w:trPr>
                      <w:tc>
                        <w:tcPr>
                          <w:tcW w:w="547" w:type="dxa"/>
                          <w:shd w:val="clear" w:color="auto" w:fill="FFFFFF"/>
                        </w:tcPr>
                        <w:p w14:paraId="63692A48"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5487F2BB"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5858B680" w14:textId="77777777" w:rsidR="009D0C1D" w:rsidRDefault="009D0C1D" w:rsidP="00FC26B4">
                    <w:pPr>
                      <w:spacing w:line="17" w:lineRule="auto"/>
                      <w:jc w:val="both"/>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E9A9D" w14:textId="77777777" w:rsidR="009D0C1D" w:rsidRDefault="009D0C1D" w:rsidP="00D65E1C">
    <w:pPr>
      <w:pStyle w:val="ab"/>
      <w:framePr w:wrap="none" w:vAnchor="page" w:hAnchor="page" w:x="10933" w:y="16064"/>
      <w:shd w:val="clear" w:color="auto" w:fill="auto"/>
    </w:pPr>
    <w:r>
      <w:t>v</w:t>
    </w:r>
  </w:p>
  <w:p w14:paraId="3E2E65C2" w14:textId="77777777" w:rsidR="009D0C1D" w:rsidRDefault="009D0C1D" w:rsidP="00D65E1C">
    <w:pPr>
      <w:pStyle w:val="af2"/>
    </w:pPr>
    <w:r>
      <w:rPr>
        <w:noProof/>
      </w:rPr>
      <mc:AlternateContent>
        <mc:Choice Requires="wps">
          <w:drawing>
            <wp:anchor distT="0" distB="0" distL="114300" distR="114300" simplePos="0" relativeHeight="251792384" behindDoc="0" locked="0" layoutInCell="1" allowOverlap="1" wp14:anchorId="15028C76" wp14:editId="1DD33B33">
              <wp:simplePos x="0" y="0"/>
              <wp:positionH relativeFrom="page">
                <wp:posOffset>877401</wp:posOffset>
              </wp:positionH>
              <wp:positionV relativeFrom="page">
                <wp:posOffset>10201110</wp:posOffset>
              </wp:positionV>
              <wp:extent cx="6159676" cy="133200"/>
              <wp:effectExtent l="0" t="0" r="0" b="0"/>
              <wp:wrapNone/>
              <wp:docPr id="1572654782"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0DF2A150" w14:textId="77777777" w:rsidTr="00D65E1C">
                            <w:trPr>
                              <w:trHeight w:hRule="exact" w:val="182"/>
                              <w:jc w:val="right"/>
                            </w:trPr>
                            <w:tc>
                              <w:tcPr>
                                <w:tcW w:w="9071" w:type="dxa"/>
                                <w:shd w:val="clear" w:color="auto" w:fill="FFFFFF"/>
                              </w:tcPr>
                              <w:p w14:paraId="60DCF7FF" w14:textId="77777777" w:rsidR="009D0C1D" w:rsidRDefault="009D0C1D" w:rsidP="00BD21B8">
                                <w:pPr>
                                  <w:pStyle w:val="a6"/>
                                  <w:shd w:val="clear" w:color="auto" w:fill="auto"/>
                                  <w:jc w:val="right"/>
                                  <w:rPr>
                                    <w:sz w:val="15"/>
                                    <w:szCs w:val="15"/>
                                  </w:rPr>
                                </w:pPr>
                                <w:r>
                                  <w:rPr>
                                    <w:b w:val="0"/>
                                    <w:color w:val="019648"/>
                                    <w:sz w:val="15"/>
                                  </w:rPr>
                                  <w:t>2. Тести на ТБ з рекомендаціями ВООЗ</w:t>
                                </w:r>
                              </w:p>
                            </w:tc>
                            <w:tc>
                              <w:tcPr>
                                <w:tcW w:w="521" w:type="dxa"/>
                                <w:shd w:val="clear" w:color="auto" w:fill="FFFFFF"/>
                              </w:tcPr>
                              <w:p w14:paraId="1822E688"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30232C7E" w14:textId="77777777" w:rsidR="009D0C1D" w:rsidRDefault="009D0C1D" w:rsidP="00D65E1C">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5028C76" id="_x0000_t202" coordsize="21600,21600" o:spt="202" path="m,l,21600r21600,l21600,xe">
              <v:stroke joinstyle="miter"/>
              <v:path gradientshapeok="t" o:connecttype="rect"/>
            </v:shapetype>
            <v:shape id="_x0000_s1560" type="#_x0000_t202" style="position:absolute;margin-left:69.1pt;margin-top:803.25pt;width:485pt;height:10.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0DF2A150" w14:textId="77777777" w:rsidTr="00D65E1C">
                      <w:trPr>
                        <w:trHeight w:hRule="exact" w:val="182"/>
                        <w:jc w:val="right"/>
                      </w:trPr>
                      <w:tc>
                        <w:tcPr>
                          <w:tcW w:w="9071" w:type="dxa"/>
                          <w:shd w:val="clear" w:color="auto" w:fill="FFFFFF"/>
                        </w:tcPr>
                        <w:p w14:paraId="60DCF7FF" w14:textId="77777777" w:rsidR="009D0C1D" w:rsidRDefault="009D0C1D" w:rsidP="00BD21B8">
                          <w:pPr>
                            <w:pStyle w:val="a6"/>
                            <w:shd w:val="clear" w:color="auto" w:fill="auto"/>
                            <w:jc w:val="right"/>
                            <w:rPr>
                              <w:sz w:val="15"/>
                              <w:szCs w:val="15"/>
                            </w:rPr>
                          </w:pPr>
                          <w:r>
                            <w:rPr>
                              <w:b w:val="0"/>
                              <w:color w:val="019648"/>
                              <w:sz w:val="15"/>
                            </w:rPr>
                            <w:t>2. Тести на ТБ з рекомендаціями ВООЗ</w:t>
                          </w:r>
                        </w:p>
                      </w:tc>
                      <w:tc>
                        <w:tcPr>
                          <w:tcW w:w="521" w:type="dxa"/>
                          <w:shd w:val="clear" w:color="auto" w:fill="FFFFFF"/>
                        </w:tcPr>
                        <w:p w14:paraId="1822E688"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30232C7E" w14:textId="77777777" w:rsidR="009D0C1D" w:rsidRDefault="009D0C1D" w:rsidP="00D65E1C">
                    <w:pPr>
                      <w:spacing w:line="17" w:lineRule="auto"/>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249AE" w14:textId="77777777" w:rsidR="009D0C1D" w:rsidRPr="00BD21B8" w:rsidRDefault="009D0C1D" w:rsidP="00BD21B8">
    <w:pPr>
      <w:pStyle w:val="af2"/>
    </w:pPr>
    <w:r>
      <w:rPr>
        <w:noProof/>
      </w:rPr>
      <mc:AlternateContent>
        <mc:Choice Requires="wps">
          <w:drawing>
            <wp:anchor distT="0" distB="0" distL="114300" distR="114300" simplePos="0" relativeHeight="251689984" behindDoc="0" locked="0" layoutInCell="1" allowOverlap="1" wp14:anchorId="3D9179EB" wp14:editId="10FF00D2">
              <wp:simplePos x="0" y="0"/>
              <wp:positionH relativeFrom="page">
                <wp:posOffset>532765</wp:posOffset>
              </wp:positionH>
              <wp:positionV relativeFrom="page">
                <wp:posOffset>10200005</wp:posOffset>
              </wp:positionV>
              <wp:extent cx="3456000" cy="144000"/>
              <wp:effectExtent l="0" t="0" r="0" b="8255"/>
              <wp:wrapNone/>
              <wp:docPr id="1256632841" name="Поле 2"/>
              <wp:cNvGraphicFramePr/>
              <a:graphic xmlns:a="http://schemas.openxmlformats.org/drawingml/2006/main">
                <a:graphicData uri="http://schemas.microsoft.com/office/word/2010/wordprocessingShape">
                  <wps:wsp>
                    <wps:cNvSpPr txBox="1"/>
                    <wps:spPr>
                      <a:xfrm>
                        <a:off x="0" y="0"/>
                        <a:ext cx="3456000" cy="144000"/>
                      </a:xfrm>
                      <a:prstGeom prst="rect">
                        <a:avLst/>
                      </a:prstGeom>
                      <a:solidFill>
                        <a:sysClr val="window" lastClr="FFFFFF"/>
                      </a:solidFill>
                      <a:ln w="6350">
                        <a:noFill/>
                      </a:ln>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4771"/>
                          </w:tblGrid>
                          <w:tr w:rsidR="009D0C1D" w:rsidRPr="00FC26B4" w14:paraId="0973D174" w14:textId="77777777" w:rsidTr="009D0C1D">
                            <w:trPr>
                              <w:trHeight w:hRule="exact" w:val="197"/>
                            </w:trPr>
                            <w:tc>
                              <w:tcPr>
                                <w:tcW w:w="547" w:type="dxa"/>
                                <w:shd w:val="clear" w:color="auto" w:fill="FFFFFF"/>
                              </w:tcPr>
                              <w:p w14:paraId="6CD06518"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4771" w:type="dxa"/>
                                <w:shd w:val="clear" w:color="auto" w:fill="FFFFFF"/>
                              </w:tcPr>
                              <w:p w14:paraId="11C33924"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3B370B89" w14:textId="77777777" w:rsidR="009D0C1D" w:rsidRDefault="009D0C1D" w:rsidP="00FC26B4">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D9179EB" id="_x0000_t202" coordsize="21600,21600" o:spt="202" path="m,l,21600r21600,l21600,xe">
              <v:stroke joinstyle="miter"/>
              <v:path gradientshapeok="t" o:connecttype="rect"/>
            </v:shapetype>
            <v:shape id="_x0000_s1561" type="#_x0000_t202" style="position:absolute;margin-left:41.95pt;margin-top:803.15pt;width:272.15pt;height:11.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" fillcolor="window" stroked="f" strokeweight=".5pt">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4771"/>
                    </w:tblGrid>
                    <w:tr w:rsidR="009D0C1D" w:rsidRPr="00FC26B4" w14:paraId="0973D174" w14:textId="77777777" w:rsidTr="009D0C1D">
                      <w:trPr>
                        <w:trHeight w:hRule="exact" w:val="197"/>
                      </w:trPr>
                      <w:tc>
                        <w:tcPr>
                          <w:tcW w:w="547" w:type="dxa"/>
                          <w:shd w:val="clear" w:color="auto" w:fill="FFFFFF"/>
                        </w:tcPr>
                        <w:p w14:paraId="6CD06518"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4771" w:type="dxa"/>
                          <w:shd w:val="clear" w:color="auto" w:fill="FFFFFF"/>
                        </w:tcPr>
                        <w:p w14:paraId="11C33924"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3B370B89" w14:textId="77777777" w:rsidR="009D0C1D" w:rsidRDefault="009D0C1D" w:rsidP="00FC26B4">
                    <w:pPr>
                      <w:spacing w:line="17" w:lineRule="auto"/>
                      <w:jc w:val="both"/>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8905C" w14:textId="77777777" w:rsidR="009D0C1D" w:rsidRDefault="009D0C1D" w:rsidP="00105171">
    <w:pPr>
      <w:pStyle w:val="ab"/>
      <w:framePr w:wrap="none" w:vAnchor="page" w:hAnchor="page" w:x="10933" w:y="16064"/>
      <w:shd w:val="clear" w:color="auto" w:fill="auto"/>
    </w:pPr>
    <w:r>
      <w:t>v</w:t>
    </w:r>
  </w:p>
  <w:p w14:paraId="7DC72742" w14:textId="77777777" w:rsidR="009D0C1D" w:rsidRDefault="009D0C1D">
    <w:pPr>
      <w:pStyle w:val="af2"/>
    </w:pPr>
    <w:r>
      <w:rPr>
        <w:noProof/>
      </w:rPr>
      <mc:AlternateContent>
        <mc:Choice Requires="wps">
          <w:drawing>
            <wp:anchor distT="0" distB="0" distL="114300" distR="114300" simplePos="0" relativeHeight="251692032" behindDoc="0" locked="0" layoutInCell="1" allowOverlap="1" wp14:anchorId="5C3A0955" wp14:editId="3984F38C">
              <wp:simplePos x="0" y="0"/>
              <wp:positionH relativeFrom="page">
                <wp:posOffset>4772967</wp:posOffset>
              </wp:positionH>
              <wp:positionV relativeFrom="page">
                <wp:posOffset>10199077</wp:posOffset>
              </wp:positionV>
              <wp:extent cx="2267104" cy="133200"/>
              <wp:effectExtent l="0" t="0" r="0" b="0"/>
              <wp:wrapNone/>
              <wp:docPr id="105155089" name="Поле 2"/>
              <wp:cNvGraphicFramePr/>
              <a:graphic xmlns:a="http://schemas.openxmlformats.org/drawingml/2006/main">
                <a:graphicData uri="http://schemas.microsoft.com/office/word/2010/wordprocessingShape">
                  <wps:wsp>
                    <wps:cNvSpPr txBox="1"/>
                    <wps:spPr>
                      <a:xfrm>
                        <a:off x="0" y="0"/>
                        <a:ext cx="2267104" cy="133200"/>
                      </a:xfrm>
                      <a:prstGeom prst="rect">
                        <a:avLst/>
                      </a:prstGeom>
                      <a:solidFill>
                        <a:schemeClr val="lt1"/>
                      </a:solidFill>
                      <a:ln w="6350">
                        <a:noFill/>
                      </a:ln>
                    </wps:spPr>
                    <wps:txbx>
                      <w:txbxContent>
                        <w:tbl>
                          <w:tblPr>
                            <w:tblOverlap w:val="never"/>
                            <w:tblW w:w="3356" w:type="dxa"/>
                            <w:jc w:val="right"/>
                            <w:tblLayout w:type="fixed"/>
                            <w:tblCellMar>
                              <w:left w:w="10" w:type="dxa"/>
                              <w:right w:w="10" w:type="dxa"/>
                            </w:tblCellMar>
                            <w:tblLook w:val="0000" w:firstRow="0" w:lastRow="0" w:firstColumn="0" w:lastColumn="0" w:noHBand="0" w:noVBand="0"/>
                          </w:tblPr>
                          <w:tblGrid>
                            <w:gridCol w:w="2835"/>
                            <w:gridCol w:w="521"/>
                          </w:tblGrid>
                          <w:tr w:rsidR="009D0C1D" w14:paraId="3EFC1ABB" w14:textId="77777777" w:rsidTr="00BA379B">
                            <w:trPr>
                              <w:trHeight w:hRule="exact" w:val="182"/>
                              <w:jc w:val="right"/>
                            </w:trPr>
                            <w:tc>
                              <w:tcPr>
                                <w:tcW w:w="2835" w:type="dxa"/>
                                <w:shd w:val="clear" w:color="auto" w:fill="FFFFFF"/>
                              </w:tcPr>
                              <w:p w14:paraId="11A82151" w14:textId="77777777" w:rsidR="009D0C1D" w:rsidRDefault="009D0C1D" w:rsidP="00BD21B8">
                                <w:pPr>
                                  <w:pStyle w:val="a6"/>
                                  <w:shd w:val="clear" w:color="auto" w:fill="auto"/>
                                  <w:jc w:val="right"/>
                                  <w:rPr>
                                    <w:sz w:val="15"/>
                                    <w:szCs w:val="15"/>
                                  </w:rPr>
                                </w:pPr>
                                <w:r>
                                  <w:rPr>
                                    <w:b w:val="0"/>
                                    <w:color w:val="019648"/>
                                    <w:sz w:val="15"/>
                                  </w:rPr>
                                  <w:t>2. Тести на ТБ з рекомендаціями ВООЗ</w:t>
                                </w:r>
                              </w:p>
                            </w:tc>
                            <w:tc>
                              <w:tcPr>
                                <w:tcW w:w="521" w:type="dxa"/>
                                <w:shd w:val="clear" w:color="auto" w:fill="FFFFFF"/>
                              </w:tcPr>
                              <w:p w14:paraId="7A12D180"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689A3BE4" w14:textId="77777777" w:rsidR="009D0C1D" w:rsidRDefault="009D0C1D" w:rsidP="00BD21B8">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C3A0955" id="_x0000_t202" coordsize="21600,21600" o:spt="202" path="m,l,21600r21600,l21600,xe">
              <v:stroke joinstyle="miter"/>
              <v:path gradientshapeok="t" o:connecttype="rect"/>
            </v:shapetype>
            <v:shape id="_x0000_s1562" type="#_x0000_t202" style="position:absolute;margin-left:375.8pt;margin-top:803.1pt;width:178.5pt;height:1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" fillcolor="white [3201]" stroked="f" strokeweight=".5pt">
              <v:textbox style="mso-fit-shape-to-text:t" inset="0,0,0,0">
                <w:txbxContent>
                  <w:tbl>
                    <w:tblPr>
                      <w:tblOverlap w:val="never"/>
                      <w:tblW w:w="3356" w:type="dxa"/>
                      <w:jc w:val="right"/>
                      <w:tblLayout w:type="fixed"/>
                      <w:tblCellMar>
                        <w:left w:w="10" w:type="dxa"/>
                        <w:right w:w="10" w:type="dxa"/>
                      </w:tblCellMar>
                      <w:tblLook w:val="0000" w:firstRow="0" w:lastRow="0" w:firstColumn="0" w:lastColumn="0" w:noHBand="0" w:noVBand="0"/>
                    </w:tblPr>
                    <w:tblGrid>
                      <w:gridCol w:w="2835"/>
                      <w:gridCol w:w="521"/>
                    </w:tblGrid>
                    <w:tr w:rsidR="009D0C1D" w14:paraId="3EFC1ABB" w14:textId="77777777" w:rsidTr="00BA379B">
                      <w:trPr>
                        <w:trHeight w:hRule="exact" w:val="182"/>
                        <w:jc w:val="right"/>
                      </w:trPr>
                      <w:tc>
                        <w:tcPr>
                          <w:tcW w:w="2835" w:type="dxa"/>
                          <w:shd w:val="clear" w:color="auto" w:fill="FFFFFF"/>
                        </w:tcPr>
                        <w:p w14:paraId="11A82151" w14:textId="77777777" w:rsidR="009D0C1D" w:rsidRDefault="009D0C1D" w:rsidP="00BD21B8">
                          <w:pPr>
                            <w:pStyle w:val="a6"/>
                            <w:shd w:val="clear" w:color="auto" w:fill="auto"/>
                            <w:jc w:val="right"/>
                            <w:rPr>
                              <w:sz w:val="15"/>
                              <w:szCs w:val="15"/>
                            </w:rPr>
                          </w:pPr>
                          <w:r>
                            <w:rPr>
                              <w:b w:val="0"/>
                              <w:color w:val="019648"/>
                              <w:sz w:val="15"/>
                            </w:rPr>
                            <w:t>2. Тести на ТБ з рекомендаціями ВООЗ</w:t>
                          </w:r>
                        </w:p>
                      </w:tc>
                      <w:tc>
                        <w:tcPr>
                          <w:tcW w:w="521" w:type="dxa"/>
                          <w:shd w:val="clear" w:color="auto" w:fill="FFFFFF"/>
                        </w:tcPr>
                        <w:p w14:paraId="7A12D180"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689A3BE4" w14:textId="77777777" w:rsidR="009D0C1D" w:rsidRDefault="009D0C1D" w:rsidP="00BD21B8">
                    <w:pPr>
                      <w:spacing w:line="17" w:lineRule="auto"/>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44718" w14:textId="77777777" w:rsidR="009D0C1D" w:rsidRPr="00BD21B8" w:rsidRDefault="009D0C1D" w:rsidP="00BD21B8">
    <w:pPr>
      <w:pStyle w:val="af2"/>
    </w:pPr>
    <w:r>
      <w:rPr>
        <w:noProof/>
      </w:rPr>
      <mc:AlternateContent>
        <mc:Choice Requires="wps">
          <w:drawing>
            <wp:anchor distT="0" distB="0" distL="114300" distR="114300" simplePos="0" relativeHeight="251694080" behindDoc="0" locked="0" layoutInCell="1" allowOverlap="1" wp14:anchorId="1C784AE6" wp14:editId="5C9C06FA">
              <wp:simplePos x="0" y="0"/>
              <wp:positionH relativeFrom="page">
                <wp:posOffset>533400</wp:posOffset>
              </wp:positionH>
              <wp:positionV relativeFrom="page">
                <wp:posOffset>10203180</wp:posOffset>
              </wp:positionV>
              <wp:extent cx="3704400" cy="144000"/>
              <wp:effectExtent l="0" t="0" r="0" b="8255"/>
              <wp:wrapNone/>
              <wp:docPr id="1029551669" name="Поле 2"/>
              <wp:cNvGraphicFramePr/>
              <a:graphic xmlns:a="http://schemas.openxmlformats.org/drawingml/2006/main">
                <a:graphicData uri="http://schemas.microsoft.com/office/word/2010/wordprocessingShape">
                  <wps:wsp>
                    <wps:cNvSpPr txBox="1"/>
                    <wps:spPr>
                      <a:xfrm>
                        <a:off x="0" y="0"/>
                        <a:ext cx="3704400" cy="144000"/>
                      </a:xfrm>
                      <a:prstGeom prst="rect">
                        <a:avLst/>
                      </a:prstGeom>
                      <a:solidFill>
                        <a:sysClr val="window" lastClr="FFFFFF"/>
                      </a:solidFill>
                      <a:ln w="6350">
                        <a:noFill/>
                      </a:ln>
                    </wps:spPr>
                    <wps:txbx>
                      <w:txbxContent>
                        <w:tbl>
                          <w:tblPr>
                            <w:tblOverlap w:val="never"/>
                            <w:tblW w:w="5812" w:type="dxa"/>
                            <w:tblLayout w:type="fixed"/>
                            <w:tblCellMar>
                              <w:left w:w="10" w:type="dxa"/>
                              <w:right w:w="10" w:type="dxa"/>
                            </w:tblCellMar>
                            <w:tblLook w:val="0000" w:firstRow="0" w:lastRow="0" w:firstColumn="0" w:lastColumn="0" w:noHBand="0" w:noVBand="0"/>
                          </w:tblPr>
                          <w:tblGrid>
                            <w:gridCol w:w="547"/>
                            <w:gridCol w:w="5265"/>
                          </w:tblGrid>
                          <w:tr w:rsidR="009D0C1D" w:rsidRPr="00FC26B4" w14:paraId="6C97BEA5" w14:textId="77777777" w:rsidTr="005A6F1A">
                            <w:trPr>
                              <w:trHeight w:hRule="exact" w:val="197"/>
                            </w:trPr>
                            <w:tc>
                              <w:tcPr>
                                <w:tcW w:w="547" w:type="dxa"/>
                                <w:shd w:val="clear" w:color="auto" w:fill="FFFFFF"/>
                              </w:tcPr>
                              <w:p w14:paraId="4F6C3FD6"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06D9CCF0"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1479A745" w14:textId="77777777" w:rsidR="009D0C1D" w:rsidRDefault="009D0C1D" w:rsidP="00FC26B4">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C784AE6" id="_x0000_t202" coordsize="21600,21600" o:spt="202" path="m,l,21600r21600,l21600,xe">
              <v:stroke joinstyle="miter"/>
              <v:path gradientshapeok="t" o:connecttype="rect"/>
            </v:shapetype>
            <v:shape id="_x0000_s1563" type="#_x0000_t202" style="position:absolute;margin-left:42pt;margin-top:803.4pt;width:291.7pt;height:11.3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" fillcolor="window" stroked="f" strokeweight=".5pt">
              <v:textbox style="mso-fit-shape-to-text:t" inset="0,0,0,0">
                <w:txbxContent>
                  <w:tbl>
                    <w:tblPr>
                      <w:tblOverlap w:val="never"/>
                      <w:tblW w:w="5812" w:type="dxa"/>
                      <w:tblLayout w:type="fixed"/>
                      <w:tblCellMar>
                        <w:left w:w="10" w:type="dxa"/>
                        <w:right w:w="10" w:type="dxa"/>
                      </w:tblCellMar>
                      <w:tblLook w:val="0000" w:firstRow="0" w:lastRow="0" w:firstColumn="0" w:lastColumn="0" w:noHBand="0" w:noVBand="0"/>
                    </w:tblPr>
                    <w:tblGrid>
                      <w:gridCol w:w="547"/>
                      <w:gridCol w:w="5265"/>
                    </w:tblGrid>
                    <w:tr w:rsidR="009D0C1D" w:rsidRPr="00FC26B4" w14:paraId="6C97BEA5" w14:textId="77777777" w:rsidTr="005A6F1A">
                      <w:trPr>
                        <w:trHeight w:hRule="exact" w:val="197"/>
                      </w:trPr>
                      <w:tc>
                        <w:tcPr>
                          <w:tcW w:w="547" w:type="dxa"/>
                          <w:shd w:val="clear" w:color="auto" w:fill="FFFFFF"/>
                        </w:tcPr>
                        <w:p w14:paraId="4F6C3FD6"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06D9CCF0"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1479A745" w14:textId="77777777" w:rsidR="009D0C1D" w:rsidRDefault="009D0C1D" w:rsidP="00FC26B4">
                    <w:pPr>
                      <w:spacing w:line="17" w:lineRule="auto"/>
                      <w:jc w:val="both"/>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EF83A" w14:textId="77777777" w:rsidR="009D0C1D" w:rsidRDefault="009D0C1D" w:rsidP="00D65E1C">
    <w:pPr>
      <w:pStyle w:val="ab"/>
      <w:framePr w:wrap="none" w:vAnchor="page" w:hAnchor="page" w:x="10933" w:y="16064"/>
      <w:shd w:val="clear" w:color="auto" w:fill="auto"/>
    </w:pPr>
    <w:r>
      <w:t>v</w:t>
    </w:r>
  </w:p>
  <w:p w14:paraId="5E357DBE" w14:textId="77777777" w:rsidR="009D0C1D" w:rsidRDefault="009D0C1D" w:rsidP="00D65E1C">
    <w:pPr>
      <w:pStyle w:val="af2"/>
    </w:pPr>
    <w:r>
      <w:rPr>
        <w:noProof/>
      </w:rPr>
      <mc:AlternateContent>
        <mc:Choice Requires="wps">
          <w:drawing>
            <wp:anchor distT="0" distB="0" distL="114300" distR="114300" simplePos="0" relativeHeight="251794432" behindDoc="0" locked="0" layoutInCell="1" allowOverlap="1" wp14:anchorId="4525D676" wp14:editId="57A1510C">
              <wp:simplePos x="0" y="0"/>
              <wp:positionH relativeFrom="page">
                <wp:posOffset>877401</wp:posOffset>
              </wp:positionH>
              <wp:positionV relativeFrom="page">
                <wp:posOffset>10201110</wp:posOffset>
              </wp:positionV>
              <wp:extent cx="6159676" cy="133200"/>
              <wp:effectExtent l="0" t="0" r="0" b="0"/>
              <wp:wrapNone/>
              <wp:docPr id="2042602092"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187C470C" w14:textId="77777777" w:rsidTr="00D65E1C">
                            <w:trPr>
                              <w:trHeight w:hRule="exact" w:val="182"/>
                              <w:jc w:val="right"/>
                            </w:trPr>
                            <w:tc>
                              <w:tcPr>
                                <w:tcW w:w="9071" w:type="dxa"/>
                                <w:shd w:val="clear" w:color="auto" w:fill="FFFFFF"/>
                              </w:tcPr>
                              <w:p w14:paraId="59D2188F" w14:textId="77777777" w:rsidR="009D0C1D" w:rsidRDefault="009D0C1D" w:rsidP="00BD21B8">
                                <w:pPr>
                                  <w:pStyle w:val="a6"/>
                                  <w:shd w:val="clear" w:color="auto" w:fill="auto"/>
                                  <w:jc w:val="right"/>
                                  <w:rPr>
                                    <w:sz w:val="15"/>
                                    <w:szCs w:val="15"/>
                                  </w:rPr>
                                </w:pPr>
                                <w:r>
                                  <w:rPr>
                                    <w:b w:val="0"/>
                                    <w:color w:val="019648"/>
                                    <w:sz w:val="15"/>
                                  </w:rPr>
                                  <w:t>2. Тести на ТБ з рекомендаціями ВООЗ</w:t>
                                </w:r>
                              </w:p>
                            </w:tc>
                            <w:tc>
                              <w:tcPr>
                                <w:tcW w:w="521" w:type="dxa"/>
                                <w:shd w:val="clear" w:color="auto" w:fill="FFFFFF"/>
                              </w:tcPr>
                              <w:p w14:paraId="6C050ACD"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72BE527A" w14:textId="77777777" w:rsidR="009D0C1D" w:rsidRDefault="009D0C1D" w:rsidP="00D65E1C">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525D676" id="_x0000_t202" coordsize="21600,21600" o:spt="202" path="m,l,21600r21600,l21600,xe">
              <v:stroke joinstyle="miter"/>
              <v:path gradientshapeok="t" o:connecttype="rect"/>
            </v:shapetype>
            <v:shape id="_x0000_s1564" type="#_x0000_t202" style="position:absolute;margin-left:69.1pt;margin-top:803.25pt;width:485pt;height:10.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187C470C" w14:textId="77777777" w:rsidTr="00D65E1C">
                      <w:trPr>
                        <w:trHeight w:hRule="exact" w:val="182"/>
                        <w:jc w:val="right"/>
                      </w:trPr>
                      <w:tc>
                        <w:tcPr>
                          <w:tcW w:w="9071" w:type="dxa"/>
                          <w:shd w:val="clear" w:color="auto" w:fill="FFFFFF"/>
                        </w:tcPr>
                        <w:p w14:paraId="59D2188F" w14:textId="77777777" w:rsidR="009D0C1D" w:rsidRDefault="009D0C1D" w:rsidP="00BD21B8">
                          <w:pPr>
                            <w:pStyle w:val="a6"/>
                            <w:shd w:val="clear" w:color="auto" w:fill="auto"/>
                            <w:jc w:val="right"/>
                            <w:rPr>
                              <w:sz w:val="15"/>
                              <w:szCs w:val="15"/>
                            </w:rPr>
                          </w:pPr>
                          <w:r>
                            <w:rPr>
                              <w:b w:val="0"/>
                              <w:color w:val="019648"/>
                              <w:sz w:val="15"/>
                            </w:rPr>
                            <w:t>2. Тести на ТБ з рекомендаціями ВООЗ</w:t>
                          </w:r>
                        </w:p>
                      </w:tc>
                      <w:tc>
                        <w:tcPr>
                          <w:tcW w:w="521" w:type="dxa"/>
                          <w:shd w:val="clear" w:color="auto" w:fill="FFFFFF"/>
                        </w:tcPr>
                        <w:p w14:paraId="6C050ACD"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72BE527A" w14:textId="77777777" w:rsidR="009D0C1D" w:rsidRDefault="009D0C1D" w:rsidP="00D65E1C">
                    <w:pPr>
                      <w:spacing w:line="17" w:lineRule="auto"/>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989CB" w14:textId="339D7F3F" w:rsidR="009D0C1D" w:rsidRPr="00FA737B" w:rsidRDefault="009D0C1D" w:rsidP="00FA737B">
    <w:pPr>
      <w:pStyle w:val="af2"/>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87731" w14:textId="6599EE54" w:rsidR="009D0C1D" w:rsidRPr="00FA737B" w:rsidRDefault="009D0C1D" w:rsidP="00FA737B">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AD96D" w14:textId="77777777" w:rsidR="009D0C1D" w:rsidRDefault="009D0C1D" w:rsidP="00BA379B">
    <w:pPr>
      <w:pStyle w:val="ab"/>
      <w:framePr w:wrap="none" w:vAnchor="page" w:hAnchor="page" w:x="10933" w:y="16064"/>
      <w:shd w:val="clear" w:color="auto" w:fill="auto"/>
    </w:pPr>
    <w:r>
      <w:t>v</w:t>
    </w:r>
  </w:p>
  <w:p w14:paraId="79B41A76" w14:textId="77777777" w:rsidR="009D0C1D" w:rsidRPr="00BA379B" w:rsidRDefault="009D0C1D" w:rsidP="00BA379B">
    <w:pPr>
      <w:pStyle w:val="af2"/>
    </w:pPr>
    <w:r>
      <w:rPr>
        <w:noProof/>
      </w:rPr>
      <mc:AlternateContent>
        <mc:Choice Requires="wps">
          <w:drawing>
            <wp:anchor distT="0" distB="0" distL="114300" distR="114300" simplePos="0" relativeHeight="251675648" behindDoc="0" locked="0" layoutInCell="1" allowOverlap="1" wp14:anchorId="0D68286A" wp14:editId="6FE3349C">
              <wp:simplePos x="0" y="0"/>
              <wp:positionH relativeFrom="page">
                <wp:posOffset>5328920</wp:posOffset>
              </wp:positionH>
              <wp:positionV relativeFrom="page">
                <wp:posOffset>10200005</wp:posOffset>
              </wp:positionV>
              <wp:extent cx="1710000" cy="133200"/>
              <wp:effectExtent l="0" t="0" r="5080" b="0"/>
              <wp:wrapNone/>
              <wp:docPr id="1999859275" name="Поле 2"/>
              <wp:cNvGraphicFramePr/>
              <a:graphic xmlns:a="http://schemas.openxmlformats.org/drawingml/2006/main">
                <a:graphicData uri="http://schemas.microsoft.com/office/word/2010/wordprocessingShape">
                  <wps:wsp>
                    <wps:cNvSpPr txBox="1"/>
                    <wps:spPr>
                      <a:xfrm>
                        <a:off x="0" y="0"/>
                        <a:ext cx="1710000" cy="133200"/>
                      </a:xfrm>
                      <a:prstGeom prst="rect">
                        <a:avLst/>
                      </a:prstGeom>
                      <a:solidFill>
                        <a:sysClr val="window" lastClr="FFFFFF"/>
                      </a:solidFill>
                      <a:ln w="6350">
                        <a:noFill/>
                      </a:ln>
                    </wps:spPr>
                    <wps:txbx>
                      <w:txbxContent>
                        <w:tbl>
                          <w:tblPr>
                            <w:tblOverlap w:val="never"/>
                            <w:tblW w:w="2677" w:type="dxa"/>
                            <w:jc w:val="right"/>
                            <w:tblLayout w:type="fixed"/>
                            <w:tblCellMar>
                              <w:left w:w="10" w:type="dxa"/>
                              <w:right w:w="10" w:type="dxa"/>
                            </w:tblCellMar>
                            <w:tblLook w:val="0000" w:firstRow="0" w:lastRow="0" w:firstColumn="0" w:lastColumn="0" w:noHBand="0" w:noVBand="0"/>
                          </w:tblPr>
                          <w:tblGrid>
                            <w:gridCol w:w="2156"/>
                            <w:gridCol w:w="521"/>
                          </w:tblGrid>
                          <w:tr w:rsidR="009D0C1D" w14:paraId="747FE74C" w14:textId="77777777" w:rsidTr="00BD21B8">
                            <w:trPr>
                              <w:trHeight w:hRule="exact" w:val="182"/>
                              <w:jc w:val="right"/>
                            </w:trPr>
                            <w:tc>
                              <w:tcPr>
                                <w:tcW w:w="2156" w:type="dxa"/>
                                <w:shd w:val="clear" w:color="auto" w:fill="FFFFFF"/>
                              </w:tcPr>
                              <w:p w14:paraId="3C416813" w14:textId="77777777" w:rsidR="009D0C1D" w:rsidRDefault="009D0C1D" w:rsidP="00BD21B8">
                                <w:pPr>
                                  <w:pStyle w:val="a6"/>
                                  <w:shd w:val="clear" w:color="auto" w:fill="auto"/>
                                  <w:jc w:val="right"/>
                                  <w:rPr>
                                    <w:sz w:val="15"/>
                                    <w:szCs w:val="15"/>
                                  </w:rPr>
                                </w:pPr>
                              </w:p>
                            </w:tc>
                            <w:tc>
                              <w:tcPr>
                                <w:tcW w:w="521" w:type="dxa"/>
                                <w:shd w:val="clear" w:color="auto" w:fill="FFFFFF"/>
                              </w:tcPr>
                              <w:p w14:paraId="34427499" w14:textId="77777777" w:rsidR="009D0C1D" w:rsidRDefault="009D0C1D" w:rsidP="00BD21B8">
                                <w:pPr>
                                  <w:pStyle w:val="a6"/>
                                  <w:shd w:val="clear" w:color="auto" w:fill="auto"/>
                                  <w:jc w:val="right"/>
                                  <w:rPr>
                                    <w:sz w:val="15"/>
                                    <w:szCs w:val="15"/>
                                  </w:rPr>
                                </w:pPr>
                                <w:r>
                                  <w:rPr>
                                    <w:b w:val="0"/>
                                    <w:color w:val="019648"/>
                                    <w:sz w:val="15"/>
                                  </w:rPr>
                                  <w:t>v</w:t>
                                </w:r>
                              </w:p>
                            </w:tc>
                          </w:tr>
                        </w:tbl>
                        <w:p w14:paraId="69D94704" w14:textId="77777777" w:rsidR="009D0C1D" w:rsidRDefault="009D0C1D" w:rsidP="00BA379B">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68286A" id="_x0000_t202" coordsize="21600,21600" o:spt="202" path="m,l,21600r21600,l21600,xe">
              <v:stroke joinstyle="miter"/>
              <v:path gradientshapeok="t" o:connecttype="rect"/>
            </v:shapetype>
            <v:shape id="_x0000_s1551" type="#_x0000_t202" style="position:absolute;margin-left:419.6pt;margin-top:803.15pt;width:134.65pt;height:1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" fillcolor="window" stroked="f" strokeweight=".5pt">
              <v:textbox style="mso-fit-shape-to-text:t" inset="0,0,0,0">
                <w:txbxContent>
                  <w:tbl>
                    <w:tblPr>
                      <w:tblOverlap w:val="never"/>
                      <w:tblW w:w="2677" w:type="dxa"/>
                      <w:jc w:val="right"/>
                      <w:tblLayout w:type="fixed"/>
                      <w:tblCellMar>
                        <w:left w:w="10" w:type="dxa"/>
                        <w:right w:w="10" w:type="dxa"/>
                      </w:tblCellMar>
                      <w:tblLook w:val="0000" w:firstRow="0" w:lastRow="0" w:firstColumn="0" w:lastColumn="0" w:noHBand="0" w:noVBand="0"/>
                    </w:tblPr>
                    <w:tblGrid>
                      <w:gridCol w:w="2156"/>
                      <w:gridCol w:w="521"/>
                    </w:tblGrid>
                    <w:tr w:rsidR="009D0C1D" w14:paraId="747FE74C" w14:textId="77777777" w:rsidTr="00BD21B8">
                      <w:trPr>
                        <w:trHeight w:hRule="exact" w:val="182"/>
                        <w:jc w:val="right"/>
                      </w:trPr>
                      <w:tc>
                        <w:tcPr>
                          <w:tcW w:w="2156" w:type="dxa"/>
                          <w:shd w:val="clear" w:color="auto" w:fill="FFFFFF"/>
                        </w:tcPr>
                        <w:p w14:paraId="3C416813" w14:textId="77777777" w:rsidR="009D0C1D" w:rsidRDefault="009D0C1D" w:rsidP="00BD21B8">
                          <w:pPr>
                            <w:pStyle w:val="a6"/>
                            <w:shd w:val="clear" w:color="auto" w:fill="auto"/>
                            <w:jc w:val="right"/>
                            <w:rPr>
                              <w:sz w:val="15"/>
                              <w:szCs w:val="15"/>
                            </w:rPr>
                          </w:pPr>
                        </w:p>
                      </w:tc>
                      <w:tc>
                        <w:tcPr>
                          <w:tcW w:w="521" w:type="dxa"/>
                          <w:shd w:val="clear" w:color="auto" w:fill="FFFFFF"/>
                        </w:tcPr>
                        <w:p w14:paraId="34427499" w14:textId="77777777" w:rsidR="009D0C1D" w:rsidRDefault="009D0C1D" w:rsidP="00BD21B8">
                          <w:pPr>
                            <w:pStyle w:val="a6"/>
                            <w:shd w:val="clear" w:color="auto" w:fill="auto"/>
                            <w:jc w:val="right"/>
                            <w:rPr>
                              <w:sz w:val="15"/>
                              <w:szCs w:val="15"/>
                            </w:rPr>
                          </w:pPr>
                          <w:r>
                            <w:rPr>
                              <w:b w:val="0"/>
                              <w:color w:val="019648"/>
                              <w:sz w:val="15"/>
                            </w:rPr>
                            <w:t>v</w:t>
                          </w:r>
                        </w:p>
                      </w:tc>
                    </w:tr>
                  </w:tbl>
                  <w:p w14:paraId="69D94704" w14:textId="77777777" w:rsidR="009D0C1D" w:rsidRDefault="009D0C1D" w:rsidP="00BA379B">
                    <w:pPr>
                      <w:spacing w:line="17" w:lineRule="auto"/>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B6904" w14:textId="77777777" w:rsidR="009D0C1D" w:rsidRDefault="009D0C1D" w:rsidP="00D65E1C">
    <w:pPr>
      <w:pStyle w:val="ab"/>
      <w:framePr w:wrap="none" w:vAnchor="page" w:hAnchor="page" w:x="10933" w:y="16064"/>
      <w:shd w:val="clear" w:color="auto" w:fill="auto"/>
    </w:pPr>
    <w:r>
      <w:t>v</w:t>
    </w:r>
  </w:p>
  <w:p w14:paraId="2388AD20" w14:textId="77777777" w:rsidR="009D0C1D" w:rsidRDefault="009D0C1D" w:rsidP="00D65E1C">
    <w:pPr>
      <w:pStyle w:val="af2"/>
    </w:pPr>
    <w:r>
      <w:rPr>
        <w:noProof/>
      </w:rPr>
      <mc:AlternateContent>
        <mc:Choice Requires="wps">
          <w:drawing>
            <wp:anchor distT="0" distB="0" distL="114300" distR="114300" simplePos="0" relativeHeight="251796480" behindDoc="0" locked="0" layoutInCell="1" allowOverlap="1" wp14:anchorId="4D66630A" wp14:editId="6BF25C3C">
              <wp:simplePos x="0" y="0"/>
              <wp:positionH relativeFrom="page">
                <wp:posOffset>877401</wp:posOffset>
              </wp:positionH>
              <wp:positionV relativeFrom="page">
                <wp:posOffset>10201110</wp:posOffset>
              </wp:positionV>
              <wp:extent cx="6159676" cy="133200"/>
              <wp:effectExtent l="0" t="0" r="0" b="0"/>
              <wp:wrapNone/>
              <wp:docPr id="72754200"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A45F48A" w14:textId="77777777" w:rsidTr="00D65E1C">
                            <w:trPr>
                              <w:trHeight w:hRule="exact" w:val="182"/>
                              <w:jc w:val="right"/>
                            </w:trPr>
                            <w:tc>
                              <w:tcPr>
                                <w:tcW w:w="9071" w:type="dxa"/>
                                <w:shd w:val="clear" w:color="auto" w:fill="FFFFFF"/>
                              </w:tcPr>
                              <w:p w14:paraId="70A8C6E5" w14:textId="77777777" w:rsidR="009D0C1D" w:rsidRDefault="009D0C1D" w:rsidP="00BD21B8">
                                <w:pPr>
                                  <w:pStyle w:val="a6"/>
                                  <w:shd w:val="clear" w:color="auto" w:fill="auto"/>
                                  <w:jc w:val="right"/>
                                  <w:rPr>
                                    <w:sz w:val="15"/>
                                    <w:szCs w:val="15"/>
                                  </w:rPr>
                                </w:pPr>
                                <w:r>
                                  <w:rPr>
                                    <w:b w:val="0"/>
                                    <w:color w:val="019648"/>
                                    <w:sz w:val="15"/>
                                  </w:rPr>
                                  <w:t>2. Тести на ТБ з рекомендаціями ВООЗ</w:t>
                                </w:r>
                              </w:p>
                            </w:tc>
                            <w:tc>
                              <w:tcPr>
                                <w:tcW w:w="521" w:type="dxa"/>
                                <w:shd w:val="clear" w:color="auto" w:fill="FFFFFF"/>
                              </w:tcPr>
                              <w:p w14:paraId="15E3411F"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78C32766" w14:textId="77777777" w:rsidR="009D0C1D" w:rsidRDefault="009D0C1D" w:rsidP="00D65E1C">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D66630A" id="_x0000_t202" coordsize="21600,21600" o:spt="202" path="m,l,21600r21600,l21600,xe">
              <v:stroke joinstyle="miter"/>
              <v:path gradientshapeok="t" o:connecttype="rect"/>
            </v:shapetype>
            <v:shape id="_x0000_s1565" type="#_x0000_t202" style="position:absolute;margin-left:69.1pt;margin-top:803.25pt;width:485pt;height:10.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A45F48A" w14:textId="77777777" w:rsidTr="00D65E1C">
                      <w:trPr>
                        <w:trHeight w:hRule="exact" w:val="182"/>
                        <w:jc w:val="right"/>
                      </w:trPr>
                      <w:tc>
                        <w:tcPr>
                          <w:tcW w:w="9071" w:type="dxa"/>
                          <w:shd w:val="clear" w:color="auto" w:fill="FFFFFF"/>
                        </w:tcPr>
                        <w:p w14:paraId="70A8C6E5" w14:textId="77777777" w:rsidR="009D0C1D" w:rsidRDefault="009D0C1D" w:rsidP="00BD21B8">
                          <w:pPr>
                            <w:pStyle w:val="a6"/>
                            <w:shd w:val="clear" w:color="auto" w:fill="auto"/>
                            <w:jc w:val="right"/>
                            <w:rPr>
                              <w:sz w:val="15"/>
                              <w:szCs w:val="15"/>
                            </w:rPr>
                          </w:pPr>
                          <w:r>
                            <w:rPr>
                              <w:b w:val="0"/>
                              <w:color w:val="019648"/>
                              <w:sz w:val="15"/>
                            </w:rPr>
                            <w:t>2. Тести на ТБ з рекомендаціями ВООЗ</w:t>
                          </w:r>
                        </w:p>
                      </w:tc>
                      <w:tc>
                        <w:tcPr>
                          <w:tcW w:w="521" w:type="dxa"/>
                          <w:shd w:val="clear" w:color="auto" w:fill="FFFFFF"/>
                        </w:tcPr>
                        <w:p w14:paraId="15E3411F"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78C32766" w14:textId="77777777" w:rsidR="009D0C1D" w:rsidRDefault="009D0C1D" w:rsidP="00D65E1C">
                    <w:pPr>
                      <w:spacing w:line="17" w:lineRule="auto"/>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ADF88" w14:textId="77777777" w:rsidR="009D0C1D" w:rsidRPr="00BD21B8" w:rsidRDefault="009D0C1D" w:rsidP="00BD21B8">
    <w:pPr>
      <w:pStyle w:val="af2"/>
    </w:pPr>
    <w:r>
      <w:rPr>
        <w:noProof/>
      </w:rPr>
      <mc:AlternateContent>
        <mc:Choice Requires="wps">
          <w:drawing>
            <wp:anchor distT="0" distB="0" distL="114300" distR="114300" simplePos="0" relativeHeight="251704320" behindDoc="0" locked="0" layoutInCell="1" allowOverlap="1" wp14:anchorId="5ABE0EF7" wp14:editId="00D0F67F">
              <wp:simplePos x="0" y="0"/>
              <wp:positionH relativeFrom="page">
                <wp:posOffset>533400</wp:posOffset>
              </wp:positionH>
              <wp:positionV relativeFrom="page">
                <wp:posOffset>10203180</wp:posOffset>
              </wp:positionV>
              <wp:extent cx="3695700" cy="144000"/>
              <wp:effectExtent l="0" t="0" r="0" b="8255"/>
              <wp:wrapNone/>
              <wp:docPr id="1294234205" name="Поле 2"/>
              <wp:cNvGraphicFramePr/>
              <a:graphic xmlns:a="http://schemas.openxmlformats.org/drawingml/2006/main">
                <a:graphicData uri="http://schemas.microsoft.com/office/word/2010/wordprocessingShape">
                  <wps:wsp>
                    <wps:cNvSpPr txBox="1"/>
                    <wps:spPr>
                      <a:xfrm>
                        <a:off x="0" y="0"/>
                        <a:ext cx="3695700" cy="144000"/>
                      </a:xfrm>
                      <a:prstGeom prst="rect">
                        <a:avLst/>
                      </a:prstGeom>
                      <a:solidFill>
                        <a:sysClr val="window" lastClr="FFFFFF"/>
                      </a:solidFill>
                      <a:ln w="6350">
                        <a:noFill/>
                      </a:ln>
                    </wps:spPr>
                    <wps:txbx>
                      <w:txbxContent>
                        <w:tbl>
                          <w:tblPr>
                            <w:tblOverlap w:val="never"/>
                            <w:tblW w:w="5670" w:type="dxa"/>
                            <w:tblLayout w:type="fixed"/>
                            <w:tblCellMar>
                              <w:left w:w="10" w:type="dxa"/>
                              <w:right w:w="10" w:type="dxa"/>
                            </w:tblCellMar>
                            <w:tblLook w:val="0000" w:firstRow="0" w:lastRow="0" w:firstColumn="0" w:lastColumn="0" w:noHBand="0" w:noVBand="0"/>
                          </w:tblPr>
                          <w:tblGrid>
                            <w:gridCol w:w="547"/>
                            <w:gridCol w:w="5123"/>
                          </w:tblGrid>
                          <w:tr w:rsidR="009D0C1D" w:rsidRPr="00FC26B4" w14:paraId="5DE995CE" w14:textId="77777777" w:rsidTr="002947ED">
                            <w:trPr>
                              <w:trHeight w:hRule="exact" w:val="197"/>
                            </w:trPr>
                            <w:tc>
                              <w:tcPr>
                                <w:tcW w:w="547" w:type="dxa"/>
                                <w:shd w:val="clear" w:color="auto" w:fill="FFFFFF"/>
                              </w:tcPr>
                              <w:p w14:paraId="17106CFF"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123" w:type="dxa"/>
                                <w:shd w:val="clear" w:color="auto" w:fill="FFFFFF"/>
                              </w:tcPr>
                              <w:p w14:paraId="6C323A0A"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6524E98F" w14:textId="77777777" w:rsidR="009D0C1D" w:rsidRDefault="009D0C1D" w:rsidP="00FC26B4">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ABE0EF7" id="_x0000_t202" coordsize="21600,21600" o:spt="202" path="m,l,21600r21600,l21600,xe">
              <v:stroke joinstyle="miter"/>
              <v:path gradientshapeok="t" o:connecttype="rect"/>
            </v:shapetype>
            <v:shape id="_x0000_s1566" type="#_x0000_t202" style="position:absolute;margin-left:42pt;margin-top:803.4pt;width:291pt;height:11.3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" fillcolor="window" stroked="f" strokeweight=".5pt">
              <v:textbox style="mso-fit-shape-to-text:t" inset="0,0,0,0">
                <w:txbxContent>
                  <w:tbl>
                    <w:tblPr>
                      <w:tblOverlap w:val="never"/>
                      <w:tblW w:w="5670" w:type="dxa"/>
                      <w:tblLayout w:type="fixed"/>
                      <w:tblCellMar>
                        <w:left w:w="10" w:type="dxa"/>
                        <w:right w:w="10" w:type="dxa"/>
                      </w:tblCellMar>
                      <w:tblLook w:val="0000" w:firstRow="0" w:lastRow="0" w:firstColumn="0" w:lastColumn="0" w:noHBand="0" w:noVBand="0"/>
                    </w:tblPr>
                    <w:tblGrid>
                      <w:gridCol w:w="547"/>
                      <w:gridCol w:w="5123"/>
                    </w:tblGrid>
                    <w:tr w:rsidR="009D0C1D" w:rsidRPr="00FC26B4" w14:paraId="5DE995CE" w14:textId="77777777" w:rsidTr="002947ED">
                      <w:trPr>
                        <w:trHeight w:hRule="exact" w:val="197"/>
                      </w:trPr>
                      <w:tc>
                        <w:tcPr>
                          <w:tcW w:w="547" w:type="dxa"/>
                          <w:shd w:val="clear" w:color="auto" w:fill="FFFFFF"/>
                        </w:tcPr>
                        <w:p w14:paraId="17106CFF"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123" w:type="dxa"/>
                          <w:shd w:val="clear" w:color="auto" w:fill="FFFFFF"/>
                        </w:tcPr>
                        <w:p w14:paraId="6C323A0A"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6524E98F" w14:textId="77777777" w:rsidR="009D0C1D" w:rsidRDefault="009D0C1D" w:rsidP="00FC26B4">
                    <w:pPr>
                      <w:spacing w:line="17" w:lineRule="auto"/>
                      <w:jc w:val="both"/>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E7FD" w14:textId="06992723" w:rsidR="009D0C1D" w:rsidRPr="00FA737B" w:rsidRDefault="009D0C1D" w:rsidP="00FA737B">
    <w:pPr>
      <w:pStyle w:val="af2"/>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6614" w14:textId="6EC9F436" w:rsidR="009D0C1D" w:rsidRPr="00FA737B" w:rsidRDefault="009D0C1D" w:rsidP="00FA737B">
    <w:pPr>
      <w:pStyle w:val="af2"/>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58D4C" w14:textId="77777777" w:rsidR="009D0C1D" w:rsidRPr="00BD21B8" w:rsidRDefault="009D0C1D" w:rsidP="00BD21B8">
    <w:pPr>
      <w:pStyle w:val="af2"/>
    </w:pPr>
    <w:r>
      <w:rPr>
        <w:noProof/>
      </w:rPr>
      <mc:AlternateContent>
        <mc:Choice Requires="wps">
          <w:drawing>
            <wp:anchor distT="0" distB="0" distL="114300" distR="114300" simplePos="0" relativeHeight="251710464" behindDoc="0" locked="0" layoutInCell="1" allowOverlap="1" wp14:anchorId="50DA5ED8" wp14:editId="594D0D41">
              <wp:simplePos x="0" y="0"/>
              <wp:positionH relativeFrom="page">
                <wp:posOffset>532765</wp:posOffset>
              </wp:positionH>
              <wp:positionV relativeFrom="page">
                <wp:posOffset>10201275</wp:posOffset>
              </wp:positionV>
              <wp:extent cx="3970800" cy="144000"/>
              <wp:effectExtent l="0" t="0" r="0" b="8255"/>
              <wp:wrapNone/>
              <wp:docPr id="37226932" name="Поле 2"/>
              <wp:cNvGraphicFramePr/>
              <a:graphic xmlns:a="http://schemas.openxmlformats.org/drawingml/2006/main">
                <a:graphicData uri="http://schemas.microsoft.com/office/word/2010/wordprocessingShape">
                  <wps:wsp>
                    <wps:cNvSpPr txBox="1"/>
                    <wps:spPr>
                      <a:xfrm>
                        <a:off x="0" y="0"/>
                        <a:ext cx="3970800" cy="144000"/>
                      </a:xfrm>
                      <a:prstGeom prst="rect">
                        <a:avLst/>
                      </a:prstGeom>
                      <a:solidFill>
                        <a:sysClr val="window" lastClr="FFFFFF"/>
                      </a:solidFill>
                      <a:ln w="6350">
                        <a:noFill/>
                      </a:ln>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265"/>
                          </w:tblGrid>
                          <w:tr w:rsidR="009D0C1D" w:rsidRPr="00FC26B4" w14:paraId="35A56339" w14:textId="77777777" w:rsidTr="00854441">
                            <w:trPr>
                              <w:trHeight w:hRule="exact" w:val="197"/>
                            </w:trPr>
                            <w:tc>
                              <w:tcPr>
                                <w:tcW w:w="547" w:type="dxa"/>
                                <w:shd w:val="clear" w:color="auto" w:fill="FFFFFF"/>
                              </w:tcPr>
                              <w:p w14:paraId="38D2407C"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7500AACD"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24DC5926" w14:textId="77777777" w:rsidR="009D0C1D" w:rsidRDefault="009D0C1D" w:rsidP="00FC26B4">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0DA5ED8" id="_x0000_t202" coordsize="21600,21600" o:spt="202" path="m,l,21600r21600,l21600,xe">
              <v:stroke joinstyle="miter"/>
              <v:path gradientshapeok="t" o:connecttype="rect"/>
            </v:shapetype>
            <v:shape id="_x0000_s1567" type="#_x0000_t202" style="position:absolute;margin-left:41.95pt;margin-top:803.25pt;width:312.65pt;height:11.3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" fillcolor="window" stroked="f" strokeweight=".5pt">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265"/>
                    </w:tblGrid>
                    <w:tr w:rsidR="009D0C1D" w:rsidRPr="00FC26B4" w14:paraId="35A56339" w14:textId="77777777" w:rsidTr="00854441">
                      <w:trPr>
                        <w:trHeight w:hRule="exact" w:val="197"/>
                      </w:trPr>
                      <w:tc>
                        <w:tcPr>
                          <w:tcW w:w="547" w:type="dxa"/>
                          <w:shd w:val="clear" w:color="auto" w:fill="FFFFFF"/>
                        </w:tcPr>
                        <w:p w14:paraId="38D2407C"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7500AACD"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24DC5926" w14:textId="77777777" w:rsidR="009D0C1D" w:rsidRDefault="009D0C1D" w:rsidP="00FC26B4">
                    <w:pPr>
                      <w:spacing w:line="17" w:lineRule="auto"/>
                      <w:jc w:val="both"/>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F4927" w14:textId="002BEE46" w:rsidR="009D0C1D" w:rsidRPr="00FA737B" w:rsidRDefault="009D0C1D" w:rsidP="00FA737B">
    <w:pPr>
      <w:pStyle w:val="af2"/>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4B40" w14:textId="38FBC769" w:rsidR="009D0C1D" w:rsidRPr="00FA737B" w:rsidRDefault="009D0C1D" w:rsidP="00FA737B">
    <w:pPr>
      <w:pStyle w:val="af2"/>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6E3AE" w14:textId="77777777" w:rsidR="009D0C1D" w:rsidRDefault="009D0C1D" w:rsidP="00D65E1C">
    <w:pPr>
      <w:pStyle w:val="ab"/>
      <w:framePr w:wrap="none" w:vAnchor="page" w:hAnchor="page" w:x="10933" w:y="16064"/>
      <w:shd w:val="clear" w:color="auto" w:fill="auto"/>
    </w:pPr>
    <w:r>
      <w:t>v</w:t>
    </w:r>
  </w:p>
  <w:p w14:paraId="6A296E2A" w14:textId="77777777" w:rsidR="009D0C1D" w:rsidRDefault="009D0C1D" w:rsidP="00D65E1C">
    <w:pPr>
      <w:pStyle w:val="af2"/>
    </w:pPr>
    <w:r>
      <w:rPr>
        <w:noProof/>
      </w:rPr>
      <mc:AlternateContent>
        <mc:Choice Requires="wps">
          <w:drawing>
            <wp:anchor distT="0" distB="0" distL="114300" distR="114300" simplePos="0" relativeHeight="251798528" behindDoc="0" locked="0" layoutInCell="1" allowOverlap="1" wp14:anchorId="527426EF" wp14:editId="4D068B52">
              <wp:simplePos x="0" y="0"/>
              <wp:positionH relativeFrom="page">
                <wp:posOffset>877401</wp:posOffset>
              </wp:positionH>
              <wp:positionV relativeFrom="page">
                <wp:posOffset>10201110</wp:posOffset>
              </wp:positionV>
              <wp:extent cx="6159676" cy="133200"/>
              <wp:effectExtent l="0" t="0" r="0" b="0"/>
              <wp:wrapNone/>
              <wp:docPr id="1095789133"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62132F4E" w14:textId="77777777" w:rsidTr="00D65E1C">
                            <w:trPr>
                              <w:trHeight w:hRule="exact" w:val="182"/>
                              <w:jc w:val="right"/>
                            </w:trPr>
                            <w:tc>
                              <w:tcPr>
                                <w:tcW w:w="9071" w:type="dxa"/>
                                <w:shd w:val="clear" w:color="auto" w:fill="FFFFFF"/>
                              </w:tcPr>
                              <w:p w14:paraId="04F501CA" w14:textId="77777777" w:rsidR="009D0C1D" w:rsidRDefault="009D0C1D" w:rsidP="00BD21B8">
                                <w:pPr>
                                  <w:pStyle w:val="a6"/>
                                  <w:shd w:val="clear" w:color="auto" w:fill="auto"/>
                                  <w:jc w:val="right"/>
                                  <w:rPr>
                                    <w:sz w:val="15"/>
                                    <w:szCs w:val="15"/>
                                  </w:rPr>
                                </w:pPr>
                                <w:r>
                                  <w:rPr>
                                    <w:b w:val="0"/>
                                    <w:color w:val="019648"/>
                                    <w:sz w:val="15"/>
                                  </w:rPr>
                                  <w:t>2. Тести на ТБ з рекомендаціями ВООЗ</w:t>
                                </w:r>
                              </w:p>
                            </w:tc>
                            <w:tc>
                              <w:tcPr>
                                <w:tcW w:w="521" w:type="dxa"/>
                                <w:shd w:val="clear" w:color="auto" w:fill="FFFFFF"/>
                              </w:tcPr>
                              <w:p w14:paraId="465265AB"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150AA98B" w14:textId="77777777" w:rsidR="009D0C1D" w:rsidRDefault="009D0C1D" w:rsidP="00D65E1C">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27426EF" id="_x0000_t202" coordsize="21600,21600" o:spt="202" path="m,l,21600r21600,l21600,xe">
              <v:stroke joinstyle="miter"/>
              <v:path gradientshapeok="t" o:connecttype="rect"/>
            </v:shapetype>
            <v:shape id="_x0000_s1568" type="#_x0000_t202" style="position:absolute;margin-left:69.1pt;margin-top:803.25pt;width:485pt;height:10.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62132F4E" w14:textId="77777777" w:rsidTr="00D65E1C">
                      <w:trPr>
                        <w:trHeight w:hRule="exact" w:val="182"/>
                        <w:jc w:val="right"/>
                      </w:trPr>
                      <w:tc>
                        <w:tcPr>
                          <w:tcW w:w="9071" w:type="dxa"/>
                          <w:shd w:val="clear" w:color="auto" w:fill="FFFFFF"/>
                        </w:tcPr>
                        <w:p w14:paraId="04F501CA" w14:textId="77777777" w:rsidR="009D0C1D" w:rsidRDefault="009D0C1D" w:rsidP="00BD21B8">
                          <w:pPr>
                            <w:pStyle w:val="a6"/>
                            <w:shd w:val="clear" w:color="auto" w:fill="auto"/>
                            <w:jc w:val="right"/>
                            <w:rPr>
                              <w:sz w:val="15"/>
                              <w:szCs w:val="15"/>
                            </w:rPr>
                          </w:pPr>
                          <w:r>
                            <w:rPr>
                              <w:b w:val="0"/>
                              <w:color w:val="019648"/>
                              <w:sz w:val="15"/>
                            </w:rPr>
                            <w:t>2. Тести на ТБ з рекомендаціями ВООЗ</w:t>
                          </w:r>
                        </w:p>
                      </w:tc>
                      <w:tc>
                        <w:tcPr>
                          <w:tcW w:w="521" w:type="dxa"/>
                          <w:shd w:val="clear" w:color="auto" w:fill="FFFFFF"/>
                        </w:tcPr>
                        <w:p w14:paraId="465265AB"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150AA98B" w14:textId="77777777" w:rsidR="009D0C1D" w:rsidRDefault="009D0C1D" w:rsidP="00D65E1C">
                    <w:pPr>
                      <w:spacing w:line="17" w:lineRule="auto"/>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7005A" w14:textId="77777777" w:rsidR="009D0C1D" w:rsidRPr="00BD21B8" w:rsidRDefault="009D0C1D" w:rsidP="00BD21B8">
    <w:pPr>
      <w:pStyle w:val="af2"/>
    </w:pPr>
    <w:r>
      <w:rPr>
        <w:noProof/>
      </w:rPr>
      <mc:AlternateContent>
        <mc:Choice Requires="wps">
          <w:drawing>
            <wp:anchor distT="0" distB="0" distL="114300" distR="114300" simplePos="0" relativeHeight="251718656" behindDoc="0" locked="0" layoutInCell="1" allowOverlap="1" wp14:anchorId="66957614" wp14:editId="011B656C">
              <wp:simplePos x="0" y="0"/>
              <wp:positionH relativeFrom="page">
                <wp:posOffset>533399</wp:posOffset>
              </wp:positionH>
              <wp:positionV relativeFrom="page">
                <wp:posOffset>10201275</wp:posOffset>
              </wp:positionV>
              <wp:extent cx="3838575" cy="144000"/>
              <wp:effectExtent l="0" t="0" r="9525" b="8255"/>
              <wp:wrapNone/>
              <wp:docPr id="1466734048" name="Поле 2"/>
              <wp:cNvGraphicFramePr/>
              <a:graphic xmlns:a="http://schemas.openxmlformats.org/drawingml/2006/main">
                <a:graphicData uri="http://schemas.microsoft.com/office/word/2010/wordprocessingShape">
                  <wps:wsp>
                    <wps:cNvSpPr txBox="1"/>
                    <wps:spPr>
                      <a:xfrm>
                        <a:off x="0" y="0"/>
                        <a:ext cx="3838575" cy="144000"/>
                      </a:xfrm>
                      <a:prstGeom prst="rect">
                        <a:avLst/>
                      </a:prstGeom>
                      <a:solidFill>
                        <a:sysClr val="window" lastClr="FFFFFF"/>
                      </a:solidFill>
                      <a:ln w="6350">
                        <a:noFill/>
                      </a:ln>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265"/>
                          </w:tblGrid>
                          <w:tr w:rsidR="009D0C1D" w:rsidRPr="00FC26B4" w14:paraId="4231C856" w14:textId="77777777" w:rsidTr="008F64D5">
                            <w:trPr>
                              <w:trHeight w:hRule="exact" w:val="197"/>
                            </w:trPr>
                            <w:tc>
                              <w:tcPr>
                                <w:tcW w:w="547" w:type="dxa"/>
                                <w:shd w:val="clear" w:color="auto" w:fill="FFFFFF"/>
                              </w:tcPr>
                              <w:p w14:paraId="37B355C3"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75EDE331"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0ADF56B3" w14:textId="77777777" w:rsidR="009D0C1D" w:rsidRDefault="009D0C1D" w:rsidP="00FC26B4">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6957614" id="_x0000_t202" coordsize="21600,21600" o:spt="202" path="m,l,21600r21600,l21600,xe">
              <v:stroke joinstyle="miter"/>
              <v:path gradientshapeok="t" o:connecttype="rect"/>
            </v:shapetype>
            <v:shape id="_x0000_s1569" type="#_x0000_t202" style="position:absolute;margin-left:42pt;margin-top:803.25pt;width:302.25pt;height:11.3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" fillcolor="window" stroked="f" strokeweight=".5pt">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265"/>
                    </w:tblGrid>
                    <w:tr w:rsidR="009D0C1D" w:rsidRPr="00FC26B4" w14:paraId="4231C856" w14:textId="77777777" w:rsidTr="008F64D5">
                      <w:trPr>
                        <w:trHeight w:hRule="exact" w:val="197"/>
                      </w:trPr>
                      <w:tc>
                        <w:tcPr>
                          <w:tcW w:w="547" w:type="dxa"/>
                          <w:shd w:val="clear" w:color="auto" w:fill="FFFFFF"/>
                        </w:tcPr>
                        <w:p w14:paraId="37B355C3"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75EDE331"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0ADF56B3" w14:textId="77777777" w:rsidR="009D0C1D" w:rsidRDefault="009D0C1D" w:rsidP="00FC26B4">
                    <w:pPr>
                      <w:spacing w:line="17" w:lineRule="auto"/>
                      <w:jc w:val="both"/>
                    </w:pP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32AC9" w14:textId="6A879EE8" w:rsidR="009D0C1D" w:rsidRPr="00FA737B" w:rsidRDefault="009D0C1D" w:rsidP="00FA737B">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4D1FB" w14:textId="77777777" w:rsidR="009D0C1D" w:rsidRPr="00BD21B8" w:rsidRDefault="009D0C1D" w:rsidP="00BA379B">
    <w:pPr>
      <w:pStyle w:val="af2"/>
    </w:pPr>
    <w:r>
      <w:rPr>
        <w:noProof/>
      </w:rPr>
      <mc:AlternateContent>
        <mc:Choice Requires="wps">
          <w:drawing>
            <wp:anchor distT="0" distB="0" distL="114300" distR="114300" simplePos="0" relativeHeight="251669504" behindDoc="0" locked="0" layoutInCell="1" allowOverlap="1" wp14:anchorId="392863F3" wp14:editId="3222A599">
              <wp:simplePos x="0" y="0"/>
              <wp:positionH relativeFrom="page">
                <wp:posOffset>532765</wp:posOffset>
              </wp:positionH>
              <wp:positionV relativeFrom="page">
                <wp:posOffset>10201910</wp:posOffset>
              </wp:positionV>
              <wp:extent cx="3895200" cy="144000"/>
              <wp:effectExtent l="0" t="0" r="0" b="8255"/>
              <wp:wrapNone/>
              <wp:docPr id="599516699" name="Поле 2"/>
              <wp:cNvGraphicFramePr/>
              <a:graphic xmlns:a="http://schemas.openxmlformats.org/drawingml/2006/main">
                <a:graphicData uri="http://schemas.microsoft.com/office/word/2010/wordprocessingShape">
                  <wps:wsp>
                    <wps:cNvSpPr txBox="1"/>
                    <wps:spPr>
                      <a:xfrm>
                        <a:off x="0" y="0"/>
                        <a:ext cx="3895200" cy="144000"/>
                      </a:xfrm>
                      <a:prstGeom prst="rect">
                        <a:avLst/>
                      </a:prstGeom>
                      <a:solidFill>
                        <a:sysClr val="window" lastClr="FFFFFF"/>
                      </a:solidFill>
                      <a:ln w="6350">
                        <a:noFill/>
                      </a:ln>
                    </wps:spPr>
                    <wps:txbx>
                      <w:txbxContent>
                        <w:tbl>
                          <w:tblPr>
                            <w:tblOverlap w:val="never"/>
                            <w:tblW w:w="5954" w:type="dxa"/>
                            <w:tblLayout w:type="fixed"/>
                            <w:tblCellMar>
                              <w:left w:w="10" w:type="dxa"/>
                              <w:right w:w="10" w:type="dxa"/>
                            </w:tblCellMar>
                            <w:tblLook w:val="0000" w:firstRow="0" w:lastRow="0" w:firstColumn="0" w:lastColumn="0" w:noHBand="0" w:noVBand="0"/>
                          </w:tblPr>
                          <w:tblGrid>
                            <w:gridCol w:w="547"/>
                            <w:gridCol w:w="5407"/>
                          </w:tblGrid>
                          <w:tr w:rsidR="009D0C1D" w:rsidRPr="00FC26B4" w14:paraId="2791A49D" w14:textId="77777777" w:rsidTr="008278DD">
                            <w:trPr>
                              <w:trHeight w:hRule="exact" w:val="197"/>
                            </w:trPr>
                            <w:tc>
                              <w:tcPr>
                                <w:tcW w:w="547" w:type="dxa"/>
                                <w:shd w:val="clear" w:color="auto" w:fill="FFFFFF"/>
                              </w:tcPr>
                              <w:p w14:paraId="10CF929A" w14:textId="37C18F84" w:rsidR="009D0C1D" w:rsidRPr="00FC26B4" w:rsidRDefault="009D0C1D" w:rsidP="00FC26B4">
                                <w:pPr>
                                  <w:rPr>
                                    <w:color w:val="019648"/>
                                    <w:sz w:val="15"/>
                                    <w:szCs w:val="15"/>
                                  </w:rPr>
                                </w:pPr>
                                <w:r>
                                  <w:rPr>
                                    <w:color w:val="019648"/>
                                    <w:sz w:val="15"/>
                                  </w:rPr>
                                  <w:t>vi</w:t>
                                </w:r>
                              </w:p>
                            </w:tc>
                            <w:tc>
                              <w:tcPr>
                                <w:tcW w:w="5407" w:type="dxa"/>
                                <w:shd w:val="clear" w:color="auto" w:fill="FFFFFF"/>
                              </w:tcPr>
                              <w:p w14:paraId="0637D922"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1964E029" w14:textId="77777777" w:rsidR="009D0C1D" w:rsidRDefault="009D0C1D" w:rsidP="00BA379B">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92863F3" id="_x0000_t202" coordsize="21600,21600" o:spt="202" path="m,l,21600r21600,l21600,xe">
              <v:stroke joinstyle="miter"/>
              <v:path gradientshapeok="t" o:connecttype="rect"/>
            </v:shapetype>
            <v:shape id="_x0000_s1552" type="#_x0000_t202" style="position:absolute;margin-left:41.95pt;margin-top:803.3pt;width:306.7pt;height:11.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" fillcolor="window" stroked="f" strokeweight=".5pt">
              <v:textbox style="mso-fit-shape-to-text:t" inset="0,0,0,0">
                <w:txbxContent>
                  <w:tbl>
                    <w:tblPr>
                      <w:tblOverlap w:val="never"/>
                      <w:tblW w:w="5954" w:type="dxa"/>
                      <w:tblLayout w:type="fixed"/>
                      <w:tblCellMar>
                        <w:left w:w="10" w:type="dxa"/>
                        <w:right w:w="10" w:type="dxa"/>
                      </w:tblCellMar>
                      <w:tblLook w:val="0000" w:firstRow="0" w:lastRow="0" w:firstColumn="0" w:lastColumn="0" w:noHBand="0" w:noVBand="0"/>
                    </w:tblPr>
                    <w:tblGrid>
                      <w:gridCol w:w="547"/>
                      <w:gridCol w:w="5407"/>
                    </w:tblGrid>
                    <w:tr w:rsidR="009D0C1D" w:rsidRPr="00FC26B4" w14:paraId="2791A49D" w14:textId="77777777" w:rsidTr="008278DD">
                      <w:trPr>
                        <w:trHeight w:hRule="exact" w:val="197"/>
                      </w:trPr>
                      <w:tc>
                        <w:tcPr>
                          <w:tcW w:w="547" w:type="dxa"/>
                          <w:shd w:val="clear" w:color="auto" w:fill="FFFFFF"/>
                        </w:tcPr>
                        <w:p w14:paraId="10CF929A" w14:textId="37C18F84" w:rsidR="009D0C1D" w:rsidRPr="00FC26B4" w:rsidRDefault="009D0C1D" w:rsidP="00FC26B4">
                          <w:pPr>
                            <w:rPr>
                              <w:color w:val="019648"/>
                              <w:sz w:val="15"/>
                              <w:szCs w:val="15"/>
                            </w:rPr>
                          </w:pPr>
                          <w:r>
                            <w:rPr>
                              <w:color w:val="019648"/>
                              <w:sz w:val="15"/>
                            </w:rPr>
                            <w:t>vi</w:t>
                          </w:r>
                        </w:p>
                      </w:tc>
                      <w:tc>
                        <w:tcPr>
                          <w:tcW w:w="5407" w:type="dxa"/>
                          <w:shd w:val="clear" w:color="auto" w:fill="FFFFFF"/>
                        </w:tcPr>
                        <w:p w14:paraId="0637D922"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1964E029" w14:textId="77777777" w:rsidR="009D0C1D" w:rsidRDefault="009D0C1D" w:rsidP="00BA379B">
                    <w:pPr>
                      <w:spacing w:line="17" w:lineRule="auto"/>
                      <w:jc w:val="both"/>
                    </w:pPr>
                  </w:p>
                </w:txbxContent>
              </v:textbox>
              <w10:wrap anchorx="page" anchory="page"/>
            </v:shape>
          </w:pict>
        </mc:Fallback>
      </mc:AlternateContent>
    </w:r>
  </w:p>
  <w:p w14:paraId="1DCADF6B" w14:textId="77777777" w:rsidR="009D0C1D" w:rsidRPr="00BA379B" w:rsidRDefault="009D0C1D" w:rsidP="00BA379B">
    <w:pPr>
      <w:pStyle w:val="af2"/>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C3365" w14:textId="77777777" w:rsidR="009D0C1D" w:rsidRPr="00BD21B8" w:rsidRDefault="009D0C1D" w:rsidP="00BD21B8">
    <w:pPr>
      <w:pStyle w:val="af2"/>
    </w:pPr>
    <w:r>
      <w:rPr>
        <w:noProof/>
      </w:rPr>
      <mc:AlternateContent>
        <mc:Choice Requires="wps">
          <w:drawing>
            <wp:anchor distT="0" distB="0" distL="114300" distR="114300" simplePos="0" relativeHeight="251722752" behindDoc="0" locked="0" layoutInCell="1" allowOverlap="1" wp14:anchorId="7FBC4C88" wp14:editId="59B5D49C">
              <wp:simplePos x="0" y="0"/>
              <wp:positionH relativeFrom="page">
                <wp:posOffset>533399</wp:posOffset>
              </wp:positionH>
              <wp:positionV relativeFrom="page">
                <wp:posOffset>10202333</wp:posOffset>
              </wp:positionV>
              <wp:extent cx="3793067" cy="144000"/>
              <wp:effectExtent l="0" t="0" r="0" b="8255"/>
              <wp:wrapNone/>
              <wp:docPr id="723088538" name="Поле 2"/>
              <wp:cNvGraphicFramePr/>
              <a:graphic xmlns:a="http://schemas.openxmlformats.org/drawingml/2006/main">
                <a:graphicData uri="http://schemas.microsoft.com/office/word/2010/wordprocessingShape">
                  <wps:wsp>
                    <wps:cNvSpPr txBox="1"/>
                    <wps:spPr>
                      <a:xfrm>
                        <a:off x="0" y="0"/>
                        <a:ext cx="3793067" cy="144000"/>
                      </a:xfrm>
                      <a:prstGeom prst="rect">
                        <a:avLst/>
                      </a:prstGeom>
                      <a:solidFill>
                        <a:sysClr val="window" lastClr="FFFFFF"/>
                      </a:solidFill>
                      <a:ln w="6350">
                        <a:noFill/>
                      </a:ln>
                    </wps:spPr>
                    <wps:txbx>
                      <w:txbxContent>
                        <w:tbl>
                          <w:tblPr>
                            <w:tblOverlap w:val="never"/>
                            <w:tblW w:w="5670" w:type="dxa"/>
                            <w:tblLayout w:type="fixed"/>
                            <w:tblCellMar>
                              <w:left w:w="10" w:type="dxa"/>
                              <w:right w:w="10" w:type="dxa"/>
                            </w:tblCellMar>
                            <w:tblLook w:val="0000" w:firstRow="0" w:lastRow="0" w:firstColumn="0" w:lastColumn="0" w:noHBand="0" w:noVBand="0"/>
                          </w:tblPr>
                          <w:tblGrid>
                            <w:gridCol w:w="547"/>
                            <w:gridCol w:w="5123"/>
                          </w:tblGrid>
                          <w:tr w:rsidR="009D0C1D" w:rsidRPr="00FC26B4" w14:paraId="35495E72" w14:textId="77777777" w:rsidTr="002F0816">
                            <w:trPr>
                              <w:trHeight w:hRule="exact" w:val="197"/>
                            </w:trPr>
                            <w:tc>
                              <w:tcPr>
                                <w:tcW w:w="547" w:type="dxa"/>
                                <w:shd w:val="clear" w:color="auto" w:fill="FFFFFF"/>
                              </w:tcPr>
                              <w:p w14:paraId="112F0984"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123" w:type="dxa"/>
                                <w:shd w:val="clear" w:color="auto" w:fill="FFFFFF"/>
                              </w:tcPr>
                              <w:p w14:paraId="548CB6B0"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5AB91374" w14:textId="77777777" w:rsidR="009D0C1D" w:rsidRDefault="009D0C1D" w:rsidP="00FC26B4">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FBC4C88" id="_x0000_t202" coordsize="21600,21600" o:spt="202" path="m,l,21600r21600,l21600,xe">
              <v:stroke joinstyle="miter"/>
              <v:path gradientshapeok="t" o:connecttype="rect"/>
            </v:shapetype>
            <v:shape id="_x0000_s1570" type="#_x0000_t202" style="position:absolute;margin-left:42pt;margin-top:803.35pt;width:298.65pt;height:11.3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" fillcolor="window" stroked="f" strokeweight=".5pt">
              <v:textbox style="mso-fit-shape-to-text:t" inset="0,0,0,0">
                <w:txbxContent>
                  <w:tbl>
                    <w:tblPr>
                      <w:tblOverlap w:val="never"/>
                      <w:tblW w:w="5670" w:type="dxa"/>
                      <w:tblLayout w:type="fixed"/>
                      <w:tblCellMar>
                        <w:left w:w="10" w:type="dxa"/>
                        <w:right w:w="10" w:type="dxa"/>
                      </w:tblCellMar>
                      <w:tblLook w:val="0000" w:firstRow="0" w:lastRow="0" w:firstColumn="0" w:lastColumn="0" w:noHBand="0" w:noVBand="0"/>
                    </w:tblPr>
                    <w:tblGrid>
                      <w:gridCol w:w="547"/>
                      <w:gridCol w:w="5123"/>
                    </w:tblGrid>
                    <w:tr w:rsidR="009D0C1D" w:rsidRPr="00FC26B4" w14:paraId="35495E72" w14:textId="77777777" w:rsidTr="002F0816">
                      <w:trPr>
                        <w:trHeight w:hRule="exact" w:val="197"/>
                      </w:trPr>
                      <w:tc>
                        <w:tcPr>
                          <w:tcW w:w="547" w:type="dxa"/>
                          <w:shd w:val="clear" w:color="auto" w:fill="FFFFFF"/>
                        </w:tcPr>
                        <w:p w14:paraId="112F0984"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123" w:type="dxa"/>
                          <w:shd w:val="clear" w:color="auto" w:fill="FFFFFF"/>
                        </w:tcPr>
                        <w:p w14:paraId="548CB6B0"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5AB91374" w14:textId="77777777" w:rsidR="009D0C1D" w:rsidRDefault="009D0C1D" w:rsidP="00FC26B4">
                    <w:pPr>
                      <w:spacing w:line="17" w:lineRule="auto"/>
                      <w:jc w:val="both"/>
                    </w:pP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FBFE0" w14:textId="12782299" w:rsidR="009D0C1D" w:rsidRPr="00FA737B" w:rsidRDefault="009D0C1D" w:rsidP="00FA737B">
    <w:pPr>
      <w:pStyle w:val="af2"/>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A69D7" w14:textId="77777777" w:rsidR="009D0C1D" w:rsidRDefault="009D0C1D" w:rsidP="00C801B2">
    <w:pPr>
      <w:pStyle w:val="ab"/>
      <w:framePr w:wrap="none" w:vAnchor="page" w:hAnchor="page" w:x="10933" w:y="16064"/>
      <w:shd w:val="clear" w:color="auto" w:fill="auto"/>
    </w:pPr>
    <w:r>
      <w:t>v</w:t>
    </w:r>
  </w:p>
  <w:p w14:paraId="690B4999" w14:textId="77777777" w:rsidR="009D0C1D" w:rsidRDefault="009D0C1D" w:rsidP="00C801B2">
    <w:pPr>
      <w:pStyle w:val="af2"/>
    </w:pPr>
    <w:r>
      <w:rPr>
        <w:noProof/>
      </w:rPr>
      <mc:AlternateContent>
        <mc:Choice Requires="wps">
          <w:drawing>
            <wp:anchor distT="0" distB="0" distL="114300" distR="114300" simplePos="0" relativeHeight="251800576" behindDoc="0" locked="0" layoutInCell="1" allowOverlap="1" wp14:anchorId="71137362" wp14:editId="123E59A9">
              <wp:simplePos x="0" y="0"/>
              <wp:positionH relativeFrom="page">
                <wp:posOffset>877401</wp:posOffset>
              </wp:positionH>
              <wp:positionV relativeFrom="page">
                <wp:posOffset>10201110</wp:posOffset>
              </wp:positionV>
              <wp:extent cx="6159676" cy="133200"/>
              <wp:effectExtent l="0" t="0" r="0" b="0"/>
              <wp:wrapNone/>
              <wp:docPr id="31772475"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73B07267" w14:textId="77777777" w:rsidTr="00D65E1C">
                            <w:trPr>
                              <w:trHeight w:hRule="exact" w:val="182"/>
                              <w:jc w:val="right"/>
                            </w:trPr>
                            <w:tc>
                              <w:tcPr>
                                <w:tcW w:w="9071" w:type="dxa"/>
                                <w:shd w:val="clear" w:color="auto" w:fill="FFFFFF"/>
                              </w:tcPr>
                              <w:p w14:paraId="424B44D4" w14:textId="71E67585" w:rsidR="009D0C1D" w:rsidRDefault="009D0C1D" w:rsidP="00BD21B8">
                                <w:pPr>
                                  <w:pStyle w:val="a6"/>
                                  <w:shd w:val="clear" w:color="auto" w:fill="auto"/>
                                  <w:jc w:val="right"/>
                                  <w:rPr>
                                    <w:sz w:val="15"/>
                                    <w:szCs w:val="15"/>
                                  </w:rPr>
                                </w:pPr>
                              </w:p>
                            </w:tc>
                            <w:tc>
                              <w:tcPr>
                                <w:tcW w:w="521" w:type="dxa"/>
                                <w:shd w:val="clear" w:color="auto" w:fill="FFFFFF"/>
                              </w:tcPr>
                              <w:p w14:paraId="5C9C4FDB"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5321BE32" w14:textId="77777777" w:rsidR="009D0C1D" w:rsidRDefault="009D0C1D" w:rsidP="00C801B2">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1137362" id="_x0000_t202" coordsize="21600,21600" o:spt="202" path="m,l,21600r21600,l21600,xe">
              <v:stroke joinstyle="miter"/>
              <v:path gradientshapeok="t" o:connecttype="rect"/>
            </v:shapetype>
            <v:shape id="_x0000_s1571" type="#_x0000_t202" style="position:absolute;margin-left:69.1pt;margin-top:803.25pt;width:485pt;height:10.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73B07267" w14:textId="77777777" w:rsidTr="00D65E1C">
                      <w:trPr>
                        <w:trHeight w:hRule="exact" w:val="182"/>
                        <w:jc w:val="right"/>
                      </w:trPr>
                      <w:tc>
                        <w:tcPr>
                          <w:tcW w:w="9071" w:type="dxa"/>
                          <w:shd w:val="clear" w:color="auto" w:fill="FFFFFF"/>
                        </w:tcPr>
                        <w:p w14:paraId="424B44D4" w14:textId="71E67585" w:rsidR="009D0C1D" w:rsidRDefault="009D0C1D" w:rsidP="00BD21B8">
                          <w:pPr>
                            <w:pStyle w:val="a6"/>
                            <w:shd w:val="clear" w:color="auto" w:fill="auto"/>
                            <w:jc w:val="right"/>
                            <w:rPr>
                              <w:sz w:val="15"/>
                              <w:szCs w:val="15"/>
                            </w:rPr>
                          </w:pPr>
                        </w:p>
                      </w:tc>
                      <w:tc>
                        <w:tcPr>
                          <w:tcW w:w="521" w:type="dxa"/>
                          <w:shd w:val="clear" w:color="auto" w:fill="FFFFFF"/>
                        </w:tcPr>
                        <w:p w14:paraId="5C9C4FDB"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5321BE32" w14:textId="77777777" w:rsidR="009D0C1D" w:rsidRDefault="009D0C1D" w:rsidP="00C801B2">
                    <w:pPr>
                      <w:spacing w:line="17" w:lineRule="auto"/>
                    </w:pP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5CE2A" w14:textId="77777777" w:rsidR="009D0C1D" w:rsidRDefault="009D0C1D" w:rsidP="00C801B2">
    <w:pPr>
      <w:pStyle w:val="ab"/>
      <w:framePr w:wrap="none" w:vAnchor="page" w:hAnchor="page" w:x="10933" w:y="16064"/>
      <w:shd w:val="clear" w:color="auto" w:fill="auto"/>
    </w:pPr>
    <w:r>
      <w:t>v</w:t>
    </w:r>
  </w:p>
  <w:p w14:paraId="1DF2DB7B" w14:textId="77777777" w:rsidR="009D0C1D" w:rsidRDefault="009D0C1D" w:rsidP="00C801B2">
    <w:pPr>
      <w:pStyle w:val="af2"/>
    </w:pPr>
    <w:r>
      <w:rPr>
        <w:noProof/>
      </w:rPr>
      <mc:AlternateContent>
        <mc:Choice Requires="wps">
          <w:drawing>
            <wp:anchor distT="0" distB="0" distL="114300" distR="114300" simplePos="0" relativeHeight="251802624" behindDoc="0" locked="0" layoutInCell="1" allowOverlap="1" wp14:anchorId="08DAB655" wp14:editId="49919AA5">
              <wp:simplePos x="0" y="0"/>
              <wp:positionH relativeFrom="page">
                <wp:posOffset>877401</wp:posOffset>
              </wp:positionH>
              <wp:positionV relativeFrom="page">
                <wp:posOffset>10201110</wp:posOffset>
              </wp:positionV>
              <wp:extent cx="6159676" cy="133200"/>
              <wp:effectExtent l="0" t="0" r="0" b="0"/>
              <wp:wrapNone/>
              <wp:docPr id="1185575991"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B9789A9" w14:textId="77777777" w:rsidTr="00D65E1C">
                            <w:trPr>
                              <w:trHeight w:hRule="exact" w:val="182"/>
                              <w:jc w:val="right"/>
                            </w:trPr>
                            <w:tc>
                              <w:tcPr>
                                <w:tcW w:w="9071" w:type="dxa"/>
                                <w:shd w:val="clear" w:color="auto" w:fill="FFFFFF"/>
                              </w:tcPr>
                              <w:p w14:paraId="52430C2A" w14:textId="77777777" w:rsidR="009D0C1D" w:rsidRPr="00C801B2" w:rsidRDefault="009D0C1D" w:rsidP="00C801B2">
                                <w:pPr>
                                  <w:pStyle w:val="a6"/>
                                  <w:jc w:val="right"/>
                                  <w:rPr>
                                    <w:b w:val="0"/>
                                    <w:bCs w:val="0"/>
                                    <w:color w:val="019648"/>
                                    <w:sz w:val="15"/>
                                    <w:szCs w:val="15"/>
                                  </w:rPr>
                                </w:pPr>
                                <w:r>
                                  <w:rPr>
                                    <w:b w:val="0"/>
                                    <w:color w:val="019648"/>
                                    <w:sz w:val="15"/>
                                  </w:rPr>
                                  <w:t>3. Стратегії та міркування</w:t>
                                </w:r>
                              </w:p>
                              <w:p w14:paraId="5BAB03B1" w14:textId="713680DF" w:rsidR="009D0C1D" w:rsidRDefault="009D0C1D" w:rsidP="00C801B2">
                                <w:pPr>
                                  <w:pStyle w:val="a6"/>
                                  <w:shd w:val="clear" w:color="auto" w:fill="auto"/>
                                  <w:jc w:val="right"/>
                                  <w:rPr>
                                    <w:sz w:val="15"/>
                                    <w:szCs w:val="15"/>
                                  </w:rPr>
                                </w:pPr>
                                <w:r>
                                  <w:rPr>
                                    <w:b w:val="0"/>
                                    <w:color w:val="019648"/>
                                    <w:sz w:val="15"/>
                                  </w:rPr>
                                  <w:t>щодо діагностичного тестування</w:t>
                                </w:r>
                              </w:p>
                            </w:tc>
                            <w:tc>
                              <w:tcPr>
                                <w:tcW w:w="521" w:type="dxa"/>
                                <w:shd w:val="clear" w:color="auto" w:fill="FFFFFF"/>
                              </w:tcPr>
                              <w:p w14:paraId="4AB98E5E"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0F88E640" w14:textId="77777777" w:rsidR="009D0C1D" w:rsidRDefault="009D0C1D" w:rsidP="00C801B2">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8DAB655" id="_x0000_t202" coordsize="21600,21600" o:spt="202" path="m,l,21600r21600,l21600,xe">
              <v:stroke joinstyle="miter"/>
              <v:path gradientshapeok="t" o:connecttype="rect"/>
            </v:shapetype>
            <v:shape id="_x0000_s1572" type="#_x0000_t202" style="position:absolute;margin-left:69.1pt;margin-top:803.25pt;width:485pt;height:10.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B9789A9" w14:textId="77777777" w:rsidTr="00D65E1C">
                      <w:trPr>
                        <w:trHeight w:hRule="exact" w:val="182"/>
                        <w:jc w:val="right"/>
                      </w:trPr>
                      <w:tc>
                        <w:tcPr>
                          <w:tcW w:w="9071" w:type="dxa"/>
                          <w:shd w:val="clear" w:color="auto" w:fill="FFFFFF"/>
                        </w:tcPr>
                        <w:p w14:paraId="52430C2A" w14:textId="77777777" w:rsidR="009D0C1D" w:rsidRPr="00C801B2" w:rsidRDefault="009D0C1D" w:rsidP="00C801B2">
                          <w:pPr>
                            <w:pStyle w:val="a6"/>
                            <w:jc w:val="right"/>
                            <w:rPr>
                              <w:b w:val="0"/>
                              <w:bCs w:val="0"/>
                              <w:color w:val="019648"/>
                              <w:sz w:val="15"/>
                              <w:szCs w:val="15"/>
                            </w:rPr>
                          </w:pPr>
                          <w:r>
                            <w:rPr>
                              <w:b w:val="0"/>
                              <w:color w:val="019648"/>
                              <w:sz w:val="15"/>
                            </w:rPr>
                            <w:t>3. Стратегії та міркування</w:t>
                          </w:r>
                        </w:p>
                        <w:p w14:paraId="5BAB03B1" w14:textId="713680DF" w:rsidR="009D0C1D" w:rsidRDefault="009D0C1D" w:rsidP="00C801B2">
                          <w:pPr>
                            <w:pStyle w:val="a6"/>
                            <w:shd w:val="clear" w:color="auto" w:fill="auto"/>
                            <w:jc w:val="right"/>
                            <w:rPr>
                              <w:sz w:val="15"/>
                              <w:szCs w:val="15"/>
                            </w:rPr>
                          </w:pPr>
                          <w:r>
                            <w:rPr>
                              <w:b w:val="0"/>
                              <w:color w:val="019648"/>
                              <w:sz w:val="15"/>
                            </w:rPr>
                            <w:t>щодо діагностичного тестування</w:t>
                          </w:r>
                        </w:p>
                      </w:tc>
                      <w:tc>
                        <w:tcPr>
                          <w:tcW w:w="521" w:type="dxa"/>
                          <w:shd w:val="clear" w:color="auto" w:fill="FFFFFF"/>
                        </w:tcPr>
                        <w:p w14:paraId="4AB98E5E"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0F88E640" w14:textId="77777777" w:rsidR="009D0C1D" w:rsidRDefault="009D0C1D" w:rsidP="00C801B2">
                    <w:pPr>
                      <w:spacing w:line="17" w:lineRule="auto"/>
                    </w:pP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8677C" w14:textId="6C016291" w:rsidR="009D0C1D" w:rsidRPr="00FA737B" w:rsidRDefault="009D0C1D" w:rsidP="00FA737B">
    <w:pPr>
      <w:pStyle w:val="af2"/>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6724A" w14:textId="13D25C6A" w:rsidR="009D0C1D" w:rsidRPr="00FA737B" w:rsidRDefault="009D0C1D" w:rsidP="00FA737B">
    <w:pPr>
      <w:pStyle w:val="af2"/>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886F8" w14:textId="77777777" w:rsidR="009D0C1D" w:rsidRDefault="009D0C1D" w:rsidP="00C801B2">
    <w:pPr>
      <w:pStyle w:val="ab"/>
      <w:framePr w:wrap="none" w:vAnchor="page" w:hAnchor="page" w:x="10933" w:y="16064"/>
      <w:shd w:val="clear" w:color="auto" w:fill="auto"/>
    </w:pPr>
    <w:r>
      <w:t>v</w:t>
    </w:r>
  </w:p>
  <w:p w14:paraId="72EEC4F6" w14:textId="77777777" w:rsidR="009D0C1D" w:rsidRDefault="009D0C1D" w:rsidP="00C801B2">
    <w:pPr>
      <w:pStyle w:val="af2"/>
    </w:pPr>
    <w:r>
      <w:rPr>
        <w:noProof/>
      </w:rPr>
      <mc:AlternateContent>
        <mc:Choice Requires="wps">
          <w:drawing>
            <wp:anchor distT="0" distB="0" distL="114300" distR="114300" simplePos="0" relativeHeight="251804672" behindDoc="0" locked="0" layoutInCell="1" allowOverlap="1" wp14:anchorId="4D070EA6" wp14:editId="22C9C4C2">
              <wp:simplePos x="0" y="0"/>
              <wp:positionH relativeFrom="page">
                <wp:posOffset>877401</wp:posOffset>
              </wp:positionH>
              <wp:positionV relativeFrom="page">
                <wp:posOffset>10201110</wp:posOffset>
              </wp:positionV>
              <wp:extent cx="6159676" cy="133200"/>
              <wp:effectExtent l="0" t="0" r="0" b="0"/>
              <wp:wrapNone/>
              <wp:docPr id="1314918328"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C5C573E" w14:textId="77777777" w:rsidTr="00D65E1C">
                            <w:trPr>
                              <w:trHeight w:hRule="exact" w:val="182"/>
                              <w:jc w:val="right"/>
                            </w:trPr>
                            <w:tc>
                              <w:tcPr>
                                <w:tcW w:w="9071" w:type="dxa"/>
                                <w:shd w:val="clear" w:color="auto" w:fill="FFFFFF"/>
                              </w:tcPr>
                              <w:p w14:paraId="2072D766" w14:textId="1176ECFE" w:rsidR="009D0C1D" w:rsidRDefault="009D0C1D" w:rsidP="00C801B2">
                                <w:pPr>
                                  <w:pStyle w:val="a6"/>
                                  <w:jc w:val="right"/>
                                  <w:rPr>
                                    <w:sz w:val="15"/>
                                    <w:szCs w:val="15"/>
                                  </w:rPr>
                                </w:pPr>
                                <w:r>
                                  <w:rPr>
                                    <w:b w:val="0"/>
                                    <w:color w:val="019648"/>
                                    <w:sz w:val="15"/>
                                  </w:rPr>
                                  <w:t>3. Стратегії та міркування щодо діагностичного тестування</w:t>
                                </w:r>
                              </w:p>
                            </w:tc>
                            <w:tc>
                              <w:tcPr>
                                <w:tcW w:w="521" w:type="dxa"/>
                                <w:shd w:val="clear" w:color="auto" w:fill="FFFFFF"/>
                              </w:tcPr>
                              <w:p w14:paraId="70BE374C"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0D8BD073" w14:textId="77777777" w:rsidR="009D0C1D" w:rsidRDefault="009D0C1D" w:rsidP="00C801B2">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D070EA6" id="_x0000_t202" coordsize="21600,21600" o:spt="202" path="m,l,21600r21600,l21600,xe">
              <v:stroke joinstyle="miter"/>
              <v:path gradientshapeok="t" o:connecttype="rect"/>
            </v:shapetype>
            <v:shape id="_x0000_s1573" type="#_x0000_t202" style="position:absolute;margin-left:69.1pt;margin-top:803.25pt;width:485pt;height:10.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C5C573E" w14:textId="77777777" w:rsidTr="00D65E1C">
                      <w:trPr>
                        <w:trHeight w:hRule="exact" w:val="182"/>
                        <w:jc w:val="right"/>
                      </w:trPr>
                      <w:tc>
                        <w:tcPr>
                          <w:tcW w:w="9071" w:type="dxa"/>
                          <w:shd w:val="clear" w:color="auto" w:fill="FFFFFF"/>
                        </w:tcPr>
                        <w:p w14:paraId="2072D766" w14:textId="1176ECFE" w:rsidR="009D0C1D" w:rsidRDefault="009D0C1D" w:rsidP="00C801B2">
                          <w:pPr>
                            <w:pStyle w:val="a6"/>
                            <w:jc w:val="right"/>
                            <w:rPr>
                              <w:sz w:val="15"/>
                              <w:szCs w:val="15"/>
                            </w:rPr>
                          </w:pPr>
                          <w:r>
                            <w:rPr>
                              <w:b w:val="0"/>
                              <w:color w:val="019648"/>
                              <w:sz w:val="15"/>
                            </w:rPr>
                            <w:t>3. Стратегії та міркування щодо діагностичного тестування</w:t>
                          </w:r>
                        </w:p>
                      </w:tc>
                      <w:tc>
                        <w:tcPr>
                          <w:tcW w:w="521" w:type="dxa"/>
                          <w:shd w:val="clear" w:color="auto" w:fill="FFFFFF"/>
                        </w:tcPr>
                        <w:p w14:paraId="70BE374C"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0D8BD073" w14:textId="77777777" w:rsidR="009D0C1D" w:rsidRDefault="009D0C1D" w:rsidP="00C801B2">
                    <w:pPr>
                      <w:spacing w:line="17" w:lineRule="auto"/>
                    </w:pP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4ED6C" w14:textId="77777777" w:rsidR="009D0C1D" w:rsidRPr="00BD21B8" w:rsidRDefault="009D0C1D" w:rsidP="00C801B2">
    <w:pPr>
      <w:pStyle w:val="af2"/>
    </w:pPr>
    <w:r>
      <w:rPr>
        <w:noProof/>
      </w:rPr>
      <mc:AlternateContent>
        <mc:Choice Requires="wps">
          <w:drawing>
            <wp:anchor distT="0" distB="0" distL="114300" distR="114300" simplePos="0" relativeHeight="251810816" behindDoc="0" locked="0" layoutInCell="1" allowOverlap="1" wp14:anchorId="43953063" wp14:editId="0C32622C">
              <wp:simplePos x="0" y="0"/>
              <wp:positionH relativeFrom="page">
                <wp:posOffset>533400</wp:posOffset>
              </wp:positionH>
              <wp:positionV relativeFrom="page">
                <wp:posOffset>10201275</wp:posOffset>
              </wp:positionV>
              <wp:extent cx="3905250" cy="144000"/>
              <wp:effectExtent l="0" t="0" r="0" b="8255"/>
              <wp:wrapNone/>
              <wp:docPr id="1907420622" name="Поле 2"/>
              <wp:cNvGraphicFramePr/>
              <a:graphic xmlns:a="http://schemas.openxmlformats.org/drawingml/2006/main">
                <a:graphicData uri="http://schemas.microsoft.com/office/word/2010/wordprocessingShape">
                  <wps:wsp>
                    <wps:cNvSpPr txBox="1"/>
                    <wps:spPr>
                      <a:xfrm>
                        <a:off x="0" y="0"/>
                        <a:ext cx="3905250" cy="144000"/>
                      </a:xfrm>
                      <a:prstGeom prst="rect">
                        <a:avLst/>
                      </a:prstGeom>
                      <a:solidFill>
                        <a:sysClr val="window" lastClr="FFFFFF"/>
                      </a:solidFill>
                      <a:ln w="6350">
                        <a:noFill/>
                      </a:ln>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265"/>
                          </w:tblGrid>
                          <w:tr w:rsidR="009D0C1D" w:rsidRPr="00FC26B4" w14:paraId="71D0021B" w14:textId="77777777" w:rsidTr="00154801">
                            <w:trPr>
                              <w:trHeight w:hRule="exact" w:val="197"/>
                            </w:trPr>
                            <w:tc>
                              <w:tcPr>
                                <w:tcW w:w="547" w:type="dxa"/>
                                <w:shd w:val="clear" w:color="auto" w:fill="FFFFFF"/>
                              </w:tcPr>
                              <w:p w14:paraId="52941844"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1673C16C"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53EDB6A6" w14:textId="77777777" w:rsidR="009D0C1D" w:rsidRDefault="009D0C1D" w:rsidP="00C801B2">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3953063" id="_x0000_t202" coordsize="21600,21600" o:spt="202" path="m,l,21600r21600,l21600,xe">
              <v:stroke joinstyle="miter"/>
              <v:path gradientshapeok="t" o:connecttype="rect"/>
            </v:shapetype>
            <v:shape id="_x0000_s1574" type="#_x0000_t202" style="position:absolute;margin-left:42pt;margin-top:803.25pt;width:307.5pt;height:11.3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" fillcolor="window" stroked="f" strokeweight=".5pt">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265"/>
                    </w:tblGrid>
                    <w:tr w:rsidR="009D0C1D" w:rsidRPr="00FC26B4" w14:paraId="71D0021B" w14:textId="77777777" w:rsidTr="00154801">
                      <w:trPr>
                        <w:trHeight w:hRule="exact" w:val="197"/>
                      </w:trPr>
                      <w:tc>
                        <w:tcPr>
                          <w:tcW w:w="547" w:type="dxa"/>
                          <w:shd w:val="clear" w:color="auto" w:fill="FFFFFF"/>
                        </w:tcPr>
                        <w:p w14:paraId="52941844"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1673C16C"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53EDB6A6" w14:textId="77777777" w:rsidR="009D0C1D" w:rsidRDefault="009D0C1D" w:rsidP="00C801B2">
                    <w:pPr>
                      <w:spacing w:line="17" w:lineRule="auto"/>
                      <w:jc w:val="both"/>
                    </w:pP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0BEE5" w14:textId="77777777" w:rsidR="009D0C1D" w:rsidRDefault="009D0C1D" w:rsidP="00C801B2">
    <w:pPr>
      <w:pStyle w:val="ab"/>
      <w:framePr w:wrap="none" w:vAnchor="page" w:hAnchor="page" w:x="10933" w:y="16064"/>
      <w:shd w:val="clear" w:color="auto" w:fill="auto"/>
    </w:pPr>
    <w:r>
      <w:t>v</w:t>
    </w:r>
  </w:p>
  <w:p w14:paraId="09C8178F" w14:textId="77777777" w:rsidR="009D0C1D" w:rsidRDefault="009D0C1D" w:rsidP="00C801B2">
    <w:pPr>
      <w:pStyle w:val="af2"/>
    </w:pPr>
    <w:r>
      <w:rPr>
        <w:noProof/>
      </w:rPr>
      <mc:AlternateContent>
        <mc:Choice Requires="wps">
          <w:drawing>
            <wp:anchor distT="0" distB="0" distL="114300" distR="114300" simplePos="0" relativeHeight="251806720" behindDoc="0" locked="0" layoutInCell="1" allowOverlap="1" wp14:anchorId="5C3C7D8C" wp14:editId="17A95155">
              <wp:simplePos x="0" y="0"/>
              <wp:positionH relativeFrom="page">
                <wp:posOffset>877401</wp:posOffset>
              </wp:positionH>
              <wp:positionV relativeFrom="page">
                <wp:posOffset>10201110</wp:posOffset>
              </wp:positionV>
              <wp:extent cx="6159676" cy="133200"/>
              <wp:effectExtent l="0" t="0" r="0" b="0"/>
              <wp:wrapNone/>
              <wp:docPr id="926952966"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BAD08A2" w14:textId="77777777" w:rsidTr="00D65E1C">
                            <w:trPr>
                              <w:trHeight w:hRule="exact" w:val="182"/>
                              <w:jc w:val="right"/>
                            </w:trPr>
                            <w:tc>
                              <w:tcPr>
                                <w:tcW w:w="9071" w:type="dxa"/>
                                <w:shd w:val="clear" w:color="auto" w:fill="FFFFFF"/>
                              </w:tcPr>
                              <w:p w14:paraId="63008B31" w14:textId="71730E00" w:rsidR="009D0C1D" w:rsidRDefault="009D0C1D" w:rsidP="00C801B2">
                                <w:pPr>
                                  <w:pStyle w:val="a6"/>
                                  <w:shd w:val="clear" w:color="auto" w:fill="auto"/>
                                  <w:jc w:val="right"/>
                                  <w:rPr>
                                    <w:sz w:val="15"/>
                                    <w:szCs w:val="15"/>
                                  </w:rPr>
                                </w:pPr>
                              </w:p>
                            </w:tc>
                            <w:tc>
                              <w:tcPr>
                                <w:tcW w:w="521" w:type="dxa"/>
                                <w:shd w:val="clear" w:color="auto" w:fill="FFFFFF"/>
                              </w:tcPr>
                              <w:p w14:paraId="26E8CA7E"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483105EB" w14:textId="77777777" w:rsidR="009D0C1D" w:rsidRDefault="009D0C1D" w:rsidP="00C801B2">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C3C7D8C" id="_x0000_t202" coordsize="21600,21600" o:spt="202" path="m,l,21600r21600,l21600,xe">
              <v:stroke joinstyle="miter"/>
              <v:path gradientshapeok="t" o:connecttype="rect"/>
            </v:shapetype>
            <v:shape id="_x0000_s1575" type="#_x0000_t202" style="position:absolute;margin-left:69.1pt;margin-top:803.25pt;width:485pt;height:10.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BAD08A2" w14:textId="77777777" w:rsidTr="00D65E1C">
                      <w:trPr>
                        <w:trHeight w:hRule="exact" w:val="182"/>
                        <w:jc w:val="right"/>
                      </w:trPr>
                      <w:tc>
                        <w:tcPr>
                          <w:tcW w:w="9071" w:type="dxa"/>
                          <w:shd w:val="clear" w:color="auto" w:fill="FFFFFF"/>
                        </w:tcPr>
                        <w:p w14:paraId="63008B31" w14:textId="71730E00" w:rsidR="009D0C1D" w:rsidRDefault="009D0C1D" w:rsidP="00C801B2">
                          <w:pPr>
                            <w:pStyle w:val="a6"/>
                            <w:shd w:val="clear" w:color="auto" w:fill="auto"/>
                            <w:jc w:val="right"/>
                            <w:rPr>
                              <w:sz w:val="15"/>
                              <w:szCs w:val="15"/>
                            </w:rPr>
                          </w:pPr>
                        </w:p>
                      </w:tc>
                      <w:tc>
                        <w:tcPr>
                          <w:tcW w:w="521" w:type="dxa"/>
                          <w:shd w:val="clear" w:color="auto" w:fill="FFFFFF"/>
                        </w:tcPr>
                        <w:p w14:paraId="26E8CA7E"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483105EB" w14:textId="77777777" w:rsidR="009D0C1D" w:rsidRDefault="009D0C1D" w:rsidP="00C801B2">
                    <w:pPr>
                      <w:spacing w:line="17" w:lineRule="auto"/>
                    </w:pP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82420" w14:textId="77777777" w:rsidR="009D0C1D" w:rsidRDefault="009D0C1D" w:rsidP="00C801B2">
    <w:pPr>
      <w:pStyle w:val="ab"/>
      <w:framePr w:wrap="none" w:vAnchor="page" w:hAnchor="page" w:x="10933" w:y="16064"/>
      <w:shd w:val="clear" w:color="auto" w:fill="auto"/>
    </w:pPr>
    <w:r>
      <w:t>v</w:t>
    </w:r>
  </w:p>
  <w:p w14:paraId="679EA5E8" w14:textId="77777777" w:rsidR="009D0C1D" w:rsidRDefault="009D0C1D" w:rsidP="00C801B2">
    <w:pPr>
      <w:pStyle w:val="af2"/>
    </w:pPr>
    <w:r>
      <w:rPr>
        <w:noProof/>
      </w:rPr>
      <mc:AlternateContent>
        <mc:Choice Requires="wps">
          <w:drawing>
            <wp:anchor distT="0" distB="0" distL="114300" distR="114300" simplePos="0" relativeHeight="251808768" behindDoc="0" locked="0" layoutInCell="1" allowOverlap="1" wp14:anchorId="4C4F9DA8" wp14:editId="256010D9">
              <wp:simplePos x="0" y="0"/>
              <wp:positionH relativeFrom="page">
                <wp:posOffset>877401</wp:posOffset>
              </wp:positionH>
              <wp:positionV relativeFrom="page">
                <wp:posOffset>10201110</wp:posOffset>
              </wp:positionV>
              <wp:extent cx="6159676" cy="133200"/>
              <wp:effectExtent l="0" t="0" r="0" b="0"/>
              <wp:wrapNone/>
              <wp:docPr id="2008807727"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687F4849" w14:textId="77777777" w:rsidTr="00D65E1C">
                            <w:trPr>
                              <w:trHeight w:hRule="exact" w:val="182"/>
                              <w:jc w:val="right"/>
                            </w:trPr>
                            <w:tc>
                              <w:tcPr>
                                <w:tcW w:w="9071" w:type="dxa"/>
                                <w:shd w:val="clear" w:color="auto" w:fill="FFFFFF"/>
                              </w:tcPr>
                              <w:p w14:paraId="033501BB" w14:textId="67A2055B" w:rsidR="009D0C1D" w:rsidRDefault="009D0C1D" w:rsidP="00C801B2">
                                <w:pPr>
                                  <w:pStyle w:val="a6"/>
                                  <w:jc w:val="right"/>
                                  <w:rPr>
                                    <w:sz w:val="15"/>
                                    <w:szCs w:val="15"/>
                                  </w:rPr>
                                </w:pPr>
                                <w:r>
                                  <w:rPr>
                                    <w:b w:val="0"/>
                                    <w:color w:val="019648"/>
                                    <w:sz w:val="15"/>
                                  </w:rPr>
                                  <w:t>4. Роль діагностичних тестів у багаторівневій лабораторній мережі</w:t>
                                </w:r>
                              </w:p>
                            </w:tc>
                            <w:tc>
                              <w:tcPr>
                                <w:tcW w:w="521" w:type="dxa"/>
                                <w:shd w:val="clear" w:color="auto" w:fill="FFFFFF"/>
                              </w:tcPr>
                              <w:p w14:paraId="23900E3F"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7605086C" w14:textId="77777777" w:rsidR="009D0C1D" w:rsidRDefault="009D0C1D" w:rsidP="00C801B2">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C4F9DA8" id="_x0000_t202" coordsize="21600,21600" o:spt="202" path="m,l,21600r21600,l21600,xe">
              <v:stroke joinstyle="miter"/>
              <v:path gradientshapeok="t" o:connecttype="rect"/>
            </v:shapetype>
            <v:shape id="_x0000_s1576" type="#_x0000_t202" style="position:absolute;margin-left:69.1pt;margin-top:803.25pt;width:485pt;height:10.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687F4849" w14:textId="77777777" w:rsidTr="00D65E1C">
                      <w:trPr>
                        <w:trHeight w:hRule="exact" w:val="182"/>
                        <w:jc w:val="right"/>
                      </w:trPr>
                      <w:tc>
                        <w:tcPr>
                          <w:tcW w:w="9071" w:type="dxa"/>
                          <w:shd w:val="clear" w:color="auto" w:fill="FFFFFF"/>
                        </w:tcPr>
                        <w:p w14:paraId="033501BB" w14:textId="67A2055B" w:rsidR="009D0C1D" w:rsidRDefault="009D0C1D" w:rsidP="00C801B2">
                          <w:pPr>
                            <w:pStyle w:val="a6"/>
                            <w:jc w:val="right"/>
                            <w:rPr>
                              <w:sz w:val="15"/>
                              <w:szCs w:val="15"/>
                            </w:rPr>
                          </w:pPr>
                          <w:r>
                            <w:rPr>
                              <w:b w:val="0"/>
                              <w:color w:val="019648"/>
                              <w:sz w:val="15"/>
                            </w:rPr>
                            <w:t>4. Роль діагностичних тестів у багаторівневій лабораторній мережі</w:t>
                          </w:r>
                        </w:p>
                      </w:tc>
                      <w:tc>
                        <w:tcPr>
                          <w:tcW w:w="521" w:type="dxa"/>
                          <w:shd w:val="clear" w:color="auto" w:fill="FFFFFF"/>
                        </w:tcPr>
                        <w:p w14:paraId="23900E3F"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7605086C" w14:textId="77777777" w:rsidR="009D0C1D" w:rsidRDefault="009D0C1D" w:rsidP="00C801B2">
                    <w:pPr>
                      <w:spacing w:line="17" w:lineRule="auto"/>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CC99C" w14:textId="77777777" w:rsidR="009D0C1D" w:rsidRDefault="009D0C1D" w:rsidP="00BA379B">
    <w:pPr>
      <w:pStyle w:val="ab"/>
      <w:framePr w:wrap="none" w:vAnchor="page" w:hAnchor="page" w:x="10933" w:y="16064"/>
      <w:shd w:val="clear" w:color="auto" w:fill="auto"/>
    </w:pPr>
    <w:r>
      <w:t>v</w:t>
    </w:r>
  </w:p>
  <w:p w14:paraId="21445EB9" w14:textId="08CBE2FC" w:rsidR="009D0C1D" w:rsidRPr="00BA379B" w:rsidRDefault="009D0C1D" w:rsidP="00BA379B">
    <w:pPr>
      <w:pStyle w:val="af2"/>
    </w:pPr>
    <w:r>
      <w:rPr>
        <w:noProof/>
      </w:rPr>
      <mc:AlternateContent>
        <mc:Choice Requires="wps">
          <w:drawing>
            <wp:anchor distT="0" distB="0" distL="114300" distR="114300" simplePos="0" relativeHeight="251665408" behindDoc="0" locked="0" layoutInCell="1" allowOverlap="1" wp14:anchorId="4460733B" wp14:editId="43317A39">
              <wp:simplePos x="0" y="0"/>
              <wp:positionH relativeFrom="page">
                <wp:posOffset>5328920</wp:posOffset>
              </wp:positionH>
              <wp:positionV relativeFrom="page">
                <wp:posOffset>10200005</wp:posOffset>
              </wp:positionV>
              <wp:extent cx="1710000" cy="133200"/>
              <wp:effectExtent l="0" t="0" r="5080" b="0"/>
              <wp:wrapNone/>
              <wp:docPr id="1397101690" name="Поле 2"/>
              <wp:cNvGraphicFramePr/>
              <a:graphic xmlns:a="http://schemas.openxmlformats.org/drawingml/2006/main">
                <a:graphicData uri="http://schemas.microsoft.com/office/word/2010/wordprocessingShape">
                  <wps:wsp>
                    <wps:cNvSpPr txBox="1"/>
                    <wps:spPr>
                      <a:xfrm>
                        <a:off x="0" y="0"/>
                        <a:ext cx="1710000" cy="133200"/>
                      </a:xfrm>
                      <a:prstGeom prst="rect">
                        <a:avLst/>
                      </a:prstGeom>
                      <a:solidFill>
                        <a:sysClr val="window" lastClr="FFFFFF"/>
                      </a:solidFill>
                      <a:ln w="6350">
                        <a:noFill/>
                      </a:ln>
                    </wps:spPr>
                    <wps:txbx>
                      <w:txbxContent>
                        <w:tbl>
                          <w:tblPr>
                            <w:tblOverlap w:val="never"/>
                            <w:tblW w:w="2677" w:type="dxa"/>
                            <w:jc w:val="right"/>
                            <w:tblLayout w:type="fixed"/>
                            <w:tblCellMar>
                              <w:left w:w="10" w:type="dxa"/>
                              <w:right w:w="10" w:type="dxa"/>
                            </w:tblCellMar>
                            <w:tblLook w:val="0000" w:firstRow="0" w:lastRow="0" w:firstColumn="0" w:lastColumn="0" w:noHBand="0" w:noVBand="0"/>
                          </w:tblPr>
                          <w:tblGrid>
                            <w:gridCol w:w="2156"/>
                            <w:gridCol w:w="521"/>
                          </w:tblGrid>
                          <w:tr w:rsidR="009D0C1D" w14:paraId="7069AED4" w14:textId="77777777" w:rsidTr="00BD21B8">
                            <w:trPr>
                              <w:trHeight w:hRule="exact" w:val="182"/>
                              <w:jc w:val="right"/>
                            </w:trPr>
                            <w:tc>
                              <w:tcPr>
                                <w:tcW w:w="2156" w:type="dxa"/>
                                <w:shd w:val="clear" w:color="auto" w:fill="FFFFFF"/>
                              </w:tcPr>
                              <w:p w14:paraId="2D664237" w14:textId="77777777" w:rsidR="009D0C1D" w:rsidRDefault="009D0C1D" w:rsidP="00BD21B8">
                                <w:pPr>
                                  <w:pStyle w:val="a6"/>
                                  <w:shd w:val="clear" w:color="auto" w:fill="auto"/>
                                  <w:jc w:val="right"/>
                                  <w:rPr>
                                    <w:sz w:val="15"/>
                                    <w:szCs w:val="15"/>
                                  </w:rPr>
                                </w:pPr>
                                <w:r>
                                  <w:rPr>
                                    <w:b w:val="0"/>
                                    <w:color w:val="019648"/>
                                    <w:sz w:val="15"/>
                                  </w:rPr>
                                  <w:t>Скорочення та абревіатури</w:t>
                                </w:r>
                              </w:p>
                            </w:tc>
                            <w:tc>
                              <w:tcPr>
                                <w:tcW w:w="521" w:type="dxa"/>
                                <w:shd w:val="clear" w:color="auto" w:fill="FFFFFF"/>
                              </w:tcPr>
                              <w:p w14:paraId="4706F173" w14:textId="43CD788A" w:rsidR="009D0C1D" w:rsidRDefault="009D0C1D" w:rsidP="00BD21B8">
                                <w:pPr>
                                  <w:pStyle w:val="a6"/>
                                  <w:shd w:val="clear" w:color="auto" w:fill="auto"/>
                                  <w:jc w:val="right"/>
                                  <w:rPr>
                                    <w:sz w:val="15"/>
                                    <w:szCs w:val="15"/>
                                  </w:rPr>
                                </w:pPr>
                                <w:r>
                                  <w:rPr>
                                    <w:b w:val="0"/>
                                    <w:color w:val="019648"/>
                                    <w:sz w:val="15"/>
                                  </w:rPr>
                                  <w:t>vii</w:t>
                                </w:r>
                              </w:p>
                            </w:tc>
                          </w:tr>
                        </w:tbl>
                        <w:p w14:paraId="2164E3FE" w14:textId="77777777" w:rsidR="009D0C1D" w:rsidRDefault="009D0C1D" w:rsidP="00BA379B">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460733B" id="_x0000_t202" coordsize="21600,21600" o:spt="202" path="m,l,21600r21600,l21600,xe">
              <v:stroke joinstyle="miter"/>
              <v:path gradientshapeok="t" o:connecttype="rect"/>
            </v:shapetype>
            <v:shape id="_x0000_s1553" type="#_x0000_t202" style="position:absolute;margin-left:419.6pt;margin-top:803.15pt;width:134.65pt;height:1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" fillcolor="window" stroked="f" strokeweight=".5pt">
              <v:textbox style="mso-fit-shape-to-text:t" inset="0,0,0,0">
                <w:txbxContent>
                  <w:tbl>
                    <w:tblPr>
                      <w:tblOverlap w:val="never"/>
                      <w:tblW w:w="2677" w:type="dxa"/>
                      <w:jc w:val="right"/>
                      <w:tblLayout w:type="fixed"/>
                      <w:tblCellMar>
                        <w:left w:w="10" w:type="dxa"/>
                        <w:right w:w="10" w:type="dxa"/>
                      </w:tblCellMar>
                      <w:tblLook w:val="0000" w:firstRow="0" w:lastRow="0" w:firstColumn="0" w:lastColumn="0" w:noHBand="0" w:noVBand="0"/>
                    </w:tblPr>
                    <w:tblGrid>
                      <w:gridCol w:w="2156"/>
                      <w:gridCol w:w="521"/>
                    </w:tblGrid>
                    <w:tr w:rsidR="009D0C1D" w14:paraId="7069AED4" w14:textId="77777777" w:rsidTr="00BD21B8">
                      <w:trPr>
                        <w:trHeight w:hRule="exact" w:val="182"/>
                        <w:jc w:val="right"/>
                      </w:trPr>
                      <w:tc>
                        <w:tcPr>
                          <w:tcW w:w="2156" w:type="dxa"/>
                          <w:shd w:val="clear" w:color="auto" w:fill="FFFFFF"/>
                        </w:tcPr>
                        <w:p w14:paraId="2D664237" w14:textId="77777777" w:rsidR="009D0C1D" w:rsidRDefault="009D0C1D" w:rsidP="00BD21B8">
                          <w:pPr>
                            <w:pStyle w:val="a6"/>
                            <w:shd w:val="clear" w:color="auto" w:fill="auto"/>
                            <w:jc w:val="right"/>
                            <w:rPr>
                              <w:sz w:val="15"/>
                              <w:szCs w:val="15"/>
                            </w:rPr>
                          </w:pPr>
                          <w:r>
                            <w:rPr>
                              <w:b w:val="0"/>
                              <w:color w:val="019648"/>
                              <w:sz w:val="15"/>
                            </w:rPr>
                            <w:t>Скорочення та абревіатури</w:t>
                          </w:r>
                        </w:p>
                      </w:tc>
                      <w:tc>
                        <w:tcPr>
                          <w:tcW w:w="521" w:type="dxa"/>
                          <w:shd w:val="clear" w:color="auto" w:fill="FFFFFF"/>
                        </w:tcPr>
                        <w:p w14:paraId="4706F173" w14:textId="43CD788A" w:rsidR="009D0C1D" w:rsidRDefault="009D0C1D" w:rsidP="00BD21B8">
                          <w:pPr>
                            <w:pStyle w:val="a6"/>
                            <w:shd w:val="clear" w:color="auto" w:fill="auto"/>
                            <w:jc w:val="right"/>
                            <w:rPr>
                              <w:sz w:val="15"/>
                              <w:szCs w:val="15"/>
                            </w:rPr>
                          </w:pPr>
                          <w:r>
                            <w:rPr>
                              <w:b w:val="0"/>
                              <w:color w:val="019648"/>
                              <w:sz w:val="15"/>
                            </w:rPr>
                            <w:t>vii</w:t>
                          </w:r>
                        </w:p>
                      </w:tc>
                    </w:tr>
                  </w:tbl>
                  <w:p w14:paraId="2164E3FE" w14:textId="77777777" w:rsidR="009D0C1D" w:rsidRDefault="009D0C1D" w:rsidP="00BA379B">
                    <w:pPr>
                      <w:spacing w:line="17" w:lineRule="auto"/>
                    </w:pP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EEC3F" w14:textId="77777777" w:rsidR="009D0C1D" w:rsidRDefault="009D0C1D" w:rsidP="00C801B2">
    <w:pPr>
      <w:pStyle w:val="ab"/>
      <w:framePr w:wrap="none" w:vAnchor="page" w:hAnchor="page" w:x="10933" w:y="16064"/>
      <w:shd w:val="clear" w:color="auto" w:fill="auto"/>
    </w:pPr>
    <w:r>
      <w:t>v</w:t>
    </w:r>
  </w:p>
  <w:p w14:paraId="253A05AE" w14:textId="77777777" w:rsidR="009D0C1D" w:rsidRDefault="009D0C1D" w:rsidP="00C801B2">
    <w:pPr>
      <w:pStyle w:val="af2"/>
    </w:pPr>
    <w:r>
      <w:rPr>
        <w:noProof/>
      </w:rPr>
      <mc:AlternateContent>
        <mc:Choice Requires="wps">
          <w:drawing>
            <wp:anchor distT="0" distB="0" distL="114300" distR="114300" simplePos="0" relativeHeight="251812864" behindDoc="0" locked="0" layoutInCell="1" allowOverlap="1" wp14:anchorId="3DF8A10E" wp14:editId="06475C73">
              <wp:simplePos x="0" y="0"/>
              <wp:positionH relativeFrom="page">
                <wp:posOffset>877401</wp:posOffset>
              </wp:positionH>
              <wp:positionV relativeFrom="page">
                <wp:posOffset>10201110</wp:posOffset>
              </wp:positionV>
              <wp:extent cx="6159676" cy="133200"/>
              <wp:effectExtent l="0" t="0" r="0" b="0"/>
              <wp:wrapNone/>
              <wp:docPr id="537567906"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7E3E3113" w14:textId="77777777" w:rsidTr="00D65E1C">
                            <w:trPr>
                              <w:trHeight w:hRule="exact" w:val="182"/>
                              <w:jc w:val="right"/>
                            </w:trPr>
                            <w:tc>
                              <w:tcPr>
                                <w:tcW w:w="9071" w:type="dxa"/>
                                <w:shd w:val="clear" w:color="auto" w:fill="FFFFFF"/>
                              </w:tcPr>
                              <w:p w14:paraId="73EDAC0E" w14:textId="78B4FA24" w:rsidR="009D0C1D" w:rsidRDefault="009D0C1D" w:rsidP="00C801B2">
                                <w:pPr>
                                  <w:pStyle w:val="a6"/>
                                  <w:jc w:val="right"/>
                                  <w:rPr>
                                    <w:sz w:val="15"/>
                                    <w:szCs w:val="15"/>
                                  </w:rPr>
                                </w:pPr>
                              </w:p>
                            </w:tc>
                            <w:tc>
                              <w:tcPr>
                                <w:tcW w:w="521" w:type="dxa"/>
                                <w:shd w:val="clear" w:color="auto" w:fill="FFFFFF"/>
                              </w:tcPr>
                              <w:p w14:paraId="7FEE9104"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32ED9206" w14:textId="77777777" w:rsidR="009D0C1D" w:rsidRDefault="009D0C1D" w:rsidP="00C801B2">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DF8A10E" id="_x0000_t202" coordsize="21600,21600" o:spt="202" path="m,l,21600r21600,l21600,xe">
              <v:stroke joinstyle="miter"/>
              <v:path gradientshapeok="t" o:connecttype="rect"/>
            </v:shapetype>
            <v:shape id="_x0000_s1577" type="#_x0000_t202" style="position:absolute;margin-left:69.1pt;margin-top:803.25pt;width:485pt;height:10.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7E3E3113" w14:textId="77777777" w:rsidTr="00D65E1C">
                      <w:trPr>
                        <w:trHeight w:hRule="exact" w:val="182"/>
                        <w:jc w:val="right"/>
                      </w:trPr>
                      <w:tc>
                        <w:tcPr>
                          <w:tcW w:w="9071" w:type="dxa"/>
                          <w:shd w:val="clear" w:color="auto" w:fill="FFFFFF"/>
                        </w:tcPr>
                        <w:p w14:paraId="73EDAC0E" w14:textId="78B4FA24" w:rsidR="009D0C1D" w:rsidRDefault="009D0C1D" w:rsidP="00C801B2">
                          <w:pPr>
                            <w:pStyle w:val="a6"/>
                            <w:jc w:val="right"/>
                            <w:rPr>
                              <w:sz w:val="15"/>
                              <w:szCs w:val="15"/>
                            </w:rPr>
                          </w:pPr>
                        </w:p>
                      </w:tc>
                      <w:tc>
                        <w:tcPr>
                          <w:tcW w:w="521" w:type="dxa"/>
                          <w:shd w:val="clear" w:color="auto" w:fill="FFFFFF"/>
                        </w:tcPr>
                        <w:p w14:paraId="7FEE9104"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32ED9206" w14:textId="77777777" w:rsidR="009D0C1D" w:rsidRDefault="009D0C1D" w:rsidP="00C801B2">
                    <w:pPr>
                      <w:spacing w:line="17" w:lineRule="auto"/>
                    </w:pP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F93C9" w14:textId="77777777" w:rsidR="009D0C1D" w:rsidRDefault="009D0C1D" w:rsidP="00C801B2">
    <w:pPr>
      <w:pStyle w:val="ab"/>
      <w:framePr w:wrap="none" w:vAnchor="page" w:hAnchor="page" w:x="10933" w:y="16064"/>
      <w:shd w:val="clear" w:color="auto" w:fill="auto"/>
    </w:pPr>
    <w:r>
      <w:t>v</w:t>
    </w:r>
  </w:p>
  <w:p w14:paraId="05C57152" w14:textId="77777777" w:rsidR="009D0C1D" w:rsidRDefault="009D0C1D" w:rsidP="00C801B2">
    <w:pPr>
      <w:pStyle w:val="af2"/>
    </w:pPr>
    <w:r>
      <w:rPr>
        <w:noProof/>
      </w:rPr>
      <mc:AlternateContent>
        <mc:Choice Requires="wps">
          <w:drawing>
            <wp:anchor distT="0" distB="0" distL="114300" distR="114300" simplePos="0" relativeHeight="251814912" behindDoc="0" locked="0" layoutInCell="1" allowOverlap="1" wp14:anchorId="02990E77" wp14:editId="44CC9D22">
              <wp:simplePos x="0" y="0"/>
              <wp:positionH relativeFrom="page">
                <wp:posOffset>877401</wp:posOffset>
              </wp:positionH>
              <wp:positionV relativeFrom="page">
                <wp:posOffset>10201110</wp:posOffset>
              </wp:positionV>
              <wp:extent cx="6159676" cy="133200"/>
              <wp:effectExtent l="0" t="0" r="0" b="0"/>
              <wp:wrapNone/>
              <wp:docPr id="235305274"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90C207F" w14:textId="77777777" w:rsidTr="00D65E1C">
                            <w:trPr>
                              <w:trHeight w:hRule="exact" w:val="182"/>
                              <w:jc w:val="right"/>
                            </w:trPr>
                            <w:tc>
                              <w:tcPr>
                                <w:tcW w:w="9071" w:type="dxa"/>
                                <w:shd w:val="clear" w:color="auto" w:fill="FFFFFF"/>
                              </w:tcPr>
                              <w:p w14:paraId="2BB99AFE" w14:textId="11F05595" w:rsidR="009D0C1D" w:rsidRDefault="009D0C1D" w:rsidP="00C801B2">
                                <w:pPr>
                                  <w:pStyle w:val="a6"/>
                                  <w:jc w:val="right"/>
                                  <w:rPr>
                                    <w:sz w:val="15"/>
                                    <w:szCs w:val="15"/>
                                  </w:rPr>
                                </w:pPr>
                                <w:r>
                                  <w:rPr>
                                    <w:b w:val="0"/>
                                    <w:color w:val="019648"/>
                                    <w:sz w:val="15"/>
                                  </w:rPr>
                                  <w:t>5. Етапи та процеси впровадження нового діагностичного тесту</w:t>
                                </w:r>
                              </w:p>
                            </w:tc>
                            <w:tc>
                              <w:tcPr>
                                <w:tcW w:w="521" w:type="dxa"/>
                                <w:shd w:val="clear" w:color="auto" w:fill="FFFFFF"/>
                              </w:tcPr>
                              <w:p w14:paraId="0A7BC39D"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71478665" w14:textId="77777777" w:rsidR="009D0C1D" w:rsidRDefault="009D0C1D" w:rsidP="00C801B2">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2990E77" id="_x0000_t202" coordsize="21600,21600" o:spt="202" path="m,l,21600r21600,l21600,xe">
              <v:stroke joinstyle="miter"/>
              <v:path gradientshapeok="t" o:connecttype="rect"/>
            </v:shapetype>
            <v:shape id="_x0000_s1578" type="#_x0000_t202" style="position:absolute;margin-left:69.1pt;margin-top:803.25pt;width:485pt;height:10.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90C207F" w14:textId="77777777" w:rsidTr="00D65E1C">
                      <w:trPr>
                        <w:trHeight w:hRule="exact" w:val="182"/>
                        <w:jc w:val="right"/>
                      </w:trPr>
                      <w:tc>
                        <w:tcPr>
                          <w:tcW w:w="9071" w:type="dxa"/>
                          <w:shd w:val="clear" w:color="auto" w:fill="FFFFFF"/>
                        </w:tcPr>
                        <w:p w14:paraId="2BB99AFE" w14:textId="11F05595" w:rsidR="009D0C1D" w:rsidRDefault="009D0C1D" w:rsidP="00C801B2">
                          <w:pPr>
                            <w:pStyle w:val="a6"/>
                            <w:jc w:val="right"/>
                            <w:rPr>
                              <w:sz w:val="15"/>
                              <w:szCs w:val="15"/>
                            </w:rPr>
                          </w:pPr>
                          <w:r>
                            <w:rPr>
                              <w:b w:val="0"/>
                              <w:color w:val="019648"/>
                              <w:sz w:val="15"/>
                            </w:rPr>
                            <w:t>5. Етапи та процеси впровадження нового діагностичного тесту</w:t>
                          </w:r>
                        </w:p>
                      </w:tc>
                      <w:tc>
                        <w:tcPr>
                          <w:tcW w:w="521" w:type="dxa"/>
                          <w:shd w:val="clear" w:color="auto" w:fill="FFFFFF"/>
                        </w:tcPr>
                        <w:p w14:paraId="0A7BC39D"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71478665" w14:textId="77777777" w:rsidR="009D0C1D" w:rsidRDefault="009D0C1D" w:rsidP="00C801B2">
                    <w:pPr>
                      <w:spacing w:line="17" w:lineRule="auto"/>
                    </w:pP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11702" w14:textId="77777777" w:rsidR="009D0C1D" w:rsidRDefault="009D0C1D" w:rsidP="00C801B2">
    <w:pPr>
      <w:pStyle w:val="ab"/>
      <w:framePr w:wrap="none" w:vAnchor="page" w:hAnchor="page" w:x="10933" w:y="16064"/>
      <w:shd w:val="clear" w:color="auto" w:fill="auto"/>
    </w:pPr>
    <w:r>
      <w:t>v</w:t>
    </w:r>
  </w:p>
  <w:p w14:paraId="025C9D5E" w14:textId="77777777" w:rsidR="009D0C1D" w:rsidRDefault="009D0C1D" w:rsidP="00C801B2">
    <w:pPr>
      <w:pStyle w:val="af2"/>
    </w:pPr>
    <w:r>
      <w:rPr>
        <w:noProof/>
      </w:rPr>
      <mc:AlternateContent>
        <mc:Choice Requires="wps">
          <w:drawing>
            <wp:anchor distT="0" distB="0" distL="114300" distR="114300" simplePos="0" relativeHeight="251816960" behindDoc="0" locked="0" layoutInCell="1" allowOverlap="1" wp14:anchorId="360DD95E" wp14:editId="4C58CA29">
              <wp:simplePos x="0" y="0"/>
              <wp:positionH relativeFrom="page">
                <wp:posOffset>877401</wp:posOffset>
              </wp:positionH>
              <wp:positionV relativeFrom="page">
                <wp:posOffset>10201110</wp:posOffset>
              </wp:positionV>
              <wp:extent cx="6159676" cy="133200"/>
              <wp:effectExtent l="0" t="0" r="0" b="0"/>
              <wp:wrapNone/>
              <wp:docPr id="1809578591"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FE54B02" w14:textId="77777777" w:rsidTr="00D65E1C">
                            <w:trPr>
                              <w:trHeight w:hRule="exact" w:val="182"/>
                              <w:jc w:val="right"/>
                            </w:trPr>
                            <w:tc>
                              <w:tcPr>
                                <w:tcW w:w="9071" w:type="dxa"/>
                                <w:shd w:val="clear" w:color="auto" w:fill="FFFFFF"/>
                              </w:tcPr>
                              <w:p w14:paraId="4DF9F04A" w14:textId="4C7CDF3B" w:rsidR="009D0C1D" w:rsidRDefault="009D0C1D" w:rsidP="00C801B2">
                                <w:pPr>
                                  <w:pStyle w:val="a6"/>
                                  <w:jc w:val="right"/>
                                  <w:rPr>
                                    <w:sz w:val="15"/>
                                    <w:szCs w:val="15"/>
                                  </w:rPr>
                                </w:pPr>
                              </w:p>
                            </w:tc>
                            <w:tc>
                              <w:tcPr>
                                <w:tcW w:w="521" w:type="dxa"/>
                                <w:shd w:val="clear" w:color="auto" w:fill="FFFFFF"/>
                              </w:tcPr>
                              <w:p w14:paraId="088420A7"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2A7B693D" w14:textId="77777777" w:rsidR="009D0C1D" w:rsidRDefault="009D0C1D" w:rsidP="00C801B2">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60DD95E" id="_x0000_t202" coordsize="21600,21600" o:spt="202" path="m,l,21600r21600,l21600,xe">
              <v:stroke joinstyle="miter"/>
              <v:path gradientshapeok="t" o:connecttype="rect"/>
            </v:shapetype>
            <v:shape id="_x0000_s1579" type="#_x0000_t202" style="position:absolute;margin-left:69.1pt;margin-top:803.25pt;width:485pt;height:10.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FE54B02" w14:textId="77777777" w:rsidTr="00D65E1C">
                      <w:trPr>
                        <w:trHeight w:hRule="exact" w:val="182"/>
                        <w:jc w:val="right"/>
                      </w:trPr>
                      <w:tc>
                        <w:tcPr>
                          <w:tcW w:w="9071" w:type="dxa"/>
                          <w:shd w:val="clear" w:color="auto" w:fill="FFFFFF"/>
                        </w:tcPr>
                        <w:p w14:paraId="4DF9F04A" w14:textId="4C7CDF3B" w:rsidR="009D0C1D" w:rsidRDefault="009D0C1D" w:rsidP="00C801B2">
                          <w:pPr>
                            <w:pStyle w:val="a6"/>
                            <w:jc w:val="right"/>
                            <w:rPr>
                              <w:sz w:val="15"/>
                              <w:szCs w:val="15"/>
                            </w:rPr>
                          </w:pPr>
                        </w:p>
                      </w:tc>
                      <w:tc>
                        <w:tcPr>
                          <w:tcW w:w="521" w:type="dxa"/>
                          <w:shd w:val="clear" w:color="auto" w:fill="FFFFFF"/>
                        </w:tcPr>
                        <w:p w14:paraId="088420A7"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2A7B693D" w14:textId="77777777" w:rsidR="009D0C1D" w:rsidRDefault="009D0C1D" w:rsidP="00C801B2">
                    <w:pPr>
                      <w:spacing w:line="17" w:lineRule="auto"/>
                    </w:pP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BC8AC" w14:textId="77777777" w:rsidR="009D0C1D" w:rsidRDefault="009D0C1D" w:rsidP="00C801B2">
    <w:pPr>
      <w:pStyle w:val="ab"/>
      <w:framePr w:wrap="none" w:vAnchor="page" w:hAnchor="page" w:x="10933" w:y="16064"/>
      <w:shd w:val="clear" w:color="auto" w:fill="auto"/>
    </w:pPr>
    <w:r>
      <w:t>v</w:t>
    </w:r>
  </w:p>
  <w:p w14:paraId="3CFE4327" w14:textId="77777777" w:rsidR="009D0C1D" w:rsidRDefault="009D0C1D" w:rsidP="00C801B2">
    <w:pPr>
      <w:pStyle w:val="af2"/>
    </w:pPr>
    <w:r>
      <w:rPr>
        <w:noProof/>
      </w:rPr>
      <mc:AlternateContent>
        <mc:Choice Requires="wps">
          <w:drawing>
            <wp:anchor distT="0" distB="0" distL="114300" distR="114300" simplePos="0" relativeHeight="251819008" behindDoc="0" locked="0" layoutInCell="1" allowOverlap="1" wp14:anchorId="016312C0" wp14:editId="50D31296">
              <wp:simplePos x="0" y="0"/>
              <wp:positionH relativeFrom="page">
                <wp:posOffset>877401</wp:posOffset>
              </wp:positionH>
              <wp:positionV relativeFrom="page">
                <wp:posOffset>10201110</wp:posOffset>
              </wp:positionV>
              <wp:extent cx="6159676" cy="133200"/>
              <wp:effectExtent l="0" t="0" r="0" b="0"/>
              <wp:wrapNone/>
              <wp:docPr id="922584182"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165C08A8" w14:textId="77777777" w:rsidTr="00D65E1C">
                            <w:trPr>
                              <w:trHeight w:hRule="exact" w:val="182"/>
                              <w:jc w:val="right"/>
                            </w:trPr>
                            <w:tc>
                              <w:tcPr>
                                <w:tcW w:w="9071" w:type="dxa"/>
                                <w:shd w:val="clear" w:color="auto" w:fill="FFFFFF"/>
                              </w:tcPr>
                              <w:p w14:paraId="0076BC85" w14:textId="1CB85FEF" w:rsidR="009D0C1D" w:rsidRDefault="009D0C1D" w:rsidP="00C801B2">
                                <w:pPr>
                                  <w:pStyle w:val="a6"/>
                                  <w:jc w:val="right"/>
                                  <w:rPr>
                                    <w:sz w:val="15"/>
                                    <w:szCs w:val="15"/>
                                  </w:rPr>
                                </w:pPr>
                                <w:r>
                                  <w:rPr>
                                    <w:b w:val="0"/>
                                    <w:color w:val="019648"/>
                                    <w:sz w:val="15"/>
                                  </w:rPr>
                                  <w:t>6. Модельні алгоритми</w:t>
                                </w:r>
                              </w:p>
                            </w:tc>
                            <w:tc>
                              <w:tcPr>
                                <w:tcW w:w="521" w:type="dxa"/>
                                <w:shd w:val="clear" w:color="auto" w:fill="FFFFFF"/>
                              </w:tcPr>
                              <w:p w14:paraId="662AE33A"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63C4D924" w14:textId="77777777" w:rsidR="009D0C1D" w:rsidRDefault="009D0C1D" w:rsidP="00C801B2">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16312C0" id="_x0000_t202" coordsize="21600,21600" o:spt="202" path="m,l,21600r21600,l21600,xe">
              <v:stroke joinstyle="miter"/>
              <v:path gradientshapeok="t" o:connecttype="rect"/>
            </v:shapetype>
            <v:shape id="_x0000_s1580" type="#_x0000_t202" style="position:absolute;margin-left:69.1pt;margin-top:803.25pt;width:485pt;height:10.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165C08A8" w14:textId="77777777" w:rsidTr="00D65E1C">
                      <w:trPr>
                        <w:trHeight w:hRule="exact" w:val="182"/>
                        <w:jc w:val="right"/>
                      </w:trPr>
                      <w:tc>
                        <w:tcPr>
                          <w:tcW w:w="9071" w:type="dxa"/>
                          <w:shd w:val="clear" w:color="auto" w:fill="FFFFFF"/>
                        </w:tcPr>
                        <w:p w14:paraId="0076BC85" w14:textId="1CB85FEF" w:rsidR="009D0C1D" w:rsidRDefault="009D0C1D" w:rsidP="00C801B2">
                          <w:pPr>
                            <w:pStyle w:val="a6"/>
                            <w:jc w:val="right"/>
                            <w:rPr>
                              <w:sz w:val="15"/>
                              <w:szCs w:val="15"/>
                            </w:rPr>
                          </w:pPr>
                          <w:r>
                            <w:rPr>
                              <w:b w:val="0"/>
                              <w:color w:val="019648"/>
                              <w:sz w:val="15"/>
                            </w:rPr>
                            <w:t>6. Модельні алгоритми</w:t>
                          </w:r>
                        </w:p>
                      </w:tc>
                      <w:tc>
                        <w:tcPr>
                          <w:tcW w:w="521" w:type="dxa"/>
                          <w:shd w:val="clear" w:color="auto" w:fill="FFFFFF"/>
                        </w:tcPr>
                        <w:p w14:paraId="662AE33A"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63C4D924" w14:textId="77777777" w:rsidR="009D0C1D" w:rsidRDefault="009D0C1D" w:rsidP="00C801B2">
                    <w:pPr>
                      <w:spacing w:line="17" w:lineRule="auto"/>
                    </w:pP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8A19F" w14:textId="2913337E" w:rsidR="009D0C1D" w:rsidRPr="00FA737B" w:rsidRDefault="009D0C1D" w:rsidP="00FA737B">
    <w:pPr>
      <w:pStyle w:val="af2"/>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EAD2A" w14:textId="2ECA2F0B" w:rsidR="009D0C1D" w:rsidRPr="00FA737B" w:rsidRDefault="009D0C1D" w:rsidP="00FA737B">
    <w:pPr>
      <w:pStyle w:val="af2"/>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B3C1E" w14:textId="77777777" w:rsidR="009D0C1D" w:rsidRPr="00BD21B8" w:rsidRDefault="009D0C1D" w:rsidP="00BD21B8">
    <w:pPr>
      <w:pStyle w:val="af2"/>
    </w:pPr>
    <w:r>
      <w:rPr>
        <w:noProof/>
      </w:rPr>
      <mc:AlternateContent>
        <mc:Choice Requires="wps">
          <w:drawing>
            <wp:anchor distT="0" distB="0" distL="114300" distR="114300" simplePos="0" relativeHeight="251741184" behindDoc="0" locked="0" layoutInCell="1" allowOverlap="1" wp14:anchorId="245E49C1" wp14:editId="2D3A1872">
              <wp:simplePos x="0" y="0"/>
              <wp:positionH relativeFrom="page">
                <wp:posOffset>533400</wp:posOffset>
              </wp:positionH>
              <wp:positionV relativeFrom="page">
                <wp:posOffset>10203180</wp:posOffset>
              </wp:positionV>
              <wp:extent cx="4168800" cy="144000"/>
              <wp:effectExtent l="0" t="0" r="3175" b="8255"/>
              <wp:wrapNone/>
              <wp:docPr id="1981686953" name="Поле 2"/>
              <wp:cNvGraphicFramePr/>
              <a:graphic xmlns:a="http://schemas.openxmlformats.org/drawingml/2006/main">
                <a:graphicData uri="http://schemas.microsoft.com/office/word/2010/wordprocessingShape">
                  <wps:wsp>
                    <wps:cNvSpPr txBox="1"/>
                    <wps:spPr>
                      <a:xfrm>
                        <a:off x="0" y="0"/>
                        <a:ext cx="4168800" cy="144000"/>
                      </a:xfrm>
                      <a:prstGeom prst="rect">
                        <a:avLst/>
                      </a:prstGeom>
                      <a:solidFill>
                        <a:sysClr val="window" lastClr="FFFFFF"/>
                      </a:solidFill>
                      <a:ln w="6350">
                        <a:noFill/>
                      </a:ln>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407"/>
                          </w:tblGrid>
                          <w:tr w:rsidR="009D0C1D" w:rsidRPr="00FC26B4" w14:paraId="21D1A558" w14:textId="77777777" w:rsidTr="00295DBB">
                            <w:trPr>
                              <w:trHeight w:hRule="exact" w:val="197"/>
                            </w:trPr>
                            <w:tc>
                              <w:tcPr>
                                <w:tcW w:w="547" w:type="dxa"/>
                                <w:shd w:val="clear" w:color="auto" w:fill="FFFFFF"/>
                              </w:tcPr>
                              <w:p w14:paraId="086D0D9B"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407" w:type="dxa"/>
                                <w:shd w:val="clear" w:color="auto" w:fill="FFFFFF"/>
                              </w:tcPr>
                              <w:p w14:paraId="5AAFB578"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02C0F844" w14:textId="77777777" w:rsidR="009D0C1D" w:rsidRDefault="009D0C1D" w:rsidP="00FC26B4">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45E49C1" id="_x0000_t202" coordsize="21600,21600" o:spt="202" path="m,l,21600r21600,l21600,xe">
              <v:stroke joinstyle="miter"/>
              <v:path gradientshapeok="t" o:connecttype="rect"/>
            </v:shapetype>
            <v:shape id="_x0000_s1581" type="#_x0000_t202" style="position:absolute;margin-left:42pt;margin-top:803.4pt;width:328.25pt;height:11.3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" fillcolor="window" stroked="f" strokeweight=".5pt">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407"/>
                    </w:tblGrid>
                    <w:tr w:rsidR="009D0C1D" w:rsidRPr="00FC26B4" w14:paraId="21D1A558" w14:textId="77777777" w:rsidTr="00295DBB">
                      <w:trPr>
                        <w:trHeight w:hRule="exact" w:val="197"/>
                      </w:trPr>
                      <w:tc>
                        <w:tcPr>
                          <w:tcW w:w="547" w:type="dxa"/>
                          <w:shd w:val="clear" w:color="auto" w:fill="FFFFFF"/>
                        </w:tcPr>
                        <w:p w14:paraId="086D0D9B"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407" w:type="dxa"/>
                          <w:shd w:val="clear" w:color="auto" w:fill="FFFFFF"/>
                        </w:tcPr>
                        <w:p w14:paraId="5AAFB578"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02C0F844" w14:textId="77777777" w:rsidR="009D0C1D" w:rsidRDefault="009D0C1D" w:rsidP="00FC26B4">
                    <w:pPr>
                      <w:spacing w:line="17" w:lineRule="auto"/>
                      <w:jc w:val="both"/>
                    </w:pP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26D7D" w14:textId="77777777" w:rsidR="009D0C1D" w:rsidRDefault="009D0C1D" w:rsidP="00C801B2">
    <w:pPr>
      <w:pStyle w:val="ab"/>
      <w:framePr w:wrap="none" w:vAnchor="page" w:hAnchor="page" w:x="10933" w:y="16064"/>
      <w:shd w:val="clear" w:color="auto" w:fill="auto"/>
    </w:pPr>
    <w:r>
      <w:t>v</w:t>
    </w:r>
  </w:p>
  <w:p w14:paraId="11AF46D4" w14:textId="77777777" w:rsidR="009D0C1D" w:rsidRDefault="009D0C1D" w:rsidP="00C801B2">
    <w:pPr>
      <w:pStyle w:val="af2"/>
    </w:pPr>
    <w:r>
      <w:rPr>
        <w:noProof/>
      </w:rPr>
      <mc:AlternateContent>
        <mc:Choice Requires="wps">
          <w:drawing>
            <wp:anchor distT="0" distB="0" distL="114300" distR="114300" simplePos="0" relativeHeight="251821056" behindDoc="0" locked="0" layoutInCell="1" allowOverlap="1" wp14:anchorId="0C3CF482" wp14:editId="197CC944">
              <wp:simplePos x="0" y="0"/>
              <wp:positionH relativeFrom="page">
                <wp:posOffset>877401</wp:posOffset>
              </wp:positionH>
              <wp:positionV relativeFrom="page">
                <wp:posOffset>10201110</wp:posOffset>
              </wp:positionV>
              <wp:extent cx="6159676" cy="133200"/>
              <wp:effectExtent l="0" t="0" r="0" b="0"/>
              <wp:wrapNone/>
              <wp:docPr id="873461926"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0505CC4A" w14:textId="77777777" w:rsidTr="00D65E1C">
                            <w:trPr>
                              <w:trHeight w:hRule="exact" w:val="182"/>
                              <w:jc w:val="right"/>
                            </w:trPr>
                            <w:tc>
                              <w:tcPr>
                                <w:tcW w:w="9071" w:type="dxa"/>
                                <w:shd w:val="clear" w:color="auto" w:fill="FFFFFF"/>
                              </w:tcPr>
                              <w:p w14:paraId="4B73A183" w14:textId="4BDBF2F0" w:rsidR="009D0C1D" w:rsidRDefault="009D0C1D" w:rsidP="00C801B2">
                                <w:pPr>
                                  <w:pStyle w:val="a6"/>
                                  <w:jc w:val="right"/>
                                  <w:rPr>
                                    <w:sz w:val="15"/>
                                    <w:szCs w:val="15"/>
                                  </w:rPr>
                                </w:pPr>
                                <w:r>
                                  <w:rPr>
                                    <w:b w:val="0"/>
                                    <w:color w:val="019648"/>
                                    <w:sz w:val="15"/>
                                  </w:rPr>
                                  <w:t>6. Модельні алгоритми</w:t>
                                </w:r>
                              </w:p>
                            </w:tc>
                            <w:tc>
                              <w:tcPr>
                                <w:tcW w:w="521" w:type="dxa"/>
                                <w:shd w:val="clear" w:color="auto" w:fill="FFFFFF"/>
                              </w:tcPr>
                              <w:p w14:paraId="2E08071E"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4A7AE3D0" w14:textId="77777777" w:rsidR="009D0C1D" w:rsidRDefault="009D0C1D" w:rsidP="00C801B2">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C3CF482" id="_x0000_t202" coordsize="21600,21600" o:spt="202" path="m,l,21600r21600,l21600,xe">
              <v:stroke joinstyle="miter"/>
              <v:path gradientshapeok="t" o:connecttype="rect"/>
            </v:shapetype>
            <v:shape id="_x0000_s1582" type="#_x0000_t202" style="position:absolute;margin-left:69.1pt;margin-top:803.25pt;width:485pt;height:10.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0505CC4A" w14:textId="77777777" w:rsidTr="00D65E1C">
                      <w:trPr>
                        <w:trHeight w:hRule="exact" w:val="182"/>
                        <w:jc w:val="right"/>
                      </w:trPr>
                      <w:tc>
                        <w:tcPr>
                          <w:tcW w:w="9071" w:type="dxa"/>
                          <w:shd w:val="clear" w:color="auto" w:fill="FFFFFF"/>
                        </w:tcPr>
                        <w:p w14:paraId="4B73A183" w14:textId="4BDBF2F0" w:rsidR="009D0C1D" w:rsidRDefault="009D0C1D" w:rsidP="00C801B2">
                          <w:pPr>
                            <w:pStyle w:val="a6"/>
                            <w:jc w:val="right"/>
                            <w:rPr>
                              <w:sz w:val="15"/>
                              <w:szCs w:val="15"/>
                            </w:rPr>
                          </w:pPr>
                          <w:r>
                            <w:rPr>
                              <w:b w:val="0"/>
                              <w:color w:val="019648"/>
                              <w:sz w:val="15"/>
                            </w:rPr>
                            <w:t>6. Модельні алгоритми</w:t>
                          </w:r>
                        </w:p>
                      </w:tc>
                      <w:tc>
                        <w:tcPr>
                          <w:tcW w:w="521" w:type="dxa"/>
                          <w:shd w:val="clear" w:color="auto" w:fill="FFFFFF"/>
                        </w:tcPr>
                        <w:p w14:paraId="2E08071E"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4A7AE3D0" w14:textId="77777777" w:rsidR="009D0C1D" w:rsidRDefault="009D0C1D" w:rsidP="00C801B2">
                    <w:pPr>
                      <w:spacing w:line="17" w:lineRule="auto"/>
                    </w:pP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9853A" w14:textId="6E9D486C" w:rsidR="009D0C1D" w:rsidRPr="00FA737B" w:rsidRDefault="009D0C1D" w:rsidP="00FA737B">
    <w:pPr>
      <w:pStyle w:val="af2"/>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D7A4" w14:textId="77777777" w:rsidR="009D0C1D" w:rsidRPr="00BD21B8" w:rsidRDefault="009D0C1D" w:rsidP="00BD21B8">
    <w:pPr>
      <w:pStyle w:val="af2"/>
    </w:pPr>
    <w:r>
      <w:rPr>
        <w:noProof/>
      </w:rPr>
      <mc:AlternateContent>
        <mc:Choice Requires="wps">
          <w:drawing>
            <wp:anchor distT="0" distB="0" distL="114300" distR="114300" simplePos="0" relativeHeight="251747328" behindDoc="0" locked="0" layoutInCell="1" allowOverlap="1" wp14:anchorId="26FC95C2" wp14:editId="20DB8C1D">
              <wp:simplePos x="0" y="0"/>
              <wp:positionH relativeFrom="page">
                <wp:posOffset>533400</wp:posOffset>
              </wp:positionH>
              <wp:positionV relativeFrom="page">
                <wp:posOffset>10203180</wp:posOffset>
              </wp:positionV>
              <wp:extent cx="3924000" cy="144000"/>
              <wp:effectExtent l="0" t="0" r="635" b="8255"/>
              <wp:wrapNone/>
              <wp:docPr id="1303408810" name="Поле 2"/>
              <wp:cNvGraphicFramePr/>
              <a:graphic xmlns:a="http://schemas.openxmlformats.org/drawingml/2006/main">
                <a:graphicData uri="http://schemas.microsoft.com/office/word/2010/wordprocessingShape">
                  <wps:wsp>
                    <wps:cNvSpPr txBox="1"/>
                    <wps:spPr>
                      <a:xfrm>
                        <a:off x="0" y="0"/>
                        <a:ext cx="3924000" cy="144000"/>
                      </a:xfrm>
                      <a:prstGeom prst="rect">
                        <a:avLst/>
                      </a:prstGeom>
                      <a:solidFill>
                        <a:sysClr val="window" lastClr="FFFFFF"/>
                      </a:solidFill>
                      <a:ln w="6350">
                        <a:noFill/>
                      </a:ln>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265"/>
                          </w:tblGrid>
                          <w:tr w:rsidR="009D0C1D" w:rsidRPr="00FC26B4" w14:paraId="5B960970" w14:textId="77777777" w:rsidTr="00D77994">
                            <w:trPr>
                              <w:trHeight w:hRule="exact" w:val="197"/>
                            </w:trPr>
                            <w:tc>
                              <w:tcPr>
                                <w:tcW w:w="547" w:type="dxa"/>
                                <w:shd w:val="clear" w:color="auto" w:fill="FFFFFF"/>
                              </w:tcPr>
                              <w:p w14:paraId="12A05132"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2B579FB1"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25F4FA1C" w14:textId="77777777" w:rsidR="009D0C1D" w:rsidRDefault="009D0C1D" w:rsidP="00FC26B4">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6FC95C2" id="_x0000_t202" coordsize="21600,21600" o:spt="202" path="m,l,21600r21600,l21600,xe">
              <v:stroke joinstyle="miter"/>
              <v:path gradientshapeok="t" o:connecttype="rect"/>
            </v:shapetype>
            <v:shape id="_x0000_s1583" type="#_x0000_t202" style="position:absolute;margin-left:42pt;margin-top:803.4pt;width:309pt;height:11.3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" fillcolor="window" stroked="f" strokeweight=".5pt">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265"/>
                    </w:tblGrid>
                    <w:tr w:rsidR="009D0C1D" w:rsidRPr="00FC26B4" w14:paraId="5B960970" w14:textId="77777777" w:rsidTr="00D77994">
                      <w:trPr>
                        <w:trHeight w:hRule="exact" w:val="197"/>
                      </w:trPr>
                      <w:tc>
                        <w:tcPr>
                          <w:tcW w:w="547" w:type="dxa"/>
                          <w:shd w:val="clear" w:color="auto" w:fill="FFFFFF"/>
                        </w:tcPr>
                        <w:p w14:paraId="12A05132"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2B579FB1"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25F4FA1C" w14:textId="77777777" w:rsidR="009D0C1D" w:rsidRDefault="009D0C1D" w:rsidP="00FC26B4">
                    <w:pPr>
                      <w:spacing w:line="17" w:lineRule="auto"/>
                      <w:jc w:val="both"/>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67CE6" w14:textId="77777777" w:rsidR="009D0C1D" w:rsidRPr="00BD21B8" w:rsidRDefault="009D0C1D" w:rsidP="00BA379B">
    <w:pPr>
      <w:pStyle w:val="af2"/>
    </w:pPr>
    <w:r>
      <w:rPr>
        <w:noProof/>
      </w:rPr>
      <mc:AlternateContent>
        <mc:Choice Requires="wps">
          <w:drawing>
            <wp:anchor distT="0" distB="0" distL="114300" distR="114300" simplePos="0" relativeHeight="251663360" behindDoc="0" locked="0" layoutInCell="1" allowOverlap="1" wp14:anchorId="1A7245B8" wp14:editId="41E79A58">
              <wp:simplePos x="0" y="0"/>
              <wp:positionH relativeFrom="page">
                <wp:posOffset>533400</wp:posOffset>
              </wp:positionH>
              <wp:positionV relativeFrom="page">
                <wp:posOffset>10201910</wp:posOffset>
              </wp:positionV>
              <wp:extent cx="3700800" cy="176400"/>
              <wp:effectExtent l="0" t="0" r="0" b="0"/>
              <wp:wrapNone/>
              <wp:docPr id="1599574055" name="Поле 2"/>
              <wp:cNvGraphicFramePr/>
              <a:graphic xmlns:a="http://schemas.openxmlformats.org/drawingml/2006/main">
                <a:graphicData uri="http://schemas.microsoft.com/office/word/2010/wordprocessingShape">
                  <wps:wsp>
                    <wps:cNvSpPr txBox="1"/>
                    <wps:spPr>
                      <a:xfrm>
                        <a:off x="0" y="0"/>
                        <a:ext cx="3700800" cy="176400"/>
                      </a:xfrm>
                      <a:prstGeom prst="rect">
                        <a:avLst/>
                      </a:prstGeom>
                      <a:solidFill>
                        <a:sysClr val="window" lastClr="FFFFFF"/>
                      </a:solidFill>
                      <a:ln w="6350">
                        <a:noFill/>
                      </a:ln>
                    </wps:spPr>
                    <wps:txbx>
                      <w:txbxContent>
                        <w:tbl>
                          <w:tblPr>
                            <w:tblOverlap w:val="never"/>
                            <w:tblW w:w="5812" w:type="dxa"/>
                            <w:tblLayout w:type="fixed"/>
                            <w:tblCellMar>
                              <w:left w:w="10" w:type="dxa"/>
                              <w:right w:w="10" w:type="dxa"/>
                            </w:tblCellMar>
                            <w:tblLook w:val="0000" w:firstRow="0" w:lastRow="0" w:firstColumn="0" w:lastColumn="0" w:noHBand="0" w:noVBand="0"/>
                          </w:tblPr>
                          <w:tblGrid>
                            <w:gridCol w:w="547"/>
                            <w:gridCol w:w="5265"/>
                          </w:tblGrid>
                          <w:tr w:rsidR="009D0C1D" w:rsidRPr="00FC26B4" w14:paraId="04B308AA" w14:textId="77777777" w:rsidTr="008278DD">
                            <w:trPr>
                              <w:trHeight w:hRule="exact" w:val="197"/>
                            </w:trPr>
                            <w:tc>
                              <w:tcPr>
                                <w:tcW w:w="547" w:type="dxa"/>
                                <w:shd w:val="clear" w:color="auto" w:fill="FFFFFF"/>
                              </w:tcPr>
                              <w:p w14:paraId="42CC7E21" w14:textId="4B2AAAEC" w:rsidR="009D0C1D" w:rsidRPr="00FC26B4" w:rsidRDefault="009D0C1D" w:rsidP="00FC26B4">
                                <w:pPr>
                                  <w:rPr>
                                    <w:color w:val="019648"/>
                                    <w:sz w:val="15"/>
                                    <w:szCs w:val="15"/>
                                  </w:rPr>
                                </w:pPr>
                                <w:r>
                                  <w:rPr>
                                    <w:color w:val="019648"/>
                                    <w:sz w:val="15"/>
                                  </w:rPr>
                                  <w:t>viii</w:t>
                                </w:r>
                              </w:p>
                            </w:tc>
                            <w:tc>
                              <w:tcPr>
                                <w:tcW w:w="5265" w:type="dxa"/>
                                <w:shd w:val="clear" w:color="auto" w:fill="FFFFFF"/>
                              </w:tcPr>
                              <w:p w14:paraId="3A0FA17D"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63600379" w14:textId="77777777" w:rsidR="009D0C1D" w:rsidRDefault="009D0C1D" w:rsidP="00BA379B">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245B8" id="_x0000_t202" coordsize="21600,21600" o:spt="202" path="m,l,21600r21600,l21600,xe">
              <v:stroke joinstyle="miter"/>
              <v:path gradientshapeok="t" o:connecttype="rect"/>
            </v:shapetype>
            <v:shape id="_x0000_s1554" type="#_x0000_t202" style="position:absolute;margin-left:42pt;margin-top:803.3pt;width:291.4pt;height:13.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" fillcolor="window" stroked="f" strokeweight=".5pt">
              <v:textbox inset="0,0,0,0">
                <w:txbxContent>
                  <w:tbl>
                    <w:tblPr>
                      <w:tblOverlap w:val="never"/>
                      <w:tblW w:w="5812" w:type="dxa"/>
                      <w:tblLayout w:type="fixed"/>
                      <w:tblCellMar>
                        <w:left w:w="10" w:type="dxa"/>
                        <w:right w:w="10" w:type="dxa"/>
                      </w:tblCellMar>
                      <w:tblLook w:val="0000" w:firstRow="0" w:lastRow="0" w:firstColumn="0" w:lastColumn="0" w:noHBand="0" w:noVBand="0"/>
                    </w:tblPr>
                    <w:tblGrid>
                      <w:gridCol w:w="547"/>
                      <w:gridCol w:w="5265"/>
                    </w:tblGrid>
                    <w:tr w:rsidR="009D0C1D" w:rsidRPr="00FC26B4" w14:paraId="04B308AA" w14:textId="77777777" w:rsidTr="008278DD">
                      <w:trPr>
                        <w:trHeight w:hRule="exact" w:val="197"/>
                      </w:trPr>
                      <w:tc>
                        <w:tcPr>
                          <w:tcW w:w="547" w:type="dxa"/>
                          <w:shd w:val="clear" w:color="auto" w:fill="FFFFFF"/>
                        </w:tcPr>
                        <w:p w14:paraId="42CC7E21" w14:textId="4B2AAAEC" w:rsidR="009D0C1D" w:rsidRPr="00FC26B4" w:rsidRDefault="009D0C1D" w:rsidP="00FC26B4">
                          <w:pPr>
                            <w:rPr>
                              <w:color w:val="019648"/>
                              <w:sz w:val="15"/>
                              <w:szCs w:val="15"/>
                            </w:rPr>
                          </w:pPr>
                          <w:r>
                            <w:rPr>
                              <w:color w:val="019648"/>
                              <w:sz w:val="15"/>
                            </w:rPr>
                            <w:t>viii</w:t>
                          </w:r>
                        </w:p>
                      </w:tc>
                      <w:tc>
                        <w:tcPr>
                          <w:tcW w:w="5265" w:type="dxa"/>
                          <w:shd w:val="clear" w:color="auto" w:fill="FFFFFF"/>
                        </w:tcPr>
                        <w:p w14:paraId="3A0FA17D"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63600379" w14:textId="77777777" w:rsidR="009D0C1D" w:rsidRDefault="009D0C1D" w:rsidP="00BA379B">
                    <w:pPr>
                      <w:spacing w:line="17" w:lineRule="auto"/>
                      <w:jc w:val="both"/>
                    </w:pP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80C82" w14:textId="7AAD705D" w:rsidR="009D0C1D" w:rsidRPr="00FA737B" w:rsidRDefault="009D0C1D" w:rsidP="00FA737B">
    <w:pPr>
      <w:pStyle w:val="af2"/>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87CA1" w14:textId="77777777" w:rsidR="009D0C1D" w:rsidRDefault="009D0C1D" w:rsidP="00D65E1C">
    <w:pPr>
      <w:pStyle w:val="ab"/>
      <w:framePr w:wrap="none" w:vAnchor="page" w:hAnchor="page" w:x="10933" w:y="16064"/>
      <w:shd w:val="clear" w:color="auto" w:fill="auto"/>
    </w:pPr>
    <w:r>
      <w:t>v</w:t>
    </w:r>
  </w:p>
  <w:p w14:paraId="7911E368" w14:textId="77777777" w:rsidR="009D0C1D" w:rsidRDefault="009D0C1D" w:rsidP="00D65E1C">
    <w:pPr>
      <w:pStyle w:val="af2"/>
    </w:pPr>
    <w:r>
      <w:rPr>
        <w:noProof/>
      </w:rPr>
      <mc:AlternateContent>
        <mc:Choice Requires="wps">
          <w:drawing>
            <wp:anchor distT="0" distB="0" distL="114300" distR="114300" simplePos="0" relativeHeight="251776000" behindDoc="0" locked="0" layoutInCell="1" allowOverlap="1" wp14:anchorId="3E4E1274" wp14:editId="5426C7C7">
              <wp:simplePos x="0" y="0"/>
              <wp:positionH relativeFrom="page">
                <wp:posOffset>877401</wp:posOffset>
              </wp:positionH>
              <wp:positionV relativeFrom="page">
                <wp:posOffset>10201110</wp:posOffset>
              </wp:positionV>
              <wp:extent cx="6159676" cy="133200"/>
              <wp:effectExtent l="0" t="0" r="0" b="0"/>
              <wp:wrapNone/>
              <wp:docPr id="954071807"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64EB6395" w14:textId="77777777" w:rsidTr="00D65E1C">
                            <w:trPr>
                              <w:trHeight w:hRule="exact" w:val="182"/>
                              <w:jc w:val="right"/>
                            </w:trPr>
                            <w:tc>
                              <w:tcPr>
                                <w:tcW w:w="9071" w:type="dxa"/>
                                <w:shd w:val="clear" w:color="auto" w:fill="FFFFFF"/>
                              </w:tcPr>
                              <w:p w14:paraId="0EF0C67F" w14:textId="4BCC05B7" w:rsidR="009D0C1D" w:rsidRDefault="009D0C1D" w:rsidP="00BD21B8">
                                <w:pPr>
                                  <w:pStyle w:val="a6"/>
                                  <w:shd w:val="clear" w:color="auto" w:fill="auto"/>
                                  <w:jc w:val="right"/>
                                  <w:rPr>
                                    <w:sz w:val="15"/>
                                    <w:szCs w:val="15"/>
                                  </w:rPr>
                                </w:pPr>
                                <w:r>
                                  <w:rPr>
                                    <w:b w:val="0"/>
                                    <w:color w:val="019648"/>
                                    <w:sz w:val="15"/>
                                  </w:rPr>
                                  <w:t>6. Модельні алгоритми</w:t>
                                </w:r>
                              </w:p>
                            </w:tc>
                            <w:tc>
                              <w:tcPr>
                                <w:tcW w:w="521" w:type="dxa"/>
                                <w:shd w:val="clear" w:color="auto" w:fill="FFFFFF"/>
                              </w:tcPr>
                              <w:p w14:paraId="45FBB8BF"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3558300F" w14:textId="77777777" w:rsidR="009D0C1D" w:rsidRDefault="009D0C1D" w:rsidP="00D65E1C">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E4E1274" id="_x0000_t202" coordsize="21600,21600" o:spt="202" path="m,l,21600r21600,l21600,xe">
              <v:stroke joinstyle="miter"/>
              <v:path gradientshapeok="t" o:connecttype="rect"/>
            </v:shapetype>
            <v:shape id="_x0000_s1584" type="#_x0000_t202" style="position:absolute;margin-left:69.1pt;margin-top:803.25pt;width:485pt;height:10.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64EB6395" w14:textId="77777777" w:rsidTr="00D65E1C">
                      <w:trPr>
                        <w:trHeight w:hRule="exact" w:val="182"/>
                        <w:jc w:val="right"/>
                      </w:trPr>
                      <w:tc>
                        <w:tcPr>
                          <w:tcW w:w="9071" w:type="dxa"/>
                          <w:shd w:val="clear" w:color="auto" w:fill="FFFFFF"/>
                        </w:tcPr>
                        <w:p w14:paraId="0EF0C67F" w14:textId="4BCC05B7" w:rsidR="009D0C1D" w:rsidRDefault="009D0C1D" w:rsidP="00BD21B8">
                          <w:pPr>
                            <w:pStyle w:val="a6"/>
                            <w:shd w:val="clear" w:color="auto" w:fill="auto"/>
                            <w:jc w:val="right"/>
                            <w:rPr>
                              <w:sz w:val="15"/>
                              <w:szCs w:val="15"/>
                            </w:rPr>
                          </w:pPr>
                          <w:r>
                            <w:rPr>
                              <w:b w:val="0"/>
                              <w:color w:val="019648"/>
                              <w:sz w:val="15"/>
                            </w:rPr>
                            <w:t>6. Модельні алгоритми</w:t>
                          </w:r>
                        </w:p>
                      </w:tc>
                      <w:tc>
                        <w:tcPr>
                          <w:tcW w:w="521" w:type="dxa"/>
                          <w:shd w:val="clear" w:color="auto" w:fill="FFFFFF"/>
                        </w:tcPr>
                        <w:p w14:paraId="45FBB8BF"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3558300F" w14:textId="77777777" w:rsidR="009D0C1D" w:rsidRDefault="009D0C1D" w:rsidP="00D65E1C">
                    <w:pPr>
                      <w:spacing w:line="17" w:lineRule="auto"/>
                    </w:pP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65241" w14:textId="31B1F34F" w:rsidR="009D0C1D" w:rsidRPr="00FA737B" w:rsidRDefault="009D0C1D" w:rsidP="00FA737B">
    <w:pPr>
      <w:pStyle w:val="af2"/>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468CC" w14:textId="77777777" w:rsidR="009D0C1D" w:rsidRPr="00BD21B8" w:rsidRDefault="009D0C1D" w:rsidP="00BD21B8">
    <w:pPr>
      <w:pStyle w:val="af2"/>
    </w:pPr>
    <w:r>
      <w:rPr>
        <w:noProof/>
      </w:rPr>
      <mc:AlternateContent>
        <mc:Choice Requires="wps">
          <w:drawing>
            <wp:anchor distT="0" distB="0" distL="114300" distR="114300" simplePos="0" relativeHeight="251755520" behindDoc="0" locked="0" layoutInCell="1" allowOverlap="1" wp14:anchorId="100511EF" wp14:editId="3CB9E930">
              <wp:simplePos x="0" y="0"/>
              <wp:positionH relativeFrom="page">
                <wp:posOffset>533400</wp:posOffset>
              </wp:positionH>
              <wp:positionV relativeFrom="page">
                <wp:posOffset>10203180</wp:posOffset>
              </wp:positionV>
              <wp:extent cx="4068000" cy="183600"/>
              <wp:effectExtent l="0" t="0" r="8890" b="6985"/>
              <wp:wrapNone/>
              <wp:docPr id="298051463" name="Поле 2"/>
              <wp:cNvGraphicFramePr/>
              <a:graphic xmlns:a="http://schemas.openxmlformats.org/drawingml/2006/main">
                <a:graphicData uri="http://schemas.microsoft.com/office/word/2010/wordprocessingShape">
                  <wps:wsp>
                    <wps:cNvSpPr txBox="1"/>
                    <wps:spPr>
                      <a:xfrm>
                        <a:off x="0" y="0"/>
                        <a:ext cx="4068000" cy="183600"/>
                      </a:xfrm>
                      <a:prstGeom prst="rect">
                        <a:avLst/>
                      </a:prstGeom>
                      <a:solidFill>
                        <a:sysClr val="window" lastClr="FFFFFF"/>
                      </a:solidFill>
                      <a:ln w="6350">
                        <a:noFill/>
                      </a:ln>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265"/>
                          </w:tblGrid>
                          <w:tr w:rsidR="009D0C1D" w:rsidRPr="00FC26B4" w14:paraId="2AFD4DCC" w14:textId="77777777" w:rsidTr="00D8531F">
                            <w:trPr>
                              <w:trHeight w:hRule="exact" w:val="197"/>
                            </w:trPr>
                            <w:tc>
                              <w:tcPr>
                                <w:tcW w:w="547" w:type="dxa"/>
                                <w:shd w:val="clear" w:color="auto" w:fill="FFFFFF"/>
                              </w:tcPr>
                              <w:p w14:paraId="2BA399A2"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3E49A9A1"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529E4973" w14:textId="77777777" w:rsidR="009D0C1D" w:rsidRDefault="009D0C1D" w:rsidP="00FC26B4">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511EF" id="_x0000_t202" coordsize="21600,21600" o:spt="202" path="m,l,21600r21600,l21600,xe">
              <v:stroke joinstyle="miter"/>
              <v:path gradientshapeok="t" o:connecttype="rect"/>
            </v:shapetype>
            <v:shape id="_x0000_s1585" type="#_x0000_t202" style="position:absolute;margin-left:42pt;margin-top:803.4pt;width:320.3pt;height:14.4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" fillcolor="window" stroked="f" strokeweight=".5p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265"/>
                    </w:tblGrid>
                    <w:tr w:rsidR="009D0C1D" w:rsidRPr="00FC26B4" w14:paraId="2AFD4DCC" w14:textId="77777777" w:rsidTr="00D8531F">
                      <w:trPr>
                        <w:trHeight w:hRule="exact" w:val="197"/>
                      </w:trPr>
                      <w:tc>
                        <w:tcPr>
                          <w:tcW w:w="547" w:type="dxa"/>
                          <w:shd w:val="clear" w:color="auto" w:fill="FFFFFF"/>
                        </w:tcPr>
                        <w:p w14:paraId="2BA399A2"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3E49A9A1"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529E4973" w14:textId="77777777" w:rsidR="009D0C1D" w:rsidRDefault="009D0C1D" w:rsidP="00FC26B4">
                    <w:pPr>
                      <w:spacing w:line="17" w:lineRule="auto"/>
                      <w:jc w:val="both"/>
                    </w:pP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FD9C5" w14:textId="77777777" w:rsidR="009D0C1D" w:rsidRDefault="009D0C1D" w:rsidP="00D65E1C">
    <w:pPr>
      <w:pStyle w:val="ab"/>
      <w:framePr w:wrap="none" w:vAnchor="page" w:hAnchor="page" w:x="10933" w:y="16064"/>
      <w:shd w:val="clear" w:color="auto" w:fill="auto"/>
    </w:pPr>
    <w:r>
      <w:t>v</w:t>
    </w:r>
  </w:p>
  <w:p w14:paraId="525231EF" w14:textId="77777777" w:rsidR="009D0C1D" w:rsidRDefault="009D0C1D" w:rsidP="00D65E1C">
    <w:pPr>
      <w:pStyle w:val="af2"/>
    </w:pPr>
    <w:r>
      <w:rPr>
        <w:noProof/>
      </w:rPr>
      <mc:AlternateContent>
        <mc:Choice Requires="wps">
          <w:drawing>
            <wp:anchor distT="0" distB="0" distL="114300" distR="114300" simplePos="0" relativeHeight="251780096" behindDoc="0" locked="0" layoutInCell="1" allowOverlap="1" wp14:anchorId="36526FB9" wp14:editId="1394D424">
              <wp:simplePos x="0" y="0"/>
              <wp:positionH relativeFrom="page">
                <wp:posOffset>877401</wp:posOffset>
              </wp:positionH>
              <wp:positionV relativeFrom="page">
                <wp:posOffset>10201110</wp:posOffset>
              </wp:positionV>
              <wp:extent cx="6159676" cy="133200"/>
              <wp:effectExtent l="0" t="0" r="0" b="0"/>
              <wp:wrapNone/>
              <wp:docPr id="1544584612"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7DA7D83" w14:textId="77777777" w:rsidTr="00D65E1C">
                            <w:trPr>
                              <w:trHeight w:hRule="exact" w:val="182"/>
                              <w:jc w:val="right"/>
                            </w:trPr>
                            <w:tc>
                              <w:tcPr>
                                <w:tcW w:w="9071" w:type="dxa"/>
                                <w:shd w:val="clear" w:color="auto" w:fill="FFFFFF"/>
                              </w:tcPr>
                              <w:p w14:paraId="2ED89F05" w14:textId="6CD8262F" w:rsidR="009D0C1D" w:rsidRDefault="009D0C1D" w:rsidP="00BD21B8">
                                <w:pPr>
                                  <w:pStyle w:val="a6"/>
                                  <w:shd w:val="clear" w:color="auto" w:fill="auto"/>
                                  <w:jc w:val="right"/>
                                  <w:rPr>
                                    <w:sz w:val="15"/>
                                    <w:szCs w:val="15"/>
                                  </w:rPr>
                                </w:pPr>
                              </w:p>
                            </w:tc>
                            <w:tc>
                              <w:tcPr>
                                <w:tcW w:w="521" w:type="dxa"/>
                                <w:shd w:val="clear" w:color="auto" w:fill="FFFFFF"/>
                              </w:tcPr>
                              <w:p w14:paraId="47594C8C"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240DDE96" w14:textId="77777777" w:rsidR="009D0C1D" w:rsidRDefault="009D0C1D" w:rsidP="00D65E1C">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6526FB9" id="_x0000_t202" coordsize="21600,21600" o:spt="202" path="m,l,21600r21600,l21600,xe">
              <v:stroke joinstyle="miter"/>
              <v:path gradientshapeok="t" o:connecttype="rect"/>
            </v:shapetype>
            <v:shape id="_x0000_s1586" type="#_x0000_t202" style="position:absolute;margin-left:69.1pt;margin-top:803.25pt;width:485pt;height:10.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7DA7D83" w14:textId="77777777" w:rsidTr="00D65E1C">
                      <w:trPr>
                        <w:trHeight w:hRule="exact" w:val="182"/>
                        <w:jc w:val="right"/>
                      </w:trPr>
                      <w:tc>
                        <w:tcPr>
                          <w:tcW w:w="9071" w:type="dxa"/>
                          <w:shd w:val="clear" w:color="auto" w:fill="FFFFFF"/>
                        </w:tcPr>
                        <w:p w14:paraId="2ED89F05" w14:textId="6CD8262F" w:rsidR="009D0C1D" w:rsidRDefault="009D0C1D" w:rsidP="00BD21B8">
                          <w:pPr>
                            <w:pStyle w:val="a6"/>
                            <w:shd w:val="clear" w:color="auto" w:fill="auto"/>
                            <w:jc w:val="right"/>
                            <w:rPr>
                              <w:sz w:val="15"/>
                              <w:szCs w:val="15"/>
                            </w:rPr>
                          </w:pPr>
                        </w:p>
                      </w:tc>
                      <w:tc>
                        <w:tcPr>
                          <w:tcW w:w="521" w:type="dxa"/>
                          <w:shd w:val="clear" w:color="auto" w:fill="FFFFFF"/>
                        </w:tcPr>
                        <w:p w14:paraId="47594C8C"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240DDE96" w14:textId="77777777" w:rsidR="009D0C1D" w:rsidRDefault="009D0C1D" w:rsidP="00D65E1C">
                    <w:pPr>
                      <w:spacing w:line="17" w:lineRule="auto"/>
                    </w:pP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5B594" w14:textId="77777777" w:rsidR="009D0C1D" w:rsidRDefault="009D0C1D" w:rsidP="00D65E1C">
    <w:pPr>
      <w:pStyle w:val="ab"/>
      <w:framePr w:wrap="none" w:vAnchor="page" w:hAnchor="page" w:x="10933" w:y="16064"/>
      <w:shd w:val="clear" w:color="auto" w:fill="auto"/>
    </w:pPr>
    <w:r>
      <w:t>v</w:t>
    </w:r>
  </w:p>
  <w:p w14:paraId="6F739C18" w14:textId="77777777" w:rsidR="009D0C1D" w:rsidRDefault="009D0C1D" w:rsidP="00D65E1C">
    <w:pPr>
      <w:pStyle w:val="af2"/>
    </w:pPr>
    <w:r>
      <w:rPr>
        <w:noProof/>
      </w:rPr>
      <mc:AlternateContent>
        <mc:Choice Requires="wps">
          <w:drawing>
            <wp:anchor distT="0" distB="0" distL="114300" distR="114300" simplePos="0" relativeHeight="251782144" behindDoc="0" locked="0" layoutInCell="1" allowOverlap="1" wp14:anchorId="413840CD" wp14:editId="261ACA85">
              <wp:simplePos x="0" y="0"/>
              <wp:positionH relativeFrom="page">
                <wp:posOffset>877401</wp:posOffset>
              </wp:positionH>
              <wp:positionV relativeFrom="page">
                <wp:posOffset>10201110</wp:posOffset>
              </wp:positionV>
              <wp:extent cx="6159676" cy="133200"/>
              <wp:effectExtent l="0" t="0" r="0" b="0"/>
              <wp:wrapNone/>
              <wp:docPr id="23522881"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8A2FF8D" w14:textId="77777777" w:rsidTr="00D65E1C">
                            <w:trPr>
                              <w:trHeight w:hRule="exact" w:val="182"/>
                              <w:jc w:val="right"/>
                            </w:trPr>
                            <w:tc>
                              <w:tcPr>
                                <w:tcW w:w="9071" w:type="dxa"/>
                                <w:shd w:val="clear" w:color="auto" w:fill="FFFFFF"/>
                              </w:tcPr>
                              <w:p w14:paraId="67249ACA" w14:textId="77777777" w:rsidR="009D0C1D" w:rsidRDefault="009D0C1D" w:rsidP="00BD21B8">
                                <w:pPr>
                                  <w:pStyle w:val="a6"/>
                                  <w:shd w:val="clear" w:color="auto" w:fill="auto"/>
                                  <w:jc w:val="right"/>
                                  <w:rPr>
                                    <w:sz w:val="15"/>
                                    <w:szCs w:val="15"/>
                                  </w:rPr>
                                </w:pPr>
                                <w:r>
                                  <w:rPr>
                                    <w:b w:val="0"/>
                                    <w:color w:val="019648"/>
                                    <w:sz w:val="15"/>
                                  </w:rPr>
                                  <w:t>Список літератури</w:t>
                                </w:r>
                              </w:p>
                            </w:tc>
                            <w:tc>
                              <w:tcPr>
                                <w:tcW w:w="521" w:type="dxa"/>
                                <w:shd w:val="clear" w:color="auto" w:fill="FFFFFF"/>
                              </w:tcPr>
                              <w:p w14:paraId="025316EC"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30329752" w14:textId="77777777" w:rsidR="009D0C1D" w:rsidRDefault="009D0C1D" w:rsidP="00D65E1C">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13840CD" id="_x0000_t202" coordsize="21600,21600" o:spt="202" path="m,l,21600r21600,l21600,xe">
              <v:stroke joinstyle="miter"/>
              <v:path gradientshapeok="t" o:connecttype="rect"/>
            </v:shapetype>
            <v:shape id="_x0000_s1587" type="#_x0000_t202" style="position:absolute;margin-left:69.1pt;margin-top:803.25pt;width:485pt;height:10.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8A2FF8D" w14:textId="77777777" w:rsidTr="00D65E1C">
                      <w:trPr>
                        <w:trHeight w:hRule="exact" w:val="182"/>
                        <w:jc w:val="right"/>
                      </w:trPr>
                      <w:tc>
                        <w:tcPr>
                          <w:tcW w:w="9071" w:type="dxa"/>
                          <w:shd w:val="clear" w:color="auto" w:fill="FFFFFF"/>
                        </w:tcPr>
                        <w:p w14:paraId="67249ACA" w14:textId="77777777" w:rsidR="009D0C1D" w:rsidRDefault="009D0C1D" w:rsidP="00BD21B8">
                          <w:pPr>
                            <w:pStyle w:val="a6"/>
                            <w:shd w:val="clear" w:color="auto" w:fill="auto"/>
                            <w:jc w:val="right"/>
                            <w:rPr>
                              <w:sz w:val="15"/>
                              <w:szCs w:val="15"/>
                            </w:rPr>
                          </w:pPr>
                          <w:r>
                            <w:rPr>
                              <w:b w:val="0"/>
                              <w:color w:val="019648"/>
                              <w:sz w:val="15"/>
                            </w:rPr>
                            <w:t>Список літератури</w:t>
                          </w:r>
                        </w:p>
                      </w:tc>
                      <w:tc>
                        <w:tcPr>
                          <w:tcW w:w="521" w:type="dxa"/>
                          <w:shd w:val="clear" w:color="auto" w:fill="FFFFFF"/>
                        </w:tcPr>
                        <w:p w14:paraId="025316EC"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30329752" w14:textId="77777777" w:rsidR="009D0C1D" w:rsidRDefault="009D0C1D" w:rsidP="00D65E1C">
                    <w:pPr>
                      <w:spacing w:line="17" w:lineRule="auto"/>
                    </w:pP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BAA1D" w14:textId="77777777" w:rsidR="009D0C1D" w:rsidRDefault="009D0C1D" w:rsidP="00D65E1C">
    <w:pPr>
      <w:pStyle w:val="ab"/>
      <w:framePr w:wrap="none" w:vAnchor="page" w:hAnchor="page" w:x="10933" w:y="16064"/>
      <w:shd w:val="clear" w:color="auto" w:fill="auto"/>
    </w:pPr>
    <w:r>
      <w:t>v</w:t>
    </w:r>
  </w:p>
  <w:p w14:paraId="5779F44C" w14:textId="77777777" w:rsidR="009D0C1D" w:rsidRDefault="009D0C1D" w:rsidP="00D65E1C">
    <w:pPr>
      <w:pStyle w:val="af2"/>
    </w:pPr>
    <w:r>
      <w:rPr>
        <w:noProof/>
      </w:rPr>
      <mc:AlternateContent>
        <mc:Choice Requires="wps">
          <w:drawing>
            <wp:anchor distT="0" distB="0" distL="114300" distR="114300" simplePos="0" relativeHeight="251778048" behindDoc="0" locked="0" layoutInCell="1" allowOverlap="1" wp14:anchorId="7C9DF8AC" wp14:editId="5359E25B">
              <wp:simplePos x="0" y="0"/>
              <wp:positionH relativeFrom="page">
                <wp:posOffset>877401</wp:posOffset>
              </wp:positionH>
              <wp:positionV relativeFrom="page">
                <wp:posOffset>10201110</wp:posOffset>
              </wp:positionV>
              <wp:extent cx="6159676" cy="133200"/>
              <wp:effectExtent l="0" t="0" r="0" b="0"/>
              <wp:wrapNone/>
              <wp:docPr id="296068670"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DDFD048" w14:textId="77777777" w:rsidTr="00D65E1C">
                            <w:trPr>
                              <w:trHeight w:hRule="exact" w:val="182"/>
                              <w:jc w:val="right"/>
                            </w:trPr>
                            <w:tc>
                              <w:tcPr>
                                <w:tcW w:w="9071" w:type="dxa"/>
                                <w:shd w:val="clear" w:color="auto" w:fill="FFFFFF"/>
                              </w:tcPr>
                              <w:p w14:paraId="683FAEEB" w14:textId="77777777" w:rsidR="009D0C1D" w:rsidRDefault="009D0C1D" w:rsidP="00BD21B8">
                                <w:pPr>
                                  <w:pStyle w:val="a6"/>
                                  <w:shd w:val="clear" w:color="auto" w:fill="auto"/>
                                  <w:jc w:val="right"/>
                                  <w:rPr>
                                    <w:sz w:val="15"/>
                                    <w:szCs w:val="15"/>
                                  </w:rPr>
                                </w:pPr>
                                <w:r>
                                  <w:rPr>
                                    <w:b w:val="0"/>
                                    <w:color w:val="019648"/>
                                    <w:sz w:val="15"/>
                                  </w:rPr>
                                  <w:t>Додаток 1. Бюджетні міркування щодо впровадження нового діагностичного тесту</w:t>
                                </w:r>
                              </w:p>
                            </w:tc>
                            <w:tc>
                              <w:tcPr>
                                <w:tcW w:w="521" w:type="dxa"/>
                                <w:shd w:val="clear" w:color="auto" w:fill="FFFFFF"/>
                              </w:tcPr>
                              <w:p w14:paraId="6E264988"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1E4626F6" w14:textId="77777777" w:rsidR="009D0C1D" w:rsidRDefault="009D0C1D" w:rsidP="00D65E1C">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C9DF8AC" id="_x0000_t202" coordsize="21600,21600" o:spt="202" path="m,l,21600r21600,l21600,xe">
              <v:stroke joinstyle="miter"/>
              <v:path gradientshapeok="t" o:connecttype="rect"/>
            </v:shapetype>
            <v:shape id="_x0000_s1588" type="#_x0000_t202" style="position:absolute;margin-left:69.1pt;margin-top:803.25pt;width:485pt;height:10.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4DDFD048" w14:textId="77777777" w:rsidTr="00D65E1C">
                      <w:trPr>
                        <w:trHeight w:hRule="exact" w:val="182"/>
                        <w:jc w:val="right"/>
                      </w:trPr>
                      <w:tc>
                        <w:tcPr>
                          <w:tcW w:w="9071" w:type="dxa"/>
                          <w:shd w:val="clear" w:color="auto" w:fill="FFFFFF"/>
                        </w:tcPr>
                        <w:p w14:paraId="683FAEEB" w14:textId="77777777" w:rsidR="009D0C1D" w:rsidRDefault="009D0C1D" w:rsidP="00BD21B8">
                          <w:pPr>
                            <w:pStyle w:val="a6"/>
                            <w:shd w:val="clear" w:color="auto" w:fill="auto"/>
                            <w:jc w:val="right"/>
                            <w:rPr>
                              <w:sz w:val="15"/>
                              <w:szCs w:val="15"/>
                            </w:rPr>
                          </w:pPr>
                          <w:r>
                            <w:rPr>
                              <w:b w:val="0"/>
                              <w:color w:val="019648"/>
                              <w:sz w:val="15"/>
                            </w:rPr>
                            <w:t>Додаток 1. Бюджетні міркування щодо впровадження нового діагностичного тесту</w:t>
                          </w:r>
                        </w:p>
                      </w:tc>
                      <w:tc>
                        <w:tcPr>
                          <w:tcW w:w="521" w:type="dxa"/>
                          <w:shd w:val="clear" w:color="auto" w:fill="FFFFFF"/>
                        </w:tcPr>
                        <w:p w14:paraId="6E264988"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1E4626F6" w14:textId="77777777" w:rsidR="009D0C1D" w:rsidRDefault="009D0C1D" w:rsidP="00D65E1C">
                    <w:pPr>
                      <w:spacing w:line="17" w:lineRule="auto"/>
                    </w:pP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E113D" w14:textId="77777777" w:rsidR="009D0C1D" w:rsidRDefault="009D0C1D" w:rsidP="00D65E1C">
    <w:pPr>
      <w:pStyle w:val="ab"/>
      <w:framePr w:wrap="none" w:vAnchor="page" w:hAnchor="page" w:x="10933" w:y="16064"/>
      <w:shd w:val="clear" w:color="auto" w:fill="auto"/>
    </w:pPr>
    <w:r>
      <w:t>v</w:t>
    </w:r>
  </w:p>
  <w:p w14:paraId="35B80FCD" w14:textId="77777777" w:rsidR="009D0C1D" w:rsidRDefault="009D0C1D" w:rsidP="00D65E1C">
    <w:pPr>
      <w:pStyle w:val="af2"/>
    </w:pPr>
    <w:r>
      <w:rPr>
        <w:noProof/>
      </w:rPr>
      <mc:AlternateContent>
        <mc:Choice Requires="wps">
          <w:drawing>
            <wp:anchor distT="0" distB="0" distL="114300" distR="114300" simplePos="0" relativeHeight="251773952" behindDoc="0" locked="0" layoutInCell="1" allowOverlap="1" wp14:anchorId="7142FF9D" wp14:editId="32552990">
              <wp:simplePos x="0" y="0"/>
              <wp:positionH relativeFrom="page">
                <wp:posOffset>877401</wp:posOffset>
              </wp:positionH>
              <wp:positionV relativeFrom="page">
                <wp:posOffset>10201110</wp:posOffset>
              </wp:positionV>
              <wp:extent cx="6159676" cy="133200"/>
              <wp:effectExtent l="0" t="0" r="0" b="0"/>
              <wp:wrapNone/>
              <wp:docPr id="672538860"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1FD2D74D" w14:textId="77777777" w:rsidTr="00D65E1C">
                            <w:trPr>
                              <w:trHeight w:hRule="exact" w:val="182"/>
                              <w:jc w:val="right"/>
                            </w:trPr>
                            <w:tc>
                              <w:tcPr>
                                <w:tcW w:w="9071" w:type="dxa"/>
                                <w:shd w:val="clear" w:color="auto" w:fill="FFFFFF"/>
                              </w:tcPr>
                              <w:p w14:paraId="6EC4FED8" w14:textId="77777777" w:rsidR="009D0C1D" w:rsidRDefault="009D0C1D" w:rsidP="00BD21B8">
                                <w:pPr>
                                  <w:pStyle w:val="a6"/>
                                  <w:shd w:val="clear" w:color="auto" w:fill="auto"/>
                                  <w:jc w:val="right"/>
                                  <w:rPr>
                                    <w:sz w:val="15"/>
                                    <w:szCs w:val="15"/>
                                  </w:rPr>
                                </w:pPr>
                              </w:p>
                            </w:tc>
                            <w:tc>
                              <w:tcPr>
                                <w:tcW w:w="521" w:type="dxa"/>
                                <w:shd w:val="clear" w:color="auto" w:fill="FFFFFF"/>
                              </w:tcPr>
                              <w:p w14:paraId="16719E4E"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769A6AF4" w14:textId="77777777" w:rsidR="009D0C1D" w:rsidRDefault="009D0C1D" w:rsidP="00D65E1C">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142FF9D" id="_x0000_t202" coordsize="21600,21600" o:spt="202" path="m,l,21600r21600,l21600,xe">
              <v:stroke joinstyle="miter"/>
              <v:path gradientshapeok="t" o:connecttype="rect"/>
            </v:shapetype>
            <v:shape id="_x0000_s1589" type="#_x0000_t202" style="position:absolute;margin-left:69.1pt;margin-top:803.25pt;width:485pt;height:10.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1FD2D74D" w14:textId="77777777" w:rsidTr="00D65E1C">
                      <w:trPr>
                        <w:trHeight w:hRule="exact" w:val="182"/>
                        <w:jc w:val="right"/>
                      </w:trPr>
                      <w:tc>
                        <w:tcPr>
                          <w:tcW w:w="9071" w:type="dxa"/>
                          <w:shd w:val="clear" w:color="auto" w:fill="FFFFFF"/>
                        </w:tcPr>
                        <w:p w14:paraId="6EC4FED8" w14:textId="77777777" w:rsidR="009D0C1D" w:rsidRDefault="009D0C1D" w:rsidP="00BD21B8">
                          <w:pPr>
                            <w:pStyle w:val="a6"/>
                            <w:shd w:val="clear" w:color="auto" w:fill="auto"/>
                            <w:jc w:val="right"/>
                            <w:rPr>
                              <w:sz w:val="15"/>
                              <w:szCs w:val="15"/>
                            </w:rPr>
                          </w:pPr>
                        </w:p>
                      </w:tc>
                      <w:tc>
                        <w:tcPr>
                          <w:tcW w:w="521" w:type="dxa"/>
                          <w:shd w:val="clear" w:color="auto" w:fill="FFFFFF"/>
                        </w:tcPr>
                        <w:p w14:paraId="16719E4E"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769A6AF4" w14:textId="77777777" w:rsidR="009D0C1D" w:rsidRDefault="009D0C1D" w:rsidP="00D65E1C">
                    <w:pPr>
                      <w:spacing w:line="17" w:lineRule="auto"/>
                    </w:pP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FED40" w14:textId="2C8F99BE" w:rsidR="009D0C1D" w:rsidRPr="00FA737B" w:rsidRDefault="009D0C1D" w:rsidP="00FA737B">
    <w:pPr>
      <w:pStyle w:val="af2"/>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3E9DA" w14:textId="77777777" w:rsidR="009D0C1D" w:rsidRDefault="009D0C1D" w:rsidP="00D65E1C">
    <w:pPr>
      <w:pStyle w:val="ab"/>
      <w:framePr w:wrap="none" w:vAnchor="page" w:hAnchor="page" w:x="10933" w:y="16064"/>
      <w:shd w:val="clear" w:color="auto" w:fill="auto"/>
    </w:pPr>
    <w:r>
      <w:t>v</w:t>
    </w:r>
  </w:p>
  <w:p w14:paraId="10BF2312" w14:textId="77777777" w:rsidR="009D0C1D" w:rsidRDefault="009D0C1D" w:rsidP="00D65E1C">
    <w:pPr>
      <w:pStyle w:val="af2"/>
    </w:pPr>
    <w:r>
      <w:rPr>
        <w:noProof/>
      </w:rPr>
      <mc:AlternateContent>
        <mc:Choice Requires="wps">
          <w:drawing>
            <wp:anchor distT="0" distB="0" distL="114300" distR="114300" simplePos="0" relativeHeight="251771904" behindDoc="0" locked="0" layoutInCell="1" allowOverlap="1" wp14:anchorId="0FB118F9" wp14:editId="1817BB1C">
              <wp:simplePos x="0" y="0"/>
              <wp:positionH relativeFrom="page">
                <wp:posOffset>877401</wp:posOffset>
              </wp:positionH>
              <wp:positionV relativeFrom="page">
                <wp:posOffset>10201110</wp:posOffset>
              </wp:positionV>
              <wp:extent cx="6159676" cy="133200"/>
              <wp:effectExtent l="0" t="0" r="0" b="0"/>
              <wp:wrapNone/>
              <wp:docPr id="927815244"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3280BD44" w14:textId="77777777" w:rsidTr="00D65E1C">
                            <w:trPr>
                              <w:trHeight w:hRule="exact" w:val="182"/>
                              <w:jc w:val="right"/>
                            </w:trPr>
                            <w:tc>
                              <w:tcPr>
                                <w:tcW w:w="9071" w:type="dxa"/>
                                <w:shd w:val="clear" w:color="auto" w:fill="FFFFFF"/>
                              </w:tcPr>
                              <w:p w14:paraId="616DFA49" w14:textId="77777777" w:rsidR="009D0C1D" w:rsidRDefault="009D0C1D" w:rsidP="00BD21B8">
                                <w:pPr>
                                  <w:pStyle w:val="a6"/>
                                  <w:shd w:val="clear" w:color="auto" w:fill="auto"/>
                                  <w:jc w:val="right"/>
                                  <w:rPr>
                                    <w:sz w:val="15"/>
                                    <w:szCs w:val="15"/>
                                  </w:rPr>
                                </w:pPr>
                                <w:r>
                                  <w:rPr>
                                    <w:b w:val="0"/>
                                    <w:color w:val="019648"/>
                                    <w:sz w:val="15"/>
                                  </w:rPr>
                                  <w:t>Додаток 2. Методи тестування медикаментозної чутливості та критичні концентрації</w:t>
                                </w:r>
                              </w:p>
                            </w:tc>
                            <w:tc>
                              <w:tcPr>
                                <w:tcW w:w="521" w:type="dxa"/>
                                <w:shd w:val="clear" w:color="auto" w:fill="FFFFFF"/>
                              </w:tcPr>
                              <w:p w14:paraId="5327A20D"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0FE9ACCD" w14:textId="77777777" w:rsidR="009D0C1D" w:rsidRDefault="009D0C1D" w:rsidP="00D65E1C">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FB118F9" id="_x0000_t202" coordsize="21600,21600" o:spt="202" path="m,l,21600r21600,l21600,xe">
              <v:stroke joinstyle="miter"/>
              <v:path gradientshapeok="t" o:connecttype="rect"/>
            </v:shapetype>
            <v:shape id="_x0000_s1590" type="#_x0000_t202" style="position:absolute;margin-left:69.1pt;margin-top:803.25pt;width:485pt;height:10.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3280BD44" w14:textId="77777777" w:rsidTr="00D65E1C">
                      <w:trPr>
                        <w:trHeight w:hRule="exact" w:val="182"/>
                        <w:jc w:val="right"/>
                      </w:trPr>
                      <w:tc>
                        <w:tcPr>
                          <w:tcW w:w="9071" w:type="dxa"/>
                          <w:shd w:val="clear" w:color="auto" w:fill="FFFFFF"/>
                        </w:tcPr>
                        <w:p w14:paraId="616DFA49" w14:textId="77777777" w:rsidR="009D0C1D" w:rsidRDefault="009D0C1D" w:rsidP="00BD21B8">
                          <w:pPr>
                            <w:pStyle w:val="a6"/>
                            <w:shd w:val="clear" w:color="auto" w:fill="auto"/>
                            <w:jc w:val="right"/>
                            <w:rPr>
                              <w:sz w:val="15"/>
                              <w:szCs w:val="15"/>
                            </w:rPr>
                          </w:pPr>
                          <w:r>
                            <w:rPr>
                              <w:b w:val="0"/>
                              <w:color w:val="019648"/>
                              <w:sz w:val="15"/>
                            </w:rPr>
                            <w:t>Додаток 2. Методи тестування медикаментозної чутливості та критичні концентрації</w:t>
                          </w:r>
                        </w:p>
                      </w:tc>
                      <w:tc>
                        <w:tcPr>
                          <w:tcW w:w="521" w:type="dxa"/>
                          <w:shd w:val="clear" w:color="auto" w:fill="FFFFFF"/>
                        </w:tcPr>
                        <w:p w14:paraId="5327A20D"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0FE9ACCD" w14:textId="77777777" w:rsidR="009D0C1D" w:rsidRDefault="009D0C1D" w:rsidP="00D65E1C">
                    <w:pPr>
                      <w:spacing w:line="17" w:lineRule="auto"/>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274FC" w14:textId="77777777" w:rsidR="009D0C1D" w:rsidRDefault="009D0C1D" w:rsidP="00D65E1C">
    <w:pPr>
      <w:pStyle w:val="ab"/>
      <w:framePr w:wrap="none" w:vAnchor="page" w:hAnchor="page" w:x="10933" w:y="16064"/>
      <w:shd w:val="clear" w:color="auto" w:fill="auto"/>
    </w:pPr>
    <w:r>
      <w:t>v</w:t>
    </w:r>
  </w:p>
  <w:p w14:paraId="39DEAFEE" w14:textId="77777777" w:rsidR="009D0C1D" w:rsidRDefault="009D0C1D" w:rsidP="00D65E1C">
    <w:pPr>
      <w:pStyle w:val="af2"/>
    </w:pPr>
    <w:r>
      <w:rPr>
        <w:noProof/>
      </w:rPr>
      <mc:AlternateContent>
        <mc:Choice Requires="wps">
          <w:drawing>
            <wp:anchor distT="0" distB="0" distL="114300" distR="114300" simplePos="0" relativeHeight="251786240" behindDoc="0" locked="0" layoutInCell="1" allowOverlap="1" wp14:anchorId="2F1002C5" wp14:editId="14471A15">
              <wp:simplePos x="0" y="0"/>
              <wp:positionH relativeFrom="page">
                <wp:posOffset>877401</wp:posOffset>
              </wp:positionH>
              <wp:positionV relativeFrom="page">
                <wp:posOffset>10201110</wp:posOffset>
              </wp:positionV>
              <wp:extent cx="6159676" cy="133200"/>
              <wp:effectExtent l="0" t="0" r="0" b="0"/>
              <wp:wrapNone/>
              <wp:docPr id="993832313"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1D7F6B36" w14:textId="77777777" w:rsidTr="00D65E1C">
                            <w:trPr>
                              <w:trHeight w:hRule="exact" w:val="182"/>
                              <w:jc w:val="right"/>
                            </w:trPr>
                            <w:tc>
                              <w:tcPr>
                                <w:tcW w:w="9071" w:type="dxa"/>
                                <w:shd w:val="clear" w:color="auto" w:fill="FFFFFF"/>
                              </w:tcPr>
                              <w:p w14:paraId="6BDB2C6D" w14:textId="06C05B4B" w:rsidR="009D0C1D" w:rsidRDefault="009D0C1D" w:rsidP="00BD21B8">
                                <w:pPr>
                                  <w:pStyle w:val="a6"/>
                                  <w:shd w:val="clear" w:color="auto" w:fill="auto"/>
                                  <w:jc w:val="right"/>
                                  <w:rPr>
                                    <w:sz w:val="15"/>
                                    <w:szCs w:val="15"/>
                                  </w:rPr>
                                </w:pPr>
                              </w:p>
                            </w:tc>
                            <w:tc>
                              <w:tcPr>
                                <w:tcW w:w="521" w:type="dxa"/>
                                <w:shd w:val="clear" w:color="auto" w:fill="FFFFFF"/>
                              </w:tcPr>
                              <w:p w14:paraId="524433AE"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3C40B7A8" w14:textId="77777777" w:rsidR="009D0C1D" w:rsidRDefault="009D0C1D" w:rsidP="00D65E1C">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F1002C5" id="_x0000_t202" coordsize="21600,21600" o:spt="202" path="m,l,21600r21600,l21600,xe">
              <v:stroke joinstyle="miter"/>
              <v:path gradientshapeok="t" o:connecttype="rect"/>
            </v:shapetype>
            <v:shape id="_x0000_s1555" type="#_x0000_t202" style="position:absolute;margin-left:69.1pt;margin-top:803.25pt;width:485pt;height:10.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1D7F6B36" w14:textId="77777777" w:rsidTr="00D65E1C">
                      <w:trPr>
                        <w:trHeight w:hRule="exact" w:val="182"/>
                        <w:jc w:val="right"/>
                      </w:trPr>
                      <w:tc>
                        <w:tcPr>
                          <w:tcW w:w="9071" w:type="dxa"/>
                          <w:shd w:val="clear" w:color="auto" w:fill="FFFFFF"/>
                        </w:tcPr>
                        <w:p w14:paraId="6BDB2C6D" w14:textId="06C05B4B" w:rsidR="009D0C1D" w:rsidRDefault="009D0C1D" w:rsidP="00BD21B8">
                          <w:pPr>
                            <w:pStyle w:val="a6"/>
                            <w:shd w:val="clear" w:color="auto" w:fill="auto"/>
                            <w:jc w:val="right"/>
                            <w:rPr>
                              <w:sz w:val="15"/>
                              <w:szCs w:val="15"/>
                            </w:rPr>
                          </w:pPr>
                        </w:p>
                      </w:tc>
                      <w:tc>
                        <w:tcPr>
                          <w:tcW w:w="521" w:type="dxa"/>
                          <w:shd w:val="clear" w:color="auto" w:fill="FFFFFF"/>
                        </w:tcPr>
                        <w:p w14:paraId="524433AE"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3C40B7A8" w14:textId="77777777" w:rsidR="009D0C1D" w:rsidRDefault="009D0C1D" w:rsidP="00D65E1C">
                    <w:pPr>
                      <w:spacing w:line="17" w:lineRule="auto"/>
                    </w:pP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08ACB" w14:textId="77777777" w:rsidR="009D0C1D" w:rsidRPr="00BD21B8" w:rsidRDefault="009D0C1D" w:rsidP="00BD21B8">
    <w:pPr>
      <w:pStyle w:val="af2"/>
    </w:pPr>
    <w:r>
      <w:rPr>
        <w:noProof/>
      </w:rPr>
      <mc:AlternateContent>
        <mc:Choice Requires="wps">
          <w:drawing>
            <wp:anchor distT="0" distB="0" distL="114300" distR="114300" simplePos="0" relativeHeight="251759616" behindDoc="0" locked="0" layoutInCell="1" allowOverlap="1" wp14:anchorId="101982F0" wp14:editId="08D20047">
              <wp:simplePos x="0" y="0"/>
              <wp:positionH relativeFrom="page">
                <wp:posOffset>533400</wp:posOffset>
              </wp:positionH>
              <wp:positionV relativeFrom="page">
                <wp:posOffset>10196830</wp:posOffset>
              </wp:positionV>
              <wp:extent cx="3844800" cy="144000"/>
              <wp:effectExtent l="0" t="0" r="3810" b="8255"/>
              <wp:wrapNone/>
              <wp:docPr id="2040519640" name="Поле 2"/>
              <wp:cNvGraphicFramePr/>
              <a:graphic xmlns:a="http://schemas.openxmlformats.org/drawingml/2006/main">
                <a:graphicData uri="http://schemas.microsoft.com/office/word/2010/wordprocessingShape">
                  <wps:wsp>
                    <wps:cNvSpPr txBox="1"/>
                    <wps:spPr>
                      <a:xfrm>
                        <a:off x="0" y="0"/>
                        <a:ext cx="3844800" cy="144000"/>
                      </a:xfrm>
                      <a:prstGeom prst="rect">
                        <a:avLst/>
                      </a:prstGeom>
                      <a:solidFill>
                        <a:sysClr val="window" lastClr="FFFFFF"/>
                      </a:solidFill>
                      <a:ln w="6350">
                        <a:noFill/>
                      </a:ln>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265"/>
                          </w:tblGrid>
                          <w:tr w:rsidR="009D0C1D" w:rsidRPr="00FC26B4" w14:paraId="31EDF74D" w14:textId="77777777" w:rsidTr="0014192D">
                            <w:trPr>
                              <w:trHeight w:hRule="exact" w:val="197"/>
                            </w:trPr>
                            <w:tc>
                              <w:tcPr>
                                <w:tcW w:w="547" w:type="dxa"/>
                                <w:shd w:val="clear" w:color="auto" w:fill="FFFFFF"/>
                              </w:tcPr>
                              <w:p w14:paraId="65CEFBAA"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5099A8CF"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1135003E" w14:textId="77777777" w:rsidR="009D0C1D" w:rsidRDefault="009D0C1D" w:rsidP="00FC26B4">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01982F0" id="_x0000_t202" coordsize="21600,21600" o:spt="202" path="m,l,21600r21600,l21600,xe">
              <v:stroke joinstyle="miter"/>
              <v:path gradientshapeok="t" o:connecttype="rect"/>
            </v:shapetype>
            <v:shape id="_x0000_s1591" type="#_x0000_t202" style="position:absolute;margin-left:42pt;margin-top:802.9pt;width:302.75pt;height:11.3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" fillcolor="window" stroked="f" strokeweight=".5pt">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547"/>
                      <w:gridCol w:w="5265"/>
                    </w:tblGrid>
                    <w:tr w:rsidR="009D0C1D" w:rsidRPr="00FC26B4" w14:paraId="31EDF74D" w14:textId="77777777" w:rsidTr="0014192D">
                      <w:trPr>
                        <w:trHeight w:hRule="exact" w:val="197"/>
                      </w:trPr>
                      <w:tc>
                        <w:tcPr>
                          <w:tcW w:w="547" w:type="dxa"/>
                          <w:shd w:val="clear" w:color="auto" w:fill="FFFFFF"/>
                        </w:tcPr>
                        <w:p w14:paraId="65CEFBAA"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265" w:type="dxa"/>
                          <w:shd w:val="clear" w:color="auto" w:fill="FFFFFF"/>
                        </w:tcPr>
                        <w:p w14:paraId="5099A8CF"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1135003E" w14:textId="77777777" w:rsidR="009D0C1D" w:rsidRDefault="009D0C1D" w:rsidP="00FC26B4">
                    <w:pPr>
                      <w:spacing w:line="17" w:lineRule="auto"/>
                      <w:jc w:val="both"/>
                    </w:pP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D15B0" w14:textId="77777777" w:rsidR="009D0C1D" w:rsidRDefault="009D0C1D" w:rsidP="00D65E1C">
    <w:pPr>
      <w:pStyle w:val="ab"/>
      <w:framePr w:wrap="none" w:vAnchor="page" w:hAnchor="page" w:x="10933" w:y="16064"/>
      <w:shd w:val="clear" w:color="auto" w:fill="auto"/>
    </w:pPr>
    <w:r>
      <w:t>v</w:t>
    </w:r>
  </w:p>
  <w:p w14:paraId="5C35F0F4" w14:textId="77777777" w:rsidR="009D0C1D" w:rsidRDefault="009D0C1D" w:rsidP="00D65E1C">
    <w:pPr>
      <w:pStyle w:val="af2"/>
    </w:pPr>
    <w:r>
      <w:rPr>
        <w:noProof/>
      </w:rPr>
      <mc:AlternateContent>
        <mc:Choice Requires="wps">
          <w:drawing>
            <wp:anchor distT="0" distB="0" distL="114300" distR="114300" simplePos="0" relativeHeight="251769856" behindDoc="0" locked="0" layoutInCell="1" allowOverlap="1" wp14:anchorId="1C69AFB0" wp14:editId="1D85ADC2">
              <wp:simplePos x="0" y="0"/>
              <wp:positionH relativeFrom="page">
                <wp:posOffset>877401</wp:posOffset>
              </wp:positionH>
              <wp:positionV relativeFrom="page">
                <wp:posOffset>10201110</wp:posOffset>
              </wp:positionV>
              <wp:extent cx="6159676" cy="133200"/>
              <wp:effectExtent l="0" t="0" r="0" b="0"/>
              <wp:wrapNone/>
              <wp:docPr id="1432289264"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14CAA19D" w14:textId="77777777" w:rsidTr="00D65E1C">
                            <w:trPr>
                              <w:trHeight w:hRule="exact" w:val="182"/>
                              <w:jc w:val="right"/>
                            </w:trPr>
                            <w:tc>
                              <w:tcPr>
                                <w:tcW w:w="9071" w:type="dxa"/>
                                <w:shd w:val="clear" w:color="auto" w:fill="FFFFFF"/>
                              </w:tcPr>
                              <w:p w14:paraId="3AAEC133" w14:textId="77777777" w:rsidR="009D0C1D" w:rsidRDefault="009D0C1D" w:rsidP="00BD21B8">
                                <w:pPr>
                                  <w:pStyle w:val="a6"/>
                                  <w:shd w:val="clear" w:color="auto" w:fill="auto"/>
                                  <w:jc w:val="right"/>
                                  <w:rPr>
                                    <w:sz w:val="15"/>
                                    <w:szCs w:val="15"/>
                                  </w:rPr>
                                </w:pPr>
                                <w:r>
                                  <w:rPr>
                                    <w:b w:val="0"/>
                                    <w:color w:val="019648"/>
                                    <w:sz w:val="15"/>
                                  </w:rPr>
                                  <w:t>Додаток 3. Впровадження технологій секвенування наступного покоління</w:t>
                                </w:r>
                              </w:p>
                            </w:tc>
                            <w:tc>
                              <w:tcPr>
                                <w:tcW w:w="521" w:type="dxa"/>
                                <w:shd w:val="clear" w:color="auto" w:fill="FFFFFF"/>
                              </w:tcPr>
                              <w:p w14:paraId="5D36A7A7"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3CA6C5BF" w14:textId="77777777" w:rsidR="009D0C1D" w:rsidRDefault="009D0C1D" w:rsidP="00D65E1C">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C69AFB0" id="_x0000_t202" coordsize="21600,21600" o:spt="202" path="m,l,21600r21600,l21600,xe">
              <v:stroke joinstyle="miter"/>
              <v:path gradientshapeok="t" o:connecttype="rect"/>
            </v:shapetype>
            <v:shape id="_x0000_s1592" type="#_x0000_t202" style="position:absolute;margin-left:69.1pt;margin-top:803.25pt;width:485pt;height:10.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14CAA19D" w14:textId="77777777" w:rsidTr="00D65E1C">
                      <w:trPr>
                        <w:trHeight w:hRule="exact" w:val="182"/>
                        <w:jc w:val="right"/>
                      </w:trPr>
                      <w:tc>
                        <w:tcPr>
                          <w:tcW w:w="9071" w:type="dxa"/>
                          <w:shd w:val="clear" w:color="auto" w:fill="FFFFFF"/>
                        </w:tcPr>
                        <w:p w14:paraId="3AAEC133" w14:textId="77777777" w:rsidR="009D0C1D" w:rsidRDefault="009D0C1D" w:rsidP="00BD21B8">
                          <w:pPr>
                            <w:pStyle w:val="a6"/>
                            <w:shd w:val="clear" w:color="auto" w:fill="auto"/>
                            <w:jc w:val="right"/>
                            <w:rPr>
                              <w:sz w:val="15"/>
                              <w:szCs w:val="15"/>
                            </w:rPr>
                          </w:pPr>
                          <w:r>
                            <w:rPr>
                              <w:b w:val="0"/>
                              <w:color w:val="019648"/>
                              <w:sz w:val="15"/>
                            </w:rPr>
                            <w:t>Додаток 3. Впровадження технологій секвенування наступного покоління</w:t>
                          </w:r>
                        </w:p>
                      </w:tc>
                      <w:tc>
                        <w:tcPr>
                          <w:tcW w:w="521" w:type="dxa"/>
                          <w:shd w:val="clear" w:color="auto" w:fill="FFFFFF"/>
                        </w:tcPr>
                        <w:p w14:paraId="5D36A7A7"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3CA6C5BF" w14:textId="77777777" w:rsidR="009D0C1D" w:rsidRDefault="009D0C1D" w:rsidP="00D65E1C">
                    <w:pPr>
                      <w:spacing w:line="17" w:lineRule="auto"/>
                    </w:pP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D1270" w14:textId="77777777" w:rsidR="009D0C1D" w:rsidRDefault="009D0C1D" w:rsidP="00D65E1C">
    <w:pPr>
      <w:pStyle w:val="ab"/>
      <w:framePr w:wrap="none" w:vAnchor="page" w:hAnchor="page" w:x="10933" w:y="16064"/>
      <w:shd w:val="clear" w:color="auto" w:fill="auto"/>
    </w:pPr>
    <w:r>
      <w:t>v</w:t>
    </w:r>
  </w:p>
  <w:p w14:paraId="08C927BC" w14:textId="77777777" w:rsidR="009D0C1D" w:rsidRDefault="009D0C1D" w:rsidP="00D65E1C">
    <w:pPr>
      <w:pStyle w:val="af2"/>
    </w:pPr>
    <w:r>
      <w:rPr>
        <w:noProof/>
      </w:rPr>
      <mc:AlternateContent>
        <mc:Choice Requires="wps">
          <w:drawing>
            <wp:anchor distT="0" distB="0" distL="114300" distR="114300" simplePos="0" relativeHeight="251765760" behindDoc="0" locked="0" layoutInCell="1" allowOverlap="1" wp14:anchorId="280610FE" wp14:editId="0BC6B4DF">
              <wp:simplePos x="0" y="0"/>
              <wp:positionH relativeFrom="page">
                <wp:posOffset>877401</wp:posOffset>
              </wp:positionH>
              <wp:positionV relativeFrom="page">
                <wp:posOffset>10201110</wp:posOffset>
              </wp:positionV>
              <wp:extent cx="6159676" cy="133200"/>
              <wp:effectExtent l="0" t="0" r="0" b="0"/>
              <wp:wrapNone/>
              <wp:docPr id="1753435372"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071B2A18" w14:textId="77777777" w:rsidTr="00D65E1C">
                            <w:trPr>
                              <w:trHeight w:hRule="exact" w:val="182"/>
                              <w:jc w:val="right"/>
                            </w:trPr>
                            <w:tc>
                              <w:tcPr>
                                <w:tcW w:w="9071" w:type="dxa"/>
                                <w:shd w:val="clear" w:color="auto" w:fill="FFFFFF"/>
                              </w:tcPr>
                              <w:p w14:paraId="121CFF67" w14:textId="77777777" w:rsidR="009D0C1D" w:rsidRDefault="009D0C1D" w:rsidP="00BD21B8">
                                <w:pPr>
                                  <w:pStyle w:val="a6"/>
                                  <w:shd w:val="clear" w:color="auto" w:fill="auto"/>
                                  <w:jc w:val="right"/>
                                  <w:rPr>
                                    <w:sz w:val="15"/>
                                    <w:szCs w:val="15"/>
                                  </w:rPr>
                                </w:pPr>
                                <w:r>
                                  <w:rPr>
                                    <w:b w:val="0"/>
                                    <w:color w:val="019648"/>
                                    <w:sz w:val="15"/>
                                  </w:rPr>
                                  <w:t>Додаток 4. Шкірні тести на виявлення туберкульозної інфекції – детальний опис</w:t>
                                </w:r>
                              </w:p>
                            </w:tc>
                            <w:tc>
                              <w:tcPr>
                                <w:tcW w:w="521" w:type="dxa"/>
                                <w:shd w:val="clear" w:color="auto" w:fill="FFFFFF"/>
                              </w:tcPr>
                              <w:p w14:paraId="7D7EDE18"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382A996F" w14:textId="77777777" w:rsidR="009D0C1D" w:rsidRDefault="009D0C1D" w:rsidP="00D65E1C">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80610FE" id="_x0000_t202" coordsize="21600,21600" o:spt="202" path="m,l,21600r21600,l21600,xe">
              <v:stroke joinstyle="miter"/>
              <v:path gradientshapeok="t" o:connecttype="rect"/>
            </v:shapetype>
            <v:shape id="_x0000_s1593" type="#_x0000_t202" style="position:absolute;margin-left:69.1pt;margin-top:803.25pt;width:485pt;height:10.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071B2A18" w14:textId="77777777" w:rsidTr="00D65E1C">
                      <w:trPr>
                        <w:trHeight w:hRule="exact" w:val="182"/>
                        <w:jc w:val="right"/>
                      </w:trPr>
                      <w:tc>
                        <w:tcPr>
                          <w:tcW w:w="9071" w:type="dxa"/>
                          <w:shd w:val="clear" w:color="auto" w:fill="FFFFFF"/>
                        </w:tcPr>
                        <w:p w14:paraId="121CFF67" w14:textId="77777777" w:rsidR="009D0C1D" w:rsidRDefault="009D0C1D" w:rsidP="00BD21B8">
                          <w:pPr>
                            <w:pStyle w:val="a6"/>
                            <w:shd w:val="clear" w:color="auto" w:fill="auto"/>
                            <w:jc w:val="right"/>
                            <w:rPr>
                              <w:sz w:val="15"/>
                              <w:szCs w:val="15"/>
                            </w:rPr>
                          </w:pPr>
                          <w:r>
                            <w:rPr>
                              <w:b w:val="0"/>
                              <w:color w:val="019648"/>
                              <w:sz w:val="15"/>
                            </w:rPr>
                            <w:t>Додаток 4. Шкірні тести на виявлення туберкульозної інфекції – детальний опис</w:t>
                          </w:r>
                        </w:p>
                      </w:tc>
                      <w:tc>
                        <w:tcPr>
                          <w:tcW w:w="521" w:type="dxa"/>
                          <w:shd w:val="clear" w:color="auto" w:fill="FFFFFF"/>
                        </w:tcPr>
                        <w:p w14:paraId="7D7EDE18"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382A996F" w14:textId="77777777" w:rsidR="009D0C1D" w:rsidRDefault="009D0C1D" w:rsidP="00D65E1C">
                    <w:pPr>
                      <w:spacing w:line="17" w:lineRule="auto"/>
                    </w:pP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BFEDC" w14:textId="381E585C" w:rsidR="009D0C1D" w:rsidRPr="00D65E1C" w:rsidRDefault="009D0C1D" w:rsidP="00D65E1C">
    <w:pPr>
      <w:pStyle w:val="af2"/>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CC368" w14:textId="3EB8315F" w:rsidR="009D0C1D" w:rsidRPr="00BD21B8" w:rsidRDefault="009D0C1D" w:rsidP="00BD21B8">
    <w:pPr>
      <w:pStyle w:val="af2"/>
    </w:pPr>
    <w:r>
      <w:rPr>
        <w:noProof/>
      </w:rPr>
      <mc:AlternateContent>
        <mc:Choice Requires="wps">
          <w:drawing>
            <wp:anchor distT="0" distB="0" distL="114300" distR="114300" simplePos="0" relativeHeight="251661312" behindDoc="0" locked="0" layoutInCell="1" allowOverlap="1" wp14:anchorId="3B4AECCB" wp14:editId="0C2E8C63">
              <wp:simplePos x="0" y="0"/>
              <wp:positionH relativeFrom="page">
                <wp:posOffset>533400</wp:posOffset>
              </wp:positionH>
              <wp:positionV relativeFrom="page">
                <wp:posOffset>10202333</wp:posOffset>
              </wp:positionV>
              <wp:extent cx="3708400" cy="144000"/>
              <wp:effectExtent l="0" t="0" r="6350" b="8255"/>
              <wp:wrapNone/>
              <wp:docPr id="1123130506" name="Поле 2"/>
              <wp:cNvGraphicFramePr/>
              <a:graphic xmlns:a="http://schemas.openxmlformats.org/drawingml/2006/main">
                <a:graphicData uri="http://schemas.microsoft.com/office/word/2010/wordprocessingShape">
                  <wps:wsp>
                    <wps:cNvSpPr txBox="1"/>
                    <wps:spPr>
                      <a:xfrm>
                        <a:off x="0" y="0"/>
                        <a:ext cx="3708400" cy="144000"/>
                      </a:xfrm>
                      <a:prstGeom prst="rect">
                        <a:avLst/>
                      </a:prstGeom>
                      <a:solidFill>
                        <a:sysClr val="window" lastClr="FFFFFF"/>
                      </a:solidFill>
                      <a:ln w="6350">
                        <a:noFill/>
                      </a:ln>
                    </wps:spPr>
                    <wps:txbx>
                      <w:txbxContent>
                        <w:tbl>
                          <w:tblPr>
                            <w:tblOverlap w:val="never"/>
                            <w:tblW w:w="5670" w:type="dxa"/>
                            <w:tblLayout w:type="fixed"/>
                            <w:tblCellMar>
                              <w:left w:w="10" w:type="dxa"/>
                              <w:right w:w="10" w:type="dxa"/>
                            </w:tblCellMar>
                            <w:tblLook w:val="0000" w:firstRow="0" w:lastRow="0" w:firstColumn="0" w:lastColumn="0" w:noHBand="0" w:noVBand="0"/>
                          </w:tblPr>
                          <w:tblGrid>
                            <w:gridCol w:w="547"/>
                            <w:gridCol w:w="5123"/>
                          </w:tblGrid>
                          <w:tr w:rsidR="009D0C1D" w:rsidRPr="00FC26B4" w14:paraId="27D50440" w14:textId="77777777" w:rsidTr="00045CAE">
                            <w:trPr>
                              <w:trHeight w:hRule="exact" w:val="197"/>
                            </w:trPr>
                            <w:tc>
                              <w:tcPr>
                                <w:tcW w:w="547" w:type="dxa"/>
                                <w:shd w:val="clear" w:color="auto" w:fill="FFFFFF"/>
                              </w:tcPr>
                              <w:p w14:paraId="57218ED0"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123" w:type="dxa"/>
                                <w:shd w:val="clear" w:color="auto" w:fill="FFFFFF"/>
                              </w:tcPr>
                              <w:p w14:paraId="3D70B4CD"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226A1AD0" w14:textId="77777777" w:rsidR="009D0C1D" w:rsidRDefault="009D0C1D" w:rsidP="00FC26B4">
                          <w:pPr>
                            <w:spacing w:line="17"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B4AECCB" id="_x0000_t202" coordsize="21600,21600" o:spt="202" path="m,l,21600r21600,l21600,xe">
              <v:stroke joinstyle="miter"/>
              <v:path gradientshapeok="t" o:connecttype="rect"/>
            </v:shapetype>
            <v:shape id="_x0000_s1556" type="#_x0000_t202" style="position:absolute;margin-left:42pt;margin-top:803.35pt;width:292pt;height:1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" fillcolor="window" stroked="f" strokeweight=".5pt">
              <v:textbox style="mso-fit-shape-to-text:t" inset="0,0,0,0">
                <w:txbxContent>
                  <w:tbl>
                    <w:tblPr>
                      <w:tblOverlap w:val="never"/>
                      <w:tblW w:w="5670" w:type="dxa"/>
                      <w:tblLayout w:type="fixed"/>
                      <w:tblCellMar>
                        <w:left w:w="10" w:type="dxa"/>
                        <w:right w:w="10" w:type="dxa"/>
                      </w:tblCellMar>
                      <w:tblLook w:val="0000" w:firstRow="0" w:lastRow="0" w:firstColumn="0" w:lastColumn="0" w:noHBand="0" w:noVBand="0"/>
                    </w:tblPr>
                    <w:tblGrid>
                      <w:gridCol w:w="547"/>
                      <w:gridCol w:w="5123"/>
                    </w:tblGrid>
                    <w:tr w:rsidR="009D0C1D" w:rsidRPr="00FC26B4" w14:paraId="27D50440" w14:textId="77777777" w:rsidTr="00045CAE">
                      <w:trPr>
                        <w:trHeight w:hRule="exact" w:val="197"/>
                      </w:trPr>
                      <w:tc>
                        <w:tcPr>
                          <w:tcW w:w="547" w:type="dxa"/>
                          <w:shd w:val="clear" w:color="auto" w:fill="FFFFFF"/>
                        </w:tcPr>
                        <w:p w14:paraId="57218ED0" w14:textId="77777777" w:rsidR="009D0C1D" w:rsidRPr="00FC26B4" w:rsidRDefault="009D0C1D" w:rsidP="00FC26B4">
                          <w:pPr>
                            <w:rPr>
                              <w:color w:val="019648"/>
                              <w:sz w:val="15"/>
                              <w:szCs w:val="15"/>
                            </w:rPr>
                          </w:pPr>
                          <w:r w:rsidRPr="00FC26B4">
                            <w:rPr>
                              <w:color w:val="019648"/>
                              <w:sz w:val="15"/>
                            </w:rPr>
                            <w:fldChar w:fldCharType="begin"/>
                          </w:r>
                          <w:r w:rsidRPr="00FC26B4">
                            <w:rPr>
                              <w:color w:val="019648"/>
                              <w:sz w:val="15"/>
                            </w:rPr>
                            <w:instrText>PAGE   \* MERGEFORMAT</w:instrText>
                          </w:r>
                          <w:r w:rsidRPr="00FC26B4">
                            <w:rPr>
                              <w:color w:val="019648"/>
                              <w:sz w:val="15"/>
                            </w:rPr>
                            <w:fldChar w:fldCharType="separate"/>
                          </w:r>
                          <w:r w:rsidRPr="00FC26B4">
                            <w:rPr>
                              <w:color w:val="019648"/>
                              <w:sz w:val="15"/>
                            </w:rPr>
                            <w:t>1</w:t>
                          </w:r>
                          <w:r w:rsidRPr="00FC26B4">
                            <w:rPr>
                              <w:color w:val="019648"/>
                              <w:sz w:val="15"/>
                            </w:rPr>
                            <w:fldChar w:fldCharType="end"/>
                          </w:r>
                        </w:p>
                      </w:tc>
                      <w:tc>
                        <w:tcPr>
                          <w:tcW w:w="5123" w:type="dxa"/>
                          <w:shd w:val="clear" w:color="auto" w:fill="FFFFFF"/>
                        </w:tcPr>
                        <w:p w14:paraId="3D70B4CD" w14:textId="77777777" w:rsidR="009D0C1D" w:rsidRPr="00FC26B4" w:rsidRDefault="009D0C1D" w:rsidP="00FC26B4">
                          <w:pPr>
                            <w:rPr>
                              <w:b/>
                              <w:bCs/>
                              <w:color w:val="EBEBEB"/>
                              <w:sz w:val="15"/>
                              <w:szCs w:val="15"/>
                            </w:rPr>
                          </w:pPr>
                          <w:r>
                            <w:rPr>
                              <w:color w:val="019648"/>
                              <w:sz w:val="15"/>
                            </w:rPr>
                            <w:t xml:space="preserve">Операційний довідник </w:t>
                          </w:r>
                          <w:r>
                            <w:rPr>
                              <w:color w:val="F07A72"/>
                              <w:sz w:val="15"/>
                            </w:rPr>
                            <w:t xml:space="preserve">ВООЗ </w:t>
                          </w:r>
                          <w:r>
                            <w:rPr>
                              <w:color w:val="019648"/>
                              <w:sz w:val="15"/>
                            </w:rPr>
                            <w:t>щодо туберкульозу. Модуль 3: діагностика</w:t>
                          </w:r>
                        </w:p>
                      </w:tc>
                    </w:tr>
                  </w:tbl>
                  <w:p w14:paraId="226A1AD0" w14:textId="77777777" w:rsidR="009D0C1D" w:rsidRDefault="009D0C1D" w:rsidP="00FC26B4">
                    <w:pPr>
                      <w:spacing w:line="17" w:lineRule="auto"/>
                      <w:jc w:val="both"/>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AB31C" w14:textId="77777777" w:rsidR="009D0C1D" w:rsidRDefault="009D0C1D" w:rsidP="00D65E1C">
    <w:pPr>
      <w:pStyle w:val="ab"/>
      <w:framePr w:wrap="none" w:vAnchor="page" w:hAnchor="page" w:x="10933" w:y="16064"/>
      <w:shd w:val="clear" w:color="auto" w:fill="auto"/>
    </w:pPr>
    <w:r>
      <w:t>v</w:t>
    </w:r>
  </w:p>
  <w:p w14:paraId="7E2605D2" w14:textId="77777777" w:rsidR="009D0C1D" w:rsidRDefault="009D0C1D" w:rsidP="00D65E1C">
    <w:pPr>
      <w:pStyle w:val="af2"/>
    </w:pPr>
    <w:r>
      <w:rPr>
        <w:noProof/>
      </w:rPr>
      <mc:AlternateContent>
        <mc:Choice Requires="wps">
          <w:drawing>
            <wp:anchor distT="0" distB="0" distL="114300" distR="114300" simplePos="0" relativeHeight="251788288" behindDoc="0" locked="0" layoutInCell="1" allowOverlap="1" wp14:anchorId="13BA4287" wp14:editId="6B96E49F">
              <wp:simplePos x="0" y="0"/>
              <wp:positionH relativeFrom="page">
                <wp:posOffset>877401</wp:posOffset>
              </wp:positionH>
              <wp:positionV relativeFrom="page">
                <wp:posOffset>10201110</wp:posOffset>
              </wp:positionV>
              <wp:extent cx="6159676" cy="133200"/>
              <wp:effectExtent l="0" t="0" r="0" b="0"/>
              <wp:wrapNone/>
              <wp:docPr id="1139526074"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5C1DACBC" w14:textId="77777777" w:rsidTr="00D65E1C">
                            <w:trPr>
                              <w:trHeight w:hRule="exact" w:val="182"/>
                              <w:jc w:val="right"/>
                            </w:trPr>
                            <w:tc>
                              <w:tcPr>
                                <w:tcW w:w="9071" w:type="dxa"/>
                                <w:shd w:val="clear" w:color="auto" w:fill="FFFFFF"/>
                              </w:tcPr>
                              <w:p w14:paraId="74296F3E" w14:textId="689FE9E2" w:rsidR="009D0C1D" w:rsidRDefault="009D0C1D" w:rsidP="00BD21B8">
                                <w:pPr>
                                  <w:pStyle w:val="a6"/>
                                  <w:shd w:val="clear" w:color="auto" w:fill="auto"/>
                                  <w:jc w:val="right"/>
                                  <w:rPr>
                                    <w:sz w:val="15"/>
                                    <w:szCs w:val="15"/>
                                  </w:rPr>
                                </w:pPr>
                                <w:r>
                                  <w:rPr>
                                    <w:b w:val="0"/>
                                    <w:color w:val="019648"/>
                                    <w:sz w:val="15"/>
                                  </w:rPr>
                                  <w:t>1. Вступ</w:t>
                                </w:r>
                              </w:p>
                            </w:tc>
                            <w:tc>
                              <w:tcPr>
                                <w:tcW w:w="521" w:type="dxa"/>
                                <w:shd w:val="clear" w:color="auto" w:fill="FFFFFF"/>
                              </w:tcPr>
                              <w:p w14:paraId="749D9302"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79788F9F" w14:textId="77777777" w:rsidR="009D0C1D" w:rsidRDefault="009D0C1D" w:rsidP="00D65E1C">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BA4287" id="_x0000_t202" coordsize="21600,21600" o:spt="202" path="m,l,21600r21600,l21600,xe">
              <v:stroke joinstyle="miter"/>
              <v:path gradientshapeok="t" o:connecttype="rect"/>
            </v:shapetype>
            <v:shape id="_x0000_s1557" type="#_x0000_t202" style="position:absolute;margin-left:69.1pt;margin-top:803.25pt;width:485pt;height:10.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5C1DACBC" w14:textId="77777777" w:rsidTr="00D65E1C">
                      <w:trPr>
                        <w:trHeight w:hRule="exact" w:val="182"/>
                        <w:jc w:val="right"/>
                      </w:trPr>
                      <w:tc>
                        <w:tcPr>
                          <w:tcW w:w="9071" w:type="dxa"/>
                          <w:shd w:val="clear" w:color="auto" w:fill="FFFFFF"/>
                        </w:tcPr>
                        <w:p w14:paraId="74296F3E" w14:textId="689FE9E2" w:rsidR="009D0C1D" w:rsidRDefault="009D0C1D" w:rsidP="00BD21B8">
                          <w:pPr>
                            <w:pStyle w:val="a6"/>
                            <w:shd w:val="clear" w:color="auto" w:fill="auto"/>
                            <w:jc w:val="right"/>
                            <w:rPr>
                              <w:sz w:val="15"/>
                              <w:szCs w:val="15"/>
                            </w:rPr>
                          </w:pPr>
                          <w:r>
                            <w:rPr>
                              <w:b w:val="0"/>
                              <w:color w:val="019648"/>
                              <w:sz w:val="15"/>
                            </w:rPr>
                            <w:t>1. Вступ</w:t>
                          </w:r>
                        </w:p>
                      </w:tc>
                      <w:tc>
                        <w:tcPr>
                          <w:tcW w:w="521" w:type="dxa"/>
                          <w:shd w:val="clear" w:color="auto" w:fill="FFFFFF"/>
                        </w:tcPr>
                        <w:p w14:paraId="749D9302"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79788F9F" w14:textId="77777777" w:rsidR="009D0C1D" w:rsidRDefault="009D0C1D" w:rsidP="00D65E1C">
                    <w:pPr>
                      <w:spacing w:line="17" w:lineRule="auto"/>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66F89" w14:textId="77777777" w:rsidR="009D0C1D" w:rsidRDefault="009D0C1D" w:rsidP="00D65E1C">
    <w:pPr>
      <w:pStyle w:val="ab"/>
      <w:framePr w:wrap="none" w:vAnchor="page" w:hAnchor="page" w:x="10933" w:y="16064"/>
      <w:shd w:val="clear" w:color="auto" w:fill="auto"/>
    </w:pPr>
    <w:bookmarkStart w:id="28" w:name="_Hlk205664541"/>
    <w:bookmarkStart w:id="29" w:name="_Hlk205664542"/>
    <w:r>
      <w:t>v</w:t>
    </w:r>
  </w:p>
  <w:p w14:paraId="2221C35F" w14:textId="77777777" w:rsidR="009D0C1D" w:rsidRDefault="009D0C1D" w:rsidP="00D65E1C">
    <w:pPr>
      <w:pStyle w:val="af2"/>
    </w:pPr>
    <w:r>
      <w:rPr>
        <w:noProof/>
      </w:rPr>
      <mc:AlternateContent>
        <mc:Choice Requires="wps">
          <w:drawing>
            <wp:anchor distT="0" distB="0" distL="114300" distR="114300" simplePos="0" relativeHeight="251790336" behindDoc="0" locked="0" layoutInCell="1" allowOverlap="1" wp14:anchorId="0450DCDF" wp14:editId="2D3603D2">
              <wp:simplePos x="0" y="0"/>
              <wp:positionH relativeFrom="page">
                <wp:posOffset>877401</wp:posOffset>
              </wp:positionH>
              <wp:positionV relativeFrom="page">
                <wp:posOffset>10201110</wp:posOffset>
              </wp:positionV>
              <wp:extent cx="6159676" cy="133200"/>
              <wp:effectExtent l="0" t="0" r="0" b="0"/>
              <wp:wrapNone/>
              <wp:docPr id="39170219" name="Поле 2"/>
              <wp:cNvGraphicFramePr/>
              <a:graphic xmlns:a="http://schemas.openxmlformats.org/drawingml/2006/main">
                <a:graphicData uri="http://schemas.microsoft.com/office/word/2010/wordprocessingShape">
                  <wps:wsp>
                    <wps:cNvSpPr txBox="1"/>
                    <wps:spPr>
                      <a:xfrm>
                        <a:off x="0" y="0"/>
                        <a:ext cx="6159676" cy="133200"/>
                      </a:xfrm>
                      <a:prstGeom prst="rect">
                        <a:avLst/>
                      </a:prstGeom>
                      <a:solidFill>
                        <a:sysClr val="window" lastClr="FFFFFF"/>
                      </a:solidFill>
                      <a:ln w="6350">
                        <a:noFill/>
                      </a:ln>
                    </wps:spPr>
                    <wps:txbx>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12047075" w14:textId="77777777" w:rsidTr="00D65E1C">
                            <w:trPr>
                              <w:trHeight w:hRule="exact" w:val="182"/>
                              <w:jc w:val="right"/>
                            </w:trPr>
                            <w:tc>
                              <w:tcPr>
                                <w:tcW w:w="9071" w:type="dxa"/>
                                <w:shd w:val="clear" w:color="auto" w:fill="FFFFFF"/>
                              </w:tcPr>
                              <w:p w14:paraId="48AF7889" w14:textId="1C8A57F9" w:rsidR="009D0C1D" w:rsidRDefault="009D0C1D" w:rsidP="00BD21B8">
                                <w:pPr>
                                  <w:pStyle w:val="a6"/>
                                  <w:shd w:val="clear" w:color="auto" w:fill="auto"/>
                                  <w:jc w:val="right"/>
                                  <w:rPr>
                                    <w:sz w:val="15"/>
                                    <w:szCs w:val="15"/>
                                  </w:rPr>
                                </w:pPr>
                              </w:p>
                            </w:tc>
                            <w:tc>
                              <w:tcPr>
                                <w:tcW w:w="521" w:type="dxa"/>
                                <w:shd w:val="clear" w:color="auto" w:fill="FFFFFF"/>
                              </w:tcPr>
                              <w:p w14:paraId="0EB006E0"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4F5AEB01" w14:textId="77777777" w:rsidR="009D0C1D" w:rsidRDefault="009D0C1D" w:rsidP="00D65E1C">
                          <w:pPr>
                            <w:spacing w:line="17"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50DCDF" id="_x0000_t202" coordsize="21600,21600" o:spt="202" path="m,l,21600r21600,l21600,xe">
              <v:stroke joinstyle="miter"/>
              <v:path gradientshapeok="t" o:connecttype="rect"/>
            </v:shapetype>
            <v:shape id="_x0000_s1558" type="#_x0000_t202" style="position:absolute;margin-left:69.1pt;margin-top:803.25pt;width:485pt;height:10.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" fillcolor="window" stroked="f" strokeweight=".5pt">
              <v:textbox style="mso-fit-shape-to-text:t" inset="0,0,0,0">
                <w:txbxContent>
                  <w:tbl>
                    <w:tblPr>
                      <w:tblOverlap w:val="never"/>
                      <w:tblW w:w="9592" w:type="dxa"/>
                      <w:jc w:val="right"/>
                      <w:tblLayout w:type="fixed"/>
                      <w:tblCellMar>
                        <w:left w:w="10" w:type="dxa"/>
                        <w:right w:w="10" w:type="dxa"/>
                      </w:tblCellMar>
                      <w:tblLook w:val="0000" w:firstRow="0" w:lastRow="0" w:firstColumn="0" w:lastColumn="0" w:noHBand="0" w:noVBand="0"/>
                    </w:tblPr>
                    <w:tblGrid>
                      <w:gridCol w:w="9071"/>
                      <w:gridCol w:w="521"/>
                    </w:tblGrid>
                    <w:tr w:rsidR="009D0C1D" w14:paraId="12047075" w14:textId="77777777" w:rsidTr="00D65E1C">
                      <w:trPr>
                        <w:trHeight w:hRule="exact" w:val="182"/>
                        <w:jc w:val="right"/>
                      </w:trPr>
                      <w:tc>
                        <w:tcPr>
                          <w:tcW w:w="9071" w:type="dxa"/>
                          <w:shd w:val="clear" w:color="auto" w:fill="FFFFFF"/>
                        </w:tcPr>
                        <w:p w14:paraId="48AF7889" w14:textId="1C8A57F9" w:rsidR="009D0C1D" w:rsidRDefault="009D0C1D" w:rsidP="00BD21B8">
                          <w:pPr>
                            <w:pStyle w:val="a6"/>
                            <w:shd w:val="clear" w:color="auto" w:fill="auto"/>
                            <w:jc w:val="right"/>
                            <w:rPr>
                              <w:sz w:val="15"/>
                              <w:szCs w:val="15"/>
                            </w:rPr>
                          </w:pPr>
                        </w:p>
                      </w:tc>
                      <w:tc>
                        <w:tcPr>
                          <w:tcW w:w="521" w:type="dxa"/>
                          <w:shd w:val="clear" w:color="auto" w:fill="FFFFFF"/>
                        </w:tcPr>
                        <w:p w14:paraId="0EB006E0" w14:textId="77777777" w:rsidR="009D0C1D" w:rsidRDefault="009D0C1D" w:rsidP="00BD21B8">
                          <w:pPr>
                            <w:pStyle w:val="a6"/>
                            <w:shd w:val="clear" w:color="auto" w:fill="auto"/>
                            <w:jc w:val="right"/>
                            <w:rPr>
                              <w:sz w:val="15"/>
                              <w:szCs w:val="15"/>
                            </w:rPr>
                          </w:pPr>
                          <w:r w:rsidRPr="00BD21B8">
                            <w:rPr>
                              <w:b w:val="0"/>
                              <w:color w:val="019648"/>
                              <w:sz w:val="15"/>
                            </w:rPr>
                            <w:fldChar w:fldCharType="begin"/>
                          </w:r>
                          <w:r w:rsidRPr="00BD21B8">
                            <w:rPr>
                              <w:b w:val="0"/>
                              <w:color w:val="019648"/>
                              <w:sz w:val="15"/>
                            </w:rPr>
                            <w:instrText>PAGE   \* MERGEFORMAT</w:instrText>
                          </w:r>
                          <w:r w:rsidRPr="00BD21B8">
                            <w:rPr>
                              <w:b w:val="0"/>
                              <w:color w:val="019648"/>
                              <w:sz w:val="15"/>
                            </w:rPr>
                            <w:fldChar w:fldCharType="separate"/>
                          </w:r>
                          <w:r>
                            <w:rPr>
                              <w:b w:val="0"/>
                              <w:color w:val="019648"/>
                              <w:sz w:val="15"/>
                            </w:rPr>
                            <w:t>2</w:t>
                          </w:r>
                          <w:r w:rsidRPr="00BD21B8">
                            <w:rPr>
                              <w:b w:val="0"/>
                              <w:color w:val="019648"/>
                              <w:sz w:val="15"/>
                            </w:rPr>
                            <w:fldChar w:fldCharType="end"/>
                          </w:r>
                        </w:p>
                      </w:tc>
                    </w:tr>
                  </w:tbl>
                  <w:p w14:paraId="4F5AEB01" w14:textId="77777777" w:rsidR="009D0C1D" w:rsidRDefault="009D0C1D" w:rsidP="00D65E1C">
                    <w:pPr>
                      <w:spacing w:line="17" w:lineRule="auto"/>
                    </w:pPr>
                  </w:p>
                </w:txbxContent>
              </v:textbox>
              <w10:wrap anchorx="page" anchory="page"/>
            </v:shape>
          </w:pict>
        </mc:Fallback>
      </mc:AlternateContent>
    </w:r>
    <w:bookmarkEnd w:id="28"/>
    <w:bookmarkEnd w:id="2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EDF05" w14:textId="77777777" w:rsidR="009D0C1D" w:rsidRDefault="009D0C1D"/>
  </w:footnote>
  <w:footnote w:type="continuationSeparator" w:id="0">
    <w:p w14:paraId="69FD8881" w14:textId="77777777" w:rsidR="009D0C1D" w:rsidRDefault="009D0C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9078B" w14:textId="77777777" w:rsidR="009D0C1D" w:rsidRDefault="009D0C1D">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5D91"/>
    <w:multiLevelType w:val="multilevel"/>
    <w:tmpl w:val="CD782FC4"/>
    <w:lvl w:ilvl="0">
      <w:start w:val="1"/>
      <w:numFmt w:val="decimal"/>
      <w:lvlText w:val="%1."/>
      <w:lvlJc w:val="left"/>
      <w:pPr>
        <w:ind w:left="0" w:firstLine="0"/>
      </w:pPr>
      <w:rPr>
        <w:rFonts w:ascii="Arial" w:eastAsia="Arial" w:hAnsi="Arial" w:cs="Arial" w:hint="default"/>
        <w:b w:val="0"/>
        <w:bCs w:val="0"/>
        <w:i w:val="0"/>
        <w:iCs w:val="0"/>
        <w:smallCaps w:val="0"/>
        <w:strike w:val="0"/>
        <w:color w:val="019648"/>
        <w:spacing w:val="0"/>
        <w:w w:val="100"/>
        <w:position w:val="0"/>
        <w:sz w:val="62"/>
        <w:szCs w:val="62"/>
        <w:u w:val="none"/>
        <w:shd w:val="clear" w:color="auto" w:fill="auto"/>
        <w:lang w:val="en-US" w:eastAsia="en-US" w:bidi="en-US"/>
      </w:rPr>
    </w:lvl>
    <w:lvl w:ilvl="1">
      <w:start w:val="3"/>
      <w:numFmt w:val="decimal"/>
      <w:lvlText w:val="%1.%2"/>
      <w:lvlJc w:val="left"/>
      <w:pPr>
        <w:ind w:left="0" w:firstLine="0"/>
      </w:pPr>
      <w:rPr>
        <w:rFonts w:ascii="Arial" w:eastAsia="Arial" w:hAnsi="Arial" w:cs="Arial" w:hint="default"/>
        <w:b w:val="0"/>
        <w:bCs w:val="0"/>
        <w:i w:val="0"/>
        <w:iCs w:val="0"/>
        <w:smallCaps w:val="0"/>
        <w:strike w:val="0"/>
        <w:color w:val="019648"/>
        <w:spacing w:val="0"/>
        <w:w w:val="100"/>
        <w:position w:val="0"/>
        <w:sz w:val="36"/>
        <w:szCs w:val="36"/>
        <w:u w:val="none"/>
        <w:shd w:val="clear" w:color="auto" w:fill="auto"/>
        <w:lang w:val="en-US" w:eastAsia="en-US" w:bidi="en-US"/>
      </w:rPr>
    </w:lvl>
    <w:lvl w:ilvl="2">
      <w:start w:val="1"/>
      <w:numFmt w:val="decimal"/>
      <w:lvlText w:val="%1.%2.%3"/>
      <w:lvlJc w:val="left"/>
      <w:pPr>
        <w:ind w:left="0" w:firstLine="0"/>
      </w:pPr>
      <w:rPr>
        <w:rFonts w:ascii="Arial" w:eastAsia="Arial" w:hAnsi="Arial" w:cs="Arial" w:hint="default"/>
        <w:b w:val="0"/>
        <w:bCs w:val="0"/>
        <w:i w:val="0"/>
        <w:iCs w:val="0"/>
        <w:smallCaps w:val="0"/>
        <w:strike w:val="0"/>
        <w:color w:val="019648"/>
        <w:spacing w:val="0"/>
        <w:w w:val="100"/>
        <w:position w:val="0"/>
        <w:sz w:val="28"/>
        <w:szCs w:val="28"/>
        <w:u w:val="none"/>
        <w:shd w:val="clear" w:color="auto" w:fill="auto"/>
        <w:lang w:val="en-US" w:eastAsia="en-US" w:bidi="en-US"/>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052351A6"/>
    <w:multiLevelType w:val="multilevel"/>
    <w:tmpl w:val="3F52BE5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95732A"/>
    <w:multiLevelType w:val="multilevel"/>
    <w:tmpl w:val="D64A84A2"/>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1831DE"/>
    <w:multiLevelType w:val="multilevel"/>
    <w:tmpl w:val="88BC1DA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E777B6"/>
    <w:multiLevelType w:val="multilevel"/>
    <w:tmpl w:val="A44EC4EA"/>
    <w:lvl w:ilvl="0">
      <w:start w:val="7"/>
      <w:numFmt w:val="decimal"/>
      <w:lvlText w:val="6.%1"/>
      <w:lvlJc w:val="left"/>
      <w:rPr>
        <w:rFonts w:ascii="Arial" w:eastAsia="Arial" w:hAnsi="Arial" w:cs="Arial"/>
        <w:b w:val="0"/>
        <w:bCs w:val="0"/>
        <w:i w:val="0"/>
        <w:iCs w:val="0"/>
        <w:smallCaps w:val="0"/>
        <w:strike w:val="0"/>
        <w:color w:val="019648"/>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A6303C"/>
    <w:multiLevelType w:val="multilevel"/>
    <w:tmpl w:val="3868409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E2269B"/>
    <w:multiLevelType w:val="multilevel"/>
    <w:tmpl w:val="74CC351E"/>
    <w:lvl w:ilvl="0">
      <w:start w:val="4"/>
      <w:numFmt w:val="decimal"/>
      <w:lvlText w:val="6.%1"/>
      <w:lvlJc w:val="left"/>
      <w:rPr>
        <w:rFonts w:ascii="Arial" w:eastAsia="Arial" w:hAnsi="Arial" w:cs="Arial"/>
        <w:b w:val="0"/>
        <w:bCs w:val="0"/>
        <w:i w:val="0"/>
        <w:iCs w:val="0"/>
        <w:smallCaps w:val="0"/>
        <w:strike w:val="0"/>
        <w:color w:val="019648"/>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6D5C9E"/>
    <w:multiLevelType w:val="multilevel"/>
    <w:tmpl w:val="CECCF93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E877F5"/>
    <w:multiLevelType w:val="multilevel"/>
    <w:tmpl w:val="A148F528"/>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9D745C"/>
    <w:multiLevelType w:val="multilevel"/>
    <w:tmpl w:val="59D48DC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9E27CB"/>
    <w:multiLevelType w:val="multilevel"/>
    <w:tmpl w:val="BF0CE84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3F3D99"/>
    <w:multiLevelType w:val="multilevel"/>
    <w:tmpl w:val="D34A6DF8"/>
    <w:lvl w:ilvl="0">
      <w:start w:val="1"/>
      <w:numFmt w:val="decimal"/>
      <w:lvlText w:val="6.3.%1"/>
      <w:lvlJc w:val="left"/>
      <w:rPr>
        <w:rFonts w:ascii="Arial" w:eastAsia="Arial" w:hAnsi="Arial" w:cs="Arial"/>
        <w:b w:val="0"/>
        <w:bCs w:val="0"/>
        <w:i w:val="0"/>
        <w:iCs w:val="0"/>
        <w:smallCaps w:val="0"/>
        <w:strike w:val="0"/>
        <w:color w:val="019648"/>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BAD70F3"/>
    <w:multiLevelType w:val="multilevel"/>
    <w:tmpl w:val="C758368E"/>
    <w:lvl w:ilvl="0">
      <w:start w:val="3"/>
      <w:numFmt w:val="decimal"/>
      <w:lvlText w:val="%1."/>
      <w:lvlJc w:val="left"/>
      <w:rPr>
        <w:rFonts w:ascii="Arial" w:eastAsia="Arial" w:hAnsi="Arial" w:cs="Arial"/>
        <w:b w:val="0"/>
        <w:bCs w:val="0"/>
        <w:i w:val="0"/>
        <w:iCs w:val="0"/>
        <w:smallCaps w:val="0"/>
        <w:strike w:val="0"/>
        <w:color w:val="019648"/>
        <w:spacing w:val="0"/>
        <w:w w:val="100"/>
        <w:position w:val="0"/>
        <w:sz w:val="62"/>
        <w:szCs w:val="62"/>
        <w:u w:val="none"/>
        <w:shd w:val="clear" w:color="auto" w:fill="auto"/>
        <w:lang w:val="en-US" w:eastAsia="en-US" w:bidi="en-US"/>
      </w:rPr>
    </w:lvl>
    <w:lvl w:ilvl="1">
      <w:start w:val="1"/>
      <w:numFmt w:val="decimal"/>
      <w:lvlText w:val="%1.%2"/>
      <w:lvlJc w:val="left"/>
      <w:rPr>
        <w:rFonts w:ascii="Arial" w:eastAsia="Arial" w:hAnsi="Arial" w:cs="Arial"/>
        <w:b w:val="0"/>
        <w:bCs w:val="0"/>
        <w:i w:val="0"/>
        <w:iCs w:val="0"/>
        <w:smallCaps w:val="0"/>
        <w:strike w:val="0"/>
        <w:color w:val="019648"/>
        <w:spacing w:val="0"/>
        <w:w w:val="100"/>
        <w:position w:val="0"/>
        <w:sz w:val="36"/>
        <w:szCs w:val="36"/>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DF5D26"/>
    <w:multiLevelType w:val="multilevel"/>
    <w:tmpl w:val="76E25758"/>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DDD6D07"/>
    <w:multiLevelType w:val="multilevel"/>
    <w:tmpl w:val="DA4C31C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544203"/>
    <w:multiLevelType w:val="multilevel"/>
    <w:tmpl w:val="514C2BE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B24167"/>
    <w:multiLevelType w:val="multilevel"/>
    <w:tmpl w:val="AB6252B4"/>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081443"/>
    <w:multiLevelType w:val="multilevel"/>
    <w:tmpl w:val="F45626A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29F535D"/>
    <w:multiLevelType w:val="multilevel"/>
    <w:tmpl w:val="B83C8C2E"/>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44237E8"/>
    <w:multiLevelType w:val="multilevel"/>
    <w:tmpl w:val="D908BE1E"/>
    <w:lvl w:ilvl="0">
      <w:start w:val="1"/>
      <w:numFmt w:val="decimal"/>
      <w:lvlText w:val="%1."/>
      <w:lvlJc w:val="left"/>
      <w:pPr>
        <w:ind w:left="0" w:firstLine="0"/>
      </w:pPr>
      <w:rPr>
        <w:rFonts w:ascii="Arial" w:eastAsia="Arial" w:hAnsi="Arial" w:cs="Arial" w:hint="default"/>
        <w:b w:val="0"/>
        <w:bCs w:val="0"/>
        <w:i w:val="0"/>
        <w:iCs w:val="0"/>
        <w:smallCaps w:val="0"/>
        <w:strike w:val="0"/>
        <w:color w:val="019648"/>
        <w:spacing w:val="0"/>
        <w:w w:val="100"/>
        <w:position w:val="0"/>
        <w:sz w:val="62"/>
        <w:szCs w:val="62"/>
        <w:u w:val="none"/>
      </w:rPr>
    </w:lvl>
    <w:lvl w:ilvl="1">
      <w:start w:val="3"/>
      <w:numFmt w:val="decimal"/>
      <w:lvlText w:val="%1.%2"/>
      <w:lvlJc w:val="left"/>
      <w:pPr>
        <w:ind w:left="0" w:firstLine="0"/>
      </w:pPr>
      <w:rPr>
        <w:rFonts w:ascii="Arial" w:eastAsia="Arial" w:hAnsi="Arial" w:cs="Arial" w:hint="default"/>
        <w:b w:val="0"/>
        <w:bCs w:val="0"/>
        <w:i w:val="0"/>
        <w:iCs w:val="0"/>
        <w:smallCaps w:val="0"/>
        <w:strike w:val="0"/>
        <w:color w:val="019648"/>
        <w:spacing w:val="0"/>
        <w:w w:val="100"/>
        <w:position w:val="0"/>
        <w:sz w:val="36"/>
        <w:szCs w:val="36"/>
        <w:u w:val="none"/>
      </w:rPr>
    </w:lvl>
    <w:lvl w:ilvl="2">
      <w:start w:val="1"/>
      <w:numFmt w:val="decimal"/>
      <w:lvlText w:val="%1.%2.%3"/>
      <w:lvlJc w:val="left"/>
      <w:pPr>
        <w:ind w:left="0" w:firstLine="0"/>
      </w:pPr>
      <w:rPr>
        <w:rFonts w:ascii="Arial" w:eastAsia="Arial" w:hAnsi="Arial" w:cs="Arial" w:hint="default"/>
        <w:b w:val="0"/>
        <w:bCs w:val="0"/>
        <w:i w:val="0"/>
        <w:iCs w:val="0"/>
        <w:smallCaps w:val="0"/>
        <w:strike w:val="0"/>
        <w:color w:val="019648"/>
        <w:spacing w:val="0"/>
        <w:w w:val="100"/>
        <w:position w:val="0"/>
        <w:sz w:val="28"/>
        <w:szCs w:val="28"/>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15:restartNumberingAfterBreak="0">
    <w:nsid w:val="249B189F"/>
    <w:multiLevelType w:val="multilevel"/>
    <w:tmpl w:val="5F000816"/>
    <w:lvl w:ilvl="0">
      <w:start w:val="3"/>
      <w:numFmt w:val="decimal"/>
      <w:lvlText w:val="5.%1"/>
      <w:lvlJc w:val="left"/>
      <w:rPr>
        <w:rFonts w:ascii="Arial" w:eastAsia="Arial" w:hAnsi="Arial" w:cs="Arial"/>
        <w:b w:val="0"/>
        <w:bCs w:val="0"/>
        <w:i w:val="0"/>
        <w:iCs w:val="0"/>
        <w:smallCaps w:val="0"/>
        <w:strike w:val="0"/>
        <w:color w:val="019648"/>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4B14C9C"/>
    <w:multiLevelType w:val="multilevel"/>
    <w:tmpl w:val="5FBACE6A"/>
    <w:lvl w:ilvl="0">
      <w:start w:val="64"/>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9433725"/>
    <w:multiLevelType w:val="multilevel"/>
    <w:tmpl w:val="A5E48486"/>
    <w:lvl w:ilvl="0">
      <w:start w:val="100"/>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B5B79DC"/>
    <w:multiLevelType w:val="multilevel"/>
    <w:tmpl w:val="669AA1EA"/>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2F52F84"/>
    <w:multiLevelType w:val="multilevel"/>
    <w:tmpl w:val="48CACAD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3C54DFF"/>
    <w:multiLevelType w:val="multilevel"/>
    <w:tmpl w:val="80081BE8"/>
    <w:lvl w:ilvl="0">
      <w:start w:val="1"/>
      <w:numFmt w:val="decimal"/>
      <w:suff w:val="space"/>
      <w:lvlText w:val="%1."/>
      <w:lvlJc w:val="left"/>
      <w:pPr>
        <w:ind w:left="0" w:firstLine="0"/>
      </w:pPr>
      <w:rPr>
        <w:rFonts w:ascii="Arial" w:eastAsia="Arial" w:hAnsi="Arial" w:cs="Arial" w:hint="default"/>
        <w:b/>
        <w:bCs/>
        <w:i w:val="0"/>
        <w:iCs w:val="0"/>
        <w:smallCaps w:val="0"/>
        <w:strike w:val="0"/>
        <w:color w:val="019648"/>
        <w:spacing w:val="0"/>
        <w:w w:val="100"/>
        <w:position w:val="0"/>
        <w:sz w:val="24"/>
        <w:szCs w:val="24"/>
        <w:u w:val="none"/>
        <w:shd w:val="clear" w:color="auto" w:fill="auto"/>
        <w:lang w:val="en-US" w:eastAsia="en-US" w:bidi="en-US"/>
      </w:rPr>
    </w:lvl>
    <w:lvl w:ilvl="1">
      <w:start w:val="1"/>
      <w:numFmt w:val="decimal"/>
      <w:suff w:val="space"/>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346D66AE"/>
    <w:multiLevelType w:val="multilevel"/>
    <w:tmpl w:val="E5768692"/>
    <w:lvl w:ilvl="0">
      <w:start w:val="1"/>
      <w:numFmt w:val="decimal"/>
      <w:lvlText w:val="2.3.%1"/>
      <w:lvlJc w:val="left"/>
      <w:rPr>
        <w:rFonts w:ascii="Arial" w:eastAsia="Arial" w:hAnsi="Arial" w:cs="Arial"/>
        <w:b w:val="0"/>
        <w:bCs w:val="0"/>
        <w:i w:val="0"/>
        <w:iCs w:val="0"/>
        <w:smallCaps w:val="0"/>
        <w:strike w:val="0"/>
        <w:color w:val="019648"/>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499148D"/>
    <w:multiLevelType w:val="multilevel"/>
    <w:tmpl w:val="4210DE3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4F60CFB"/>
    <w:multiLevelType w:val="multilevel"/>
    <w:tmpl w:val="683413A0"/>
    <w:lvl w:ilvl="0">
      <w:start w:val="2"/>
      <w:numFmt w:val="decimal"/>
      <w:lvlText w:val="%1."/>
      <w:lvlJc w:val="left"/>
      <w:pPr>
        <w:ind w:left="0" w:firstLine="0"/>
      </w:pPr>
      <w:rPr>
        <w:rFonts w:ascii="Arial" w:eastAsia="Arial" w:hAnsi="Arial" w:cs="Arial" w:hint="default"/>
        <w:b w:val="0"/>
        <w:bCs w:val="0"/>
        <w:i w:val="0"/>
        <w:iCs w:val="0"/>
        <w:smallCaps w:val="0"/>
        <w:strike w:val="0"/>
        <w:color w:val="019648"/>
        <w:spacing w:val="0"/>
        <w:w w:val="100"/>
        <w:position w:val="0"/>
        <w:sz w:val="62"/>
        <w:szCs w:val="62"/>
        <w:u w:val="none"/>
      </w:rPr>
    </w:lvl>
    <w:lvl w:ilvl="1">
      <w:start w:val="2"/>
      <w:numFmt w:val="decimal"/>
      <w:lvlText w:val="%1.%2"/>
      <w:lvlJc w:val="left"/>
      <w:pPr>
        <w:ind w:left="0" w:firstLine="0"/>
      </w:pPr>
      <w:rPr>
        <w:rFonts w:ascii="Arial" w:eastAsia="Arial" w:hAnsi="Arial" w:cs="Arial" w:hint="default"/>
        <w:b w:val="0"/>
        <w:bCs w:val="0"/>
        <w:i w:val="0"/>
        <w:iCs w:val="0"/>
        <w:smallCaps w:val="0"/>
        <w:strike w:val="0"/>
        <w:color w:val="019648"/>
        <w:spacing w:val="0"/>
        <w:w w:val="100"/>
        <w:position w:val="0"/>
        <w:sz w:val="36"/>
        <w:szCs w:val="36"/>
        <w:u w:val="none"/>
      </w:rPr>
    </w:lvl>
    <w:lvl w:ilvl="2">
      <w:start w:val="1"/>
      <w:numFmt w:val="decimal"/>
      <w:lvlText w:val="%1.%2.%3"/>
      <w:lvlJc w:val="left"/>
      <w:pPr>
        <w:ind w:left="0" w:firstLine="0"/>
      </w:pPr>
      <w:rPr>
        <w:rFonts w:ascii="Arial" w:eastAsia="Arial" w:hAnsi="Arial" w:cs="Arial" w:hint="default"/>
        <w:b w:val="0"/>
        <w:bCs w:val="0"/>
        <w:i w:val="0"/>
        <w:iCs w:val="0"/>
        <w:smallCaps w:val="0"/>
        <w:strike w:val="0"/>
        <w:color w:val="019648"/>
        <w:spacing w:val="0"/>
        <w:w w:val="100"/>
        <w:position w:val="0"/>
        <w:sz w:val="28"/>
        <w:szCs w:val="28"/>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 w15:restartNumberingAfterBreak="0">
    <w:nsid w:val="35040708"/>
    <w:multiLevelType w:val="multilevel"/>
    <w:tmpl w:val="0088AEC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61F05F6"/>
    <w:multiLevelType w:val="multilevel"/>
    <w:tmpl w:val="C5223FA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8BF2C38"/>
    <w:multiLevelType w:val="multilevel"/>
    <w:tmpl w:val="5978B2B8"/>
    <w:lvl w:ilvl="0">
      <w:start w:val="1"/>
      <w:numFmt w:val="bullet"/>
      <w:lvlText w:val="•"/>
      <w:lvlJc w:val="left"/>
      <w:rPr>
        <w:rFonts w:ascii="Arial" w:eastAsia="Arial" w:hAnsi="Arial" w:cs="Arial"/>
        <w:b w:val="0"/>
        <w:bCs w:val="0"/>
        <w:i w:val="0"/>
        <w:iCs w:val="0"/>
        <w:smallCaps w:val="0"/>
        <w:strike w:val="0"/>
        <w:color w:val="019648"/>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3892CD2"/>
    <w:multiLevelType w:val="multilevel"/>
    <w:tmpl w:val="53AED60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7926856"/>
    <w:multiLevelType w:val="multilevel"/>
    <w:tmpl w:val="F2D227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9104214"/>
    <w:multiLevelType w:val="multilevel"/>
    <w:tmpl w:val="90405BC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93540E9"/>
    <w:multiLevelType w:val="multilevel"/>
    <w:tmpl w:val="DB9A40E2"/>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A5B5BF1"/>
    <w:multiLevelType w:val="multilevel"/>
    <w:tmpl w:val="CBD08D48"/>
    <w:lvl w:ilvl="0">
      <w:start w:val="1"/>
      <w:numFmt w:val="decimal"/>
      <w:lvlText w:val="%1."/>
      <w:lvlJc w:val="left"/>
      <w:pPr>
        <w:ind w:left="0" w:firstLine="0"/>
      </w:pPr>
      <w:rPr>
        <w:rFonts w:ascii="Arial" w:eastAsia="Arial" w:hAnsi="Arial" w:cs="Arial" w:hint="default"/>
        <w:b w:val="0"/>
        <w:bCs w:val="0"/>
        <w:i w:val="0"/>
        <w:iCs w:val="0"/>
        <w:smallCaps w:val="0"/>
        <w:strike w:val="0"/>
        <w:color w:val="019648"/>
        <w:spacing w:val="0"/>
        <w:w w:val="100"/>
        <w:position w:val="0"/>
        <w:sz w:val="62"/>
        <w:szCs w:val="62"/>
        <w:u w:val="none"/>
      </w:rPr>
    </w:lvl>
    <w:lvl w:ilvl="1">
      <w:start w:val="1"/>
      <w:numFmt w:val="decimal"/>
      <w:lvlText w:val="%1.%2"/>
      <w:lvlJc w:val="left"/>
      <w:pPr>
        <w:ind w:left="0" w:firstLine="0"/>
      </w:pPr>
      <w:rPr>
        <w:rFonts w:ascii="Arial" w:eastAsia="Arial" w:hAnsi="Arial" w:cs="Arial" w:hint="default"/>
        <w:b w:val="0"/>
        <w:bCs w:val="0"/>
        <w:i w:val="0"/>
        <w:iCs w:val="0"/>
        <w:smallCaps w:val="0"/>
        <w:strike w:val="0"/>
        <w:color w:val="019648"/>
        <w:spacing w:val="0"/>
        <w:w w:val="100"/>
        <w:position w:val="0"/>
        <w:sz w:val="36"/>
        <w:szCs w:val="36"/>
        <w:u w:val="none"/>
      </w:rPr>
    </w:lvl>
    <w:lvl w:ilvl="2">
      <w:start w:val="1"/>
      <w:numFmt w:val="decimal"/>
      <w:lvlText w:val="%1.%2.%3"/>
      <w:lvlJc w:val="left"/>
      <w:pPr>
        <w:ind w:left="0" w:firstLine="0"/>
      </w:pPr>
      <w:rPr>
        <w:rFonts w:ascii="Arial" w:eastAsia="Arial" w:hAnsi="Arial" w:cs="Arial" w:hint="default"/>
        <w:b w:val="0"/>
        <w:bCs w:val="0"/>
        <w:i w:val="0"/>
        <w:iCs w:val="0"/>
        <w:smallCaps w:val="0"/>
        <w:strike w:val="0"/>
        <w:color w:val="019648"/>
        <w:spacing w:val="0"/>
        <w:w w:val="100"/>
        <w:position w:val="0"/>
        <w:sz w:val="28"/>
        <w:szCs w:val="28"/>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15:restartNumberingAfterBreak="0">
    <w:nsid w:val="4A8D542E"/>
    <w:multiLevelType w:val="multilevel"/>
    <w:tmpl w:val="58229814"/>
    <w:lvl w:ilvl="0">
      <w:start w:val="100"/>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AA96E31"/>
    <w:multiLevelType w:val="multilevel"/>
    <w:tmpl w:val="3BCED250"/>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E683537"/>
    <w:multiLevelType w:val="multilevel"/>
    <w:tmpl w:val="9DB239E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FDB3BFE"/>
    <w:multiLevelType w:val="multilevel"/>
    <w:tmpl w:val="7D209308"/>
    <w:lvl w:ilvl="0">
      <w:start w:val="6"/>
      <w:numFmt w:val="decimal"/>
      <w:lvlText w:val="2.%1"/>
      <w:lvlJc w:val="left"/>
      <w:rPr>
        <w:rFonts w:ascii="Arial" w:eastAsia="Arial" w:hAnsi="Arial" w:cs="Arial"/>
        <w:b w:val="0"/>
        <w:bCs w:val="0"/>
        <w:i w:val="0"/>
        <w:iCs w:val="0"/>
        <w:smallCaps w:val="0"/>
        <w:strike w:val="0"/>
        <w:color w:val="019648"/>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34E265E"/>
    <w:multiLevelType w:val="multilevel"/>
    <w:tmpl w:val="57B8C66E"/>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4EE6862"/>
    <w:multiLevelType w:val="multilevel"/>
    <w:tmpl w:val="6ECE34A0"/>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5D212E7"/>
    <w:multiLevelType w:val="multilevel"/>
    <w:tmpl w:val="C4D81614"/>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84A52DA"/>
    <w:multiLevelType w:val="multilevel"/>
    <w:tmpl w:val="548ABFC4"/>
    <w:lvl w:ilvl="0">
      <w:start w:val="1"/>
      <w:numFmt w:val="decimal"/>
      <w:lvlText w:val="6.4.%1"/>
      <w:lvlJc w:val="left"/>
      <w:rPr>
        <w:rFonts w:ascii="Arial" w:eastAsia="Arial" w:hAnsi="Arial" w:cs="Arial"/>
        <w:b w:val="0"/>
        <w:bCs w:val="0"/>
        <w:i w:val="0"/>
        <w:iCs w:val="0"/>
        <w:smallCaps w:val="0"/>
        <w:strike w:val="0"/>
        <w:color w:val="019648"/>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85D28CB"/>
    <w:multiLevelType w:val="multilevel"/>
    <w:tmpl w:val="632E790C"/>
    <w:lvl w:ilvl="0">
      <w:start w:val="2"/>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6" w15:restartNumberingAfterBreak="0">
    <w:nsid w:val="5DBA6578"/>
    <w:multiLevelType w:val="multilevel"/>
    <w:tmpl w:val="F8A4377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12B0ACD"/>
    <w:multiLevelType w:val="multilevel"/>
    <w:tmpl w:val="1E4494F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1C7492C"/>
    <w:multiLevelType w:val="multilevel"/>
    <w:tmpl w:val="B178F868"/>
    <w:lvl w:ilvl="0">
      <w:start w:val="2"/>
      <w:numFmt w:val="decimal"/>
      <w:lvlText w:val="4.%1"/>
      <w:lvlJc w:val="left"/>
      <w:rPr>
        <w:rFonts w:ascii="Arial" w:eastAsia="Arial" w:hAnsi="Arial" w:cs="Arial"/>
        <w:b w:val="0"/>
        <w:bCs w:val="0"/>
        <w:i w:val="0"/>
        <w:iCs w:val="0"/>
        <w:smallCaps w:val="0"/>
        <w:strike w:val="0"/>
        <w:color w:val="019648"/>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26C2667"/>
    <w:multiLevelType w:val="multilevel"/>
    <w:tmpl w:val="D6F4D620"/>
    <w:lvl w:ilvl="0">
      <w:start w:val="5"/>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6DF3C42"/>
    <w:multiLevelType w:val="multilevel"/>
    <w:tmpl w:val="BF6ACD5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A4E0BD6"/>
    <w:multiLevelType w:val="multilevel"/>
    <w:tmpl w:val="9B70BEE4"/>
    <w:lvl w:ilvl="0">
      <w:start w:val="3"/>
      <w:numFmt w:val="decimal"/>
      <w:lvlText w:val="6.%1"/>
      <w:lvlJc w:val="left"/>
      <w:rPr>
        <w:rFonts w:ascii="Arial" w:eastAsia="Arial" w:hAnsi="Arial" w:cs="Arial"/>
        <w:b w:val="0"/>
        <w:bCs w:val="0"/>
        <w:i w:val="0"/>
        <w:iCs w:val="0"/>
        <w:smallCaps w:val="0"/>
        <w:strike w:val="0"/>
        <w:color w:val="019648"/>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B42179E"/>
    <w:multiLevelType w:val="multilevel"/>
    <w:tmpl w:val="9F586E1A"/>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D2B56CA"/>
    <w:multiLevelType w:val="multilevel"/>
    <w:tmpl w:val="7174DFEE"/>
    <w:lvl w:ilvl="0">
      <w:start w:val="3"/>
      <w:numFmt w:val="decimal"/>
      <w:lvlText w:val="2.%1"/>
      <w:lvlJc w:val="left"/>
      <w:rPr>
        <w:rFonts w:ascii="Arial" w:eastAsia="Arial" w:hAnsi="Arial" w:cs="Arial"/>
        <w:b w:val="0"/>
        <w:bCs w:val="0"/>
        <w:i w:val="0"/>
        <w:iCs w:val="0"/>
        <w:smallCaps w:val="0"/>
        <w:strike w:val="0"/>
        <w:color w:val="019648"/>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F195412"/>
    <w:multiLevelType w:val="multilevel"/>
    <w:tmpl w:val="21982DFA"/>
    <w:lvl w:ilvl="0">
      <w:start w:val="4"/>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0E962DA"/>
    <w:multiLevelType w:val="multilevel"/>
    <w:tmpl w:val="35FA07F0"/>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72A6464"/>
    <w:multiLevelType w:val="multilevel"/>
    <w:tmpl w:val="205827D8"/>
    <w:lvl w:ilvl="0">
      <w:start w:val="2"/>
      <w:numFmt w:val="decimal"/>
      <w:lvlText w:val="2.5.%1"/>
      <w:lvlJc w:val="left"/>
      <w:rPr>
        <w:rFonts w:ascii="Arial" w:eastAsia="Arial" w:hAnsi="Arial" w:cs="Arial"/>
        <w:b w:val="0"/>
        <w:bCs w:val="0"/>
        <w:i w:val="0"/>
        <w:iCs w:val="0"/>
        <w:smallCaps w:val="0"/>
        <w:strike w:val="0"/>
        <w:color w:val="019648"/>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AC6463B"/>
    <w:multiLevelType w:val="multilevel"/>
    <w:tmpl w:val="F0C683C6"/>
    <w:lvl w:ilvl="0">
      <w:start w:val="2"/>
      <w:numFmt w:val="decimal"/>
      <w:lvlText w:val="2.6.%1"/>
      <w:lvlJc w:val="left"/>
      <w:rPr>
        <w:rFonts w:ascii="Arial" w:eastAsia="Arial" w:hAnsi="Arial" w:cs="Arial"/>
        <w:b w:val="0"/>
        <w:bCs w:val="0"/>
        <w:i w:val="0"/>
        <w:iCs w:val="0"/>
        <w:smallCaps w:val="0"/>
        <w:strike w:val="0"/>
        <w:color w:val="019648"/>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B720C37"/>
    <w:multiLevelType w:val="multilevel"/>
    <w:tmpl w:val="99980894"/>
    <w:lvl w:ilvl="0">
      <w:start w:val="4"/>
      <w:numFmt w:val="decimal"/>
      <w:lvlText w:val="4.%1"/>
      <w:lvlJc w:val="left"/>
      <w:rPr>
        <w:rFonts w:ascii="Arial" w:eastAsia="Arial" w:hAnsi="Arial" w:cs="Arial"/>
        <w:b w:val="0"/>
        <w:bCs w:val="0"/>
        <w:i w:val="0"/>
        <w:iCs w:val="0"/>
        <w:smallCaps w:val="0"/>
        <w:strike w:val="0"/>
        <w:color w:val="019648"/>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CD261AF"/>
    <w:multiLevelType w:val="multilevel"/>
    <w:tmpl w:val="60C28C48"/>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DB56EAB"/>
    <w:multiLevelType w:val="multilevel"/>
    <w:tmpl w:val="EE6655F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E8F001D"/>
    <w:multiLevelType w:val="multilevel"/>
    <w:tmpl w:val="E856F2EC"/>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EA900B2"/>
    <w:multiLevelType w:val="multilevel"/>
    <w:tmpl w:val="D6A0714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F6E6436"/>
    <w:multiLevelType w:val="multilevel"/>
    <w:tmpl w:val="7FC63D8C"/>
    <w:lvl w:ilvl="0">
      <w:start w:val="1"/>
      <w:numFmt w:val="decimal"/>
      <w:lvlText w:val="6.5.%1"/>
      <w:lvlJc w:val="left"/>
      <w:rPr>
        <w:rFonts w:ascii="Arial" w:eastAsia="Arial" w:hAnsi="Arial" w:cs="Arial"/>
        <w:b w:val="0"/>
        <w:bCs w:val="0"/>
        <w:i w:val="0"/>
        <w:iCs w:val="0"/>
        <w:smallCaps w:val="0"/>
        <w:strike w:val="0"/>
        <w:color w:val="019648"/>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0"/>
  </w:num>
  <w:num w:numId="3">
    <w:abstractNumId w:val="31"/>
  </w:num>
  <w:num w:numId="4">
    <w:abstractNumId w:val="53"/>
  </w:num>
  <w:num w:numId="5">
    <w:abstractNumId w:val="26"/>
  </w:num>
  <w:num w:numId="6">
    <w:abstractNumId w:val="56"/>
  </w:num>
  <w:num w:numId="7">
    <w:abstractNumId w:val="40"/>
  </w:num>
  <w:num w:numId="8">
    <w:abstractNumId w:val="57"/>
  </w:num>
  <w:num w:numId="9">
    <w:abstractNumId w:val="12"/>
  </w:num>
  <w:num w:numId="10">
    <w:abstractNumId w:val="48"/>
  </w:num>
  <w:num w:numId="11">
    <w:abstractNumId w:val="58"/>
  </w:num>
  <w:num w:numId="12">
    <w:abstractNumId w:val="20"/>
  </w:num>
  <w:num w:numId="13">
    <w:abstractNumId w:val="51"/>
  </w:num>
  <w:num w:numId="14">
    <w:abstractNumId w:val="11"/>
  </w:num>
  <w:num w:numId="15">
    <w:abstractNumId w:val="35"/>
  </w:num>
  <w:num w:numId="16">
    <w:abstractNumId w:val="50"/>
  </w:num>
  <w:num w:numId="17">
    <w:abstractNumId w:val="42"/>
  </w:num>
  <w:num w:numId="18">
    <w:abstractNumId w:val="8"/>
  </w:num>
  <w:num w:numId="19">
    <w:abstractNumId w:val="15"/>
  </w:num>
  <w:num w:numId="20">
    <w:abstractNumId w:val="24"/>
  </w:num>
  <w:num w:numId="21">
    <w:abstractNumId w:val="41"/>
  </w:num>
  <w:num w:numId="22">
    <w:abstractNumId w:val="2"/>
  </w:num>
  <w:num w:numId="23">
    <w:abstractNumId w:val="46"/>
  </w:num>
  <w:num w:numId="24">
    <w:abstractNumId w:val="52"/>
  </w:num>
  <w:num w:numId="25">
    <w:abstractNumId w:val="30"/>
  </w:num>
  <w:num w:numId="26">
    <w:abstractNumId w:val="18"/>
  </w:num>
  <w:num w:numId="27">
    <w:abstractNumId w:val="14"/>
  </w:num>
  <w:num w:numId="28">
    <w:abstractNumId w:val="23"/>
  </w:num>
  <w:num w:numId="29">
    <w:abstractNumId w:val="3"/>
  </w:num>
  <w:num w:numId="30">
    <w:abstractNumId w:val="29"/>
  </w:num>
  <w:num w:numId="31">
    <w:abstractNumId w:val="7"/>
  </w:num>
  <w:num w:numId="32">
    <w:abstractNumId w:val="6"/>
  </w:num>
  <w:num w:numId="33">
    <w:abstractNumId w:val="44"/>
  </w:num>
  <w:num w:numId="34">
    <w:abstractNumId w:val="27"/>
  </w:num>
  <w:num w:numId="35">
    <w:abstractNumId w:val="60"/>
  </w:num>
  <w:num w:numId="36">
    <w:abstractNumId w:val="10"/>
  </w:num>
  <w:num w:numId="37">
    <w:abstractNumId w:val="33"/>
  </w:num>
  <w:num w:numId="38">
    <w:abstractNumId w:val="62"/>
  </w:num>
  <w:num w:numId="39">
    <w:abstractNumId w:val="63"/>
  </w:num>
  <w:num w:numId="40">
    <w:abstractNumId w:val="1"/>
  </w:num>
  <w:num w:numId="41">
    <w:abstractNumId w:val="17"/>
  </w:num>
  <w:num w:numId="42">
    <w:abstractNumId w:val="55"/>
  </w:num>
  <w:num w:numId="43">
    <w:abstractNumId w:val="13"/>
  </w:num>
  <w:num w:numId="44">
    <w:abstractNumId w:val="59"/>
  </w:num>
  <w:num w:numId="45">
    <w:abstractNumId w:val="5"/>
  </w:num>
  <w:num w:numId="46">
    <w:abstractNumId w:val="9"/>
  </w:num>
  <w:num w:numId="47">
    <w:abstractNumId w:val="43"/>
  </w:num>
  <w:num w:numId="48">
    <w:abstractNumId w:val="39"/>
  </w:num>
  <w:num w:numId="49">
    <w:abstractNumId w:val="32"/>
  </w:num>
  <w:num w:numId="50">
    <w:abstractNumId w:val="34"/>
  </w:num>
  <w:num w:numId="51">
    <w:abstractNumId w:val="37"/>
  </w:num>
  <w:num w:numId="52">
    <w:abstractNumId w:val="54"/>
  </w:num>
  <w:num w:numId="53">
    <w:abstractNumId w:val="49"/>
  </w:num>
  <w:num w:numId="54">
    <w:abstractNumId w:val="22"/>
  </w:num>
  <w:num w:numId="55">
    <w:abstractNumId w:val="4"/>
  </w:num>
  <w:num w:numId="56">
    <w:abstractNumId w:val="61"/>
  </w:num>
  <w:num w:numId="57">
    <w:abstractNumId w:val="21"/>
  </w:num>
  <w:num w:numId="58">
    <w:abstractNumId w:val="47"/>
  </w:num>
  <w:num w:numId="59">
    <w:abstractNumId w:val="38"/>
  </w:num>
  <w:num w:numId="60">
    <w:abstractNumId w:val="16"/>
  </w:num>
  <w:num w:numId="61">
    <w:abstractNumId w:val="28"/>
  </w:num>
  <w:num w:numId="62">
    <w:abstractNumId w:val="19"/>
  </w:num>
  <w:num w:numId="63">
    <w:abstractNumId w:val="36"/>
  </w:num>
  <w:num w:numId="64">
    <w:abstractNumId w:val="4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CB9"/>
    <w:rsid w:val="000100DD"/>
    <w:rsid w:val="00045CAE"/>
    <w:rsid w:val="000C5C56"/>
    <w:rsid w:val="00105171"/>
    <w:rsid w:val="00115639"/>
    <w:rsid w:val="0014192D"/>
    <w:rsid w:val="00147623"/>
    <w:rsid w:val="00154801"/>
    <w:rsid w:val="00156AC1"/>
    <w:rsid w:val="001948E1"/>
    <w:rsid w:val="001F35DC"/>
    <w:rsid w:val="001F7D2B"/>
    <w:rsid w:val="002421B0"/>
    <w:rsid w:val="00263242"/>
    <w:rsid w:val="00272AC7"/>
    <w:rsid w:val="0028397B"/>
    <w:rsid w:val="0029313D"/>
    <w:rsid w:val="002947ED"/>
    <w:rsid w:val="00295DBB"/>
    <w:rsid w:val="002A1DA2"/>
    <w:rsid w:val="002E2F4B"/>
    <w:rsid w:val="002F0816"/>
    <w:rsid w:val="00313455"/>
    <w:rsid w:val="003323FC"/>
    <w:rsid w:val="00334516"/>
    <w:rsid w:val="00356397"/>
    <w:rsid w:val="00361D58"/>
    <w:rsid w:val="00366CB9"/>
    <w:rsid w:val="00384EE0"/>
    <w:rsid w:val="003E5C97"/>
    <w:rsid w:val="003F5A05"/>
    <w:rsid w:val="00420A3F"/>
    <w:rsid w:val="00425523"/>
    <w:rsid w:val="00450CEF"/>
    <w:rsid w:val="00454445"/>
    <w:rsid w:val="00457B0A"/>
    <w:rsid w:val="004651BB"/>
    <w:rsid w:val="00473B26"/>
    <w:rsid w:val="00481B88"/>
    <w:rsid w:val="00491BDF"/>
    <w:rsid w:val="004B7924"/>
    <w:rsid w:val="004E2998"/>
    <w:rsid w:val="004F6FB8"/>
    <w:rsid w:val="00501A18"/>
    <w:rsid w:val="00515F9C"/>
    <w:rsid w:val="00546B4F"/>
    <w:rsid w:val="005626ED"/>
    <w:rsid w:val="005700F0"/>
    <w:rsid w:val="00580723"/>
    <w:rsid w:val="005816C2"/>
    <w:rsid w:val="005A6F1A"/>
    <w:rsid w:val="005D6AB1"/>
    <w:rsid w:val="0061381C"/>
    <w:rsid w:val="0062008B"/>
    <w:rsid w:val="00654075"/>
    <w:rsid w:val="006E22E5"/>
    <w:rsid w:val="006F2885"/>
    <w:rsid w:val="00723AF7"/>
    <w:rsid w:val="0075377E"/>
    <w:rsid w:val="00761111"/>
    <w:rsid w:val="00764EAF"/>
    <w:rsid w:val="007751D5"/>
    <w:rsid w:val="00785005"/>
    <w:rsid w:val="0079021A"/>
    <w:rsid w:val="007A1F83"/>
    <w:rsid w:val="007D5601"/>
    <w:rsid w:val="008278DD"/>
    <w:rsid w:val="008314E3"/>
    <w:rsid w:val="00854441"/>
    <w:rsid w:val="008D3E53"/>
    <w:rsid w:val="008D5B0E"/>
    <w:rsid w:val="008E6497"/>
    <w:rsid w:val="008F64D5"/>
    <w:rsid w:val="00911AD4"/>
    <w:rsid w:val="00914714"/>
    <w:rsid w:val="00942C2A"/>
    <w:rsid w:val="00944698"/>
    <w:rsid w:val="00996670"/>
    <w:rsid w:val="009D0C1D"/>
    <w:rsid w:val="009F0522"/>
    <w:rsid w:val="009F1034"/>
    <w:rsid w:val="009F3269"/>
    <w:rsid w:val="00A31BA7"/>
    <w:rsid w:val="00AD3F0D"/>
    <w:rsid w:val="00B3067A"/>
    <w:rsid w:val="00B36D0D"/>
    <w:rsid w:val="00B97539"/>
    <w:rsid w:val="00BA379B"/>
    <w:rsid w:val="00BC7F53"/>
    <w:rsid w:val="00BD21B8"/>
    <w:rsid w:val="00BF2E00"/>
    <w:rsid w:val="00BF6DB7"/>
    <w:rsid w:val="00C060A2"/>
    <w:rsid w:val="00C670F3"/>
    <w:rsid w:val="00C801B2"/>
    <w:rsid w:val="00CB4548"/>
    <w:rsid w:val="00CE4227"/>
    <w:rsid w:val="00CF0462"/>
    <w:rsid w:val="00D4401E"/>
    <w:rsid w:val="00D5595B"/>
    <w:rsid w:val="00D65E1C"/>
    <w:rsid w:val="00D72AE6"/>
    <w:rsid w:val="00D74C3C"/>
    <w:rsid w:val="00D77994"/>
    <w:rsid w:val="00D8531F"/>
    <w:rsid w:val="00DE0C0D"/>
    <w:rsid w:val="00E332D4"/>
    <w:rsid w:val="00E37DFA"/>
    <w:rsid w:val="00E4138A"/>
    <w:rsid w:val="00E76FA1"/>
    <w:rsid w:val="00E80D3A"/>
    <w:rsid w:val="00E846A7"/>
    <w:rsid w:val="00E8720F"/>
    <w:rsid w:val="00EB145D"/>
    <w:rsid w:val="00F03360"/>
    <w:rsid w:val="00F51247"/>
    <w:rsid w:val="00F94A3A"/>
    <w:rsid w:val="00FA737B"/>
    <w:rsid w:val="00FB3FE4"/>
    <w:rsid w:val="00FC0174"/>
    <w:rsid w:val="00FC26B4"/>
    <w:rsid w:val="00FD1486"/>
    <w:rsid w:val="00FE22F4"/>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87B8A"/>
  <w15:docId w15:val="{B2B1155D-42B2-41E9-9311-D45E93CE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uk-UA"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картинке_"/>
    <w:basedOn w:val="a0"/>
    <w:link w:val="a4"/>
    <w:rPr>
      <w:b/>
      <w:bCs/>
      <w:i w:val="0"/>
      <w:iCs w:val="0"/>
      <w:smallCaps w:val="0"/>
      <w:strike w:val="0"/>
      <w:color w:val="60B68B"/>
      <w:sz w:val="12"/>
      <w:szCs w:val="12"/>
      <w:u w:val="none"/>
    </w:rPr>
  </w:style>
  <w:style w:type="character" w:customStyle="1" w:styleId="a5">
    <w:name w:val="Другое_"/>
    <w:basedOn w:val="a0"/>
    <w:link w:val="a6"/>
    <w:rPr>
      <w:b/>
      <w:bCs/>
      <w:i w:val="0"/>
      <w:iCs w:val="0"/>
      <w:smallCaps w:val="0"/>
      <w:strike w:val="0"/>
      <w:color w:val="EBEBEB"/>
      <w:sz w:val="28"/>
      <w:szCs w:val="28"/>
      <w:u w:val="none"/>
    </w:rPr>
  </w:style>
  <w:style w:type="character" w:customStyle="1" w:styleId="a7">
    <w:name w:val="Основной текст_"/>
    <w:basedOn w:val="a0"/>
    <w:link w:val="1"/>
    <w:rPr>
      <w:b w:val="0"/>
      <w:bCs w:val="0"/>
      <w:i w:val="0"/>
      <w:iCs w:val="0"/>
      <w:smallCaps w:val="0"/>
      <w:strike w:val="0"/>
      <w:sz w:val="20"/>
      <w:szCs w:val="20"/>
      <w:u w:val="none"/>
    </w:rPr>
  </w:style>
  <w:style w:type="character" w:customStyle="1" w:styleId="7">
    <w:name w:val="Основной текст (7)_"/>
    <w:basedOn w:val="a0"/>
    <w:link w:val="70"/>
    <w:rPr>
      <w:b w:val="0"/>
      <w:bCs w:val="0"/>
      <w:i w:val="0"/>
      <w:iCs w:val="0"/>
      <w:smallCaps w:val="0"/>
      <w:strike w:val="0"/>
      <w:color w:val="EB262A"/>
      <w:sz w:val="108"/>
      <w:szCs w:val="108"/>
      <w:u w:val="none"/>
    </w:rPr>
  </w:style>
  <w:style w:type="character" w:customStyle="1" w:styleId="4">
    <w:name w:val="Основной текст (4)_"/>
    <w:basedOn w:val="a0"/>
    <w:link w:val="40"/>
    <w:rPr>
      <w:b w:val="0"/>
      <w:bCs w:val="0"/>
      <w:i w:val="0"/>
      <w:iCs w:val="0"/>
      <w:smallCaps w:val="0"/>
      <w:strike w:val="0"/>
      <w:sz w:val="15"/>
      <w:szCs w:val="15"/>
      <w:u w:val="none"/>
    </w:rPr>
  </w:style>
  <w:style w:type="character" w:customStyle="1" w:styleId="a8">
    <w:name w:val="Оглавление_"/>
    <w:basedOn w:val="a0"/>
    <w:link w:val="a9"/>
    <w:rPr>
      <w:b w:val="0"/>
      <w:bCs w:val="0"/>
      <w:i w:val="0"/>
      <w:iCs w:val="0"/>
      <w:smallCaps w:val="0"/>
      <w:strike w:val="0"/>
      <w:sz w:val="20"/>
      <w:szCs w:val="20"/>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6">
    <w:name w:val="Основной текст (6)_"/>
    <w:basedOn w:val="a0"/>
    <w:link w:val="60"/>
    <w:rPr>
      <w:b w:val="0"/>
      <w:bCs w:val="0"/>
      <w:i w:val="0"/>
      <w:iCs w:val="0"/>
      <w:smallCaps w:val="0"/>
      <w:strike w:val="0"/>
      <w:color w:val="636466"/>
      <w:sz w:val="24"/>
      <w:szCs w:val="24"/>
      <w:u w:val="none"/>
    </w:rPr>
  </w:style>
  <w:style w:type="character" w:customStyle="1" w:styleId="aa">
    <w:name w:val="Колонтитул_"/>
    <w:basedOn w:val="a0"/>
    <w:link w:val="ab"/>
    <w:rPr>
      <w:b w:val="0"/>
      <w:bCs w:val="0"/>
      <w:i w:val="0"/>
      <w:iCs w:val="0"/>
      <w:smallCaps w:val="0"/>
      <w:strike w:val="0"/>
      <w:color w:val="019648"/>
      <w:sz w:val="15"/>
      <w:szCs w:val="15"/>
      <w:u w:val="none"/>
    </w:rPr>
  </w:style>
  <w:style w:type="character" w:customStyle="1" w:styleId="10">
    <w:name w:val="Заголовок №1_"/>
    <w:basedOn w:val="a0"/>
    <w:link w:val="11"/>
    <w:rPr>
      <w:b w:val="0"/>
      <w:bCs w:val="0"/>
      <w:i w:val="0"/>
      <w:iCs w:val="0"/>
      <w:smallCaps w:val="0"/>
      <w:strike w:val="0"/>
      <w:color w:val="019648"/>
      <w:sz w:val="62"/>
      <w:szCs w:val="62"/>
      <w:u w:val="none"/>
    </w:rPr>
  </w:style>
  <w:style w:type="character" w:customStyle="1" w:styleId="21">
    <w:name w:val="Заголовок №2_"/>
    <w:basedOn w:val="a0"/>
    <w:link w:val="22"/>
    <w:rPr>
      <w:b w:val="0"/>
      <w:bCs w:val="0"/>
      <w:i w:val="0"/>
      <w:iCs w:val="0"/>
      <w:smallCaps w:val="0"/>
      <w:strike w:val="0"/>
      <w:color w:val="019648"/>
      <w:sz w:val="36"/>
      <w:szCs w:val="36"/>
      <w:u w:val="none"/>
    </w:rPr>
  </w:style>
  <w:style w:type="character" w:customStyle="1" w:styleId="ac">
    <w:name w:val="Сноска_"/>
    <w:basedOn w:val="a0"/>
    <w:link w:val="ad"/>
    <w:rPr>
      <w:b w:val="0"/>
      <w:bCs w:val="0"/>
      <w:i w:val="0"/>
      <w:iCs w:val="0"/>
      <w:smallCaps w:val="0"/>
      <w:strike w:val="0"/>
      <w:sz w:val="15"/>
      <w:szCs w:val="15"/>
      <w:u w:val="none"/>
    </w:rPr>
  </w:style>
  <w:style w:type="character" w:customStyle="1" w:styleId="8">
    <w:name w:val="Основной текст (8)_"/>
    <w:basedOn w:val="a0"/>
    <w:link w:val="80"/>
    <w:rPr>
      <w:b w:val="0"/>
      <w:bCs w:val="0"/>
      <w:i w:val="0"/>
      <w:iCs w:val="0"/>
      <w:smallCaps w:val="0"/>
      <w:strike w:val="0"/>
      <w:color w:val="019648"/>
      <w:sz w:val="28"/>
      <w:szCs w:val="28"/>
      <w:u w:val="none"/>
    </w:rPr>
  </w:style>
  <w:style w:type="character" w:customStyle="1" w:styleId="ae">
    <w:name w:val="Подпись к таблице_"/>
    <w:basedOn w:val="a0"/>
    <w:link w:val="af"/>
    <w:rPr>
      <w:b w:val="0"/>
      <w:bCs w:val="0"/>
      <w:i w:val="0"/>
      <w:iCs w:val="0"/>
      <w:smallCaps w:val="0"/>
      <w:strike w:val="0"/>
      <w:color w:val="636466"/>
      <w:sz w:val="24"/>
      <w:szCs w:val="24"/>
      <w:u w:val="none"/>
    </w:rPr>
  </w:style>
  <w:style w:type="character" w:customStyle="1" w:styleId="5">
    <w:name w:val="Основной текст (5)_"/>
    <w:basedOn w:val="a0"/>
    <w:link w:val="50"/>
    <w:rPr>
      <w:b w:val="0"/>
      <w:bCs w:val="0"/>
      <w:i w:val="0"/>
      <w:iCs w:val="0"/>
      <w:smallCaps w:val="0"/>
      <w:strike w:val="0"/>
      <w:sz w:val="17"/>
      <w:szCs w:val="17"/>
      <w:u w:val="none"/>
    </w:rPr>
  </w:style>
  <w:style w:type="paragraph" w:customStyle="1" w:styleId="a4">
    <w:name w:val="Подпись к картинке"/>
    <w:basedOn w:val="a"/>
    <w:link w:val="a3"/>
    <w:pPr>
      <w:shd w:val="clear" w:color="auto" w:fill="FFFFFF"/>
      <w:spacing w:line="180" w:lineRule="auto"/>
    </w:pPr>
    <w:rPr>
      <w:b/>
      <w:bCs/>
      <w:color w:val="60B68B"/>
      <w:sz w:val="12"/>
      <w:szCs w:val="12"/>
    </w:rPr>
  </w:style>
  <w:style w:type="paragraph" w:customStyle="1" w:styleId="a6">
    <w:name w:val="Другое"/>
    <w:basedOn w:val="a"/>
    <w:link w:val="a5"/>
    <w:pPr>
      <w:shd w:val="clear" w:color="auto" w:fill="FFFFFF"/>
    </w:pPr>
    <w:rPr>
      <w:b/>
      <w:bCs/>
      <w:color w:val="EBEBEB"/>
      <w:sz w:val="28"/>
      <w:szCs w:val="28"/>
    </w:rPr>
  </w:style>
  <w:style w:type="paragraph" w:customStyle="1" w:styleId="1">
    <w:name w:val="Основной текст1"/>
    <w:basedOn w:val="a"/>
    <w:link w:val="a7"/>
    <w:pPr>
      <w:shd w:val="clear" w:color="auto" w:fill="FFFFFF"/>
    </w:pPr>
    <w:rPr>
      <w:sz w:val="20"/>
      <w:szCs w:val="20"/>
    </w:rPr>
  </w:style>
  <w:style w:type="paragraph" w:customStyle="1" w:styleId="70">
    <w:name w:val="Основной текст (7)"/>
    <w:basedOn w:val="a"/>
    <w:link w:val="7"/>
    <w:pPr>
      <w:shd w:val="clear" w:color="auto" w:fill="FFFFFF"/>
      <w:spacing w:after="960" w:line="264" w:lineRule="auto"/>
    </w:pPr>
    <w:rPr>
      <w:color w:val="EB262A"/>
      <w:sz w:val="108"/>
      <w:szCs w:val="108"/>
    </w:rPr>
  </w:style>
  <w:style w:type="paragraph" w:customStyle="1" w:styleId="40">
    <w:name w:val="Основной текст (4)"/>
    <w:basedOn w:val="a"/>
    <w:link w:val="4"/>
    <w:pPr>
      <w:shd w:val="clear" w:color="auto" w:fill="FFFFFF"/>
      <w:spacing w:after="140" w:line="322" w:lineRule="auto"/>
    </w:pPr>
    <w:rPr>
      <w:sz w:val="15"/>
      <w:szCs w:val="15"/>
    </w:rPr>
  </w:style>
  <w:style w:type="paragraph" w:customStyle="1" w:styleId="a9">
    <w:name w:val="Оглавление"/>
    <w:basedOn w:val="a"/>
    <w:link w:val="a8"/>
    <w:pPr>
      <w:shd w:val="clear" w:color="auto" w:fill="FFFFFF"/>
      <w:spacing w:line="346" w:lineRule="auto"/>
      <w:ind w:firstLine="300"/>
    </w:pPr>
    <w:rPr>
      <w:sz w:val="20"/>
      <w:szCs w:val="20"/>
    </w:rPr>
  </w:style>
  <w:style w:type="paragraph" w:customStyle="1" w:styleId="20">
    <w:name w:val="Колонтитул (2)"/>
    <w:basedOn w:val="a"/>
    <w:link w:val="2"/>
    <w:pPr>
      <w:shd w:val="clear" w:color="auto" w:fill="FFFFFF"/>
    </w:pPr>
    <w:rPr>
      <w:rFonts w:ascii="Times New Roman" w:eastAsia="Times New Roman" w:hAnsi="Times New Roman" w:cs="Times New Roman"/>
      <w:sz w:val="20"/>
      <w:szCs w:val="20"/>
    </w:rPr>
  </w:style>
  <w:style w:type="paragraph" w:customStyle="1" w:styleId="60">
    <w:name w:val="Основной текст (6)"/>
    <w:basedOn w:val="a"/>
    <w:link w:val="6"/>
    <w:pPr>
      <w:shd w:val="clear" w:color="auto" w:fill="FFFFFF"/>
      <w:spacing w:after="800" w:line="254" w:lineRule="auto"/>
    </w:pPr>
    <w:rPr>
      <w:color w:val="636466"/>
    </w:rPr>
  </w:style>
  <w:style w:type="paragraph" w:customStyle="1" w:styleId="ab">
    <w:name w:val="Колонтитул"/>
    <w:basedOn w:val="a"/>
    <w:link w:val="aa"/>
    <w:pPr>
      <w:shd w:val="clear" w:color="auto" w:fill="FFFFFF"/>
    </w:pPr>
    <w:rPr>
      <w:color w:val="019648"/>
      <w:sz w:val="15"/>
      <w:szCs w:val="15"/>
    </w:rPr>
  </w:style>
  <w:style w:type="paragraph" w:customStyle="1" w:styleId="11">
    <w:name w:val="Заголовок №1"/>
    <w:basedOn w:val="a"/>
    <w:link w:val="10"/>
    <w:pPr>
      <w:shd w:val="clear" w:color="auto" w:fill="FFFFFF"/>
      <w:spacing w:before="40" w:after="710" w:line="250" w:lineRule="auto"/>
      <w:outlineLvl w:val="0"/>
    </w:pPr>
    <w:rPr>
      <w:color w:val="019648"/>
      <w:sz w:val="62"/>
      <w:szCs w:val="62"/>
    </w:rPr>
  </w:style>
  <w:style w:type="paragraph" w:customStyle="1" w:styleId="22">
    <w:name w:val="Заголовок №2"/>
    <w:basedOn w:val="a"/>
    <w:link w:val="21"/>
    <w:pPr>
      <w:shd w:val="clear" w:color="auto" w:fill="FFFFFF"/>
      <w:spacing w:after="160" w:line="252" w:lineRule="auto"/>
      <w:outlineLvl w:val="1"/>
    </w:pPr>
    <w:rPr>
      <w:color w:val="019648"/>
      <w:sz w:val="36"/>
      <w:szCs w:val="36"/>
    </w:rPr>
  </w:style>
  <w:style w:type="paragraph" w:customStyle="1" w:styleId="ad">
    <w:name w:val="Сноска"/>
    <w:basedOn w:val="a"/>
    <w:link w:val="ac"/>
    <w:pPr>
      <w:shd w:val="clear" w:color="auto" w:fill="FFFFFF"/>
      <w:spacing w:line="307" w:lineRule="auto"/>
      <w:ind w:left="240" w:hanging="240"/>
    </w:pPr>
    <w:rPr>
      <w:sz w:val="15"/>
      <w:szCs w:val="15"/>
    </w:rPr>
  </w:style>
  <w:style w:type="paragraph" w:customStyle="1" w:styleId="80">
    <w:name w:val="Основной текст (8)"/>
    <w:basedOn w:val="a"/>
    <w:link w:val="8"/>
    <w:pPr>
      <w:shd w:val="clear" w:color="auto" w:fill="FFFFFF"/>
      <w:spacing w:after="200"/>
    </w:pPr>
    <w:rPr>
      <w:color w:val="019648"/>
      <w:sz w:val="28"/>
      <w:szCs w:val="28"/>
    </w:rPr>
  </w:style>
  <w:style w:type="paragraph" w:customStyle="1" w:styleId="af">
    <w:name w:val="Подпись к таблице"/>
    <w:basedOn w:val="a"/>
    <w:link w:val="ae"/>
    <w:pPr>
      <w:shd w:val="clear" w:color="auto" w:fill="FFFFFF"/>
      <w:spacing w:line="247" w:lineRule="auto"/>
    </w:pPr>
    <w:rPr>
      <w:color w:val="636466"/>
    </w:rPr>
  </w:style>
  <w:style w:type="paragraph" w:customStyle="1" w:styleId="50">
    <w:name w:val="Основной текст (5)"/>
    <w:basedOn w:val="a"/>
    <w:link w:val="5"/>
    <w:pPr>
      <w:shd w:val="clear" w:color="auto" w:fill="FFFFFF"/>
      <w:spacing w:after="40" w:line="257" w:lineRule="auto"/>
    </w:pPr>
    <w:rPr>
      <w:sz w:val="17"/>
      <w:szCs w:val="17"/>
    </w:rPr>
  </w:style>
  <w:style w:type="paragraph" w:customStyle="1" w:styleId="Default">
    <w:name w:val="Default"/>
    <w:rsid w:val="0028397B"/>
    <w:pPr>
      <w:widowControl/>
      <w:autoSpaceDE w:val="0"/>
      <w:autoSpaceDN w:val="0"/>
      <w:adjustRightInd w:val="0"/>
    </w:pPr>
    <w:rPr>
      <w:rFonts w:ascii="UZZZY J+ Avenir LT Std" w:hAnsi="UZZZY J+ Avenir LT Std" w:cs="UZZZY J+ Avenir LT Std"/>
      <w:color w:val="000000"/>
      <w:lang w:bidi="ar-SA"/>
    </w:rPr>
  </w:style>
  <w:style w:type="paragraph" w:customStyle="1" w:styleId="Pa41">
    <w:name w:val="Pa41"/>
    <w:basedOn w:val="Default"/>
    <w:next w:val="Default"/>
    <w:uiPriority w:val="99"/>
    <w:rsid w:val="00457B0A"/>
    <w:pPr>
      <w:spacing w:line="221" w:lineRule="atLeast"/>
    </w:pPr>
    <w:rPr>
      <w:rFonts w:ascii="Wingdings" w:hAnsi="Wingdings" w:cs="Arial"/>
      <w:color w:val="auto"/>
    </w:rPr>
  </w:style>
  <w:style w:type="character" w:customStyle="1" w:styleId="A18">
    <w:name w:val="A18"/>
    <w:uiPriority w:val="99"/>
    <w:rsid w:val="00457B0A"/>
    <w:rPr>
      <w:rFonts w:cs="Wingdings"/>
      <w:color w:val="009547"/>
      <w:sz w:val="26"/>
      <w:szCs w:val="26"/>
    </w:rPr>
  </w:style>
  <w:style w:type="paragraph" w:styleId="af0">
    <w:name w:val="header"/>
    <w:basedOn w:val="a"/>
    <w:link w:val="af1"/>
    <w:uiPriority w:val="99"/>
    <w:unhideWhenUsed/>
    <w:rsid w:val="00105171"/>
    <w:pPr>
      <w:tabs>
        <w:tab w:val="center" w:pos="4677"/>
        <w:tab w:val="right" w:pos="9355"/>
      </w:tabs>
    </w:pPr>
  </w:style>
  <w:style w:type="character" w:customStyle="1" w:styleId="af1">
    <w:name w:val="Верхній колонтитул Знак"/>
    <w:basedOn w:val="a0"/>
    <w:link w:val="af0"/>
    <w:uiPriority w:val="99"/>
    <w:rsid w:val="00105171"/>
    <w:rPr>
      <w:color w:val="000000"/>
    </w:rPr>
  </w:style>
  <w:style w:type="paragraph" w:styleId="af2">
    <w:name w:val="footer"/>
    <w:basedOn w:val="a"/>
    <w:link w:val="af3"/>
    <w:uiPriority w:val="99"/>
    <w:unhideWhenUsed/>
    <w:rsid w:val="00105171"/>
    <w:pPr>
      <w:tabs>
        <w:tab w:val="center" w:pos="4677"/>
        <w:tab w:val="right" w:pos="9355"/>
      </w:tabs>
    </w:pPr>
  </w:style>
  <w:style w:type="character" w:customStyle="1" w:styleId="af3">
    <w:name w:val="Нижній колонтитул Знак"/>
    <w:basedOn w:val="a0"/>
    <w:link w:val="af2"/>
    <w:uiPriority w:val="99"/>
    <w:rsid w:val="00105171"/>
    <w:rPr>
      <w:color w:val="000000"/>
    </w:rPr>
  </w:style>
  <w:style w:type="character" w:styleId="af4">
    <w:name w:val="Hyperlink"/>
    <w:basedOn w:val="a0"/>
    <w:uiPriority w:val="99"/>
    <w:semiHidden/>
    <w:unhideWhenUsed/>
    <w:rsid w:val="004544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149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png"/><Relationship Id="rId299" Type="http://schemas.openxmlformats.org/officeDocument/2006/relationships/hyperlink" Target="https://doi.org/10.1056/NEJMc1413930" TargetMode="External"/><Relationship Id="rId21" Type="http://schemas.openxmlformats.org/officeDocument/2006/relationships/hyperlink" Target="https://iris.who.int/handle/10665/376284" TargetMode="External"/><Relationship Id="rId63" Type="http://schemas.openxmlformats.org/officeDocument/2006/relationships/hyperlink" Target="https://iris.who.int/handle/10665/376284" TargetMode="External"/><Relationship Id="rId159" Type="http://schemas.openxmlformats.org/officeDocument/2006/relationships/hyperlink" Target="https://doi.org/10.1371/journal.pmed.1002152" TargetMode="External"/><Relationship Id="rId324" Type="http://schemas.openxmlformats.org/officeDocument/2006/relationships/hyperlink" Target="https://iris.who.int/handle/10665/274443" TargetMode="External"/><Relationship Id="rId170" Type="http://schemas.openxmlformats.org/officeDocument/2006/relationships/hyperlink" Target="https://iris.who.int/handle/10665/380799" TargetMode="External"/><Relationship Id="rId226" Type="http://schemas.openxmlformats.org/officeDocument/2006/relationships/hyperlink" Target="https://doi.org/10.1378/chest.71.1.33" TargetMode="External"/><Relationship Id="rId268" Type="http://schemas.openxmlformats.org/officeDocument/2006/relationships/hyperlink" Target="https://doi.org/10.1128/JCM.00486-15" TargetMode="External"/><Relationship Id="rId32" Type="http://schemas.openxmlformats.org/officeDocument/2006/relationships/footer" Target="footer6.xml"/><Relationship Id="rId74" Type="http://schemas.openxmlformats.org/officeDocument/2006/relationships/hyperlink" Target="https://doi.org/10.2471/B09403" TargetMode="External"/><Relationship Id="rId128" Type="http://schemas.openxmlformats.org/officeDocument/2006/relationships/image" Target="media/image47.png"/><Relationship Id="rId335" Type="http://schemas.openxmlformats.org/officeDocument/2006/relationships/image" Target="media/image72.png"/><Relationship Id="rId5" Type="http://schemas.openxmlformats.org/officeDocument/2006/relationships/numbering" Target="numbering.xml"/><Relationship Id="rId181" Type="http://schemas.openxmlformats.org/officeDocument/2006/relationships/footer" Target="footer54.xml"/><Relationship Id="rId237" Type="http://schemas.openxmlformats.org/officeDocument/2006/relationships/hyperlink" Target="https://www.who.int/publications/i/item/9789241502054" TargetMode="External"/><Relationship Id="rId279" Type="http://schemas.openxmlformats.org/officeDocument/2006/relationships/hyperlink" Target="https://doi.org/10.5588/ijtld.19.0728" TargetMode="External"/><Relationship Id="rId43" Type="http://schemas.openxmlformats.org/officeDocument/2006/relationships/footer" Target="footer14.xml"/><Relationship Id="rId139" Type="http://schemas.openxmlformats.org/officeDocument/2006/relationships/footer" Target="footer48.xml"/><Relationship Id="rId290" Type="http://schemas.openxmlformats.org/officeDocument/2006/relationships/hyperlink" Target="https://doi.org/10.1016/S2666-5247(20)30123-3" TargetMode="External"/><Relationship Id="rId304" Type="http://schemas.openxmlformats.org/officeDocument/2006/relationships/hyperlink" Target="https://doi.org/10.1371/journal.pmed.1003008" TargetMode="External"/><Relationship Id="rId346" Type="http://schemas.openxmlformats.org/officeDocument/2006/relationships/hyperlink" Target="https://pubmed.ncbi.nlm.nih.gov/5638501/" TargetMode="External"/><Relationship Id="rId85" Type="http://schemas.openxmlformats.org/officeDocument/2006/relationships/footer" Target="footer27.xml"/><Relationship Id="rId150" Type="http://schemas.openxmlformats.org/officeDocument/2006/relationships/footer" Target="footer52.xml"/><Relationship Id="rId192" Type="http://schemas.openxmlformats.org/officeDocument/2006/relationships/hyperlink" Target="https://iris.who.int/handle/10665/342331" TargetMode="External"/><Relationship Id="rId206" Type="http://schemas.openxmlformats.org/officeDocument/2006/relationships/hyperlink" Target="https://www.beiresources.org/hiv.aspx" TargetMode="External"/><Relationship Id="rId248" Type="http://schemas.openxmlformats.org/officeDocument/2006/relationships/hyperlink" Target="https://www.who.int/publications/i/item/9789240046832" TargetMode="External"/><Relationship Id="rId12" Type="http://schemas.openxmlformats.org/officeDocument/2006/relationships/image" Target="media/image2.png"/><Relationship Id="rId108" Type="http://schemas.openxmlformats.org/officeDocument/2006/relationships/footer" Target="footer38.xml"/><Relationship Id="rId315" Type="http://schemas.openxmlformats.org/officeDocument/2006/relationships/hyperlink" Target="https://www.who.int/publications/i/item/9789241514842" TargetMode="External"/><Relationship Id="rId54" Type="http://schemas.openxmlformats.org/officeDocument/2006/relationships/footer" Target="footer18.xml"/><Relationship Id="rId96" Type="http://schemas.openxmlformats.org/officeDocument/2006/relationships/image" Target="media/image32.png"/><Relationship Id="rId161" Type="http://schemas.openxmlformats.org/officeDocument/2006/relationships/hyperlink" Target="https://iris.who.int/handle/10665/379339" TargetMode="External"/><Relationship Id="rId217" Type="http://schemas.openxmlformats.org/officeDocument/2006/relationships/hyperlink" Target="https://doi.org/10.1038/s41591-020-1076-0" TargetMode="External"/><Relationship Id="rId259" Type="http://schemas.openxmlformats.org/officeDocument/2006/relationships/hyperlink" Target="https://www.stoptb.org/who-we-are/stop-tb-working-groups/global-laboratory-initiative-gli/gli-guidance-and-tools/gli-specimen-referral-toolkit" TargetMode="External"/><Relationship Id="rId23" Type="http://schemas.openxmlformats.org/officeDocument/2006/relationships/hyperlink" Target="https://iris.who.int/handle/10665/376286" TargetMode="External"/><Relationship Id="rId119" Type="http://schemas.openxmlformats.org/officeDocument/2006/relationships/footer" Target="footer44.xml"/><Relationship Id="rId270" Type="http://schemas.openxmlformats.org/officeDocument/2006/relationships/hyperlink" Target="https://www.who.int/activities/preventing-tb" TargetMode="External"/><Relationship Id="rId326" Type="http://schemas.openxmlformats.org/officeDocument/2006/relationships/hyperlink" Target="https://www.who.int/publications/i/item/9789240082410" TargetMode="External"/><Relationship Id="rId65" Type="http://schemas.openxmlformats.org/officeDocument/2006/relationships/image" Target="media/image20.png"/><Relationship Id="rId130" Type="http://schemas.openxmlformats.org/officeDocument/2006/relationships/image" Target="media/image49.png"/><Relationship Id="rId172" Type="http://schemas.openxmlformats.org/officeDocument/2006/relationships/hyperlink" Target="https://www.who.int/publications/m/item/public-announcement-to-tb-in-vitro-diagnostics-manufacturers" TargetMode="External"/><Relationship Id="rId228" Type="http://schemas.openxmlformats.org/officeDocument/2006/relationships/hyperlink" Target="https://doi.org/10.1136/bmj.293.6541.243-a" TargetMode="External"/><Relationship Id="rId281" Type="http://schemas.openxmlformats.org/officeDocument/2006/relationships/hyperlink" Target="https://www.mcgill.ca/tb/files/tb/tuberculin_skin_testing_tst_technique_training_feb202018_english.pdf" TargetMode="External"/><Relationship Id="rId337" Type="http://schemas.openxmlformats.org/officeDocument/2006/relationships/hyperlink" Target="https://www.taylorfrancis.com/chapters/edit/10.3109/9780203908464-15/diagnosis-latent-tuberculosis-infection-dick-menzies-mark-doherty" TargetMode="External"/><Relationship Id="rId34" Type="http://schemas.openxmlformats.org/officeDocument/2006/relationships/footer" Target="footer7.xml"/><Relationship Id="rId76" Type="http://schemas.openxmlformats.org/officeDocument/2006/relationships/image" Target="media/image26.png"/><Relationship Id="rId141" Type="http://schemas.openxmlformats.org/officeDocument/2006/relationships/image" Target="media/image57.png"/><Relationship Id="rId7" Type="http://schemas.openxmlformats.org/officeDocument/2006/relationships/settings" Target="settings.xml"/><Relationship Id="rId183" Type="http://schemas.openxmlformats.org/officeDocument/2006/relationships/hyperlink" Target="https://iris.who.int/handle/10665/353596" TargetMode="External"/><Relationship Id="rId239" Type="http://schemas.openxmlformats.org/officeDocument/2006/relationships/hyperlink" Target="https://www.who.int/publications/i/item/9789240022614" TargetMode="External"/><Relationship Id="rId250" Type="http://schemas.openxmlformats.org/officeDocument/2006/relationships/hyperlink" Target="https://www.who.int/publications/i/item/WHO-HTM-TB-2017.06" TargetMode="External"/><Relationship Id="rId292" Type="http://schemas.openxmlformats.org/officeDocument/2006/relationships/hyperlink" Target="https://doi.org/10.1128/mBio.00812-17" TargetMode="External"/><Relationship Id="rId306" Type="http://schemas.openxmlformats.org/officeDocument/2006/relationships/hyperlink" Target="https://www.who.int/publications/i/item/9789241550079" TargetMode="External"/><Relationship Id="rId45" Type="http://schemas.openxmlformats.org/officeDocument/2006/relationships/footer" Target="footer16.xml"/><Relationship Id="rId87" Type="http://schemas.openxmlformats.org/officeDocument/2006/relationships/footer" Target="footer28.xml"/><Relationship Id="rId110" Type="http://schemas.openxmlformats.org/officeDocument/2006/relationships/footer" Target="footer39.xml"/><Relationship Id="rId348" Type="http://schemas.openxmlformats.org/officeDocument/2006/relationships/hyperlink" Target="https://pubmed.ncbi.nlm.nih.gov/28052967/" TargetMode="External"/><Relationship Id="rId152" Type="http://schemas.openxmlformats.org/officeDocument/2006/relationships/footer" Target="footer53.xml"/><Relationship Id="rId194" Type="http://schemas.openxmlformats.org/officeDocument/2006/relationships/hyperlink" Target="https://www.who.int/publications/i/item/9789240082410" TargetMode="External"/><Relationship Id="rId208" Type="http://schemas.openxmlformats.org/officeDocument/2006/relationships/hyperlink" Target="https://stoptb.org/assets/documents/resources/publications/sd/BDQ_DEL_access.pdf" TargetMode="External"/><Relationship Id="rId261" Type="http://schemas.openxmlformats.org/officeDocument/2006/relationships/hyperlink" Target="https://www.iso.org/standard/76677.html" TargetMode="External"/><Relationship Id="rId14" Type="http://schemas.openxmlformats.org/officeDocument/2006/relationships/hyperlink" Target="https://creativecommons.org/licenses/by-nc-sa/3.0/igo" TargetMode="External"/><Relationship Id="rId56" Type="http://schemas.openxmlformats.org/officeDocument/2006/relationships/image" Target="media/image15.png"/><Relationship Id="rId317" Type="http://schemas.openxmlformats.org/officeDocument/2006/relationships/hyperlink" Target="https://www.who.int/publications/i/item/WHO-CDS-TB-2018.5" TargetMode="External"/><Relationship Id="rId98" Type="http://schemas.openxmlformats.org/officeDocument/2006/relationships/image" Target="media/image33.png"/><Relationship Id="rId121" Type="http://schemas.openxmlformats.org/officeDocument/2006/relationships/image" Target="media/image42.png"/><Relationship Id="rId163" Type="http://schemas.openxmlformats.org/officeDocument/2006/relationships/hyperlink" Target="https://apps.who.int/iris/handle/10665/331326" TargetMode="External"/><Relationship Id="rId219" Type="http://schemas.openxmlformats.org/officeDocument/2006/relationships/hyperlink" Target="https://doi.org/10.1016/S1473-3099(16)30216-X" TargetMode="External"/><Relationship Id="rId230" Type="http://schemas.openxmlformats.org/officeDocument/2006/relationships/hyperlink" Target="https://www.seruminstitute.com/pdf/Cy-Tb_Insert.pdf" TargetMode="External"/><Relationship Id="rId251" Type="http://schemas.openxmlformats.org/officeDocument/2006/relationships/hyperlink" Target="https://iris.who.int/handle/10665/77949" TargetMode="External"/><Relationship Id="rId25" Type="http://schemas.openxmlformats.org/officeDocument/2006/relationships/footer" Target="footer1.xml"/><Relationship Id="rId46" Type="http://schemas.openxmlformats.org/officeDocument/2006/relationships/footer" Target="footer17.xml"/><Relationship Id="rId67" Type="http://schemas.openxmlformats.org/officeDocument/2006/relationships/hyperlink" Target="https://doi.org/10.2471/B09404" TargetMode="External"/><Relationship Id="rId272" Type="http://schemas.openxmlformats.org/officeDocument/2006/relationships/hyperlink" Target="https://doi.org/10.1590/0102-311X00027321" TargetMode="External"/><Relationship Id="rId293" Type="http://schemas.openxmlformats.org/officeDocument/2006/relationships/hyperlink" Target="https://iris.who.int/handle/10665/330395" TargetMode="External"/><Relationship Id="rId307" Type="http://schemas.openxmlformats.org/officeDocument/2006/relationships/hyperlink" Target="https://iris.who.int/handle/10665/353829" TargetMode="External"/><Relationship Id="rId328" Type="http://schemas.openxmlformats.org/officeDocument/2006/relationships/image" Target="media/image66.png"/><Relationship Id="rId349" Type="http://schemas.openxmlformats.org/officeDocument/2006/relationships/hyperlink" Target="https://doi.org/10.1080/24745332.2022.2036503" TargetMode="External"/><Relationship Id="rId88" Type="http://schemas.openxmlformats.org/officeDocument/2006/relationships/image" Target="media/image28.png"/><Relationship Id="rId111" Type="http://schemas.openxmlformats.org/officeDocument/2006/relationships/image" Target="media/image38.png"/><Relationship Id="rId132" Type="http://schemas.openxmlformats.org/officeDocument/2006/relationships/image" Target="media/image51.png"/><Relationship Id="rId153" Type="http://schemas.openxmlformats.org/officeDocument/2006/relationships/hyperlink" Target="https://iris.who.int/handle/10665/376286" TargetMode="External"/><Relationship Id="rId174" Type="http://schemas.openxmlformats.org/officeDocument/2006/relationships/hyperlink" Target="https://iris.who.int/handle/10665/79199" TargetMode="External"/><Relationship Id="rId195" Type="http://schemas.openxmlformats.org/officeDocument/2006/relationships/hyperlink" Target="https://www.who.int/publications/i/item/9789240082410" TargetMode="External"/><Relationship Id="rId209" Type="http://schemas.openxmlformats.org/officeDocument/2006/relationships/hyperlink" Target="https://iris.who.int/handle/10665/274443" TargetMode="External"/><Relationship Id="rId220" Type="http://schemas.openxmlformats.org/officeDocument/2006/relationships/hyperlink" Target="https://www.who.int/publications/i/item/9789240002906" TargetMode="External"/><Relationship Id="rId241" Type="http://schemas.openxmlformats.org/officeDocument/2006/relationships/hyperlink" Target="https://www.stoptb.org/planning-and-budgeting-tool-tb-and-drug-resistant-tb-testing-calculation-tool" TargetMode="External"/><Relationship Id="rId15" Type="http://schemas.openxmlformats.org/officeDocument/2006/relationships/hyperlink" Target="http://www.wipo.int/amc/en/mediation/rules/" TargetMode="External"/><Relationship Id="rId36" Type="http://schemas.openxmlformats.org/officeDocument/2006/relationships/hyperlink" Target="https://doi.org/10.2471/B09404" TargetMode="External"/><Relationship Id="rId57" Type="http://schemas.openxmlformats.org/officeDocument/2006/relationships/footer" Target="footer20.xml"/><Relationship Id="rId262" Type="http://schemas.openxmlformats.org/officeDocument/2006/relationships/hyperlink" Target="https://doi.org/10.5588/ijtld.15.0975" TargetMode="External"/><Relationship Id="rId283" Type="http://schemas.openxmlformats.org/officeDocument/2006/relationships/hyperlink" Target="https://iris.who.int/handle/10665/340255" TargetMode="External"/><Relationship Id="rId318" Type="http://schemas.openxmlformats.org/officeDocument/2006/relationships/footer" Target="footer59.xml"/><Relationship Id="rId339" Type="http://schemas.openxmlformats.org/officeDocument/2006/relationships/hyperlink" Target="https://apps.who.int/iris/handle/10665/112241" TargetMode="External"/><Relationship Id="rId78" Type="http://schemas.openxmlformats.org/officeDocument/2006/relationships/footer" Target="footer22.xml"/><Relationship Id="rId99" Type="http://schemas.openxmlformats.org/officeDocument/2006/relationships/footer" Target="footer32.xml"/><Relationship Id="rId101" Type="http://schemas.openxmlformats.org/officeDocument/2006/relationships/image" Target="media/image35.png"/><Relationship Id="rId122" Type="http://schemas.openxmlformats.org/officeDocument/2006/relationships/footer" Target="footer46.xml"/><Relationship Id="rId143" Type="http://schemas.openxmlformats.org/officeDocument/2006/relationships/image" Target="media/image58.png"/><Relationship Id="rId164" Type="http://schemas.openxmlformats.org/officeDocument/2006/relationships/hyperlink" Target="https://apps.who.int/iris/handle/10665/331326" TargetMode="External"/><Relationship Id="rId185" Type="http://schemas.openxmlformats.org/officeDocument/2006/relationships/hyperlink" Target="https://iris.who.int/handle/10665/42701" TargetMode="External"/><Relationship Id="rId350" Type="http://schemas.openxmlformats.org/officeDocument/2006/relationships/footer" Target="footer63.xml"/><Relationship Id="rId9" Type="http://schemas.openxmlformats.org/officeDocument/2006/relationships/footnotes" Target="footnotes.xml"/><Relationship Id="rId210" Type="http://schemas.openxmlformats.org/officeDocument/2006/relationships/hyperlink" Target="https://iris.who.int/handle/10665/373419" TargetMode="External"/><Relationship Id="rId26" Type="http://schemas.openxmlformats.org/officeDocument/2006/relationships/footer" Target="footer2.xml"/><Relationship Id="rId231" Type="http://schemas.openxmlformats.org/officeDocument/2006/relationships/hyperlink" Target="https://www.generium.ru/en/products/diaskintest/" TargetMode="External"/><Relationship Id="rId252" Type="http://schemas.openxmlformats.org/officeDocument/2006/relationships/hyperlink" Target="https://www.stoptb.org/who-we-are/stop-tb-working-groups/global-laboratory-initiative-gli/gli-guidance-and-tools/practical-guide-implementation-truenat-tests" TargetMode="External"/><Relationship Id="rId273" Type="http://schemas.openxmlformats.org/officeDocument/2006/relationships/hyperlink" Target="https://doi.org/10.1590/0102-311X00027321" TargetMode="External"/><Relationship Id="rId294" Type="http://schemas.openxmlformats.org/officeDocument/2006/relationships/hyperlink" Target="https://doi.org/10.1016/S1473-3099(17)30691-6" TargetMode="External"/><Relationship Id="rId308" Type="http://schemas.openxmlformats.org/officeDocument/2006/relationships/hyperlink" Target="https://www.who.int/publications/i/item/9789240030589" TargetMode="External"/><Relationship Id="rId329" Type="http://schemas.openxmlformats.org/officeDocument/2006/relationships/image" Target="media/image67.png"/><Relationship Id="rId47" Type="http://schemas.openxmlformats.org/officeDocument/2006/relationships/image" Target="media/image9.png"/><Relationship Id="rId68" Type="http://schemas.openxmlformats.org/officeDocument/2006/relationships/hyperlink" Target="https://doi.org/10.2471/B09404" TargetMode="External"/><Relationship Id="rId89" Type="http://schemas.openxmlformats.org/officeDocument/2006/relationships/image" Target="media/image29.png"/><Relationship Id="rId112" Type="http://schemas.openxmlformats.org/officeDocument/2006/relationships/footer" Target="footer40.xml"/><Relationship Id="rId133" Type="http://schemas.openxmlformats.org/officeDocument/2006/relationships/image" Target="media/image52.png"/><Relationship Id="rId154" Type="http://schemas.openxmlformats.org/officeDocument/2006/relationships/image" Target="media/image60.png"/><Relationship Id="rId175" Type="http://schemas.openxmlformats.org/officeDocument/2006/relationships/hyperlink" Target="https://tbksp.who.int/en/node/1722" TargetMode="External"/><Relationship Id="rId340" Type="http://schemas.openxmlformats.org/officeDocument/2006/relationships/hyperlink" Target="https://apps.who.int/iris/handle/10665/112241" TargetMode="External"/><Relationship Id="rId196" Type="http://schemas.openxmlformats.org/officeDocument/2006/relationships/hyperlink" Target="https://doi.org/10.3390/pathogens12080978" TargetMode="External"/><Relationship Id="rId200" Type="http://schemas.openxmlformats.org/officeDocument/2006/relationships/hyperlink" Target="https://www.who.int/publications/i/item/9789240018662" TargetMode="External"/><Relationship Id="rId16" Type="http://schemas.openxmlformats.org/officeDocument/2006/relationships/hyperlink" Target="https://creativecommons.org/licenses/by-nc-sa/3.0/igo/" TargetMode="External"/><Relationship Id="rId221" Type="http://schemas.openxmlformats.org/officeDocument/2006/relationships/hyperlink" Target="https://www.who.int/publications/i/item/9789240002906" TargetMode="External"/><Relationship Id="rId242" Type="http://schemas.openxmlformats.org/officeDocument/2006/relationships/hyperlink" Target="https://www.stoptb.org/planning-and-budgeting-tool-tb-and-drug-resistant-tb-testing-calculation-tool" TargetMode="External"/><Relationship Id="rId263" Type="http://schemas.openxmlformats.org/officeDocument/2006/relationships/hyperlink" Target="https://www.stoptb.org/gli-guidance-and-tools/gli-quick-guide-to-tb-diagnostics-connectivity-solutions" TargetMode="External"/><Relationship Id="rId284" Type="http://schemas.openxmlformats.org/officeDocument/2006/relationships/hyperlink" Target="https://iris.who.int/handle/10665/373422" TargetMode="External"/><Relationship Id="rId319" Type="http://schemas.openxmlformats.org/officeDocument/2006/relationships/footer" Target="footer60.xml"/><Relationship Id="rId37" Type="http://schemas.openxmlformats.org/officeDocument/2006/relationships/footer" Target="footer9.xml"/><Relationship Id="rId58" Type="http://schemas.openxmlformats.org/officeDocument/2006/relationships/image" Target="media/image16.png"/><Relationship Id="rId79" Type="http://schemas.openxmlformats.org/officeDocument/2006/relationships/hyperlink" Target="https://iris.who.int/handle/10665/376286" TargetMode="External"/><Relationship Id="rId102" Type="http://schemas.openxmlformats.org/officeDocument/2006/relationships/footer" Target="footer33.xml"/><Relationship Id="rId123" Type="http://schemas.openxmlformats.org/officeDocument/2006/relationships/footer" Target="footer47.xml"/><Relationship Id="rId144" Type="http://schemas.openxmlformats.org/officeDocument/2006/relationships/footer" Target="footer50.xml"/><Relationship Id="rId330" Type="http://schemas.openxmlformats.org/officeDocument/2006/relationships/image" Target="media/image68.png"/><Relationship Id="rId90" Type="http://schemas.openxmlformats.org/officeDocument/2006/relationships/footer" Target="footer29.xml"/><Relationship Id="rId165" Type="http://schemas.openxmlformats.org/officeDocument/2006/relationships/hyperlink" Target="https://iris.who.int/handle/10665/381003" TargetMode="External"/><Relationship Id="rId186" Type="http://schemas.openxmlformats.org/officeDocument/2006/relationships/hyperlink" Target="https://iris.who.int/handle/10665/366068" TargetMode="External"/><Relationship Id="rId351" Type="http://schemas.openxmlformats.org/officeDocument/2006/relationships/hyperlink" Target="http://www.who.int/tb" TargetMode="External"/><Relationship Id="rId211" Type="http://schemas.openxmlformats.org/officeDocument/2006/relationships/hyperlink" Target="https://iris.who.int/handle/10665/373419" TargetMode="External"/><Relationship Id="rId232" Type="http://schemas.openxmlformats.org/officeDocument/2006/relationships/hyperlink" Target="https://www.generium.ru/en/products/diaskintest/" TargetMode="External"/><Relationship Id="rId253" Type="http://schemas.openxmlformats.org/officeDocument/2006/relationships/hyperlink" Target="https://www.stoptb.org/who-we-are/stop-tb-working-groups/global-laboratory-initiative-gli/gli-guidance-and-tools/practical-guide-implementation-truenat-tests" TargetMode="External"/><Relationship Id="rId274" Type="http://schemas.openxmlformats.org/officeDocument/2006/relationships/hyperlink" Target="https://www.youtube.com/watch?v=tRqumpCb_Js&amp;list=PLwoB2EX6lRZRWCw4yyYHDQAADC9QO892V&amp;index=6" TargetMode="External"/><Relationship Id="rId295" Type="http://schemas.openxmlformats.org/officeDocument/2006/relationships/hyperlink" Target="https://doi.org/10.1016/S1473-3099(17)30691-6" TargetMode="External"/><Relationship Id="rId309" Type="http://schemas.openxmlformats.org/officeDocument/2006/relationships/hyperlink" Target="https://www.who.int/publications/i/item/9789240030589" TargetMode="External"/><Relationship Id="rId27" Type="http://schemas.openxmlformats.org/officeDocument/2006/relationships/image" Target="media/image5.png"/><Relationship Id="rId48" Type="http://schemas.openxmlformats.org/officeDocument/2006/relationships/image" Target="media/image10.png"/><Relationship Id="rId69" Type="http://schemas.openxmlformats.org/officeDocument/2006/relationships/image" Target="media/image22.png"/><Relationship Id="rId113" Type="http://schemas.openxmlformats.org/officeDocument/2006/relationships/image" Target="media/image39.png"/><Relationship Id="rId134" Type="http://schemas.openxmlformats.org/officeDocument/2006/relationships/image" Target="media/image53.png"/><Relationship Id="rId320" Type="http://schemas.openxmlformats.org/officeDocument/2006/relationships/image" Target="media/image65.png"/><Relationship Id="rId80" Type="http://schemas.openxmlformats.org/officeDocument/2006/relationships/footer" Target="footer23.xml"/><Relationship Id="rId155" Type="http://schemas.openxmlformats.org/officeDocument/2006/relationships/image" Target="media/image61.png"/><Relationship Id="rId176" Type="http://schemas.openxmlformats.org/officeDocument/2006/relationships/hyperlink" Target="https://www.stoptb.org/stop-tb-working-groups/global-laboratory-initiative-gli" TargetMode="External"/><Relationship Id="rId197" Type="http://schemas.openxmlformats.org/officeDocument/2006/relationships/hyperlink" Target="https://iris.who.int/handle/10665/373419" TargetMode="External"/><Relationship Id="rId341" Type="http://schemas.openxmlformats.org/officeDocument/2006/relationships/hyperlink" Target="https://www.generium.ru/en/products/diaskintest/" TargetMode="External"/><Relationship Id="rId201" Type="http://schemas.openxmlformats.org/officeDocument/2006/relationships/hyperlink" Target="https://iris.who.int/handle/10665/376286" TargetMode="External"/><Relationship Id="rId222" Type="http://schemas.openxmlformats.org/officeDocument/2006/relationships/hyperlink" Target="https://www.atsjournals.org/doi/abs/10.1164/art.1941.44.1.9" TargetMode="External"/><Relationship Id="rId243" Type="http://schemas.openxmlformats.org/officeDocument/2006/relationships/hyperlink" Target="https://www.stoptb.org/who-we-are/stop-tb-working-groups/global-laboratory-initiative-gli/gli-eqa-dashboard" TargetMode="External"/><Relationship Id="rId264" Type="http://schemas.openxmlformats.org/officeDocument/2006/relationships/hyperlink" Target="https://www.stoptb.org/gli-guidance-and-tools/gli-quick-guide-to-tb-diagnostics-connectivity-solutions" TargetMode="External"/><Relationship Id="rId285" Type="http://schemas.openxmlformats.org/officeDocument/2006/relationships/hyperlink" Target="https://doi.org/10.1128/JCM.00553-13" TargetMode="External"/><Relationship Id="rId17" Type="http://schemas.openxmlformats.org/officeDocument/2006/relationships/hyperlink" Target="https://iris.who.int/" TargetMode="External"/><Relationship Id="rId38" Type="http://schemas.openxmlformats.org/officeDocument/2006/relationships/image" Target="media/image8.png"/><Relationship Id="rId59" Type="http://schemas.openxmlformats.org/officeDocument/2006/relationships/hyperlink" Target="https://iris.who.int/handle/10665/376284" TargetMode="External"/><Relationship Id="rId103" Type="http://schemas.openxmlformats.org/officeDocument/2006/relationships/image" Target="media/image36.png"/><Relationship Id="rId124" Type="http://schemas.openxmlformats.org/officeDocument/2006/relationships/image" Target="media/image43.png"/><Relationship Id="rId310" Type="http://schemas.openxmlformats.org/officeDocument/2006/relationships/footer" Target="footer56.xml"/><Relationship Id="rId70" Type="http://schemas.openxmlformats.org/officeDocument/2006/relationships/image" Target="media/image23.png"/><Relationship Id="rId91" Type="http://schemas.openxmlformats.org/officeDocument/2006/relationships/image" Target="media/image30.png"/><Relationship Id="rId145" Type="http://schemas.openxmlformats.org/officeDocument/2006/relationships/hyperlink" Target="https://iris.who.int/handle/10665/376286" TargetMode="External"/><Relationship Id="rId166" Type="http://schemas.openxmlformats.org/officeDocument/2006/relationships/hyperlink" Target="https://iris.who.int/handle/10665/376221" TargetMode="External"/><Relationship Id="rId187" Type="http://schemas.openxmlformats.org/officeDocument/2006/relationships/hyperlink" Target="https://extranet.who.int/prequal/vitro-diagnostics/prequalified/in-vitro-diagnostics" TargetMode="External"/><Relationship Id="rId331" Type="http://schemas.openxmlformats.org/officeDocument/2006/relationships/image" Target="media/image69.png"/><Relationship Id="rId352" Type="http://schemas.openxmlformats.org/officeDocument/2006/relationships/image" Target="media/image73.png"/><Relationship Id="rId1" Type="http://schemas.openxmlformats.org/officeDocument/2006/relationships/customXml" Target="../customXml/item1.xml"/><Relationship Id="rId212" Type="http://schemas.openxmlformats.org/officeDocument/2006/relationships/hyperlink" Target="https://www.who.int/publications-detail-redirect/9789240001503" TargetMode="External"/><Relationship Id="rId233" Type="http://schemas.openxmlformats.org/officeDocument/2006/relationships/hyperlink" Target="https://doi.org/10.7326/0003-4819-155-8-201110180-00009" TargetMode="External"/><Relationship Id="rId254" Type="http://schemas.openxmlformats.org/officeDocument/2006/relationships/hyperlink" Target="https://www.stoptb.org/who-we-are/stop-tb-working-groups/global-laboratory-initiative-gli/gli-guidance-and-tools/practical-guide-implementation-truenat-tests" TargetMode="External"/><Relationship Id="rId28" Type="http://schemas.openxmlformats.org/officeDocument/2006/relationships/footer" Target="footer3.xml"/><Relationship Id="rId49" Type="http://schemas.openxmlformats.org/officeDocument/2006/relationships/hyperlink" Target="https://iris.who.int/handle/10665/376284" TargetMode="External"/><Relationship Id="rId114" Type="http://schemas.openxmlformats.org/officeDocument/2006/relationships/footer" Target="footer41.xml"/><Relationship Id="rId275" Type="http://schemas.openxmlformats.org/officeDocument/2006/relationships/hyperlink" Target="https://www.youtube.com/watch?v=tRqumpCb_Js&amp;list=PLwoB2EX6lRZRWCw4yyYHDQAADC9QO892V&amp;index=6" TargetMode="External"/><Relationship Id="rId296" Type="http://schemas.openxmlformats.org/officeDocument/2006/relationships/hyperlink" Target="https://doi.org/10.1002/14651858.CD009593.pub3" TargetMode="External"/><Relationship Id="rId300" Type="http://schemas.openxmlformats.org/officeDocument/2006/relationships/hyperlink" Target="https://doi.org/10.1016/S1473-3099(18)30715-1" TargetMode="External"/><Relationship Id="rId60" Type="http://schemas.openxmlformats.org/officeDocument/2006/relationships/footer" Target="footer21.xml"/><Relationship Id="rId81" Type="http://schemas.openxmlformats.org/officeDocument/2006/relationships/footer" Target="footer24.xml"/><Relationship Id="rId135" Type="http://schemas.openxmlformats.org/officeDocument/2006/relationships/image" Target="media/image54.png"/><Relationship Id="rId156" Type="http://schemas.openxmlformats.org/officeDocument/2006/relationships/image" Target="media/image62.png"/><Relationship Id="rId177" Type="http://schemas.openxmlformats.org/officeDocument/2006/relationships/hyperlink" Target="https://www.stoptb.org/stop-tb-working-groups/global-laboratory-initiative-gli" TargetMode="External"/><Relationship Id="rId198" Type="http://schemas.openxmlformats.org/officeDocument/2006/relationships/hyperlink" Target="https://iris.who.int/handle/10665/373419" TargetMode="External"/><Relationship Id="rId321" Type="http://schemas.openxmlformats.org/officeDocument/2006/relationships/footer" Target="footer61.xml"/><Relationship Id="rId342" Type="http://schemas.openxmlformats.org/officeDocument/2006/relationships/hyperlink" Target="https://www.generium.ru/en/products/diaskintest/" TargetMode="External"/><Relationship Id="rId202" Type="http://schemas.openxmlformats.org/officeDocument/2006/relationships/hyperlink" Target="https://www.who.int/publications/i/item/9789240065116" TargetMode="External"/><Relationship Id="rId223" Type="http://schemas.openxmlformats.org/officeDocument/2006/relationships/hyperlink" Target="https://www.atsjournals.org/doi/abs/10.1164/art.1941.44.1.9" TargetMode="External"/><Relationship Id="rId244" Type="http://schemas.openxmlformats.org/officeDocument/2006/relationships/hyperlink" Target="https://www.stoptb.org/who-we-are/stop-tb-working-groups/global-laboratory-initiative-gli/gli-eqa-dashboard" TargetMode="External"/><Relationship Id="rId18" Type="http://schemas.openxmlformats.org/officeDocument/2006/relationships/hyperlink" Target="https://www.who.int/publications/book-orders" TargetMode="External"/><Relationship Id="rId39" Type="http://schemas.openxmlformats.org/officeDocument/2006/relationships/footer" Target="footer10.xml"/><Relationship Id="rId265" Type="http://schemas.openxmlformats.org/officeDocument/2006/relationships/hyperlink" Target="https://doi.org/10.1371/journal.pone.0215240" TargetMode="External"/><Relationship Id="rId286" Type="http://schemas.openxmlformats.org/officeDocument/2006/relationships/hyperlink" Target="https://doi.org/10.1128/JCM.00553-13" TargetMode="External"/><Relationship Id="rId50" Type="http://schemas.openxmlformats.org/officeDocument/2006/relationships/image" Target="media/image11.png"/><Relationship Id="rId104" Type="http://schemas.openxmlformats.org/officeDocument/2006/relationships/footer" Target="footer34.xml"/><Relationship Id="rId125" Type="http://schemas.openxmlformats.org/officeDocument/2006/relationships/image" Target="media/image44.png"/><Relationship Id="rId146" Type="http://schemas.openxmlformats.org/officeDocument/2006/relationships/hyperlink" Target="https://iris.who.int/handle/10665/376286" TargetMode="External"/><Relationship Id="rId167" Type="http://schemas.openxmlformats.org/officeDocument/2006/relationships/hyperlink" Target="https://iris.who.int/handle/10665/376221" TargetMode="External"/><Relationship Id="rId188" Type="http://schemas.openxmlformats.org/officeDocument/2006/relationships/hyperlink" Target="https://extranet.who.int/prequal/vitro-diagnostics/prequalified/in-vitro-diagnostics" TargetMode="External"/><Relationship Id="rId311" Type="http://schemas.openxmlformats.org/officeDocument/2006/relationships/footer" Target="footer57.xml"/><Relationship Id="rId332" Type="http://schemas.openxmlformats.org/officeDocument/2006/relationships/image" Target="media/image70.png"/><Relationship Id="rId353" Type="http://schemas.openxmlformats.org/officeDocument/2006/relationships/fontTable" Target="fontTable.xml"/><Relationship Id="rId71" Type="http://schemas.openxmlformats.org/officeDocument/2006/relationships/image" Target="media/image24.png"/><Relationship Id="rId92" Type="http://schemas.openxmlformats.org/officeDocument/2006/relationships/footer" Target="footer30.xml"/><Relationship Id="rId213" Type="http://schemas.openxmlformats.org/officeDocument/2006/relationships/hyperlink" Target="https://www.who.int/publications-detail-redirect/9789240001503" TargetMode="External"/><Relationship Id="rId234" Type="http://schemas.openxmlformats.org/officeDocument/2006/relationships/hyperlink" Target="https://www.who.int/news/item/28-01-2022-use-of-alternative-interferon-gamma-release-assays-for-the-diagnosis-of-tb-infection---who-policy-statement" TargetMode="External"/><Relationship Id="rId2" Type="http://schemas.openxmlformats.org/officeDocument/2006/relationships/customXml" Target="../customXml/item2.xml"/><Relationship Id="rId29" Type="http://schemas.openxmlformats.org/officeDocument/2006/relationships/image" Target="media/image6.png"/><Relationship Id="rId255" Type="http://schemas.openxmlformats.org/officeDocument/2006/relationships/hyperlink" Target="https://www.stoptb.org/tb-lamp-implementation-experiences-and-lessons-learned" TargetMode="External"/><Relationship Id="rId276" Type="http://schemas.openxmlformats.org/officeDocument/2006/relationships/hyperlink" Target="https://www.youtube.com/watch?v=tRqumpCb_Js&amp;list=PLwoB2EX6lRZRWCw4yyYHDQAADC9QO892V&amp;index=6" TargetMode="External"/><Relationship Id="rId297" Type="http://schemas.openxmlformats.org/officeDocument/2006/relationships/hyperlink" Target="https://doi.org/10.1128/JCM.02314-20" TargetMode="External"/><Relationship Id="rId40" Type="http://schemas.openxmlformats.org/officeDocument/2006/relationships/footer" Target="footer11.xml"/><Relationship Id="rId115" Type="http://schemas.openxmlformats.org/officeDocument/2006/relationships/footer" Target="footer42.xml"/><Relationship Id="rId136" Type="http://schemas.openxmlformats.org/officeDocument/2006/relationships/hyperlink" Target="https://iris.who.int/handle/10665/376286" TargetMode="External"/><Relationship Id="rId157" Type="http://schemas.openxmlformats.org/officeDocument/2006/relationships/image" Target="media/image63.png"/><Relationship Id="rId178" Type="http://schemas.openxmlformats.org/officeDocument/2006/relationships/hyperlink" Target="https://www.who.int/publications/i/item/9789240056084" TargetMode="External"/><Relationship Id="rId301" Type="http://schemas.openxmlformats.org/officeDocument/2006/relationships/hyperlink" Target="https://iris.who.int/handle/10665/378472" TargetMode="External"/><Relationship Id="rId322" Type="http://schemas.openxmlformats.org/officeDocument/2006/relationships/hyperlink" Target="https://iris.who.int/handle/10665/373419" TargetMode="External"/><Relationship Id="rId343" Type="http://schemas.openxmlformats.org/officeDocument/2006/relationships/hyperlink" Target="https://doi.org/10.1016/S1473-3099(16)30216-X" TargetMode="External"/><Relationship Id="rId61" Type="http://schemas.openxmlformats.org/officeDocument/2006/relationships/image" Target="media/image17.png"/><Relationship Id="rId82" Type="http://schemas.openxmlformats.org/officeDocument/2006/relationships/footer" Target="footer25.xml"/><Relationship Id="rId199" Type="http://schemas.openxmlformats.org/officeDocument/2006/relationships/hyperlink" Target="https://www.who.int/publications/i/item/9789240018662" TargetMode="External"/><Relationship Id="rId203" Type="http://schemas.openxmlformats.org/officeDocument/2006/relationships/hyperlink" Target="https://www.who.int/publications/i/item/9789240065116" TargetMode="External"/><Relationship Id="rId19" Type="http://schemas.openxmlformats.org/officeDocument/2006/relationships/hyperlink" Target="https://www.who.int/copyright" TargetMode="External"/><Relationship Id="rId224" Type="http://schemas.openxmlformats.org/officeDocument/2006/relationships/hyperlink" Target="https://doi.org/10.1001/jama.1968.03140290059017" TargetMode="External"/><Relationship Id="rId245" Type="http://schemas.openxmlformats.org/officeDocument/2006/relationships/hyperlink" Target="https://apps.who.int/iris/bitstream/handle/10665/112472/9789241506335_eng.pdf?sequence=1" TargetMode="External"/><Relationship Id="rId266" Type="http://schemas.openxmlformats.org/officeDocument/2006/relationships/hyperlink" Target="https://www.youtube.com/watch?v=PsBTYiEAKcc" TargetMode="External"/><Relationship Id="rId287" Type="http://schemas.openxmlformats.org/officeDocument/2006/relationships/hyperlink" Target="https://www.who.int/publications/i/item/WHO-CDS-TB-2018.5" TargetMode="External"/><Relationship Id="rId30" Type="http://schemas.openxmlformats.org/officeDocument/2006/relationships/footer" Target="footer4.xml"/><Relationship Id="rId105" Type="http://schemas.openxmlformats.org/officeDocument/2006/relationships/footer" Target="footer35.xml"/><Relationship Id="rId126" Type="http://schemas.openxmlformats.org/officeDocument/2006/relationships/image" Target="media/image45.png"/><Relationship Id="rId147" Type="http://schemas.openxmlformats.org/officeDocument/2006/relationships/footer" Target="footer51.xml"/><Relationship Id="rId168" Type="http://schemas.openxmlformats.org/officeDocument/2006/relationships/hyperlink" Target="https://www.who.int/publications/i/item/9789240063129" TargetMode="External"/><Relationship Id="rId312" Type="http://schemas.openxmlformats.org/officeDocument/2006/relationships/hyperlink" Target="https://www.beiresources.org" TargetMode="External"/><Relationship Id="rId333" Type="http://schemas.openxmlformats.org/officeDocument/2006/relationships/footer" Target="footer62.xml"/><Relationship Id="rId354" Type="http://schemas.openxmlformats.org/officeDocument/2006/relationships/theme" Target="theme/theme1.xml"/><Relationship Id="rId51" Type="http://schemas.openxmlformats.org/officeDocument/2006/relationships/image" Target="media/image12.png"/><Relationship Id="rId72" Type="http://schemas.openxmlformats.org/officeDocument/2006/relationships/hyperlink" Target="https://iris.who.int/handle/10665/376286" TargetMode="External"/><Relationship Id="rId93" Type="http://schemas.openxmlformats.org/officeDocument/2006/relationships/image" Target="media/image31.png"/><Relationship Id="rId189" Type="http://schemas.openxmlformats.org/officeDocument/2006/relationships/hyperlink" Target="https://www.stoptb.org/gli-guidance-and-tools/practical-implementation-of-lf-lam-detection-of-active-tb-people-living-with" TargetMode="External"/><Relationship Id="rId3" Type="http://schemas.openxmlformats.org/officeDocument/2006/relationships/customXml" Target="../customXml/item3.xml"/><Relationship Id="rId214" Type="http://schemas.openxmlformats.org/officeDocument/2006/relationships/hyperlink" Target="https://doi.org/10.1080/24745332.2022.2035540" TargetMode="External"/><Relationship Id="rId235" Type="http://schemas.openxmlformats.org/officeDocument/2006/relationships/hyperlink" Target="https://www.who.int/news/item/28-01-2022-use-of-alternative-interferon-gamma-release-assays-for-the-diagnosis-of-tb-infection---who-policy-statement" TargetMode="External"/><Relationship Id="rId256" Type="http://schemas.openxmlformats.org/officeDocument/2006/relationships/hyperlink" Target="https://www.stoptb.org/gli-guide-tb-specimen-referral-systems-and-integrated-networks" TargetMode="External"/><Relationship Id="rId277" Type="http://schemas.openxmlformats.org/officeDocument/2006/relationships/hyperlink" Target="https://www.youtube.com/watch?v=xsV7oHBdMEs" TargetMode="External"/><Relationship Id="rId298" Type="http://schemas.openxmlformats.org/officeDocument/2006/relationships/hyperlink" Target="https://doi.org/10.1056/NEJMc1413930" TargetMode="External"/><Relationship Id="rId116" Type="http://schemas.openxmlformats.org/officeDocument/2006/relationships/footer" Target="footer43.xml"/><Relationship Id="rId137" Type="http://schemas.openxmlformats.org/officeDocument/2006/relationships/hyperlink" Target="https://iris.who.int/handle/10665/376286" TargetMode="External"/><Relationship Id="rId158" Type="http://schemas.openxmlformats.org/officeDocument/2006/relationships/hyperlink" Target="https://doi.org/10.1371/journal.pmed.1002152" TargetMode="External"/><Relationship Id="rId302" Type="http://schemas.openxmlformats.org/officeDocument/2006/relationships/hyperlink" Target="https://www.who.int/publications/i/item/9789241508612" TargetMode="External"/><Relationship Id="rId323" Type="http://schemas.openxmlformats.org/officeDocument/2006/relationships/hyperlink" Target="https://iris.who.int/handle/10665/373419" TargetMode="External"/><Relationship Id="rId344" Type="http://schemas.openxmlformats.org/officeDocument/2006/relationships/hyperlink" Target="https://doi.org/10.1056/NEJM197509042931013" TargetMode="External"/><Relationship Id="rId20" Type="http://schemas.openxmlformats.org/officeDocument/2006/relationships/image" Target="media/image4.png"/><Relationship Id="rId41" Type="http://schemas.openxmlformats.org/officeDocument/2006/relationships/footer" Target="footer12.xml"/><Relationship Id="rId62" Type="http://schemas.openxmlformats.org/officeDocument/2006/relationships/image" Target="media/image18.png"/><Relationship Id="rId83" Type="http://schemas.openxmlformats.org/officeDocument/2006/relationships/footer" Target="footer26.xml"/><Relationship Id="rId179" Type="http://schemas.openxmlformats.org/officeDocument/2006/relationships/hyperlink" Target="https://iris.who.int/handle/10665/378536" TargetMode="External"/><Relationship Id="rId190" Type="http://schemas.openxmlformats.org/officeDocument/2006/relationships/hyperlink" Target="https://www.stoptb.org/gli-guidance-and-tools/practical-implementation-of-lf-lam-detection-of-active-tb-people-living-with" TargetMode="External"/><Relationship Id="rId204" Type="http://schemas.openxmlformats.org/officeDocument/2006/relationships/hyperlink" Target="https://www.stoptb.org/global-drug-facility-gdf/gdf-product-catalog" TargetMode="External"/><Relationship Id="rId225" Type="http://schemas.openxmlformats.org/officeDocument/2006/relationships/hyperlink" Target="https://doi.org/10.1164/ajrccm/145.3.621" TargetMode="External"/><Relationship Id="rId246" Type="http://schemas.openxmlformats.org/officeDocument/2006/relationships/hyperlink" Target="https://apps.who.int/iris/bitstream/handle/10665/112472/9789241506335_eng.pdf?sequence=1" TargetMode="External"/><Relationship Id="rId267" Type="http://schemas.openxmlformats.org/officeDocument/2006/relationships/hyperlink" Target="https://www.youtube.com/watch?v=7Lbt84YCsiM" TargetMode="External"/><Relationship Id="rId288" Type="http://schemas.openxmlformats.org/officeDocument/2006/relationships/hyperlink" Target="https://www.who.int/publications/i/item/WHO-CDS-TB-2018.5" TargetMode="External"/><Relationship Id="rId106" Type="http://schemas.openxmlformats.org/officeDocument/2006/relationships/footer" Target="footer36.xml"/><Relationship Id="rId127" Type="http://schemas.openxmlformats.org/officeDocument/2006/relationships/image" Target="media/image46.png"/><Relationship Id="rId313" Type="http://schemas.openxmlformats.org/officeDocument/2006/relationships/footer" Target="footer58.xml"/><Relationship Id="rId10" Type="http://schemas.openxmlformats.org/officeDocument/2006/relationships/endnotes" Target="endnotes.xml"/><Relationship Id="rId31" Type="http://schemas.openxmlformats.org/officeDocument/2006/relationships/footer" Target="footer5.xml"/><Relationship Id="rId52" Type="http://schemas.openxmlformats.org/officeDocument/2006/relationships/image" Target="media/image13.png"/><Relationship Id="rId73" Type="http://schemas.openxmlformats.org/officeDocument/2006/relationships/image" Target="media/image25.png"/><Relationship Id="rId94" Type="http://schemas.openxmlformats.org/officeDocument/2006/relationships/hyperlink" Target="https://doi.org/10.2471/B09404" TargetMode="External"/><Relationship Id="rId148" Type="http://schemas.openxmlformats.org/officeDocument/2006/relationships/hyperlink" Target="https://iris.who.int/handle/10665/376286" TargetMode="External"/><Relationship Id="rId169" Type="http://schemas.openxmlformats.org/officeDocument/2006/relationships/hyperlink" Target="https://www.who.int/publications/i/item/9789240063129" TargetMode="External"/><Relationship Id="rId334" Type="http://schemas.openxmlformats.org/officeDocument/2006/relationships/image" Target="media/image71.png"/><Relationship Id="rId4" Type="http://schemas.openxmlformats.org/officeDocument/2006/relationships/customXml" Target="../customXml/item4.xml"/><Relationship Id="rId180" Type="http://schemas.openxmlformats.org/officeDocument/2006/relationships/hyperlink" Target="https://iris.who.int/handle/10665/378536" TargetMode="External"/><Relationship Id="rId215" Type="http://schemas.openxmlformats.org/officeDocument/2006/relationships/hyperlink" Target="https://doi.org/10.1080/24745332.2022.2035540" TargetMode="External"/><Relationship Id="rId236" Type="http://schemas.openxmlformats.org/officeDocument/2006/relationships/hyperlink" Target="https://www.who.int/news/item/28-01-2022-use-of-alternative-interferon-gamma-release-assays-for-the-diagnosis-of-tb-infection---who-policy-statement" TargetMode="External"/><Relationship Id="rId257" Type="http://schemas.openxmlformats.org/officeDocument/2006/relationships/hyperlink" Target="https://www.stoptb.org/who-we-are/stop-tb-working-groups/global-laboratory-initiative-gli/gli-guidance-and-tools/gli-specimen-referral-toolkit" TargetMode="External"/><Relationship Id="rId278" Type="http://schemas.openxmlformats.org/officeDocument/2006/relationships/hyperlink" Target="https://www.youtube.com/watch?v=xsV7oHBdMEs" TargetMode="External"/><Relationship Id="rId303" Type="http://schemas.openxmlformats.org/officeDocument/2006/relationships/hyperlink" Target="https://doi.org/10.1128/AAC.00479-20" TargetMode="External"/><Relationship Id="rId42" Type="http://schemas.openxmlformats.org/officeDocument/2006/relationships/footer" Target="footer13.xml"/><Relationship Id="rId84" Type="http://schemas.openxmlformats.org/officeDocument/2006/relationships/hyperlink" Target="https://iris.who.int/handle/10665/376286" TargetMode="External"/><Relationship Id="rId138" Type="http://schemas.openxmlformats.org/officeDocument/2006/relationships/image" Target="media/image55.png"/><Relationship Id="rId345" Type="http://schemas.openxmlformats.org/officeDocument/2006/relationships/hyperlink" Target="https://doi.org/10.1056/NEJM197509042931013" TargetMode="External"/><Relationship Id="rId191" Type="http://schemas.openxmlformats.org/officeDocument/2006/relationships/hyperlink" Target="https://iris.who.int/handle/10665/350154" TargetMode="External"/><Relationship Id="rId205" Type="http://schemas.openxmlformats.org/officeDocument/2006/relationships/hyperlink" Target="https://www.stoptb.org/global-drug-facility-gdf/gdf-product-catalog" TargetMode="External"/><Relationship Id="rId247" Type="http://schemas.openxmlformats.org/officeDocument/2006/relationships/hyperlink" Target="https://www.who.int/publications/i/item/9789240046832" TargetMode="External"/><Relationship Id="rId107" Type="http://schemas.openxmlformats.org/officeDocument/2006/relationships/footer" Target="footer37.xml"/><Relationship Id="rId289" Type="http://schemas.openxmlformats.org/officeDocument/2006/relationships/hyperlink" Target="https://doi.org/10.5588/ijtld.16.0837" TargetMode="External"/><Relationship Id="rId11" Type="http://schemas.openxmlformats.org/officeDocument/2006/relationships/image" Target="media/image1.png"/><Relationship Id="rId53" Type="http://schemas.openxmlformats.org/officeDocument/2006/relationships/image" Target="media/image14.png"/><Relationship Id="rId149" Type="http://schemas.openxmlformats.org/officeDocument/2006/relationships/image" Target="media/image59.png"/><Relationship Id="rId314" Type="http://schemas.openxmlformats.org/officeDocument/2006/relationships/hyperlink" Target="https://www.who.int/publications/i/item/9789241514842" TargetMode="External"/><Relationship Id="rId95" Type="http://schemas.openxmlformats.org/officeDocument/2006/relationships/hyperlink" Target="https://doi.org/10.2471/B09404" TargetMode="External"/><Relationship Id="rId160" Type="http://schemas.openxmlformats.org/officeDocument/2006/relationships/hyperlink" Target="https://iris.who.int/handle/10665/379339" TargetMode="External"/><Relationship Id="rId216" Type="http://schemas.openxmlformats.org/officeDocument/2006/relationships/hyperlink" Target="https://doi.org/10.1016/S0140-6736(20)30166-5" TargetMode="External"/><Relationship Id="rId258" Type="http://schemas.openxmlformats.org/officeDocument/2006/relationships/hyperlink" Target="https://www.stoptb.org/who-we-are/stop-tb-working-groups/global-laboratory-initiative-gli/gli-guidance-and-tools/gli-specimen-referral-toolkit" TargetMode="External"/><Relationship Id="rId22" Type="http://schemas.openxmlformats.org/officeDocument/2006/relationships/hyperlink" Target="https://doi.org/10.2471/B09403" TargetMode="External"/><Relationship Id="rId64" Type="http://schemas.openxmlformats.org/officeDocument/2006/relationships/image" Target="media/image19.png"/><Relationship Id="rId118" Type="http://schemas.openxmlformats.org/officeDocument/2006/relationships/image" Target="media/image41.png"/><Relationship Id="rId325" Type="http://schemas.openxmlformats.org/officeDocument/2006/relationships/hyperlink" Target="https://www.who.int/publications/i/item/9789240082410" TargetMode="External"/><Relationship Id="rId171" Type="http://schemas.openxmlformats.org/officeDocument/2006/relationships/hyperlink" Target="https://www.who.int/publications/m/item/public-announcement-to-tb-in-vitro-diagnostics-manufacturers" TargetMode="External"/><Relationship Id="rId227" Type="http://schemas.openxmlformats.org/officeDocument/2006/relationships/footer" Target="footer55.xml"/><Relationship Id="rId269" Type="http://schemas.openxmlformats.org/officeDocument/2006/relationships/hyperlink" Target="https://doi.org/10.1093/cid/ciz219" TargetMode="External"/><Relationship Id="rId33" Type="http://schemas.openxmlformats.org/officeDocument/2006/relationships/image" Target="media/image7.png"/><Relationship Id="rId129" Type="http://schemas.openxmlformats.org/officeDocument/2006/relationships/image" Target="media/image48.png"/><Relationship Id="rId280" Type="http://schemas.openxmlformats.org/officeDocument/2006/relationships/hyperlink" Target="https://www.mcgill.ca/tb/files/tb/tuberculin_skin_testing_tst_technique_training_feb202018_english.pdf" TargetMode="External"/><Relationship Id="rId336" Type="http://schemas.openxmlformats.org/officeDocument/2006/relationships/hyperlink" Target="https://doi.org/10.1371/journal.pone.0215240" TargetMode="External"/><Relationship Id="rId75" Type="http://schemas.openxmlformats.org/officeDocument/2006/relationships/hyperlink" Target="https://doi.org/10.2471/B09403" TargetMode="External"/><Relationship Id="rId140" Type="http://schemas.openxmlformats.org/officeDocument/2006/relationships/image" Target="media/image56.png"/><Relationship Id="rId182" Type="http://schemas.openxmlformats.org/officeDocument/2006/relationships/image" Target="media/image64.png"/><Relationship Id="rId6" Type="http://schemas.openxmlformats.org/officeDocument/2006/relationships/styles" Target="styles.xml"/><Relationship Id="rId238" Type="http://schemas.openxmlformats.org/officeDocument/2006/relationships/hyperlink" Target="https://www.who.int/publications/i/item/9789241502054" TargetMode="External"/><Relationship Id="rId291" Type="http://schemas.openxmlformats.org/officeDocument/2006/relationships/hyperlink" Target="https://doi.org/10.1016/S2666-5247(20)30007-0" TargetMode="External"/><Relationship Id="rId305" Type="http://schemas.openxmlformats.org/officeDocument/2006/relationships/hyperlink" Target="https://www.who.int/publications/i/item/9789241550079" TargetMode="External"/><Relationship Id="rId347" Type="http://schemas.openxmlformats.org/officeDocument/2006/relationships/hyperlink" Target="https://pubmed.ncbi.nlm.nih.gov/28052967/" TargetMode="External"/><Relationship Id="rId44" Type="http://schemas.openxmlformats.org/officeDocument/2006/relationships/footer" Target="footer15.xml"/><Relationship Id="rId86" Type="http://schemas.openxmlformats.org/officeDocument/2006/relationships/image" Target="media/image27.png"/><Relationship Id="rId151" Type="http://schemas.openxmlformats.org/officeDocument/2006/relationships/hyperlink" Target="https://iris.who.int/handle/10665/376286" TargetMode="External"/><Relationship Id="rId193" Type="http://schemas.openxmlformats.org/officeDocument/2006/relationships/hyperlink" Target="https://iris.who.int/handle/10665/342331" TargetMode="External"/><Relationship Id="rId207" Type="http://schemas.openxmlformats.org/officeDocument/2006/relationships/hyperlink" Target="https://stoptb.org/assets/documents/resources/publications/sd/BDQ_DEL_access.pdf" TargetMode="External"/><Relationship Id="rId249" Type="http://schemas.openxmlformats.org/officeDocument/2006/relationships/hyperlink" Target="https://www.who.int/publications/i/item/WHO-HTM-TB-2017.06" TargetMode="External"/><Relationship Id="rId13" Type="http://schemas.openxmlformats.org/officeDocument/2006/relationships/image" Target="media/image3.png"/><Relationship Id="rId109" Type="http://schemas.openxmlformats.org/officeDocument/2006/relationships/image" Target="media/image37.png"/><Relationship Id="rId260" Type="http://schemas.openxmlformats.org/officeDocument/2006/relationships/hyperlink" Target="https://iris.who.int/handle/10665/365134" TargetMode="External"/><Relationship Id="rId316" Type="http://schemas.openxmlformats.org/officeDocument/2006/relationships/hyperlink" Target="https://www.who.int/publications/i/item/WHO-CDS-TB-2018.5" TargetMode="External"/><Relationship Id="rId55" Type="http://schemas.openxmlformats.org/officeDocument/2006/relationships/footer" Target="footer19.xml"/><Relationship Id="rId97" Type="http://schemas.openxmlformats.org/officeDocument/2006/relationships/footer" Target="footer31.xml"/><Relationship Id="rId120" Type="http://schemas.openxmlformats.org/officeDocument/2006/relationships/footer" Target="footer45.xml"/><Relationship Id="rId162" Type="http://schemas.openxmlformats.org/officeDocument/2006/relationships/hyperlink" Target="https://iris.who.int/handle/10665/366854" TargetMode="External"/><Relationship Id="rId218" Type="http://schemas.openxmlformats.org/officeDocument/2006/relationships/hyperlink" Target="https://doi.org/10.1136/bmj.m549" TargetMode="External"/><Relationship Id="rId271" Type="http://schemas.openxmlformats.org/officeDocument/2006/relationships/hyperlink" Target="https://www.who.int/activities/preventing-tb" TargetMode="External"/><Relationship Id="rId24" Type="http://schemas.openxmlformats.org/officeDocument/2006/relationships/hyperlink" Target="https://doi.org/10.2471/B09404" TargetMode="External"/><Relationship Id="rId66" Type="http://schemas.openxmlformats.org/officeDocument/2006/relationships/image" Target="media/image21.png"/><Relationship Id="rId131" Type="http://schemas.openxmlformats.org/officeDocument/2006/relationships/image" Target="media/image50.png"/><Relationship Id="rId327" Type="http://schemas.openxmlformats.org/officeDocument/2006/relationships/header" Target="header1.xml"/><Relationship Id="rId173" Type="http://schemas.openxmlformats.org/officeDocument/2006/relationships/hyperlink" Target="https://iris.who.int/handle/10665/79199" TargetMode="External"/><Relationship Id="rId229" Type="http://schemas.openxmlformats.org/officeDocument/2006/relationships/hyperlink" Target="https://pubmed.ncbi.nlm.nih.gov/3839116/" TargetMode="External"/><Relationship Id="rId240" Type="http://schemas.openxmlformats.org/officeDocument/2006/relationships/hyperlink" Target="https://www.who.int/publications/i/item/9789240022614" TargetMode="External"/><Relationship Id="rId35" Type="http://schemas.openxmlformats.org/officeDocument/2006/relationships/footer" Target="footer8.xml"/><Relationship Id="rId77" Type="http://schemas.openxmlformats.org/officeDocument/2006/relationships/hyperlink" Target="https://iris.who.int/handle/10665/376286" TargetMode="External"/><Relationship Id="rId100" Type="http://schemas.openxmlformats.org/officeDocument/2006/relationships/image" Target="media/image34.png"/><Relationship Id="rId282" Type="http://schemas.openxmlformats.org/officeDocument/2006/relationships/hyperlink" Target="https://iris.who.int/handle/10665/340255" TargetMode="External"/><Relationship Id="rId338" Type="http://schemas.openxmlformats.org/officeDocument/2006/relationships/hyperlink" Target="https://www.taylorfrancis.com/chapters/edit/10.3109/9780203908464-15/diagnosis-latent-tuberculosis-infection-dick-menzies-mark-doherty" TargetMode="External"/><Relationship Id="rId8" Type="http://schemas.openxmlformats.org/officeDocument/2006/relationships/webSettings" Target="webSettings.xml"/><Relationship Id="rId142" Type="http://schemas.openxmlformats.org/officeDocument/2006/relationships/footer" Target="footer49.xml"/><Relationship Id="rId184" Type="http://schemas.openxmlformats.org/officeDocument/2006/relationships/hyperlink" Target="https://iris.who.int/handle/10665/353596"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3A2495EF1724F4680B1B172A3E3A759" ma:contentTypeVersion="12" ma:contentTypeDescription="Створення нового документа." ma:contentTypeScope="" ma:versionID="906411548acf1d57416ad2b0b5590ae9">
  <xsd:schema xmlns:xsd="http://www.w3.org/2001/XMLSchema" xmlns:xs="http://www.w3.org/2001/XMLSchema" xmlns:p="http://schemas.microsoft.com/office/2006/metadata/properties" xmlns:ns3="e92a4a20-221d-4a67-83d8-1b0eeb6f2bdc" targetNamespace="http://schemas.microsoft.com/office/2006/metadata/properties" ma:root="true" ma:fieldsID="0a1319b5cd23ca06a7fd70757623d4e3" ns3:_="">
    <xsd:import namespace="e92a4a20-221d-4a67-83d8-1b0eeb6f2bdc"/>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2a4a20-221d-4a67-83d8-1b0eeb6f2b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92a4a20-221d-4a67-83d8-1b0eeb6f2bd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E13D7-A397-4B07-9782-84EC6836B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a4a20-221d-4a67-83d8-1b0eeb6f2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1166A1-7B7F-41C6-9578-965C70F43CA3}">
  <ds:schemaRefs>
    <ds:schemaRef ds:uri="http://schemas.microsoft.com/sharepoint/v3/contenttype/forms"/>
  </ds:schemaRefs>
</ds:datastoreItem>
</file>

<file path=customXml/itemProps3.xml><?xml version="1.0" encoding="utf-8"?>
<ds:datastoreItem xmlns:ds="http://schemas.openxmlformats.org/officeDocument/2006/customXml" ds:itemID="{64F6759B-96CC-4C9C-87CC-FBD053D66BC1}">
  <ds:schemaRefs>
    <ds:schemaRef ds:uri="http://purl.org/dc/dcmitype/"/>
    <ds:schemaRef ds:uri="http://schemas.microsoft.com/office/2006/documentManagement/types"/>
    <ds:schemaRef ds:uri="http://schemas.microsoft.com/office/infopath/2007/PartnerControls"/>
    <ds:schemaRef ds:uri="http://schemas.microsoft.com/office/2006/metadata/properties"/>
    <ds:schemaRef ds:uri="http://purl.org/dc/terms/"/>
    <ds:schemaRef ds:uri="http://www.w3.org/XML/1998/namespace"/>
    <ds:schemaRef ds:uri="e92a4a20-221d-4a67-83d8-1b0eeb6f2bdc"/>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31FA93B9-32AF-47B8-809E-C0209E4D5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276952</Words>
  <Characters>157863</Characters>
  <Application>Microsoft Office Word</Application>
  <DocSecurity>0</DocSecurity>
  <Lines>1315</Lines>
  <Paragraphs>867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WHO consolidated guidelines on tuberculosis. Module 3: diagnosis
</vt:lpstr>
      <vt:lpstr>WHO consolidated guidelines on tuberculosis. Module 3: diagnosis
</vt:lpstr>
    </vt:vector>
  </TitlesOfParts>
  <Company/>
  <LinksUpToDate>false</LinksUpToDate>
  <CharactersWithSpaces>433948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consolidated guidelines on tuberculosis. Module 3: diagnosis</dc:title>
  <dc:subject/>
  <dc:creator>WHO</dc:creator>
  <cp:keywords/>
  <cp:lastModifiedBy>Наталія Кампос-Родрігес</cp:lastModifiedBy>
  <cp:revision>2</cp:revision>
  <dcterms:created xsi:type="dcterms:W3CDTF">2025-09-03T09:14:00Z</dcterms:created>
  <dcterms:modified xsi:type="dcterms:W3CDTF">2025-09-03T09:14:00Z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0x010100E3A2495EF1724F4680B1B172A3E3A759</vt:lpwstr>
  </property>
</Properties>
</file>