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6AAFE" w14:textId="77777777" w:rsidR="00BB7F53" w:rsidRPr="00D35083" w:rsidRDefault="00BB7F53" w:rsidP="00BB7F53">
      <w:pPr>
        <w:pStyle w:val="76Ch6"/>
        <w:pageBreakBefore/>
        <w:spacing w:before="0"/>
        <w:ind w:left="5387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30386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150ABFBF" w14:textId="720E7617" w:rsidR="00BB7F53" w:rsidRPr="00D35083" w:rsidRDefault="00BB7F53" w:rsidP="00BB7F53">
      <w:pPr>
        <w:pStyle w:val="Ch63"/>
        <w:rPr>
          <w:rFonts w:ascii="Times New Roman" w:hAnsi="Times New Roman" w:cs="Times New Roman"/>
          <w:w w:val="100"/>
          <w:sz w:val="24"/>
          <w:szCs w:val="24"/>
        </w:rPr>
      </w:pPr>
      <w:r w:rsidRPr="00D35083">
        <w:rPr>
          <w:rFonts w:ascii="Times New Roman" w:hAnsi="Times New Roman" w:cs="Times New Roman"/>
          <w:w w:val="100"/>
          <w:sz w:val="24"/>
          <w:szCs w:val="24"/>
        </w:rPr>
        <w:t>Звіт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кількість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AF79D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E2D67">
        <w:rPr>
          <w:rFonts w:ascii="Times New Roman" w:hAnsi="Times New Roman" w:cs="Times New Roman"/>
          <w:w w:val="100"/>
          <w:sz w:val="24"/>
          <w:szCs w:val="24"/>
        </w:rPr>
        <w:t>2</w:t>
      </w:r>
      <w:r w:rsidR="00AF79D4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AF79D4">
        <w:rPr>
          <w:rFonts w:ascii="Times New Roman" w:hAnsi="Times New Roman" w:cs="Times New Roman"/>
          <w:w w:val="100"/>
          <w:sz w:val="24"/>
          <w:szCs w:val="24"/>
        </w:rPr>
        <w:t>20</w:t>
      </w:r>
      <w:r w:rsidR="0081250F" w:rsidRPr="00AF79D4">
        <w:rPr>
          <w:rFonts w:ascii="Times New Roman" w:hAnsi="Times New Roman" w:cs="Times New Roman"/>
          <w:w w:val="100"/>
          <w:sz w:val="24"/>
          <w:szCs w:val="24"/>
        </w:rPr>
        <w:t>2</w:t>
      </w:r>
      <w:r w:rsidR="003D3449">
        <w:rPr>
          <w:rFonts w:ascii="Times New Roman" w:hAnsi="Times New Roman" w:cs="Times New Roman"/>
          <w:w w:val="100"/>
          <w:sz w:val="24"/>
          <w:szCs w:val="24"/>
        </w:rPr>
        <w:t>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06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9"/>
        <w:gridCol w:w="2126"/>
        <w:gridCol w:w="2126"/>
      </w:tblGrid>
      <w:tr w:rsidR="00BB7F53" w:rsidRPr="0081250F" w14:paraId="2A288158" w14:textId="77777777" w:rsidTr="00BB7F53">
        <w:trPr>
          <w:trHeight w:val="60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AC453" w14:textId="77777777" w:rsidR="00BB7F53" w:rsidRPr="00BB7F5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Подають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FA7800" w14:textId="77777777" w:rsidR="00BB7F53" w:rsidRPr="00BB7F5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Терміни подання</w:t>
            </w:r>
          </w:p>
        </w:tc>
        <w:tc>
          <w:tcPr>
            <w:tcW w:w="104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A554B" w14:textId="77777777" w:rsidR="00BB7F53" w:rsidRPr="00BB7F53" w:rsidRDefault="00BB7F53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Форма </w:t>
            </w: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br/>
              <w:t>звітності</w:t>
            </w:r>
          </w:p>
          <w:p w14:paraId="2C06E80D" w14:textId="77777777" w:rsidR="00BB7F53" w:rsidRPr="00BB7F53" w:rsidRDefault="00BB7F53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</w:pPr>
            <w:r w:rsidRPr="00BB7F53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№ 4</w:t>
            </w:r>
          </w:p>
          <w:p w14:paraId="20011158" w14:textId="77777777" w:rsidR="00BB7F53" w:rsidRPr="00BB7F53" w:rsidRDefault="00BB7F53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(квартальна)</w:t>
            </w:r>
          </w:p>
          <w:p w14:paraId="64030F8B" w14:textId="77777777" w:rsidR="00BB7F53" w:rsidRPr="00BB7F53" w:rsidRDefault="00BB7F53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ЗАТВЕРДЖЕНО</w:t>
            </w:r>
          </w:p>
          <w:p w14:paraId="647838A3" w14:textId="77777777" w:rsidR="00BB7F53" w:rsidRPr="00BB7F53" w:rsidRDefault="00BB7F53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Наказ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Міністерства охорони здоров’я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України</w:t>
            </w:r>
          </w:p>
          <w:p w14:paraId="7321A9B1" w14:textId="77777777" w:rsidR="00BB7F53" w:rsidRPr="00F64C40" w:rsidRDefault="00F64C40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F64C40">
              <w:rPr>
                <w:rFonts w:ascii="Times New Roman" w:hAnsi="Times New Roman" w:cs="Times New Roman"/>
                <w:sz w:val="22"/>
                <w:szCs w:val="22"/>
              </w:rPr>
              <w:t>15 липня 2024 року № 1226</w:t>
            </w:r>
          </w:p>
          <w:p w14:paraId="6D77DB64" w14:textId="77777777" w:rsidR="00BB7F53" w:rsidRPr="00BB7F53" w:rsidRDefault="00BB7F53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за погодженням з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Держстатом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</w:p>
        </w:tc>
      </w:tr>
      <w:tr w:rsidR="00BB7F53" w:rsidRPr="0081250F" w14:paraId="0C0F6331" w14:textId="77777777" w:rsidTr="00BB7F53">
        <w:trPr>
          <w:trHeight w:val="2751"/>
        </w:trPr>
        <w:tc>
          <w:tcPr>
            <w:tcW w:w="2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F6C3BD" w14:textId="77777777" w:rsidR="00BB7F53" w:rsidRPr="00BB7F53" w:rsidRDefault="00BB7F53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Заклади охорони здоров’я та фізичні особи-підприємці, які зареєстровані в установленому законом порядку та одержали ліцензію на провадження господарської діяльності з медичної практики, що забезпечують медичне обслуговування населення відповідної території (далі - ЗОЗ/ФОП):</w:t>
            </w:r>
          </w:p>
          <w:p w14:paraId="0BC02166" w14:textId="77777777" w:rsidR="00BB7F53" w:rsidRPr="00BB7F53" w:rsidRDefault="00BB7F53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ЗОЗ/ФОП, що належать до сфері управління МОЗ звіт по ЗОЗ/ФОП - регіональному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центру;</w:t>
            </w:r>
          </w:p>
          <w:p w14:paraId="64CE03B8" w14:textId="77777777" w:rsidR="00BB7F53" w:rsidRPr="00BB7F53" w:rsidRDefault="00BB7F53" w:rsidP="00BB7F53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ЗОЗ, що належать до сфери управління інших ЦОВВ звіт по ЗОЗ - регіональному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фтизіопульмонологічному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медичному центру та своєму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Регіональні </w:t>
            </w:r>
            <w:proofErr w:type="spellStart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фтизіопульмонологічні</w:t>
            </w:r>
            <w:proofErr w:type="spellEnd"/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медичні центри та ЦОВВ узагальнені звіти - Державній установі «Центр громадського здоров’я Міністерства охорони здоров’я України» (далі - ДУ «Центр громадського здоров’я МОЗ 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t>України»)</w:t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ДУ «Центр громадського здоров’я МОЗ України»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узагальнені звіти - Міністерству охорони здоров’я України.</w:t>
            </w: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71967D" w14:textId="77777777" w:rsidR="00BB7F53" w:rsidRPr="00BB7F53" w:rsidRDefault="00BB7F53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>Не пізніше ніж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05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76A721C8" w14:textId="650D189B" w:rsidR="00BB7F53" w:rsidRPr="00BB7F53" w:rsidRDefault="00BB7F53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10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  <w:p w14:paraId="04C7F6D6" w14:textId="77777777" w:rsidR="00BB7F53" w:rsidRPr="00BB7F53" w:rsidRDefault="00BB7F53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Не пізніше ніж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 xml:space="preserve">15 число місяця, наступного </w:t>
            </w:r>
            <w:r w:rsidRPr="00BB7F53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за звітним кварталом</w:t>
            </w:r>
          </w:p>
        </w:tc>
        <w:tc>
          <w:tcPr>
            <w:tcW w:w="1042" w:type="pct"/>
            <w:vMerge/>
            <w:tcBorders>
              <w:left w:val="single" w:sz="4" w:space="0" w:color="auto"/>
            </w:tcBorders>
          </w:tcPr>
          <w:p w14:paraId="065528EB" w14:textId="77777777" w:rsidR="00BB7F53" w:rsidRPr="00BB7F53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</w:tbl>
    <w:p w14:paraId="455CFB88" w14:textId="77777777" w:rsidR="00BB7F53" w:rsidRPr="00D3508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BB7F53" w:rsidRPr="0081250F" w14:paraId="47C18776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20EF6" w14:textId="77777777" w:rsidR="0081250F" w:rsidRDefault="00BB7F53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  <w:r w:rsidR="0081250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77214162" w14:textId="77777777" w:rsidR="00081DCD" w:rsidRDefault="0081250F" w:rsidP="0081250F">
            <w:pPr>
              <w:pStyle w:val="Ch62"/>
              <w:jc w:val="left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F66A1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Найменування / </w:t>
            </w:r>
            <w:r w:rsidRPr="00F66A13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прізвище, ім’я, по батькові (за наявності)</w:t>
            </w:r>
          </w:p>
          <w:p w14:paraId="7C915BDA" w14:textId="6EFCE670" w:rsidR="0081250F" w:rsidRPr="00D3508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Style w:val="st42"/>
                <w:rFonts w:asciiTheme="minorHAnsi" w:hAnsiTheme="minorHAnsi"/>
              </w:rPr>
              <w:t xml:space="preserve"> 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_</w:t>
            </w:r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9A2BB2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  <w:r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____</w:t>
            </w:r>
          </w:p>
          <w:p w14:paraId="33671970" w14:textId="089D6BE4" w:rsidR="00BB7F5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9A2BB2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9A2BB2" w:rsidRPr="00D05C56">
              <w:rPr>
                <w:rFonts w:cs="Calibri"/>
                <w:bdr w:val="nil"/>
              </w:rPr>
              <w:t xml:space="preserve"> </w:t>
            </w:r>
            <w:r w:rsidR="009A2BB2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9A2BB2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,</w:t>
            </w:r>
            <w:r w:rsidR="00761803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</w:t>
            </w:r>
            <w:r w:rsidR="009A2BB2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9A2BB2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_______________________</w:t>
            </w:r>
          </w:p>
          <w:p w14:paraId="1B2A7B1B" w14:textId="7DB24BE1" w:rsidR="0081250F" w:rsidRPr="00D35083" w:rsidRDefault="0081250F" w:rsidP="0081250F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BB7F53" w:rsidRPr="0081250F" w14:paraId="01596348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0171AF29" w14:textId="77777777" w:rsidR="00BB7F53" w:rsidRPr="00BB7F53" w:rsidRDefault="00BB7F53" w:rsidP="00BB7F53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B7F53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BB7F53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BB7F53" w:rsidRPr="0081250F" w14:paraId="05FAD0F5" w14:textId="77777777" w:rsidTr="00BB7F53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BB7F53" w:rsidRPr="0081250F" w14:paraId="275020E9" w14:textId="77777777" w:rsidTr="00BB7F53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D427B27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7B5CC5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9A2DBBD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D4CA44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96035B3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AF8C0D6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440A9D0C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6379DE3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EB10712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6869362C" w14:textId="77777777" w:rsidR="00BB7F53" w:rsidRPr="007C630B" w:rsidRDefault="00BB7F53" w:rsidP="00BB7F53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480B45D6" w14:textId="77777777" w:rsidR="00BB7F53" w:rsidRPr="00D35083" w:rsidRDefault="00BB7F53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  <w:p w14:paraId="73830F9C" w14:textId="77777777" w:rsidR="00BB7F53" w:rsidRPr="00D35083" w:rsidRDefault="00BB7F53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022EEF18" w14:textId="77777777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BB7F53" w:rsidSect="00BB7F5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567" w:right="567" w:bottom="567" w:left="1134" w:header="709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4"/>
        <w:gridCol w:w="5634"/>
      </w:tblGrid>
      <w:tr w:rsidR="00972F2D" w:rsidRPr="0081250F" w14:paraId="592D2856" w14:textId="77777777" w:rsidTr="00D73AB7">
        <w:trPr>
          <w:trHeight w:val="413"/>
        </w:trPr>
        <w:tc>
          <w:tcPr>
            <w:tcW w:w="3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7848E253" w14:textId="5C241587" w:rsidR="00BB7F53" w:rsidRPr="00972F2D" w:rsidRDefault="00BB7F53" w:rsidP="00D73AB7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lastRenderedPageBreak/>
              <w:t>Адміністративно-територіальна одиниця,</w:t>
            </w:r>
            <w:r w:rsidR="002424F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ДУ «Центр громадського </w:t>
            </w:r>
            <w:proofErr w:type="spellStart"/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</w:t>
            </w:r>
            <w:proofErr w:type="spellEnd"/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  <w:lang w:val="en-US"/>
              </w:rPr>
              <w:t>’</w:t>
            </w:r>
            <w:r w:rsidR="00E400DF" w:rsidRP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>я МОЗ України»</w:t>
            </w:r>
            <w:r w:rsidR="002424FD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406851B" w14:textId="6BBC1311" w:rsidR="00BB7F53" w:rsidRPr="00972F2D" w:rsidRDefault="00BB7F53" w:rsidP="00D73AB7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>Випадки, які були зареєстровані</w:t>
            </w:r>
            <w:r w:rsidR="00D73AB7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у </w:t>
            </w:r>
            <w:r w:rsidR="005E2D67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="00441C66"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кварталі </w:t>
            </w:r>
            <w:r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>20</w:t>
            </w:r>
            <w:r w:rsidR="00ED4D7F" w:rsidRP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>2</w:t>
            </w:r>
            <w:r w:rsidR="003D3449">
              <w:rPr>
                <w:rFonts w:ascii="Times New Roman" w:hAnsi="Times New Roman" w:cs="Times New Roman"/>
                <w:w w:val="100"/>
                <w:sz w:val="22"/>
                <w:szCs w:val="22"/>
              </w:rPr>
              <w:t>5</w:t>
            </w:r>
            <w:r w:rsidR="00441C66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  </w:t>
            </w:r>
            <w:r w:rsidRPr="00972F2D">
              <w:rPr>
                <w:rFonts w:ascii="Times New Roman" w:hAnsi="Times New Roman" w:cs="Times New Roman"/>
                <w:w w:val="100"/>
                <w:sz w:val="22"/>
                <w:szCs w:val="22"/>
              </w:rPr>
              <w:t>року</w:t>
            </w:r>
          </w:p>
        </w:tc>
      </w:tr>
    </w:tbl>
    <w:p w14:paraId="347148AE" w14:textId="77777777" w:rsidR="00BB7F53" w:rsidRPr="003D3449" w:rsidRDefault="00BB7F53" w:rsidP="00BB7F53">
      <w:pPr>
        <w:pStyle w:val="TABL"/>
        <w:rPr>
          <w:rFonts w:ascii="Times New Roman" w:hAnsi="Times New Roman" w:cs="Times New Roman"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b w:val="0"/>
          <w:i/>
          <w:w w:val="100"/>
          <w:sz w:val="20"/>
          <w:szCs w:val="20"/>
        </w:rPr>
        <w:t>Таблиця 1000.</w:t>
      </w:r>
      <w:r w:rsidRPr="003D3449">
        <w:rPr>
          <w:rFonts w:ascii="Times New Roman" w:hAnsi="Times New Roman" w:cs="Times New Roman"/>
          <w:w w:val="100"/>
          <w:sz w:val="20"/>
          <w:szCs w:val="20"/>
        </w:rPr>
        <w:t xml:space="preserve"> Загальна кількість зареєстрованих випадків туберкульозу (ТБ)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7"/>
        <w:gridCol w:w="449"/>
        <w:gridCol w:w="1837"/>
        <w:gridCol w:w="2121"/>
        <w:gridCol w:w="2402"/>
        <w:gridCol w:w="2545"/>
        <w:gridCol w:w="2097"/>
      </w:tblGrid>
      <w:tr w:rsidR="00BB7F53" w:rsidRPr="003D3449" w14:paraId="64AF47D5" w14:textId="77777777" w:rsidTr="00972F2D">
        <w:trPr>
          <w:trHeight w:val="793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FE0217" w14:textId="77777777" w:rsidR="00BB7F53" w:rsidRPr="003D3449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3A3261D" w14:textId="77777777" w:rsidR="00BB7F53" w:rsidRPr="003D3449" w:rsidRDefault="00BB7F53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FA06D1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Новий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випадок ТБ 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4696C" w14:textId="1370DB5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Рекурентний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випадок ТБ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AD4AD8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Повторно зареєстровані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випадки* 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D2EEB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Випадки </w:t>
            </w: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 невідомою історією попереднього лікування ТБ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9D96CF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Всього</w:t>
            </w:r>
          </w:p>
        </w:tc>
      </w:tr>
      <w:tr w:rsidR="00BB7F53" w:rsidRPr="003D3449" w14:paraId="569CAEED" w14:textId="77777777" w:rsidTr="00223FFE">
        <w:trPr>
          <w:trHeight w:val="114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639EE8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3ECAC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2B3369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1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603470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C878BE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CCD28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4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B4BBFD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5</w:t>
            </w:r>
          </w:p>
        </w:tc>
      </w:tr>
      <w:tr w:rsidR="00B04180" w:rsidRPr="00D35083" w14:paraId="27AD273A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FA804" w14:textId="77777777" w:rsidR="00B04180" w:rsidRPr="00D35083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легеневого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бактеріологічно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підтверджені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0D8D34" w14:textId="77777777" w:rsidR="00B04180" w:rsidRPr="003D3449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EBF03" w14:textId="31FE4735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0CBA">
              <w:t>2282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295A1" w14:textId="02FE9636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0CBA">
              <w:t>767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31C86" w14:textId="7BD53831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0CBA">
              <w:t>144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A351E" w14:textId="3DD9BC8E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0CBA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D4A439" w14:textId="65237969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DD0CBA">
              <w:t>3193</w:t>
            </w:r>
          </w:p>
        </w:tc>
      </w:tr>
      <w:tr w:rsidR="00B04180" w:rsidRPr="00D35083" w14:paraId="1067CA5E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6B41D" w14:textId="77777777" w:rsidR="00B04180" w:rsidRPr="00D35083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легеневого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клінічно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діагностовані</w:t>
            </w:r>
            <w:proofErr w:type="spellEnd"/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F8806C" w14:textId="77777777" w:rsidR="00B04180" w:rsidRPr="003D3449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37871" w14:textId="75E9D038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6674D">
              <w:t>632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04C49" w14:textId="25E5D96D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6674D">
              <w:t>100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B6010" w14:textId="7DD2DF6B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6674D">
              <w:t>23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B133F5" w14:textId="1DD20E40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6674D">
              <w:t>39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3184B" w14:textId="1E7962D3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26674D">
              <w:t>794</w:t>
            </w:r>
          </w:p>
        </w:tc>
      </w:tr>
      <w:tr w:rsidR="00B04180" w:rsidRPr="00D35083" w14:paraId="10A489E3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B38CF" w14:textId="77777777" w:rsidR="00B04180" w:rsidRPr="00D35083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позалегеневого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бактеріологічно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підтверджені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4F540A" w14:textId="77777777" w:rsidR="00B04180" w:rsidRPr="003D3449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7BA68" w14:textId="33D83090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83176D">
              <w:t>122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96F928" w14:textId="07CBC069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83176D">
              <w:t>12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1310D" w14:textId="2EA1232F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83176D">
              <w:t>1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37811" w14:textId="76CF8DE6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83176D">
              <w:t>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C214CB" w14:textId="1383A9DE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83176D">
              <w:t>135</w:t>
            </w:r>
          </w:p>
        </w:tc>
      </w:tr>
      <w:tr w:rsidR="00B04180" w:rsidRPr="00D35083" w14:paraId="1A3572F4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4A90A6" w14:textId="77777777" w:rsidR="00B04180" w:rsidRPr="00D35083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позалегеневого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клінічно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діагностовані</w:t>
            </w:r>
            <w:proofErr w:type="spellEnd"/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9BF936" w14:textId="77777777" w:rsidR="00B04180" w:rsidRPr="003D3449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4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B45C58" w14:textId="076E8C30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594">
              <w:t>136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4759A3" w14:textId="3704BF91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594">
              <w:t>24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46887F" w14:textId="4C35E502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594"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EF5882" w14:textId="4A9F5491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594">
              <w:t>1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37466" w14:textId="5D7C2C85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44594">
              <w:t>165</w:t>
            </w:r>
          </w:p>
        </w:tc>
      </w:tr>
      <w:tr w:rsidR="00B04180" w:rsidRPr="00D35083" w14:paraId="6CB07A61" w14:textId="77777777" w:rsidTr="00972F2D">
        <w:trPr>
          <w:trHeight w:val="60"/>
        </w:trPr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87C4E6" w14:textId="77777777" w:rsidR="00B04180" w:rsidRPr="00D35083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995F41" w14:textId="77777777" w:rsidR="00B04180" w:rsidRPr="003D3449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3D3449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5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82731" w14:textId="1C74EAAD" w:rsidR="00B04180" w:rsidRPr="003820E1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BA2DD9">
              <w:t>3172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44FD3" w14:textId="4C5BBC8C" w:rsidR="00B04180" w:rsidRPr="003820E1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 w:rsidRPr="00BA2DD9">
              <w:t>903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7475D" w14:textId="0267ADE0" w:rsidR="00B04180" w:rsidRPr="00B04180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172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A9A269" w14:textId="3DEDDC1C" w:rsidR="00B04180" w:rsidRPr="00B04180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877FF" w14:textId="3DD3E9F5" w:rsidR="00B04180" w:rsidRPr="00B04180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lang w:val="uk-UA"/>
              </w:rPr>
              <w:t>4287</w:t>
            </w:r>
          </w:p>
        </w:tc>
      </w:tr>
    </w:tbl>
    <w:p w14:paraId="26BB4759" w14:textId="08195E31" w:rsidR="000248BA" w:rsidRPr="003D3449" w:rsidRDefault="00BB7F53" w:rsidP="00BB7F53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i/>
          <w:iCs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i/>
          <w:iCs/>
          <w:w w:val="100"/>
          <w:sz w:val="20"/>
          <w:szCs w:val="20"/>
        </w:rPr>
        <w:t xml:space="preserve">* </w:t>
      </w:r>
      <w:r w:rsidRPr="003D3449">
        <w:rPr>
          <w:rFonts w:ascii="Times New Roman" w:hAnsi="Times New Roman" w:cs="Times New Roman"/>
          <w:i/>
          <w:iCs/>
          <w:w w:val="100"/>
          <w:sz w:val="20"/>
          <w:szCs w:val="20"/>
        </w:rPr>
        <w:tab/>
        <w:t>ТБ, діагностований після невдалого попереднього курсу АМБТ; ТБ, діагностований після того, як пацієнт був втрачений для подальшого спостереження; інший раніше лікований випадок ТБ.</w:t>
      </w:r>
    </w:p>
    <w:p w14:paraId="1D096DAE" w14:textId="5D4AE299" w:rsidR="00BB7F53" w:rsidRPr="003D3449" w:rsidRDefault="00BB7F53" w:rsidP="00223FFE">
      <w:pPr>
        <w:pStyle w:val="TABL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3D3449">
        <w:rPr>
          <w:rFonts w:ascii="Times New Roman" w:hAnsi="Times New Roman" w:cs="Times New Roman"/>
          <w:b w:val="0"/>
          <w:i/>
          <w:w w:val="100"/>
          <w:sz w:val="20"/>
          <w:szCs w:val="20"/>
        </w:rPr>
        <w:t>Таблиця 2000</w:t>
      </w:r>
      <w:r w:rsidRPr="003D3449">
        <w:rPr>
          <w:rFonts w:ascii="Times New Roman" w:hAnsi="Times New Roman" w:cs="Times New Roman"/>
          <w:w w:val="100"/>
          <w:sz w:val="20"/>
          <w:szCs w:val="20"/>
        </w:rPr>
        <w:t>. Загальна кількість нових випадків ТБ, випадків ТБ з невідомою історією попереднього лікування та рекурентних випадків ТБ за статтю та віком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594"/>
        <w:gridCol w:w="591"/>
        <w:gridCol w:w="594"/>
        <w:gridCol w:w="591"/>
        <w:gridCol w:w="594"/>
        <w:gridCol w:w="591"/>
        <w:gridCol w:w="594"/>
        <w:gridCol w:w="591"/>
        <w:gridCol w:w="594"/>
        <w:gridCol w:w="594"/>
        <w:gridCol w:w="597"/>
        <w:gridCol w:w="594"/>
        <w:gridCol w:w="594"/>
        <w:gridCol w:w="594"/>
        <w:gridCol w:w="595"/>
        <w:gridCol w:w="595"/>
        <w:gridCol w:w="595"/>
        <w:gridCol w:w="595"/>
        <w:gridCol w:w="595"/>
        <w:gridCol w:w="595"/>
        <w:gridCol w:w="601"/>
        <w:gridCol w:w="616"/>
        <w:gridCol w:w="616"/>
        <w:gridCol w:w="827"/>
      </w:tblGrid>
      <w:tr w:rsidR="00BB7F53" w:rsidRPr="003D3449" w14:paraId="3C848220" w14:textId="77777777" w:rsidTr="008E0911">
        <w:trPr>
          <w:trHeight w:val="113"/>
        </w:trPr>
        <w:tc>
          <w:tcPr>
            <w:tcW w:w="4326" w:type="pct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C1626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Вікові групи (за роками)</w:t>
            </w:r>
          </w:p>
        </w:tc>
        <w:tc>
          <w:tcPr>
            <w:tcW w:w="67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E82FF4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Загальна кількість випадків</w:t>
            </w:r>
          </w:p>
        </w:tc>
      </w:tr>
      <w:tr w:rsidR="00BB7F53" w:rsidRPr="003D3449" w14:paraId="38F77E94" w14:textId="77777777" w:rsidTr="00B04180">
        <w:trPr>
          <w:trHeight w:val="113"/>
        </w:trPr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80E156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0–4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5186AB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5–9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A83394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10-14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CF65FE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15-19</w:t>
            </w:r>
          </w:p>
        </w:tc>
        <w:tc>
          <w:tcPr>
            <w:tcW w:w="39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88A813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20 - 24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A4C2D6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25–34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D34EBA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35–44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2801E3F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45–54</w:t>
            </w:r>
          </w:p>
        </w:tc>
        <w:tc>
          <w:tcPr>
            <w:tcW w:w="3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152735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55–64</w:t>
            </w:r>
          </w:p>
        </w:tc>
        <w:tc>
          <w:tcPr>
            <w:tcW w:w="3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8E11AA" w14:textId="5897FEE4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 xml:space="preserve">65 </w:t>
            </w:r>
            <w:r w:rsidR="003D3449"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+</w:t>
            </w:r>
          </w:p>
        </w:tc>
        <w:tc>
          <w:tcPr>
            <w:tcW w:w="3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4898E1" w14:textId="77777777" w:rsidR="00BB7F53" w:rsidRPr="003D3449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3D3449">
              <w:rPr>
                <w:rStyle w:val="Bold"/>
                <w:rFonts w:ascii="Times New Roman" w:hAnsi="Times New Roman" w:cs="Times New Roman"/>
                <w:bCs/>
                <w:w w:val="100"/>
                <w:sz w:val="22"/>
                <w:szCs w:val="22"/>
              </w:rPr>
              <w:t>невідомо</w:t>
            </w:r>
          </w:p>
        </w:tc>
        <w:tc>
          <w:tcPr>
            <w:tcW w:w="67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9559" w14:textId="77777777" w:rsidR="00BB7F53" w:rsidRPr="003D3449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4316BC" w:rsidRPr="00D35083" w14:paraId="086BCFB4" w14:textId="77777777" w:rsidTr="00B04180">
        <w:trPr>
          <w:trHeight w:val="1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BFC85D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764E0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9C763A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70696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89A36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4ED60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4768193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55978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A2050E" w14:textId="574F3A84" w:rsidR="00BB7F53" w:rsidRPr="003D3449" w:rsidRDefault="003D3449" w:rsidP="00582F82">
            <w:pPr>
              <w:pStyle w:val="TableshapkaTABL"/>
              <w:rPr>
                <w:rFonts w:asciiTheme="minorHAnsi" w:hAnsiTheme="minorHAnsi" w:cs="Times New Roman"/>
                <w:w w:val="100"/>
                <w:sz w:val="24"/>
                <w:szCs w:val="24"/>
              </w:rPr>
            </w:pPr>
            <w:r w:rsidRPr="003D3449">
              <w:rPr>
                <w:rStyle w:val="Bold"/>
                <w:bCs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8D82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7949E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15E94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A437D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00140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0CCB8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2E8A70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5B843D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ECFED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F845B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89709EC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645C0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2C5D3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005EB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ч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3F8A7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ж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0099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всього</w:t>
            </w:r>
          </w:p>
        </w:tc>
      </w:tr>
      <w:tr w:rsidR="00BB7F53" w:rsidRPr="00D35083" w14:paraId="5F4B2C1A" w14:textId="77777777" w:rsidTr="00B04180">
        <w:trPr>
          <w:trHeight w:val="1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0BDF9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8C99D7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F6909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16CA2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4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5512F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C56E1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1D3275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25A4FE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37931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12CC0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8CC0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11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2812F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6B7EB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E82FA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79145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40D9B4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909E40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7EC5F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7CE574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19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7B5562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873398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21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D32163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22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B4C4A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E8436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6DD9D9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25</w:t>
            </w:r>
          </w:p>
        </w:tc>
      </w:tr>
      <w:tr w:rsidR="00B04180" w:rsidRPr="00D35083" w14:paraId="49531269" w14:textId="77777777" w:rsidTr="00B04180">
        <w:trPr>
          <w:trHeight w:val="113"/>
        </w:trPr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7CC37" w14:textId="360021C0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253F7" w14:textId="3E1B9FBD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12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BF97B" w14:textId="44CBD918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EB9D9" w14:textId="5B5459D7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19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7CB5B1" w14:textId="4E076B11" w:rsidR="00B04180" w:rsidRPr="00D35083" w:rsidRDefault="00B04180" w:rsidP="00B04180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5377B3">
              <w:t>18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30484" w14:textId="0DA33C7A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21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E12528" w14:textId="4A53CADE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32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5B23E7" w14:textId="0B9A897B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7D53D8" w14:textId="4298FD90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67A49" w14:textId="02445AE7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39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DFCE4" w14:textId="135FFE60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332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2B7D68" w14:textId="64AE7407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122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770308" w14:textId="13A62882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971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C144F" w14:textId="686CAF48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262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6402B3" w14:textId="2C8D55DE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902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86B5D" w14:textId="4523F107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231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CB9C90" w14:textId="0EE2690C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468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42089E" w14:textId="1EE49A1F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150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517A1A" w14:textId="42F969E8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240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C61615" w14:textId="7560D088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193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9E6EA" w14:textId="1E2CD6C9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0</w:t>
            </w:r>
          </w:p>
        </w:tc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C7D31" w14:textId="3938ADB8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BA702" w14:textId="4E6D375F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3036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D2A1E9" w14:textId="4EF214F2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1079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A4B99" w14:textId="381A7529" w:rsidR="00B04180" w:rsidRPr="00D35083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5377B3">
              <w:t>4115</w:t>
            </w:r>
          </w:p>
        </w:tc>
      </w:tr>
    </w:tbl>
    <w:p w14:paraId="0658822E" w14:textId="4E7F139F" w:rsidR="00BB7F53" w:rsidRPr="00D35083" w:rsidRDefault="00BB7F53" w:rsidP="003D3449">
      <w:pPr>
        <w:pStyle w:val="TABL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b w:val="0"/>
          <w:i/>
          <w:w w:val="100"/>
          <w:sz w:val="24"/>
          <w:szCs w:val="24"/>
        </w:rPr>
        <w:lastRenderedPageBreak/>
        <w:t>Таблиця 3000.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Заходи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поєднанні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хворобою,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зумовлена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вірусом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імунодефіциту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людини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(ВІЛ)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2"/>
        <w:gridCol w:w="445"/>
        <w:gridCol w:w="1758"/>
        <w:gridCol w:w="1924"/>
        <w:gridCol w:w="1101"/>
        <w:gridCol w:w="1788"/>
        <w:gridCol w:w="3165"/>
        <w:gridCol w:w="2605"/>
      </w:tblGrid>
      <w:tr w:rsidR="00BB7F53" w:rsidRPr="0081250F" w14:paraId="1B20D7BA" w14:textId="77777777" w:rsidTr="00972F2D">
        <w:trPr>
          <w:trHeight w:val="762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C86DC28" w14:textId="77777777" w:rsidR="00BB7F53" w:rsidRPr="00B30386" w:rsidRDefault="00BB7F53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CB89BE9" w14:textId="77777777" w:rsidR="00BB7F53" w:rsidRPr="00B30386" w:rsidRDefault="00BB7F53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420805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Загальна кількість зареєстрованих випадків ТБ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D3A8182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ТБ, які пройшли тестування на ВІЛ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871BF6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ТБ/ВІЛ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2488E00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 ТБ/ВІЛ, які отримують АРТ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7C637A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Кількіть</w:t>
            </w:r>
            <w:proofErr w:type="spellEnd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випадків ТБ/ВІЛ, які отримували раніше або розпочали АРТ протягом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2 тижнів від початку АМБТ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01121E" w14:textId="77777777" w:rsidR="00BB7F53" w:rsidRPr="00B30386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випадків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ТБ/ВІЛ, які отримують профілактичне лікування ко-</w:t>
            </w:r>
            <w:proofErr w:type="spellStart"/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тримоксазолом</w:t>
            </w:r>
            <w:proofErr w:type="spellEnd"/>
          </w:p>
        </w:tc>
      </w:tr>
      <w:tr w:rsidR="00BB7F53" w:rsidRPr="00C80C88" w14:paraId="05DC1BFC" w14:textId="77777777" w:rsidTr="001D6042">
        <w:trPr>
          <w:trHeight w:hRule="exact" w:val="398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00B158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A04E57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EA437C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BCAD5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111E9A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CFCFE4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671E6B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06B85F" w14:textId="77777777" w:rsidR="00BB7F53" w:rsidRPr="00C80C88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C80C88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</w:tr>
      <w:tr w:rsidR="00B04180" w:rsidRPr="00B30386" w14:paraId="79469425" w14:textId="77777777" w:rsidTr="00972F2D">
        <w:trPr>
          <w:trHeight w:val="141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A559B" w14:textId="77777777" w:rsidR="00B04180" w:rsidRPr="00B30386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Всього випадків ТБ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30AF4" w14:textId="77777777" w:rsidR="00B04180" w:rsidRPr="00B30386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7FED8" w14:textId="4B0B3CBC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B136A">
              <w:t>4287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A873E5" w14:textId="0925D0A4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B136A">
              <w:t>4229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2E058" w14:textId="0AC1DCFA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B136A">
              <w:t>793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158D19" w14:textId="4A471B8A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B136A">
              <w:t>745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2DEF5" w14:textId="24F86A3B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B136A">
              <w:t>643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C045E7" w14:textId="69101EE4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5B136A">
              <w:t>389</w:t>
            </w:r>
          </w:p>
        </w:tc>
      </w:tr>
      <w:tr w:rsidR="00B04180" w:rsidRPr="00B30386" w14:paraId="62A3F378" w14:textId="77777777" w:rsidTr="00972F2D">
        <w:trPr>
          <w:trHeight w:val="450"/>
        </w:trPr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AE387E" w14:textId="77777777" w:rsidR="00B04180" w:rsidRPr="00B30386" w:rsidRDefault="00B04180" w:rsidP="00B0418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 них: нові випадки ТБ, випадки ТБ з невідомою історію попереднього лікування та рекурентні випадки ТБ</w:t>
            </w:r>
          </w:p>
        </w:tc>
        <w:tc>
          <w:tcPr>
            <w:tcW w:w="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BA06B9" w14:textId="77777777" w:rsidR="00B04180" w:rsidRPr="00B30386" w:rsidRDefault="00B04180" w:rsidP="00B0418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A0D5F4" w14:textId="1BC5C915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91D42">
              <w:t>4115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CB719" w14:textId="0DBFE467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91D42">
              <w:t>4070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492289" w14:textId="15A9F89F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91D42">
              <w:t>761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E9D56" w14:textId="34B39DE4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91D42">
              <w:t>714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6D598" w14:textId="69BCFB28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91D42">
              <w:t>617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CEAAF" w14:textId="11FC2ABD" w:rsidR="00B04180" w:rsidRPr="00B30386" w:rsidRDefault="00B04180" w:rsidP="00B04180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791D42">
              <w:t>376</w:t>
            </w:r>
          </w:p>
        </w:tc>
      </w:tr>
    </w:tbl>
    <w:p w14:paraId="0FF496BA" w14:textId="77777777" w:rsidR="00C80C88" w:rsidRDefault="00C80C88" w:rsidP="00484074">
      <w:pPr>
        <w:pStyle w:val="TABL"/>
        <w:ind w:firstLine="0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  <w:bookmarkStart w:id="1" w:name="_Hlk181970229"/>
    </w:p>
    <w:p w14:paraId="02126EC9" w14:textId="77777777" w:rsidR="00C80C88" w:rsidRDefault="00C80C88" w:rsidP="00484074">
      <w:pPr>
        <w:pStyle w:val="TABL"/>
        <w:ind w:firstLine="0"/>
        <w:rPr>
          <w:rFonts w:ascii="Times New Roman" w:hAnsi="Times New Roman" w:cs="Times New Roman"/>
          <w:b w:val="0"/>
          <w:i/>
          <w:w w:val="100"/>
          <w:sz w:val="24"/>
          <w:szCs w:val="24"/>
        </w:rPr>
      </w:pPr>
    </w:p>
    <w:p w14:paraId="55F53EA1" w14:textId="35470EE0" w:rsidR="00BB7F53" w:rsidRPr="00D35083" w:rsidRDefault="00BB7F53" w:rsidP="00484074">
      <w:pPr>
        <w:pStyle w:val="TABL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b w:val="0"/>
          <w:i/>
          <w:w w:val="100"/>
          <w:sz w:val="24"/>
          <w:szCs w:val="24"/>
        </w:rPr>
        <w:t xml:space="preserve">Таблиця 4000.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Виявлення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bookmarkEnd w:id="1"/>
      <w:r w:rsidRPr="00D35083">
        <w:rPr>
          <w:rFonts w:ascii="Times New Roman" w:hAnsi="Times New Roman" w:cs="Times New Roman"/>
          <w:w w:val="100"/>
          <w:sz w:val="24"/>
          <w:szCs w:val="24"/>
        </w:rPr>
        <w:t>нових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рекурентних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МБТ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«+»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Gene-Xpert</w:t>
      </w:r>
      <w:proofErr w:type="spellEnd"/>
      <w:r w:rsidRPr="00D35083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первинний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діагностичний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тест)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осіб,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обстежених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лабораторіях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мікробіологічної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діагностики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ТБ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рівня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18"/>
        <w:gridCol w:w="6363"/>
        <w:gridCol w:w="4947"/>
      </w:tblGrid>
      <w:tr w:rsidR="00BB7F53" w:rsidRPr="0081250F" w14:paraId="448A5615" w14:textId="77777777" w:rsidTr="00972F2D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708AD1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ТБ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випадки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MБT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«+»</w:t>
            </w:r>
          </w:p>
        </w:tc>
      </w:tr>
      <w:tr w:rsidR="00BB7F53" w:rsidRPr="00D35083" w14:paraId="14C509C0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53B86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обстежених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9939A0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Виявлено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випадків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МБТ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+»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044A6EF" w14:textId="77777777" w:rsidR="00BB7F53" w:rsidRPr="00D35083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%</w:t>
            </w:r>
          </w:p>
        </w:tc>
      </w:tr>
      <w:tr w:rsidR="00BB7F53" w:rsidRPr="00D73AB7" w14:paraId="19FBD7D3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13C604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FA07B4B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1D2D4" w:fill="auto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A6BF0A" w14:textId="77777777" w:rsidR="00BB7F53" w:rsidRPr="00D73AB7" w:rsidRDefault="00BB7F53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D73AB7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</w:tr>
      <w:tr w:rsidR="00FA2D5E" w:rsidRPr="00D35083" w14:paraId="36A6ADE9" w14:textId="77777777" w:rsidTr="007E33DE">
        <w:trPr>
          <w:trHeight w:val="113"/>
        </w:trPr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93706C" w14:textId="5D301C9D" w:rsidR="00FA2D5E" w:rsidRPr="00B11C0A" w:rsidRDefault="00E31733" w:rsidP="00FA2D5E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26946</w:t>
            </w:r>
          </w:p>
        </w:tc>
        <w:tc>
          <w:tcPr>
            <w:tcW w:w="2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CD6F8" w14:textId="2DD4ECA9" w:rsidR="00FA2D5E" w:rsidRPr="00B11C0A" w:rsidRDefault="00E31733" w:rsidP="00FA2D5E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2427</w:t>
            </w:r>
          </w:p>
        </w:tc>
        <w:tc>
          <w:tcPr>
            <w:tcW w:w="1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DFCC20" w14:textId="153B5641" w:rsidR="00FA2D5E" w:rsidRPr="00B11C0A" w:rsidRDefault="00E31733" w:rsidP="00FA2D5E">
            <w:pPr>
              <w:pStyle w:val="ae"/>
              <w:spacing w:line="240" w:lineRule="auto"/>
              <w:jc w:val="center"/>
              <w:textAlignment w:val="auto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9,01</w:t>
            </w:r>
          </w:p>
        </w:tc>
      </w:tr>
    </w:tbl>
    <w:p w14:paraId="336A85A8" w14:textId="41C6F52E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8B8B404" w14:textId="30DEA9D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925586B" w14:textId="58BDE22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0798DCFD" w14:textId="0E6296F4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7745B53A" w14:textId="484660D0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4EFCF762" w14:textId="59AB530D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9DFB82" w14:textId="73C65F46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C41F159" w14:textId="28D4B2FC" w:rsidR="00C80C88" w:rsidRDefault="00C80C88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3A0560E2" w14:textId="3652CD5A" w:rsidR="00484074" w:rsidRPr="00484074" w:rsidRDefault="00484074" w:rsidP="00BB7F53">
      <w:pPr>
        <w:pStyle w:val="Ch6"/>
        <w:rPr>
          <w:rFonts w:ascii="Times New Roman" w:hAnsi="Times New Roman" w:cs="Times New Roman"/>
          <w:b/>
          <w:w w:val="100"/>
          <w:sz w:val="24"/>
          <w:szCs w:val="24"/>
        </w:rPr>
      </w:pPr>
      <w:r w:rsidRPr="00B30386">
        <w:rPr>
          <w:rFonts w:ascii="Times New Roman" w:hAnsi="Times New Roman" w:cs="Times New Roman"/>
          <w:i/>
          <w:w w:val="100"/>
          <w:sz w:val="24"/>
          <w:szCs w:val="24"/>
        </w:rPr>
        <w:lastRenderedPageBreak/>
        <w:t xml:space="preserve">Таблиця </w:t>
      </w:r>
      <w:r>
        <w:rPr>
          <w:rFonts w:ascii="Times New Roman" w:hAnsi="Times New Roman" w:cs="Times New Roman"/>
          <w:i/>
          <w:w w:val="100"/>
          <w:sz w:val="24"/>
          <w:szCs w:val="24"/>
        </w:rPr>
        <w:t>5</w:t>
      </w:r>
      <w:r w:rsidRPr="00B30386">
        <w:rPr>
          <w:rFonts w:ascii="Times New Roman" w:hAnsi="Times New Roman" w:cs="Times New Roman"/>
          <w:i/>
          <w:w w:val="100"/>
          <w:sz w:val="24"/>
          <w:szCs w:val="24"/>
        </w:rPr>
        <w:t xml:space="preserve">000. </w:t>
      </w:r>
      <w:r w:rsidRPr="00484074">
        <w:rPr>
          <w:rFonts w:ascii="Times New Roman" w:hAnsi="Times New Roman" w:cs="Times New Roman"/>
          <w:b/>
          <w:w w:val="100"/>
          <w:sz w:val="24"/>
          <w:szCs w:val="24"/>
        </w:rPr>
        <w:t>Кількість випадків ТБ (нові епізоди ТБ та повторно зареєстровані випадки ТБ), лікування яких розпочато у звітному кварталі</w:t>
      </w:r>
    </w:p>
    <w:tbl>
      <w:tblPr>
        <w:tblW w:w="5003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821"/>
        <w:gridCol w:w="1922"/>
        <w:gridCol w:w="984"/>
        <w:gridCol w:w="2237"/>
        <w:gridCol w:w="2237"/>
        <w:gridCol w:w="587"/>
        <w:gridCol w:w="1650"/>
        <w:gridCol w:w="2240"/>
      </w:tblGrid>
      <w:tr w:rsidR="00484074" w:rsidRPr="00B30386" w14:paraId="6265E29B" w14:textId="77777777" w:rsidTr="00E23272">
        <w:trPr>
          <w:trHeight w:val="356"/>
        </w:trPr>
        <w:tc>
          <w:tcPr>
            <w:tcW w:w="8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EC14723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D2CCE4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96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0B076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Кількість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 xml:space="preserve">зареєстрованих випадків ТБ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у звітному кварталі</w:t>
            </w:r>
          </w:p>
        </w:tc>
        <w:tc>
          <w:tcPr>
            <w:tcW w:w="14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285D5F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Розпочали лікування у звітному кварталі</w:t>
            </w:r>
          </w:p>
        </w:tc>
        <w:tc>
          <w:tcPr>
            <w:tcW w:w="147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930CF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 розпочали лікування</w:t>
            </w:r>
          </w:p>
        </w:tc>
      </w:tr>
      <w:tr w:rsidR="00484074" w:rsidRPr="0081250F" w14:paraId="6BBC3B4A" w14:textId="77777777" w:rsidTr="00E23272">
        <w:trPr>
          <w:trHeight w:val="177"/>
        </w:trPr>
        <w:tc>
          <w:tcPr>
            <w:tcW w:w="8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43F3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B3D7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960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34F8" w14:textId="77777777" w:rsidR="00484074" w:rsidRPr="00B30386" w:rsidRDefault="00484074" w:rsidP="003607FA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3CEDD4B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Зареєстровані у звітному кварталі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20C5FDC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Зареєстровані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раніше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C65E0D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Померли </w:t>
            </w: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до початку лікування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12FE8D" w14:textId="77777777" w:rsidR="00484074" w:rsidRPr="00B30386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30386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Були втрачені до початку лікування</w:t>
            </w:r>
          </w:p>
        </w:tc>
      </w:tr>
      <w:tr w:rsidR="00484074" w:rsidRPr="00B30386" w14:paraId="1895A4FE" w14:textId="77777777" w:rsidTr="00E23272">
        <w:trPr>
          <w:trHeight w:val="170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F3B7E72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6E98EF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EDC12B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187F3C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D62139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C56E6F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2A734A" w14:textId="77777777" w:rsidR="00484074" w:rsidRPr="0031137D" w:rsidRDefault="00484074" w:rsidP="003607FA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31137D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</w:tr>
      <w:tr w:rsidR="00E31733" w:rsidRPr="00B30386" w14:paraId="32CFFE51" w14:textId="77777777" w:rsidTr="00E23272">
        <w:trPr>
          <w:trHeight w:val="177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76636" w14:textId="77777777" w:rsidR="00E31733" w:rsidRPr="00B30386" w:rsidRDefault="00E31733" w:rsidP="00E3173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 xml:space="preserve">Нові епізоди 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8F977" w14:textId="77777777" w:rsidR="00E31733" w:rsidRPr="00B30386" w:rsidRDefault="00E31733" w:rsidP="00E317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1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970786" w14:textId="4D179F11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C5B">
              <w:t>4115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08697C" w14:textId="1E3E287E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C5B">
              <w:t>3305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390AA" w14:textId="51A43108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C5B">
              <w:t>14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91A2B2" w14:textId="22F9CFC8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C5B">
              <w:t>73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B77CE" w14:textId="64A4F742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836C5B">
              <w:t>9</w:t>
            </w:r>
          </w:p>
        </w:tc>
      </w:tr>
      <w:tr w:rsidR="00E31733" w:rsidRPr="00B30386" w14:paraId="3CC62050" w14:textId="77777777" w:rsidTr="00E23272">
        <w:trPr>
          <w:trHeight w:val="534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5C3327" w14:textId="77777777" w:rsidR="00E31733" w:rsidRPr="00B30386" w:rsidRDefault="00E31733" w:rsidP="00E3173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Повторно зареєстровані випадки ТБ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3552F" w14:textId="77777777" w:rsidR="00E31733" w:rsidRPr="00B30386" w:rsidRDefault="00E31733" w:rsidP="00E317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2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87A2DA" w14:textId="188635DD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2D97">
              <w:t>172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3033" w14:textId="6FCD1F59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2D97">
              <w:t>153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91EC5" w14:textId="2B387EC9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2D97">
              <w:t>1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CE4A5A" w14:textId="3164BCC3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2D97"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72FEA" w14:textId="00AA5338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12D97">
              <w:t>1</w:t>
            </w:r>
          </w:p>
        </w:tc>
      </w:tr>
      <w:tr w:rsidR="00E31733" w:rsidRPr="00B30386" w14:paraId="7DDCA97C" w14:textId="77777777" w:rsidTr="00E23272">
        <w:trPr>
          <w:trHeight w:val="186"/>
        </w:trPr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D28404" w14:textId="77777777" w:rsidR="00E31733" w:rsidRPr="00B30386" w:rsidRDefault="00E31733" w:rsidP="00E31733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Всього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56F6" w14:textId="77777777" w:rsidR="00E31733" w:rsidRPr="00B30386" w:rsidRDefault="00E31733" w:rsidP="00E3173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30386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3</w:t>
            </w:r>
          </w:p>
        </w:tc>
        <w:tc>
          <w:tcPr>
            <w:tcW w:w="9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7D61D" w14:textId="0A2BDB1E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F8E">
              <w:t>4287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BDD999" w14:textId="4F81C14C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F8E">
              <w:t>3458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1A2DB" w14:textId="3FE171AD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F8E">
              <w:t>15</w:t>
            </w:r>
          </w:p>
        </w:tc>
        <w:tc>
          <w:tcPr>
            <w:tcW w:w="7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185C5" w14:textId="46D2D75C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F8E">
              <w:t>74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5CB15" w14:textId="219CB246" w:rsidR="00E31733" w:rsidRPr="00B30386" w:rsidRDefault="00E31733" w:rsidP="00E31733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047F8E">
              <w:t>10</w:t>
            </w:r>
          </w:p>
        </w:tc>
      </w:tr>
      <w:tr w:rsidR="00081DCD" w:rsidRPr="008049FA" w14:paraId="2D7E2840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5B4FC60" w14:textId="77777777" w:rsidR="00081DCD" w:rsidRPr="00C80C88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42D335" w14:textId="77777777" w:rsidR="00081DCD" w:rsidRPr="002D5DF5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AD540B" w14:textId="77777777" w:rsidR="00081DCD" w:rsidRDefault="00081DCD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</w:p>
        </w:tc>
      </w:tr>
      <w:tr w:rsidR="00484074" w:rsidRPr="008049FA" w14:paraId="7E552497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B8A3559" w14:textId="1887A64B" w:rsidR="00484074" w:rsidRPr="00C80C88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5E2D67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B64B76"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702D5705" w14:textId="77777777" w:rsidR="00484074" w:rsidRPr="00C80C88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67043CB" w14:textId="77777777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6BE588A7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B85A90" w14:textId="4DA49679" w:rsidR="00484074" w:rsidRPr="002D5DF5" w:rsidRDefault="00C80C88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3E7735BB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84074" w:rsidRPr="008049FA" w14:paraId="518EADA2" w14:textId="77777777" w:rsidTr="00484074">
        <w:trPr>
          <w:trHeight w:val="113"/>
        </w:trPr>
        <w:tc>
          <w:tcPr>
            <w:tcW w:w="1718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369B702" w14:textId="14192CB7" w:rsidR="00484074" w:rsidRPr="00C80C88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</w:t>
            </w:r>
            <w:r w:rsid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01.</w:t>
            </w:r>
            <w:r w:rsidR="005E2D67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.202</w:t>
            </w:r>
            <w:r w:rsidR="00B64B76"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  <w:r w:rsidRPr="00C80C8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</w:t>
            </w:r>
          </w:p>
          <w:p w14:paraId="299E8ED6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1997" w:type="pct"/>
            <w:gridSpan w:val="4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2DA69AE" w14:textId="77777777" w:rsidR="00484074" w:rsidRPr="002D5DF5" w:rsidRDefault="00484074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50150C0E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285" w:type="pct"/>
            <w:gridSpan w:val="2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27C58BD" w14:textId="5BEC17CA" w:rsidR="00484074" w:rsidRPr="002D5DF5" w:rsidRDefault="00E31733" w:rsidP="003607FA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О. Даниленко</w:t>
            </w:r>
            <w:bookmarkStart w:id="2" w:name="_GoBack"/>
            <w:bookmarkEnd w:id="2"/>
          </w:p>
          <w:p w14:paraId="07653AD5" w14:textId="77777777" w:rsidR="00484074" w:rsidRPr="002D5DF5" w:rsidRDefault="00484074" w:rsidP="003607F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484074" w:rsidRPr="008049FA" w14:paraId="6C004E86" w14:textId="77777777" w:rsidTr="00484074">
        <w:trPr>
          <w:trHeight w:val="381"/>
        </w:trPr>
        <w:tc>
          <w:tcPr>
            <w:tcW w:w="5000" w:type="pct"/>
            <w:gridSpan w:val="9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A7F8CA" w14:textId="7E9C4A56" w:rsidR="00484074" w:rsidRPr="002D5DF5" w:rsidRDefault="00484074" w:rsidP="003607FA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</w:tbl>
    <w:p w14:paraId="293A5AFC" w14:textId="77777777" w:rsidR="00484074" w:rsidRPr="00D35083" w:rsidRDefault="00484074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89658D9" w14:textId="786E4207" w:rsidR="00BB7F53" w:rsidRPr="00D35083" w:rsidRDefault="006F4B85" w:rsidP="00BE7676">
      <w:pPr>
        <w:pStyle w:val="TABL"/>
        <w:pageBreakBefore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6F4B85">
        <w:rPr>
          <w:rFonts w:ascii="Times New Roman" w:hAnsi="Times New Roman" w:cs="Times New Roman"/>
          <w:w w:val="100"/>
          <w:sz w:val="24"/>
          <w:szCs w:val="24"/>
        </w:rPr>
        <w:lastRenderedPageBreak/>
        <w:drawing>
          <wp:inline distT="0" distB="0" distL="0" distR="0" wp14:anchorId="38E7FF41" wp14:editId="7C50D8EF">
            <wp:extent cx="9612630" cy="41027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10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87A3F" w14:textId="77777777" w:rsidR="00BB7F53" w:rsidRDefault="00BB7F53" w:rsidP="00BB7F5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bookmarkEnd w:id="0"/>
    <w:p w14:paraId="7439EF8B" w14:textId="25FA6623" w:rsidR="00ED4D7F" w:rsidRDefault="00ED4D7F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22D127A" w14:textId="662A89EA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08F9CDAC" w14:textId="7253F608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A1273BD" w14:textId="50EEE39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79EE296" w14:textId="25678B8E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0619231" w14:textId="0A321FD8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3FFC643B" w14:textId="509DFF34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8544A93" w14:textId="34BDDDB1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2EEA58A" w14:textId="4851A1F5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7EBF1389" w14:textId="7D4E607E" w:rsidR="00BE7676" w:rsidRDefault="006F4B85" w:rsidP="00BE7676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F4B85">
        <w:rPr>
          <w:rFonts w:ascii="Times New Roman" w:hAnsi="Times New Roman" w:cs="Times New Roman"/>
          <w:w w:val="100"/>
          <w:sz w:val="24"/>
          <w:szCs w:val="24"/>
          <w:lang w:val="ru-RU"/>
        </w:rPr>
        <w:lastRenderedPageBreak/>
        <w:drawing>
          <wp:inline distT="0" distB="0" distL="0" distR="0" wp14:anchorId="42D8CD24" wp14:editId="71339BC7">
            <wp:extent cx="9612630" cy="4146550"/>
            <wp:effectExtent l="0" t="0" r="762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E534F" w14:textId="60898AAC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799E1F2" w14:textId="057DC541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504F4E7" w14:textId="6A3414C9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6B0E5F2C" w14:textId="21661A5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650E3388" w14:textId="6CDBC8C3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46B1D14F" w14:textId="2EB78FE7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3186057" w14:textId="6934D81F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2B541A65" w14:textId="54855534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1A2294CB" w14:textId="3BB2EE9D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5A78BFB8" w14:textId="655FE902" w:rsidR="00BE7676" w:rsidRDefault="00BE7676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2B7AD289" w14:textId="65C2AD58" w:rsidR="00BE7676" w:rsidRDefault="006F4B85" w:rsidP="00BB7F53">
      <w:pPr>
        <w:pStyle w:val="Ch6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6F4B85">
        <w:rPr>
          <w:rFonts w:ascii="Times New Roman" w:hAnsi="Times New Roman" w:cs="Times New Roman"/>
          <w:w w:val="100"/>
          <w:sz w:val="24"/>
          <w:szCs w:val="24"/>
          <w:lang w:val="ru-RU"/>
        </w:rPr>
        <w:lastRenderedPageBreak/>
        <w:drawing>
          <wp:inline distT="0" distB="0" distL="0" distR="0" wp14:anchorId="7881002E" wp14:editId="07F0CBD1">
            <wp:extent cx="8135485" cy="613495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35485" cy="6134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45CDE" w14:textId="25A5B024" w:rsidR="00BE7676" w:rsidRDefault="00E31733" w:rsidP="00BE7676">
      <w:pPr>
        <w:rPr>
          <w:lang w:val="ru-RU" w:eastAsia="uk-UA"/>
        </w:rPr>
      </w:pPr>
      <w:r w:rsidRPr="00E31733">
        <w:rPr>
          <w:lang w:val="ru-RU" w:eastAsia="uk-UA"/>
        </w:rPr>
        <w:lastRenderedPageBreak/>
        <w:drawing>
          <wp:inline distT="0" distB="0" distL="0" distR="0" wp14:anchorId="60631750" wp14:editId="548247C8">
            <wp:extent cx="6763694" cy="56586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63694" cy="56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FC5D4" w14:textId="6F3D012C" w:rsidR="00BE7676" w:rsidRDefault="00E31733" w:rsidP="00BE7676">
      <w:pPr>
        <w:tabs>
          <w:tab w:val="left" w:pos="1410"/>
        </w:tabs>
        <w:rPr>
          <w:lang w:val="ru-RU" w:eastAsia="uk-UA"/>
        </w:rPr>
      </w:pPr>
      <w:r w:rsidRPr="00E31733">
        <w:rPr>
          <w:lang w:val="ru-RU" w:eastAsia="uk-UA"/>
        </w:rPr>
        <w:lastRenderedPageBreak/>
        <w:drawing>
          <wp:inline distT="0" distB="0" distL="0" distR="0" wp14:anchorId="1262DC04" wp14:editId="01FC2EED">
            <wp:extent cx="9612630" cy="4744085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7676">
        <w:rPr>
          <w:lang w:val="ru-RU" w:eastAsia="uk-UA"/>
        </w:rPr>
        <w:tab/>
      </w:r>
    </w:p>
    <w:p w14:paraId="6BA1BB14" w14:textId="5DA8981C" w:rsidR="00BE7676" w:rsidRDefault="00BE7676" w:rsidP="00BE7676">
      <w:pPr>
        <w:tabs>
          <w:tab w:val="left" w:pos="1410"/>
        </w:tabs>
        <w:rPr>
          <w:lang w:val="ru-RU" w:eastAsia="uk-UA"/>
        </w:rPr>
      </w:pPr>
    </w:p>
    <w:p w14:paraId="791DC84F" w14:textId="27E048CF" w:rsidR="00BE7676" w:rsidRDefault="00BE7676" w:rsidP="00BE7676">
      <w:pPr>
        <w:tabs>
          <w:tab w:val="left" w:pos="1410"/>
        </w:tabs>
        <w:rPr>
          <w:lang w:val="ru-RU" w:eastAsia="uk-UA"/>
        </w:rPr>
      </w:pPr>
    </w:p>
    <w:p w14:paraId="7768E0C9" w14:textId="77777777" w:rsidR="00BE7676" w:rsidRPr="00BE7676" w:rsidRDefault="00BE7676" w:rsidP="00BE7676">
      <w:pPr>
        <w:tabs>
          <w:tab w:val="left" w:pos="1410"/>
        </w:tabs>
        <w:rPr>
          <w:lang w:val="ru-RU" w:eastAsia="uk-UA"/>
        </w:rPr>
      </w:pPr>
    </w:p>
    <w:sectPr w:rsidR="00BE7676" w:rsidRPr="00BE7676" w:rsidSect="003D3449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6A8FC" w14:textId="77777777" w:rsidR="002013BD" w:rsidRDefault="002013BD" w:rsidP="00961E5B">
      <w:pPr>
        <w:spacing w:after="0" w:line="240" w:lineRule="auto"/>
      </w:pPr>
      <w:r>
        <w:separator/>
      </w:r>
    </w:p>
  </w:endnote>
  <w:endnote w:type="continuationSeparator" w:id="0">
    <w:p w14:paraId="3847FB18" w14:textId="77777777" w:rsidR="002013BD" w:rsidRDefault="002013BD" w:rsidP="0096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9F977" w14:textId="77777777" w:rsidR="00961E5B" w:rsidRDefault="00961E5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0F5C" w14:textId="77777777" w:rsidR="00961E5B" w:rsidRDefault="00961E5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9C96B" w14:textId="77777777" w:rsidR="00961E5B" w:rsidRDefault="00961E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3744B" w14:textId="77777777" w:rsidR="002013BD" w:rsidRDefault="002013BD" w:rsidP="00961E5B">
      <w:pPr>
        <w:spacing w:after="0" w:line="240" w:lineRule="auto"/>
      </w:pPr>
      <w:r>
        <w:separator/>
      </w:r>
    </w:p>
  </w:footnote>
  <w:footnote w:type="continuationSeparator" w:id="0">
    <w:p w14:paraId="5DC4400C" w14:textId="77777777" w:rsidR="002013BD" w:rsidRDefault="002013BD" w:rsidP="0096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AF6BD" w14:textId="77777777" w:rsidR="00961E5B" w:rsidRDefault="00961E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C4449" w14:textId="77777777" w:rsidR="00961E5B" w:rsidRDefault="00961E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9EBA8" w14:textId="77777777" w:rsidR="00961E5B" w:rsidRDefault="00961E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3"/>
    <w:rsid w:val="000045A5"/>
    <w:rsid w:val="000248BA"/>
    <w:rsid w:val="00027280"/>
    <w:rsid w:val="00063D9E"/>
    <w:rsid w:val="0006498D"/>
    <w:rsid w:val="00081DCD"/>
    <w:rsid w:val="00083AA1"/>
    <w:rsid w:val="00112844"/>
    <w:rsid w:val="001534ED"/>
    <w:rsid w:val="00195674"/>
    <w:rsid w:val="001D6042"/>
    <w:rsid w:val="002013BD"/>
    <w:rsid w:val="00223FFE"/>
    <w:rsid w:val="002424FD"/>
    <w:rsid w:val="00276B4A"/>
    <w:rsid w:val="002820B8"/>
    <w:rsid w:val="0031137D"/>
    <w:rsid w:val="00352A09"/>
    <w:rsid w:val="003820E1"/>
    <w:rsid w:val="00396AF2"/>
    <w:rsid w:val="003B0A2B"/>
    <w:rsid w:val="003B76B6"/>
    <w:rsid w:val="003D3449"/>
    <w:rsid w:val="003F1DA3"/>
    <w:rsid w:val="004316BC"/>
    <w:rsid w:val="00441C66"/>
    <w:rsid w:val="00484074"/>
    <w:rsid w:val="004905B8"/>
    <w:rsid w:val="004A6748"/>
    <w:rsid w:val="004F02D1"/>
    <w:rsid w:val="00515A8E"/>
    <w:rsid w:val="005375A7"/>
    <w:rsid w:val="0056195A"/>
    <w:rsid w:val="00561C88"/>
    <w:rsid w:val="005B38A4"/>
    <w:rsid w:val="005E2D67"/>
    <w:rsid w:val="005E3763"/>
    <w:rsid w:val="00616CE2"/>
    <w:rsid w:val="006D105C"/>
    <w:rsid w:val="006D2287"/>
    <w:rsid w:val="006F4B85"/>
    <w:rsid w:val="00737040"/>
    <w:rsid w:val="0074581F"/>
    <w:rsid w:val="00761803"/>
    <w:rsid w:val="007B2AEB"/>
    <w:rsid w:val="007B6E5F"/>
    <w:rsid w:val="007C630B"/>
    <w:rsid w:val="007D1BC1"/>
    <w:rsid w:val="007D683F"/>
    <w:rsid w:val="007E33DE"/>
    <w:rsid w:val="007E6C35"/>
    <w:rsid w:val="0081160C"/>
    <w:rsid w:val="0081250F"/>
    <w:rsid w:val="0082072D"/>
    <w:rsid w:val="00854109"/>
    <w:rsid w:val="00883A03"/>
    <w:rsid w:val="0089078C"/>
    <w:rsid w:val="008E0911"/>
    <w:rsid w:val="00961E5B"/>
    <w:rsid w:val="00963FEB"/>
    <w:rsid w:val="00972F2D"/>
    <w:rsid w:val="00986570"/>
    <w:rsid w:val="009875DD"/>
    <w:rsid w:val="009A2BB2"/>
    <w:rsid w:val="009A392E"/>
    <w:rsid w:val="009B441C"/>
    <w:rsid w:val="00A6546B"/>
    <w:rsid w:val="00AA4390"/>
    <w:rsid w:val="00AB398B"/>
    <w:rsid w:val="00AD32FB"/>
    <w:rsid w:val="00AF79D4"/>
    <w:rsid w:val="00B033D1"/>
    <w:rsid w:val="00B04180"/>
    <w:rsid w:val="00B11C0A"/>
    <w:rsid w:val="00B30386"/>
    <w:rsid w:val="00B64B76"/>
    <w:rsid w:val="00B651AA"/>
    <w:rsid w:val="00B9360E"/>
    <w:rsid w:val="00BB7F53"/>
    <w:rsid w:val="00BE7676"/>
    <w:rsid w:val="00C135C9"/>
    <w:rsid w:val="00C649BE"/>
    <w:rsid w:val="00C80C88"/>
    <w:rsid w:val="00CC4B89"/>
    <w:rsid w:val="00CE0731"/>
    <w:rsid w:val="00CE7193"/>
    <w:rsid w:val="00D03B3D"/>
    <w:rsid w:val="00D14B59"/>
    <w:rsid w:val="00D400F1"/>
    <w:rsid w:val="00D50F4B"/>
    <w:rsid w:val="00D73AB7"/>
    <w:rsid w:val="00DF3535"/>
    <w:rsid w:val="00E00798"/>
    <w:rsid w:val="00E23272"/>
    <w:rsid w:val="00E31733"/>
    <w:rsid w:val="00E400DF"/>
    <w:rsid w:val="00E46360"/>
    <w:rsid w:val="00ED34F0"/>
    <w:rsid w:val="00ED4D7F"/>
    <w:rsid w:val="00F00393"/>
    <w:rsid w:val="00F31D34"/>
    <w:rsid w:val="00F37E61"/>
    <w:rsid w:val="00F52DE2"/>
    <w:rsid w:val="00F60124"/>
    <w:rsid w:val="00F64C40"/>
    <w:rsid w:val="00F67117"/>
    <w:rsid w:val="00F8305D"/>
    <w:rsid w:val="00F91BEF"/>
    <w:rsid w:val="00FA2D5E"/>
    <w:rsid w:val="00FA3958"/>
    <w:rsid w:val="00FB5FF8"/>
    <w:rsid w:val="00FD32C5"/>
    <w:rsid w:val="00FF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4A85E"/>
  <w15:docId w15:val="{79277CA0-AC4E-4F7A-B722-73CC358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BB7F5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BB7F5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BB7F53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BB7F53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BB7F5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BB7F53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BB7F53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BB7F53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BB7F5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BB7F53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BB7F53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BB7F53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BB7F5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961E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961E5B"/>
  </w:style>
  <w:style w:type="character" w:customStyle="1" w:styleId="st42">
    <w:name w:val="st42"/>
    <w:uiPriority w:val="99"/>
    <w:rsid w:val="00083AA1"/>
    <w:rPr>
      <w:color w:val="000000"/>
    </w:rPr>
  </w:style>
  <w:style w:type="character" w:customStyle="1" w:styleId="st121">
    <w:name w:val="st121"/>
    <w:uiPriority w:val="99"/>
    <w:rsid w:val="00083AA1"/>
    <w:rPr>
      <w:i/>
      <w:color w:val="000000"/>
    </w:rPr>
  </w:style>
  <w:style w:type="character" w:customStyle="1" w:styleId="st46">
    <w:name w:val="st46"/>
    <w:uiPriority w:val="99"/>
    <w:rsid w:val="00083AA1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9</Pages>
  <Words>3572</Words>
  <Characters>2037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Степура</dc:creator>
  <cp:lastModifiedBy>Людмила Прилепіна</cp:lastModifiedBy>
  <cp:revision>11</cp:revision>
  <dcterms:created xsi:type="dcterms:W3CDTF">2025-04-29T09:29:00Z</dcterms:created>
  <dcterms:modified xsi:type="dcterms:W3CDTF">2025-11-10T07:41:00Z</dcterms:modified>
</cp:coreProperties>
</file>