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F362" w14:textId="77777777" w:rsidR="00391124" w:rsidRDefault="00391124" w:rsidP="004835EA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bookmarkStart w:id="0" w:name="2"/>
    </w:p>
    <w:p w14:paraId="5DAC42C1" w14:textId="6E2C9616" w:rsidR="004835EA" w:rsidRDefault="004835EA" w:rsidP="004835EA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245FB2">
        <w:rPr>
          <w:rFonts w:ascii="Times New Roman" w:hAnsi="Times New Roman" w:cs="Times New Roman"/>
          <w:w w:val="100"/>
          <w:sz w:val="28"/>
          <w:szCs w:val="28"/>
        </w:rPr>
        <w:t xml:space="preserve">Звіт про проміжні результати лікування випадків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br/>
        <w:t xml:space="preserve">Риф-ТБ/МЛС-ТБ/пре-ШЛС-ТБ/ШЛС-ТБ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br/>
        <w:t xml:space="preserve">за </w:t>
      </w:r>
      <w:r w:rsidR="00F17C93">
        <w:rPr>
          <w:rFonts w:ascii="Times New Roman" w:hAnsi="Times New Roman" w:cs="Times New Roman"/>
          <w:w w:val="100"/>
          <w:sz w:val="28"/>
          <w:szCs w:val="28"/>
        </w:rPr>
        <w:t>3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t xml:space="preserve"> квартал 20</w:t>
      </w:r>
      <w:r w:rsidR="00391124">
        <w:rPr>
          <w:rFonts w:ascii="Times New Roman" w:hAnsi="Times New Roman" w:cs="Times New Roman"/>
          <w:w w:val="100"/>
          <w:sz w:val="28"/>
          <w:szCs w:val="28"/>
        </w:rPr>
        <w:t>2</w:t>
      </w:r>
      <w:r w:rsidR="009F7ECD">
        <w:rPr>
          <w:rFonts w:ascii="Times New Roman" w:hAnsi="Times New Roman" w:cs="Times New Roman"/>
          <w:w w:val="100"/>
          <w:sz w:val="28"/>
          <w:szCs w:val="28"/>
        </w:rPr>
        <w:t>4</w:t>
      </w:r>
      <w:r w:rsidR="009F7ECD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t xml:space="preserve">року </w:t>
      </w:r>
      <w:r w:rsidR="00391124">
        <w:rPr>
          <w:rFonts w:ascii="Times New Roman" w:hAnsi="Times New Roman" w:cs="Times New Roman"/>
          <w:w w:val="100"/>
          <w:sz w:val="28"/>
          <w:szCs w:val="28"/>
        </w:rPr>
        <w:t xml:space="preserve">(1000) </w:t>
      </w:r>
      <w:r w:rsidRPr="00245FB2">
        <w:rPr>
          <w:rFonts w:ascii="Times New Roman" w:hAnsi="Times New Roman" w:cs="Times New Roman"/>
          <w:w w:val="100"/>
          <w:sz w:val="28"/>
          <w:szCs w:val="28"/>
        </w:rPr>
        <w:t>ТБ 07-МЛС-ТБ</w:t>
      </w:r>
    </w:p>
    <w:p w14:paraId="765EF82D" w14:textId="155797A0" w:rsidR="00391124" w:rsidRPr="00391124" w:rsidRDefault="00391124" w:rsidP="00391124">
      <w:pPr>
        <w:jc w:val="center"/>
        <w:rPr>
          <w:b/>
          <w:bCs/>
          <w:lang w:val="ru-RU" w:eastAsia="uk-UA"/>
        </w:rPr>
      </w:pP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="00F17C93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9F7E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квартал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9F7E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року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(2000) </w:t>
      </w:r>
      <w:r w:rsidRPr="00391124">
        <w:rPr>
          <w:rFonts w:ascii="Times New Roman" w:hAnsi="Times New Roman" w:cs="Times New Roman"/>
          <w:b/>
          <w:bCs/>
          <w:sz w:val="28"/>
          <w:szCs w:val="28"/>
          <w:lang w:val="ru-RU"/>
        </w:rPr>
        <w:t>ТБ 07-МЛС-ТБ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6"/>
        <w:gridCol w:w="2128"/>
        <w:gridCol w:w="2267"/>
      </w:tblGrid>
      <w:tr w:rsidR="004835EA" w:rsidRPr="00391124" w14:paraId="5BDB439A" w14:textId="77777777" w:rsidTr="00AB3F0A">
        <w:trPr>
          <w:trHeight w:val="60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89CFD7" w14:textId="77777777" w:rsidR="004835EA" w:rsidRPr="00D35083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F729E6" w14:textId="77777777" w:rsidR="004835EA" w:rsidRPr="00D35083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F1847" w14:textId="77777777" w:rsidR="004835EA" w:rsidRPr="00D35083" w:rsidRDefault="004835EA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C23065A" w14:textId="77777777" w:rsidR="004835EA" w:rsidRPr="00D35083" w:rsidRDefault="004835EA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8-4</w:t>
            </w:r>
          </w:p>
          <w:p w14:paraId="46B78B21" w14:textId="77777777" w:rsidR="004835EA" w:rsidRPr="00D35083" w:rsidRDefault="004835EA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0A614210" w14:textId="77777777" w:rsidR="004835EA" w:rsidRPr="00D35083" w:rsidRDefault="004835EA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503027D1" w14:textId="77777777" w:rsidR="004835EA" w:rsidRPr="00D35083" w:rsidRDefault="004835EA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62746C1E" w14:textId="77777777" w:rsidR="004835EA" w:rsidRPr="00D35083" w:rsidRDefault="00645379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2764AA05" w14:textId="77777777" w:rsidR="004835EA" w:rsidRPr="00D35083" w:rsidRDefault="004835EA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4835EA" w:rsidRPr="00391124" w14:paraId="1DF9BFD9" w14:textId="77777777" w:rsidTr="00AB3F0A">
        <w:trPr>
          <w:trHeight w:val="2751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D5738" w14:textId="77777777" w:rsidR="004835EA" w:rsidRPr="00D35083" w:rsidRDefault="004835EA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4BC7C4E0" w14:textId="77777777" w:rsidR="004835EA" w:rsidRPr="00D35083" w:rsidRDefault="004835EA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49D8B4CB" w14:textId="77777777" w:rsidR="004835EA" w:rsidRPr="00D35083" w:rsidRDefault="004835EA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199CAD69" w14:textId="77777777" w:rsidR="004835EA" w:rsidRPr="00D35083" w:rsidRDefault="004835EA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2AB54A92" w14:textId="77777777" w:rsidR="004835EA" w:rsidRPr="00D35083" w:rsidRDefault="004835EA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A8A13" w14:textId="77777777" w:rsidR="004835EA" w:rsidRPr="00D35083" w:rsidRDefault="004835EA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318FB5DF" w14:textId="4D9E88F8" w:rsidR="004835EA" w:rsidRPr="00D35083" w:rsidRDefault="004835EA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714103FA" w14:textId="77777777" w:rsidR="004835EA" w:rsidRPr="00D35083" w:rsidRDefault="004835EA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66427119" w14:textId="77777777" w:rsidR="004835EA" w:rsidRPr="00D35083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141B3AA" w14:textId="77777777" w:rsidR="004835EA" w:rsidRPr="00D35083" w:rsidRDefault="004835EA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4835EA" w:rsidRPr="00391124" w14:paraId="1CA8B3C5" w14:textId="77777777" w:rsidTr="00AB3F0A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62D58" w14:textId="77777777" w:rsidR="004835EA" w:rsidRPr="00D35083" w:rsidRDefault="004835EA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459CD481" w14:textId="41B1E264" w:rsidR="00391124" w:rsidRPr="00D35083" w:rsidRDefault="004835EA" w:rsidP="00391124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4776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947760" w:rsidRPr="00947760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/ прізвище, ім’я, по батькові (за наявності)</w:t>
            </w:r>
            <w:r w:rsidR="00947760">
              <w:rPr>
                <w:rStyle w:val="st42"/>
                <w:rFonts w:asciiTheme="minorHAnsi" w:hAnsiTheme="minorHAnsi"/>
              </w:rPr>
              <w:t xml:space="preserve"> </w:t>
            </w:r>
            <w:r w:rsidR="00881A2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881A2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881A25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881A2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3C563F5E" w14:textId="5A271FEC" w:rsidR="004835EA" w:rsidRPr="00D35083" w:rsidRDefault="00391124" w:rsidP="00391124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530634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вул.</w:t>
            </w:r>
            <w:r w:rsidR="00530634" w:rsidRPr="00D05C56">
              <w:rPr>
                <w:rFonts w:cs="Calibri"/>
                <w:bdr w:val="nil"/>
              </w:rPr>
              <w:t xml:space="preserve"> </w:t>
            </w:r>
            <w:r w:rsidR="00530634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530634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530634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530634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530634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530634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4835EA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</w:p>
          <w:p w14:paraId="53C9CE0B" w14:textId="77777777" w:rsidR="004835EA" w:rsidRPr="00D35083" w:rsidRDefault="004835EA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0ECE553D" w14:textId="77777777" w:rsidR="004835EA" w:rsidRPr="00AB3F0A" w:rsidRDefault="004835EA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3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AB3F0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4835EA" w:rsidRPr="00391124" w14:paraId="63BD96A4" w14:textId="77777777" w:rsidTr="00AB3F0A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B3F0A" w:rsidRPr="00391124" w14:paraId="5D1B8649" w14:textId="77777777" w:rsidTr="00582F82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053F4C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759F8F6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B0D19B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65F1C9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CF99AFD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BBB620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46B7C7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051215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93595C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D8254A" w14:textId="77777777" w:rsidR="00AB3F0A" w:rsidRPr="007C630B" w:rsidRDefault="00AB3F0A" w:rsidP="00AB3F0A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03FB88D9" w14:textId="77777777" w:rsidR="004835EA" w:rsidRPr="00D35083" w:rsidRDefault="004835EA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7B48F90D" w14:textId="77777777" w:rsidR="00BD052B" w:rsidRDefault="00BD052B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BD052B" w:rsidSect="00245FB2">
          <w:pgSz w:w="11907" w:h="16839" w:code="9"/>
          <w:pgMar w:top="567" w:right="567" w:bottom="567" w:left="1134" w:header="284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0"/>
        <w:gridCol w:w="4218"/>
      </w:tblGrid>
      <w:tr w:rsidR="00654D5F" w:rsidRPr="00391124" w14:paraId="089091CF" w14:textId="77777777" w:rsidTr="00F17C93">
        <w:trPr>
          <w:trHeight w:val="1057"/>
        </w:trPr>
        <w:tc>
          <w:tcPr>
            <w:tcW w:w="3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19C7AAFD" w14:textId="31B22B04" w:rsidR="004835EA" w:rsidRPr="00D35083" w:rsidRDefault="004835EA" w:rsidP="00F82F11">
            <w:pPr>
              <w:pStyle w:val="Ch62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одиниця,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ЗОЗ/ФОП</w:t>
            </w:r>
            <w:r w:rsidR="00F82F11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F82F11">
              <w:rPr>
                <w:rStyle w:val="Bold"/>
                <w:rFonts w:asciiTheme="minorHAnsi" w:hAnsiTheme="minorHAnsi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ДУ «Центр громадського </w:t>
            </w:r>
            <w:proofErr w:type="spellStart"/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</w:t>
            </w:r>
            <w:proofErr w:type="spellEnd"/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 w:rsidR="00F82F11" w:rsidRP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>я МОЗ України»</w:t>
            </w:r>
            <w:r w:rsidR="002A6CF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1BF77199" w14:textId="3DD627D7" w:rsidR="004835EA" w:rsidRPr="00D35083" w:rsidRDefault="004835EA" w:rsidP="00654D5F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7ECDAB35" w14:textId="77777777" w:rsidR="004835EA" w:rsidRPr="00D35083" w:rsidRDefault="004835EA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зареєстровані</w:t>
            </w:r>
          </w:p>
          <w:p w14:paraId="0A1BA94B" w14:textId="152574A3" w:rsidR="004835EA" w:rsidRPr="00391124" w:rsidRDefault="00EC27C9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8"/>
                <w:szCs w:val="28"/>
              </w:rPr>
            </w:pPr>
            <w:r w:rsidRPr="00F17C9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У </w:t>
            </w:r>
            <w:r w:rsidRPr="00F17C93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C93" w:rsidRPr="00F17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35E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4835EA"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 w:rsidR="004835EA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4835EA"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</w:t>
            </w:r>
            <w:r w:rsidR="00391124"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</w:t>
            </w:r>
            <w:r w:rsidR="00733CF6"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4</w:t>
            </w:r>
            <w:r w:rsid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4835EA" w:rsidRPr="0039112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року</w:t>
            </w:r>
            <w:r w:rsidR="00391124" w:rsidRPr="0039112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="00391124" w:rsidRPr="00391124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(1000)</w:t>
            </w:r>
          </w:p>
          <w:p w14:paraId="332E0C09" w14:textId="671EAE7F" w:rsidR="00391124" w:rsidRPr="00F17C93" w:rsidRDefault="00391124" w:rsidP="00F17C9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F17C9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4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733CF6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9112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року </w:t>
            </w:r>
            <w:r w:rsidRPr="00391124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391124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000)</w:t>
            </w:r>
          </w:p>
        </w:tc>
      </w:tr>
    </w:tbl>
    <w:p w14:paraId="2D367231" w14:textId="77777777" w:rsidR="004835EA" w:rsidRPr="00D35083" w:rsidRDefault="004835EA" w:rsidP="004835EA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245FB2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Проміжні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Риф-ТБ/МЛС-ТБ/пре-ШЛС-ТБ/ШЛС-ТБ,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схемами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18–20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448"/>
        <w:gridCol w:w="2590"/>
        <w:gridCol w:w="1492"/>
        <w:gridCol w:w="1601"/>
        <w:gridCol w:w="1340"/>
        <w:gridCol w:w="726"/>
        <w:gridCol w:w="874"/>
        <w:gridCol w:w="1604"/>
        <w:gridCol w:w="2663"/>
      </w:tblGrid>
      <w:tr w:rsidR="004835EA" w:rsidRPr="00391124" w14:paraId="4229DFEF" w14:textId="77777777" w:rsidTr="00C160B1">
        <w:trPr>
          <w:trHeight w:val="69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C779ED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B9D2E73" w14:textId="77777777" w:rsidR="004835EA" w:rsidRPr="00245FB2" w:rsidRDefault="004835EA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0BB1D7" w14:textId="77777777" w:rsidR="004835EA" w:rsidRPr="00245FB2" w:rsidRDefault="004835EA" w:rsidP="00582F82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випадків, лікування яких було розпочате</w:t>
            </w:r>
          </w:p>
          <w:p w14:paraId="03B26A90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у звітному періоді</w:t>
            </w:r>
          </w:p>
        </w:tc>
        <w:tc>
          <w:tcPr>
            <w:tcW w:w="34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EC78A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Проміжні результати через 6 місяців лікування</w:t>
            </w:r>
          </w:p>
        </w:tc>
      </w:tr>
      <w:tr w:rsidR="004835EA" w:rsidRPr="00245FB2" w14:paraId="3FFC372D" w14:textId="77777777" w:rsidTr="00C160B1">
        <w:trPr>
          <w:trHeight w:val="288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5C1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676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58B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AD45E5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Результати бактеріологічного дослідження  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5F3835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Вибули з -під нагляду </w:t>
            </w:r>
          </w:p>
        </w:tc>
      </w:tr>
      <w:tr w:rsidR="004835EA" w:rsidRPr="00245FB2" w14:paraId="5F87134B" w14:textId="77777777" w:rsidTr="00C160B1">
        <w:trPr>
          <w:trHeight w:val="209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7EBB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AD6A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A16A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D142E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EC1D27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71F21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Невідомий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E23D8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E87A8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</w:tr>
      <w:tr w:rsidR="004835EA" w:rsidRPr="00245FB2" w14:paraId="59C57B88" w14:textId="77777777" w:rsidTr="00C160B1">
        <w:trPr>
          <w:trHeight w:val="174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073A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3E2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0CF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AD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B8D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A3D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7E9B71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E0F3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39E680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793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835EA" w:rsidRPr="00245FB2" w14:paraId="6D6F89E3" w14:textId="77777777" w:rsidTr="00C160B1">
        <w:trPr>
          <w:trHeight w:val="181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20F50A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531EF" w14:textId="77777777" w:rsidR="004835EA" w:rsidRPr="0090414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98B99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AD241B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4EEA2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7921B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07ED7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EF206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F7839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FB5D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F17C93" w:rsidRPr="00245FB2" w14:paraId="0AE1D158" w14:textId="77777777" w:rsidTr="00C160B1">
        <w:trPr>
          <w:trHeight w:val="264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9BDAD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Риф-ТБ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E8B8F" w14:textId="77777777" w:rsidR="00F17C93" w:rsidRPr="0090414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CD492" w14:textId="45FFB9A8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14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3ED56" w14:textId="7E823B44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10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4BF4D" w14:textId="6528ACB7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BDC9D" w14:textId="6476E2F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B6599" w14:textId="3FEEDD1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5945F" w14:textId="49A40196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9C8AB" w14:textId="33DDAF9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41EE2" w14:textId="5AA6BE86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400C">
              <w:t>0</w:t>
            </w:r>
          </w:p>
        </w:tc>
      </w:tr>
      <w:tr w:rsidR="00F17C93" w:rsidRPr="00245FB2" w14:paraId="5A80E7C2" w14:textId="77777777" w:rsidTr="00C160B1">
        <w:trPr>
          <w:trHeight w:val="126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8DF95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61CF5" w14:textId="77777777" w:rsidR="00F17C93" w:rsidRPr="0090414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1EE4D" w14:textId="026EBB58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61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FA6DC" w14:textId="6D15DE95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39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12A2D" w14:textId="7B08DC22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BDB89" w14:textId="1DF20BC0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1F2C9" w14:textId="69B980E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7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BBE98" w14:textId="0C938BBE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BA230" w14:textId="1364BFB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9E487" w14:textId="1B1C3C42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0449">
              <w:t>8</w:t>
            </w:r>
          </w:p>
        </w:tc>
      </w:tr>
      <w:tr w:rsidR="00F17C93" w:rsidRPr="00245FB2" w14:paraId="1EFF9E42" w14:textId="77777777" w:rsidTr="00C160B1">
        <w:trPr>
          <w:trHeight w:val="199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7D9B7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Пре-ШЛС-ТБ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80BF6" w14:textId="77777777" w:rsidR="00F17C93" w:rsidRPr="0090414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FA4F9" w14:textId="7168269B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45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8BEAC" w14:textId="439E0357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28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79AA3" w14:textId="1FF30456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42400" w14:textId="48FA2804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5E419" w14:textId="3FDDF3F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C7398" w14:textId="40E48A98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B3FE5" w14:textId="1AA5B07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F1E70" w14:textId="61700831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214F">
              <w:t>1</w:t>
            </w:r>
          </w:p>
        </w:tc>
      </w:tr>
      <w:tr w:rsidR="00F17C93" w:rsidRPr="00245FB2" w14:paraId="63DFC1F1" w14:textId="77777777" w:rsidTr="00C160B1">
        <w:trPr>
          <w:trHeight w:val="118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70F36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F5E2A" w14:textId="77777777" w:rsidR="00F17C93" w:rsidRPr="0090414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4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C390A" w14:textId="24565731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50EEC" w14:textId="1F5BCB4B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48DA" w14:textId="1F92C395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9BA39" w14:textId="5C65DB9B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9ED2F" w14:textId="4AA6B727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CDAB2" w14:textId="78CD37F2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EC876" w14:textId="73E82484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D42FE" w14:textId="2BCDC17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2905">
              <w:t>0</w:t>
            </w:r>
          </w:p>
        </w:tc>
      </w:tr>
      <w:tr w:rsidR="00F17C93" w:rsidRPr="00245FB2" w14:paraId="4E0249DE" w14:textId="77777777" w:rsidTr="00C160B1">
        <w:trPr>
          <w:trHeight w:val="177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0392F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E7280" w14:textId="77777777" w:rsidR="00F17C93" w:rsidRPr="0090414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5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B7BB5" w14:textId="3FCE77B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126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5951D" w14:textId="6ED2D26F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78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64284" w14:textId="28DFE64F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98A5" w14:textId="3093337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6D1DA" w14:textId="1A2998F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15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D5EDB" w14:textId="48DD5168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CB60C" w14:textId="6D88E649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0D6EF" w14:textId="37F760C0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7905">
              <w:t>9</w:t>
            </w:r>
          </w:p>
        </w:tc>
      </w:tr>
      <w:tr w:rsidR="00F17C93" w:rsidRPr="00245FB2" w14:paraId="09DD0F15" w14:textId="77777777" w:rsidTr="00C160B1">
        <w:trPr>
          <w:trHeight w:val="290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8A895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Не підтверджена резистентність*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83B4A" w14:textId="77777777" w:rsidR="00F17C93" w:rsidRPr="0090414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904142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6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75396" w14:textId="795A6858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75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E62D4" w14:textId="1C61E12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59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247D7" w14:textId="7208095B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AE170" w14:textId="395BE6FD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779E8" w14:textId="15B9465D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C6244" w14:textId="7FCD181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2B240" w14:textId="7A219D3D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D4280" w14:textId="769A359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46ACC">
              <w:t>5</w:t>
            </w:r>
          </w:p>
        </w:tc>
      </w:tr>
    </w:tbl>
    <w:p w14:paraId="00983F4C" w14:textId="77777777" w:rsidR="004835EA" w:rsidRPr="00D35083" w:rsidRDefault="004835EA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BC0EF98" w14:textId="77777777" w:rsidR="004835EA" w:rsidRPr="00654D5F" w:rsidRDefault="004835EA" w:rsidP="004835EA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654D5F">
        <w:rPr>
          <w:rFonts w:ascii="Times New Roman" w:hAnsi="Times New Roman" w:cs="Times New Roman"/>
          <w:w w:val="100"/>
          <w:sz w:val="20"/>
          <w:szCs w:val="20"/>
        </w:rPr>
        <w:t>*</w:t>
      </w:r>
      <w:r w:rsidRPr="00654D5F">
        <w:rPr>
          <w:rFonts w:ascii="Times New Roman" w:hAnsi="Times New Roman" w:cs="Times New Roman"/>
          <w:w w:val="100"/>
          <w:sz w:val="20"/>
          <w:szCs w:val="20"/>
        </w:rPr>
        <w:tab/>
        <w:t>випадки з контактів Риф-ТБ/МЛС-ТБ/пре-ШЛС-ТБ/ШЛС-ТБ; невдача лікування 1 курсу АМБТ у ВІЛ-позитивних пацієнтів; випадки ТБ, строк лікування яких становить більше 12 місяців</w:t>
      </w:r>
    </w:p>
    <w:p w14:paraId="63B481C5" w14:textId="77777777" w:rsidR="004835EA" w:rsidRPr="00D35083" w:rsidRDefault="004835EA" w:rsidP="00245FB2">
      <w:pPr>
        <w:pStyle w:val="TABL"/>
        <w:pageBreakBefore/>
        <w:tabs>
          <w:tab w:val="clear" w:pos="6350"/>
          <w:tab w:val="left" w:pos="2856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245FB2">
        <w:rPr>
          <w:rFonts w:ascii="Times New Roman" w:hAnsi="Times New Roman" w:cs="Times New Roman"/>
          <w:b w:val="0"/>
          <w:i/>
          <w:w w:val="100"/>
          <w:sz w:val="24"/>
          <w:szCs w:val="24"/>
        </w:rPr>
        <w:lastRenderedPageBreak/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45FB2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Проміжні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Риф-ТБ/пре-ШЛС-ТБ/МЛС-ТБ,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короткостроковими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схемами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тривалістю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6–11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448"/>
        <w:gridCol w:w="2581"/>
        <w:gridCol w:w="1386"/>
        <w:gridCol w:w="1601"/>
        <w:gridCol w:w="1461"/>
        <w:gridCol w:w="896"/>
        <w:gridCol w:w="874"/>
        <w:gridCol w:w="1604"/>
        <w:gridCol w:w="2638"/>
      </w:tblGrid>
      <w:tr w:rsidR="004835EA" w:rsidRPr="00391124" w14:paraId="1FB3CD99" w14:textId="77777777" w:rsidTr="00654D5F">
        <w:trPr>
          <w:trHeight w:val="242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E348FF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0741DBB" w14:textId="77777777" w:rsidR="004835EA" w:rsidRPr="00245FB2" w:rsidRDefault="004835EA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8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54029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випадків,  лікування яких було розпочате </w:t>
            </w: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у звітному періоді</w:t>
            </w:r>
          </w:p>
        </w:tc>
        <w:tc>
          <w:tcPr>
            <w:tcW w:w="34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9B4BB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Проміжні результати лікування через 2 місяці лікування</w:t>
            </w:r>
          </w:p>
        </w:tc>
      </w:tr>
      <w:tr w:rsidR="004835EA" w:rsidRPr="00245FB2" w14:paraId="29A03287" w14:textId="77777777" w:rsidTr="00654D5F">
        <w:trPr>
          <w:trHeight w:val="298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2991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885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B505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A4FDE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Результати бактеріологічного дослідження  після отримання 60 доз</w:t>
            </w:r>
          </w:p>
        </w:tc>
        <w:tc>
          <w:tcPr>
            <w:tcW w:w="1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A6C353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Вибули з-під нагляду</w:t>
            </w:r>
          </w:p>
        </w:tc>
      </w:tr>
      <w:tr w:rsidR="004835EA" w:rsidRPr="00245FB2" w14:paraId="65DA6438" w14:textId="77777777" w:rsidTr="00654D5F">
        <w:trPr>
          <w:trHeight w:val="216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3B0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C4B9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002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1A636B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64A88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A341A1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Невідомий</w:t>
            </w:r>
          </w:p>
        </w:tc>
        <w:tc>
          <w:tcPr>
            <w:tcW w:w="11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9827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B0272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</w:tr>
      <w:tr w:rsidR="004835EA" w:rsidRPr="00245FB2" w14:paraId="7BFBAEE7" w14:textId="77777777" w:rsidTr="00654D5F">
        <w:trPr>
          <w:trHeight w:val="18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B7E0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5B1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15C8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6482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BAAD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449B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68CC4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71445D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880C5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EF5E" w14:textId="77777777" w:rsidR="004835EA" w:rsidRPr="00245FB2" w:rsidRDefault="004835EA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835EA" w:rsidRPr="00245FB2" w14:paraId="37243F60" w14:textId="77777777" w:rsidTr="00654D5F">
        <w:trPr>
          <w:trHeight w:val="187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71D83F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8193F9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167BF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9DB2A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DB16DC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08A68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E8D4B4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4EF2C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C82AE7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229112" w14:textId="77777777" w:rsidR="004835EA" w:rsidRPr="00245FB2" w:rsidRDefault="004835EA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F17C93" w:rsidRPr="00245FB2" w14:paraId="75186A7D" w14:textId="77777777" w:rsidTr="00654D5F">
        <w:trPr>
          <w:trHeight w:val="247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00591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Риф-ТБ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24E4A" w14:textId="77777777" w:rsidR="00F17C93" w:rsidRPr="00245FB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232B8" w14:textId="2A5B605D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109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07B69" w14:textId="0E8CA3D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92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B3852" w14:textId="4476F1C2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C7F14" w14:textId="22257A38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3DB36" w14:textId="12CE688C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D8240" w14:textId="138D912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AD712" w14:textId="3906A49E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9B744" w14:textId="4EE60941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9196E">
              <w:t>5</w:t>
            </w:r>
          </w:p>
        </w:tc>
      </w:tr>
      <w:tr w:rsidR="00F17C93" w:rsidRPr="00245FB2" w14:paraId="0FED0C6D" w14:textId="77777777" w:rsidTr="00654D5F">
        <w:trPr>
          <w:trHeight w:val="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A45DB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6B38F" w14:textId="77777777" w:rsidR="00F17C93" w:rsidRPr="00245FB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335FD" w14:textId="452796F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400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AF7DD" w14:textId="1AD7D375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322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3A1AB" w14:textId="64D7F2C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34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DE26F" w14:textId="4B8A0D91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47079" w14:textId="0A3759E2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BBBFC" w14:textId="087FDD4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766EB" w14:textId="2C591D7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4444D" w14:textId="71CC90A2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F3517">
              <w:t>17</w:t>
            </w:r>
          </w:p>
        </w:tc>
      </w:tr>
      <w:tr w:rsidR="00F17C93" w:rsidRPr="00245FB2" w14:paraId="5E2B5BE4" w14:textId="77777777" w:rsidTr="00654D5F">
        <w:trPr>
          <w:trHeight w:val="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26BE5" w14:textId="77777777" w:rsidR="00F17C93" w:rsidRPr="00245FB2" w:rsidRDefault="00F17C93" w:rsidP="00F17C9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пре–ШЛС 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EFCE" w14:textId="77777777" w:rsidR="00F17C93" w:rsidRPr="00245FB2" w:rsidRDefault="00F17C93" w:rsidP="00F17C9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45FB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993D7" w14:textId="28A3CEAE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167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98F6B" w14:textId="2F3CB7A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124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006CA" w14:textId="475EAF0D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17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1443A" w14:textId="166E6BB4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364E5" w14:textId="25269409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2A0BF" w14:textId="5409E739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DAD75" w14:textId="1AF85A43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434D4" w14:textId="44AB8D0A" w:rsidR="00F17C93" w:rsidRPr="00245FB2" w:rsidRDefault="00F17C93" w:rsidP="00F17C9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D2808">
              <w:t>6</w:t>
            </w:r>
          </w:p>
        </w:tc>
      </w:tr>
    </w:tbl>
    <w:p w14:paraId="4071207B" w14:textId="77777777" w:rsidR="004835EA" w:rsidRPr="00D35083" w:rsidRDefault="004835EA" w:rsidP="004835E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261"/>
        <w:gridCol w:w="4108"/>
      </w:tblGrid>
      <w:tr w:rsidR="008F2E8C" w:rsidRPr="00333966" w14:paraId="293E0D6C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B73DDE8" w14:textId="084CEB50" w:rsidR="008F2E8C" w:rsidRPr="00333966" w:rsidRDefault="0033396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0</w:t>
            </w:r>
            <w:r w:rsidRPr="00333966">
              <w:rPr>
                <w:rFonts w:ascii="Times New Roman" w:hAnsi="Times New Roman" w:cs="Times New Roman"/>
                <w:sz w:val="20"/>
                <w:szCs w:val="20"/>
              </w:rPr>
              <w:t>1.08.2025</w:t>
            </w:r>
            <w:r w:rsidR="008F2E8C"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5714F475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9F30AFD" w14:textId="77777777" w:rsidR="008F2E8C" w:rsidRPr="00333966" w:rsidRDefault="008F2E8C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BF9679F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092531" w14:textId="0FE853F7" w:rsidR="008F2E8C" w:rsidRPr="00333966" w:rsidRDefault="0033396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Л</w:t>
            </w:r>
            <w:r w:rsidRPr="00333966">
              <w:rPr>
                <w:rFonts w:ascii="Times New Roman" w:hAnsi="Times New Roman" w:cs="Times New Roman"/>
                <w:sz w:val="20"/>
                <w:szCs w:val="20"/>
              </w:rPr>
              <w:t>.Прилепіна</w:t>
            </w:r>
            <w:proofErr w:type="spellEnd"/>
          </w:p>
          <w:p w14:paraId="1BE487E5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8F2E8C" w:rsidRPr="00333966" w14:paraId="4F86F7BD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C95A8AC" w14:textId="6EF17958" w:rsidR="008F2E8C" w:rsidRPr="00333966" w:rsidRDefault="0033396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0</w:t>
            </w:r>
            <w:r w:rsidRPr="00333966">
              <w:rPr>
                <w:rFonts w:ascii="Times New Roman" w:hAnsi="Times New Roman" w:cs="Times New Roman"/>
                <w:sz w:val="20"/>
                <w:szCs w:val="20"/>
              </w:rPr>
              <w:t>1.08.2025</w:t>
            </w:r>
            <w:r w:rsidR="008F2E8C"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474B06B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A0BBDC" w14:textId="77777777" w:rsidR="008F2E8C" w:rsidRPr="00333966" w:rsidRDefault="008F2E8C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053A93C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90331F" w14:textId="77777777" w:rsidR="008F2E8C" w:rsidRPr="00333966" w:rsidRDefault="008F2E8C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  <w:lang w:val="en-US"/>
              </w:rPr>
              <w:t xml:space="preserve">                          </w:t>
            </w: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 xml:space="preserve">Михайло </w:t>
            </w:r>
            <w:proofErr w:type="spellStart"/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Росада</w:t>
            </w:r>
            <w:proofErr w:type="spellEnd"/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_____</w:t>
            </w:r>
          </w:p>
          <w:p w14:paraId="1B05FB50" w14:textId="77777777" w:rsidR="008F2E8C" w:rsidRPr="00333966" w:rsidRDefault="008F2E8C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33966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8F2E8C" w:rsidRPr="00333966" w14:paraId="76908CE8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DAF909" w14:textId="2D48BB8B" w:rsidR="008F2E8C" w:rsidRPr="00333966" w:rsidRDefault="008F2E8C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</w:tbl>
    <w:p w14:paraId="1212DFD4" w14:textId="77777777" w:rsidR="004835EA" w:rsidRPr="00D35083" w:rsidRDefault="004835EA" w:rsidP="004835EA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</w:p>
    <w:p w14:paraId="17E4893D" w14:textId="77777777" w:rsidR="00006294" w:rsidRPr="00006294" w:rsidRDefault="00006294" w:rsidP="00006294">
      <w:pPr>
        <w:rPr>
          <w:lang w:val="uk-UA" w:eastAsia="uk-UA"/>
        </w:rPr>
      </w:pPr>
    </w:p>
    <w:bookmarkEnd w:id="0"/>
    <w:p w14:paraId="3571A40E" w14:textId="27BD85B2" w:rsidR="004835EA" w:rsidRDefault="004835E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CBEBAA8" w14:textId="2C0B9354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31FBE41" w14:textId="03D29B0F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9340F3" w14:textId="492F9473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5EE861" w14:textId="71059A97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088C63" w14:textId="05FEA3C9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4DE0634" w14:textId="24A0A480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D39166" w14:textId="6C7DDA28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3272426" w14:textId="7FA283C4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8A5FEBA" w14:textId="3329D740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7337622" w14:textId="3C47E5EC" w:rsidR="003338BA" w:rsidRDefault="003338BA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D4C53F8" w14:textId="7A3EDF8C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338B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drawing>
          <wp:inline distT="0" distB="0" distL="0" distR="0" wp14:anchorId="4CFBE596" wp14:editId="76A38554">
            <wp:extent cx="7430537" cy="5620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0537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2FDC3" w14:textId="2FD71C90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A6F9581" w14:textId="55C763DB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D4EBB46" w14:textId="307349CB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1E2B0A9" w14:textId="00A01AEA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9353C7B" w14:textId="2A5DFA60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25B02FC" w14:textId="288E7865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CAD79B4" w14:textId="1EA19A73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338B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drawing>
          <wp:inline distT="0" distB="0" distL="0" distR="0" wp14:anchorId="0B40751A" wp14:editId="42D91FB1">
            <wp:extent cx="6878010" cy="578248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8010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FCC1" w14:textId="24F01C30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A7624D9" w14:textId="11705BC9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E7DD9AB" w14:textId="5D143452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B282303" w14:textId="7DD41DED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D8D0668" w14:textId="363BA09E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88DA943" w14:textId="66B209BB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338B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drawing>
          <wp:inline distT="0" distB="0" distL="0" distR="0" wp14:anchorId="1122C64D" wp14:editId="7E1E2D05">
            <wp:extent cx="7135221" cy="5792008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5221" cy="579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C40F2" w14:textId="56265116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701AD35" w14:textId="365E9987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634B0A0" w14:textId="0E68C923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4F9037A" w14:textId="40074F43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378A56A" w14:textId="766EB8CF" w:rsidR="003338B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0B4CD38" w14:textId="1D8AB32C" w:rsidR="003338BA" w:rsidRPr="004835EA" w:rsidRDefault="003338BA" w:rsidP="003338BA">
      <w:pPr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338B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drawing>
          <wp:inline distT="0" distB="0" distL="0" distR="0" wp14:anchorId="6D085AED" wp14:editId="74951BEC">
            <wp:extent cx="6868484" cy="6192114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8484" cy="619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338BA" w:rsidRPr="004835EA" w:rsidSect="00BD052B">
      <w:pgSz w:w="16839" w:h="11907" w:orient="landscape" w:code="9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0349" w14:textId="77777777" w:rsidR="000C4B92" w:rsidRDefault="000C4B92" w:rsidP="00CB7AB4">
      <w:pPr>
        <w:spacing w:after="0" w:line="240" w:lineRule="auto"/>
      </w:pPr>
      <w:r>
        <w:separator/>
      </w:r>
    </w:p>
  </w:endnote>
  <w:endnote w:type="continuationSeparator" w:id="0">
    <w:p w14:paraId="6CB95700" w14:textId="77777777" w:rsidR="000C4B92" w:rsidRDefault="000C4B92" w:rsidP="00CB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BAD25" w14:textId="77777777" w:rsidR="000C4B92" w:rsidRDefault="000C4B92" w:rsidP="00CB7AB4">
      <w:pPr>
        <w:spacing w:after="0" w:line="240" w:lineRule="auto"/>
      </w:pPr>
      <w:r>
        <w:separator/>
      </w:r>
    </w:p>
  </w:footnote>
  <w:footnote w:type="continuationSeparator" w:id="0">
    <w:p w14:paraId="13E758D6" w14:textId="77777777" w:rsidR="000C4B92" w:rsidRDefault="000C4B92" w:rsidP="00CB7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45"/>
    <w:rsid w:val="00006294"/>
    <w:rsid w:val="0001496B"/>
    <w:rsid w:val="00065AA5"/>
    <w:rsid w:val="000A21DC"/>
    <w:rsid w:val="000C4B92"/>
    <w:rsid w:val="000F6F49"/>
    <w:rsid w:val="00154300"/>
    <w:rsid w:val="00177841"/>
    <w:rsid w:val="001C2652"/>
    <w:rsid w:val="00232E92"/>
    <w:rsid w:val="00245FB2"/>
    <w:rsid w:val="00276AD5"/>
    <w:rsid w:val="00281787"/>
    <w:rsid w:val="002A6CF9"/>
    <w:rsid w:val="003338BA"/>
    <w:rsid w:val="00333966"/>
    <w:rsid w:val="00391124"/>
    <w:rsid w:val="003D3B70"/>
    <w:rsid w:val="003E4E28"/>
    <w:rsid w:val="004835EA"/>
    <w:rsid w:val="004B785E"/>
    <w:rsid w:val="004E27C1"/>
    <w:rsid w:val="0052611E"/>
    <w:rsid w:val="00530634"/>
    <w:rsid w:val="0053465E"/>
    <w:rsid w:val="00545375"/>
    <w:rsid w:val="00645379"/>
    <w:rsid w:val="00654D5F"/>
    <w:rsid w:val="006D7285"/>
    <w:rsid w:val="007228B2"/>
    <w:rsid w:val="00732C46"/>
    <w:rsid w:val="00733CF6"/>
    <w:rsid w:val="00765115"/>
    <w:rsid w:val="00782854"/>
    <w:rsid w:val="00785047"/>
    <w:rsid w:val="007B581E"/>
    <w:rsid w:val="007D683F"/>
    <w:rsid w:val="00842705"/>
    <w:rsid w:val="00881A25"/>
    <w:rsid w:val="008C5995"/>
    <w:rsid w:val="008F2E8C"/>
    <w:rsid w:val="00904142"/>
    <w:rsid w:val="00932B88"/>
    <w:rsid w:val="009438C2"/>
    <w:rsid w:val="00947760"/>
    <w:rsid w:val="00975310"/>
    <w:rsid w:val="00976C48"/>
    <w:rsid w:val="009F7ECD"/>
    <w:rsid w:val="00A64EF0"/>
    <w:rsid w:val="00AB3F0A"/>
    <w:rsid w:val="00AC317D"/>
    <w:rsid w:val="00B047E6"/>
    <w:rsid w:val="00B0723C"/>
    <w:rsid w:val="00B155FF"/>
    <w:rsid w:val="00B217ED"/>
    <w:rsid w:val="00B25345"/>
    <w:rsid w:val="00B76119"/>
    <w:rsid w:val="00BD052B"/>
    <w:rsid w:val="00BE179A"/>
    <w:rsid w:val="00C160B1"/>
    <w:rsid w:val="00C77929"/>
    <w:rsid w:val="00C868CC"/>
    <w:rsid w:val="00CB7AB4"/>
    <w:rsid w:val="00CD61E7"/>
    <w:rsid w:val="00CE043B"/>
    <w:rsid w:val="00D76102"/>
    <w:rsid w:val="00D97175"/>
    <w:rsid w:val="00E01990"/>
    <w:rsid w:val="00E32667"/>
    <w:rsid w:val="00E3641D"/>
    <w:rsid w:val="00EA6970"/>
    <w:rsid w:val="00EB4372"/>
    <w:rsid w:val="00EC27C9"/>
    <w:rsid w:val="00EE50BE"/>
    <w:rsid w:val="00EF569B"/>
    <w:rsid w:val="00F17C93"/>
    <w:rsid w:val="00F31CA4"/>
    <w:rsid w:val="00F63B31"/>
    <w:rsid w:val="00F65675"/>
    <w:rsid w:val="00F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71F2A"/>
  <w15:docId w15:val="{EE045E4F-94E5-4DB9-BD13-E0B912B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4835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4835E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4835EA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4835EA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4835E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4835E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4835EA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4835E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4835E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4835EA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4835EA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4835E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4835E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CB7A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CB7AB4"/>
  </w:style>
  <w:style w:type="character" w:customStyle="1" w:styleId="st42">
    <w:name w:val="st42"/>
    <w:uiPriority w:val="99"/>
    <w:rsid w:val="00006294"/>
    <w:rPr>
      <w:color w:val="000000"/>
    </w:rPr>
  </w:style>
  <w:style w:type="character" w:customStyle="1" w:styleId="st121">
    <w:name w:val="st121"/>
    <w:uiPriority w:val="99"/>
    <w:rsid w:val="00006294"/>
    <w:rPr>
      <w:i/>
      <w:color w:val="000000"/>
    </w:rPr>
  </w:style>
  <w:style w:type="character" w:customStyle="1" w:styleId="st46">
    <w:name w:val="st46"/>
    <w:uiPriority w:val="99"/>
    <w:rsid w:val="00006294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Степура</dc:creator>
  <cp:lastModifiedBy>Людмила Прилепіна</cp:lastModifiedBy>
  <cp:revision>10</cp:revision>
  <dcterms:created xsi:type="dcterms:W3CDTF">2025-04-29T09:33:00Z</dcterms:created>
  <dcterms:modified xsi:type="dcterms:W3CDTF">2025-08-04T07:22:00Z</dcterms:modified>
</cp:coreProperties>
</file>