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A6416" w:rsidRDefault="007A6416">
      <w:pPr>
        <w:spacing w:before="69"/>
        <w:rPr>
          <w:b/>
          <w:sz w:val="20"/>
          <w:szCs w:val="20"/>
        </w:rPr>
      </w:pPr>
    </w:p>
    <w:p w14:paraId="00000002" w14:textId="77777777" w:rsidR="007A6416" w:rsidRDefault="007A641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3" w14:textId="77777777" w:rsidR="007A6416" w:rsidRDefault="00000000">
      <w:pPr>
        <w:pBdr>
          <w:top w:val="nil"/>
          <w:left w:val="nil"/>
          <w:bottom w:val="nil"/>
          <w:right w:val="nil"/>
          <w:between w:val="nil"/>
        </w:pBdr>
        <w:spacing w:before="139" w:line="276" w:lineRule="auto"/>
        <w:ind w:left="1198" w:right="1201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Національна технічна група експертів з питань імунопрофілактики (НТГЕІ)</w:t>
      </w:r>
    </w:p>
    <w:p w14:paraId="00000004" w14:textId="77777777" w:rsidR="007A6416" w:rsidRDefault="007A641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35"/>
          <w:szCs w:val="35"/>
        </w:rPr>
      </w:pPr>
    </w:p>
    <w:p w14:paraId="00000005" w14:textId="4A39C80C" w:rsidR="007A6416" w:rsidRDefault="00000000">
      <w:pPr>
        <w:pBdr>
          <w:top w:val="nil"/>
          <w:left w:val="nil"/>
          <w:bottom w:val="nil"/>
          <w:right w:val="nil"/>
          <w:between w:val="nil"/>
        </w:pBdr>
        <w:ind w:left="484" w:right="484" w:firstLine="48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ПОЗИЦІЯ № </w:t>
      </w:r>
      <w:r w:rsidR="00CF334F" w:rsidRPr="001360F0">
        <w:rPr>
          <w:b/>
          <w:color w:val="000000"/>
          <w:sz w:val="36"/>
          <w:szCs w:val="36"/>
          <w:lang w:val="ru-RU"/>
        </w:rPr>
        <w:t>08</w:t>
      </w:r>
      <w:r>
        <w:rPr>
          <w:b/>
          <w:color w:val="000000"/>
          <w:sz w:val="36"/>
          <w:szCs w:val="36"/>
        </w:rPr>
        <w:t>-0</w:t>
      </w:r>
      <w:r w:rsidR="00CF334F" w:rsidRPr="001360F0">
        <w:rPr>
          <w:b/>
          <w:color w:val="000000"/>
          <w:sz w:val="36"/>
          <w:szCs w:val="36"/>
          <w:lang w:val="ru-RU"/>
        </w:rPr>
        <w:t>9</w:t>
      </w:r>
      <w:r>
        <w:rPr>
          <w:b/>
          <w:color w:val="000000"/>
          <w:sz w:val="36"/>
          <w:szCs w:val="36"/>
        </w:rPr>
        <w:t>/202</w:t>
      </w:r>
      <w:r w:rsidR="00CF334F" w:rsidRPr="001360F0">
        <w:rPr>
          <w:b/>
          <w:color w:val="000000"/>
          <w:sz w:val="36"/>
          <w:szCs w:val="36"/>
          <w:lang w:val="ru-RU"/>
        </w:rPr>
        <w:t>5</w:t>
      </w:r>
      <w:r>
        <w:rPr>
          <w:b/>
          <w:color w:val="000000"/>
          <w:sz w:val="36"/>
          <w:szCs w:val="36"/>
        </w:rPr>
        <w:t>-</w:t>
      </w:r>
      <w:r>
        <w:rPr>
          <w:b/>
          <w:sz w:val="36"/>
          <w:szCs w:val="36"/>
        </w:rPr>
        <w:t>1</w:t>
      </w:r>
    </w:p>
    <w:p w14:paraId="00000006" w14:textId="77777777" w:rsidR="007A6416" w:rsidRDefault="00000000">
      <w:pPr>
        <w:spacing w:before="120"/>
        <w:ind w:left="486" w:right="484"/>
        <w:jc w:val="center"/>
        <w:rPr>
          <w:b/>
        </w:rPr>
      </w:pPr>
      <w:r>
        <w:rPr>
          <w:b/>
        </w:rPr>
        <w:t>(офіційна заява)</w:t>
      </w:r>
    </w:p>
    <w:p w14:paraId="23C13B8A" w14:textId="77777777" w:rsidR="00CF334F" w:rsidRPr="001360F0" w:rsidRDefault="00000000">
      <w:pPr>
        <w:spacing w:before="99" w:line="482" w:lineRule="auto"/>
        <w:ind w:left="487" w:right="4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Щодо рекомендації МОЗ України стосовно заходів з імунопрофілактики </w:t>
      </w:r>
    </w:p>
    <w:p w14:paraId="00000007" w14:textId="5F99A0F8" w:rsidR="007A6416" w:rsidRDefault="00000000">
      <w:pPr>
        <w:spacing w:before="99" w:line="482" w:lineRule="auto"/>
        <w:ind w:left="487" w:right="4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Дані рекомендації НТГЕІ мають рекомендований характер.</w:t>
      </w:r>
    </w:p>
    <w:p w14:paraId="06404C76" w14:textId="634FC845" w:rsidR="00CF334F" w:rsidRPr="001360F0" w:rsidRDefault="00CF334F" w:rsidP="00CF334F">
      <w:pPr>
        <w:pStyle w:val="a7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Hlk213071684"/>
      <w:r w:rsidRPr="00CF334F">
        <w:rPr>
          <w:b/>
          <w:bCs/>
          <w:color w:val="000000"/>
          <w:sz w:val="28"/>
          <w:szCs w:val="28"/>
        </w:rPr>
        <w:t xml:space="preserve">Офіційна позиція НТГЕІ щодо можливості використання </w:t>
      </w:r>
      <w:proofErr w:type="spellStart"/>
      <w:r w:rsidRPr="00CF334F">
        <w:rPr>
          <w:b/>
          <w:bCs/>
          <w:color w:val="000000"/>
          <w:sz w:val="28"/>
          <w:szCs w:val="28"/>
        </w:rPr>
        <w:t>моноклональних</w:t>
      </w:r>
      <w:proofErr w:type="spellEnd"/>
      <w:r w:rsidRPr="00CF334F">
        <w:rPr>
          <w:b/>
          <w:bCs/>
          <w:color w:val="000000"/>
          <w:sz w:val="28"/>
          <w:szCs w:val="28"/>
        </w:rPr>
        <w:t xml:space="preserve"> </w:t>
      </w:r>
      <w:bookmarkEnd w:id="0"/>
      <w:r w:rsidRPr="00CF334F">
        <w:rPr>
          <w:b/>
          <w:bCs/>
          <w:color w:val="000000"/>
          <w:sz w:val="28"/>
          <w:szCs w:val="28"/>
        </w:rPr>
        <w:t xml:space="preserve">антитіл замість </w:t>
      </w:r>
      <w:proofErr w:type="spellStart"/>
      <w:r w:rsidRPr="00CF334F">
        <w:rPr>
          <w:b/>
          <w:bCs/>
          <w:color w:val="000000"/>
          <w:sz w:val="28"/>
          <w:szCs w:val="28"/>
        </w:rPr>
        <w:t>антирабічного</w:t>
      </w:r>
      <w:proofErr w:type="spellEnd"/>
      <w:r w:rsidRPr="00CF334F">
        <w:rPr>
          <w:b/>
          <w:bCs/>
          <w:color w:val="000000"/>
          <w:sz w:val="28"/>
          <w:szCs w:val="28"/>
        </w:rPr>
        <w:t xml:space="preserve"> імуноглобуліну</w:t>
      </w:r>
    </w:p>
    <w:p w14:paraId="0CC789B3" w14:textId="77777777" w:rsidR="00CF334F" w:rsidRDefault="00CF334F" w:rsidP="00CF334F">
      <w:pPr>
        <w:pStyle w:val="a7"/>
        <w:spacing w:before="0" w:beforeAutospacing="0" w:after="16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У відповідь на звернення Міністерства охорони здоров’я України до НТГЕІ з проханням розглянути можливість використання </w:t>
      </w:r>
      <w:proofErr w:type="spellStart"/>
      <w:r>
        <w:rPr>
          <w:color w:val="000000"/>
          <w:sz w:val="28"/>
          <w:szCs w:val="28"/>
        </w:rPr>
        <w:t>моноклональних</w:t>
      </w:r>
      <w:proofErr w:type="spellEnd"/>
      <w:r>
        <w:rPr>
          <w:color w:val="000000"/>
          <w:sz w:val="28"/>
          <w:szCs w:val="28"/>
        </w:rPr>
        <w:t xml:space="preserve"> антитіл замість </w:t>
      </w:r>
      <w:proofErr w:type="spellStart"/>
      <w:r>
        <w:rPr>
          <w:color w:val="000000"/>
          <w:sz w:val="28"/>
          <w:szCs w:val="28"/>
        </w:rPr>
        <w:t>антирабічного</w:t>
      </w:r>
      <w:proofErr w:type="spellEnd"/>
      <w:r>
        <w:rPr>
          <w:color w:val="000000"/>
          <w:sz w:val="28"/>
          <w:szCs w:val="28"/>
        </w:rPr>
        <w:t xml:space="preserve"> імуноглобуліну надаємо офіційну позицію.</w:t>
      </w:r>
    </w:p>
    <w:p w14:paraId="5DFA4B6D" w14:textId="77777777" w:rsidR="00CF334F" w:rsidRDefault="00CF334F" w:rsidP="00CF334F">
      <w:pPr>
        <w:pStyle w:val="a7"/>
        <w:spacing w:before="0" w:beforeAutospacing="0" w:after="160" w:afterAutospacing="0"/>
        <w:ind w:firstLine="360"/>
        <w:jc w:val="both"/>
      </w:pPr>
      <w:r>
        <w:rPr>
          <w:color w:val="000000"/>
          <w:sz w:val="28"/>
          <w:szCs w:val="28"/>
        </w:rPr>
        <w:t>Дана позиція НТГЕІ ґрунтується на наступних твердженнях:</w:t>
      </w:r>
    </w:p>
    <w:p w14:paraId="662C85AA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НТГЕІ зазначає, що без належної </w:t>
      </w:r>
      <w:proofErr w:type="spellStart"/>
      <w:r w:rsidRPr="00CF334F">
        <w:rPr>
          <w:color w:val="000000"/>
          <w:sz w:val="28"/>
          <w:szCs w:val="28"/>
        </w:rPr>
        <w:t>постконтактної</w:t>
      </w:r>
      <w:proofErr w:type="spellEnd"/>
      <w:r w:rsidRPr="00CF334F">
        <w:rPr>
          <w:color w:val="000000"/>
          <w:sz w:val="28"/>
          <w:szCs w:val="28"/>
        </w:rPr>
        <w:t xml:space="preserve"> імунопрофілактики сказу, при появі симптомів хвороба має майже 100% летальність.</w:t>
      </w:r>
    </w:p>
    <w:p w14:paraId="5510A844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НТГЕІ вважає, що збільшення доступності до різних альтернативних варіантів препаратів для пасивної імунопрофілактики сказу (імуноглобулін </w:t>
      </w:r>
      <w:proofErr w:type="spellStart"/>
      <w:r w:rsidRPr="00CF334F">
        <w:rPr>
          <w:color w:val="000000"/>
          <w:sz w:val="28"/>
          <w:szCs w:val="28"/>
        </w:rPr>
        <w:t>антирабічний</w:t>
      </w:r>
      <w:proofErr w:type="spellEnd"/>
      <w:r w:rsidRPr="00CF334F">
        <w:rPr>
          <w:color w:val="000000"/>
          <w:sz w:val="28"/>
          <w:szCs w:val="28"/>
        </w:rPr>
        <w:t xml:space="preserve"> людський (ІАЛ), імуноглобулін </w:t>
      </w:r>
      <w:proofErr w:type="spellStart"/>
      <w:r w:rsidRPr="00CF334F">
        <w:rPr>
          <w:color w:val="000000"/>
          <w:sz w:val="28"/>
          <w:szCs w:val="28"/>
        </w:rPr>
        <w:t>антирабічний</w:t>
      </w:r>
      <w:proofErr w:type="spellEnd"/>
      <w:r w:rsidRPr="00CF334F">
        <w:rPr>
          <w:color w:val="000000"/>
          <w:sz w:val="28"/>
          <w:szCs w:val="28"/>
        </w:rPr>
        <w:t xml:space="preserve"> кінський (ІАК), </w:t>
      </w:r>
      <w:proofErr w:type="spellStart"/>
      <w:r w:rsidRPr="00CF334F">
        <w:rPr>
          <w:color w:val="000000"/>
          <w:sz w:val="28"/>
          <w:szCs w:val="28"/>
        </w:rPr>
        <w:t>моноклональні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антирабічні</w:t>
      </w:r>
      <w:proofErr w:type="spellEnd"/>
      <w:r w:rsidRPr="00CF334F">
        <w:rPr>
          <w:color w:val="000000"/>
          <w:sz w:val="28"/>
          <w:szCs w:val="28"/>
        </w:rPr>
        <w:t xml:space="preserve"> антитіла (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>)) сприятиме вирішенню проблеми своєчасності та повноти надання допомоги.</w:t>
      </w:r>
    </w:p>
    <w:p w14:paraId="7B142CEA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Клінічні дослідження продемонстрували, що </w:t>
      </w:r>
      <w:proofErr w:type="spellStart"/>
      <w:r w:rsidRPr="00CF334F">
        <w:rPr>
          <w:color w:val="000000"/>
          <w:sz w:val="28"/>
          <w:szCs w:val="28"/>
        </w:rPr>
        <w:t>моноклональні</w:t>
      </w:r>
      <w:proofErr w:type="spellEnd"/>
      <w:r w:rsidRPr="00CF334F">
        <w:rPr>
          <w:color w:val="000000"/>
          <w:sz w:val="28"/>
          <w:szCs w:val="28"/>
        </w:rPr>
        <w:t xml:space="preserve"> антитіла (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>) щонайменше такі ж ефективні щодо нейтралізації вірусу, як і ІАЛ, що отримують від вакцинованих. (</w:t>
      </w:r>
      <w:hyperlink r:id="rId6" w:history="1">
        <w:r w:rsidRPr="00CF334F">
          <w:rPr>
            <w:rStyle w:val="a8"/>
            <w:color w:val="0563C1"/>
            <w:sz w:val="28"/>
            <w:szCs w:val="28"/>
          </w:rPr>
          <w:t>https://www.researchgate.net/publication/394424000_Efficacy_and_safety_of_monoclonal_antibody_PEP_for_rabies</w:t>
        </w:r>
      </w:hyperlink>
      <w:r w:rsidRPr="00CF334F">
        <w:rPr>
          <w:color w:val="000000"/>
          <w:sz w:val="28"/>
          <w:szCs w:val="28"/>
        </w:rPr>
        <w:t>) </w:t>
      </w:r>
    </w:p>
    <w:p w14:paraId="500C02A5" w14:textId="2482BCEB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Дослідження </w:t>
      </w:r>
      <w:proofErr w:type="spellStart"/>
      <w:r w:rsidRPr="00CF334F">
        <w:rPr>
          <w:color w:val="000000"/>
          <w:sz w:val="28"/>
          <w:szCs w:val="28"/>
        </w:rPr>
        <w:t>in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vitro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продемострували</w:t>
      </w:r>
      <w:proofErr w:type="spellEnd"/>
      <w:r w:rsidRPr="00CF334F">
        <w:rPr>
          <w:color w:val="000000"/>
          <w:sz w:val="28"/>
          <w:szCs w:val="28"/>
        </w:rPr>
        <w:t xml:space="preserve"> ефективність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 у нейтралізації різних вірусів сказу, включаючи ті, що виявлені у європейських лисиць, собак, вовків та рисей.</w:t>
      </w:r>
      <w:r w:rsidRPr="00CF334F">
        <w:rPr>
          <w:color w:val="000000"/>
          <w:sz w:val="28"/>
          <w:szCs w:val="28"/>
        </w:rPr>
        <w:br/>
        <w:t>(</w:t>
      </w:r>
      <w:proofErr w:type="spellStart"/>
      <w:r w:rsidRPr="00CF334F">
        <w:rPr>
          <w:color w:val="000000"/>
          <w:sz w:val="28"/>
          <w:szCs w:val="28"/>
        </w:rPr>
        <w:t>Kansagra</w:t>
      </w:r>
      <w:proofErr w:type="spellEnd"/>
      <w:r w:rsidRPr="00CF334F">
        <w:rPr>
          <w:color w:val="000000"/>
          <w:sz w:val="28"/>
          <w:szCs w:val="28"/>
        </w:rPr>
        <w:t xml:space="preserve">, K. </w:t>
      </w:r>
      <w:proofErr w:type="spellStart"/>
      <w:r w:rsidRPr="00CF334F">
        <w:rPr>
          <w:color w:val="000000"/>
          <w:sz w:val="28"/>
          <w:szCs w:val="28"/>
        </w:rPr>
        <w:t>et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al</w:t>
      </w:r>
      <w:proofErr w:type="spellEnd"/>
      <w:r w:rsidRPr="00CF334F">
        <w:rPr>
          <w:color w:val="000000"/>
          <w:sz w:val="28"/>
          <w:szCs w:val="28"/>
        </w:rPr>
        <w:t xml:space="preserve">. A </w:t>
      </w:r>
      <w:proofErr w:type="spellStart"/>
      <w:r w:rsidRPr="00CF334F">
        <w:rPr>
          <w:color w:val="000000"/>
          <w:sz w:val="28"/>
          <w:szCs w:val="28"/>
        </w:rPr>
        <w:t>Phase</w:t>
      </w:r>
      <w:proofErr w:type="spellEnd"/>
      <w:r w:rsidRPr="00CF334F">
        <w:rPr>
          <w:color w:val="000000"/>
          <w:sz w:val="28"/>
          <w:szCs w:val="28"/>
        </w:rPr>
        <w:t xml:space="preserve"> 3, </w:t>
      </w:r>
      <w:proofErr w:type="spellStart"/>
      <w:r w:rsidRPr="00CF334F">
        <w:rPr>
          <w:color w:val="000000"/>
          <w:sz w:val="28"/>
          <w:szCs w:val="28"/>
        </w:rPr>
        <w:t>Randomized</w:t>
      </w:r>
      <w:proofErr w:type="spellEnd"/>
      <w:r w:rsidRPr="00CF334F">
        <w:rPr>
          <w:color w:val="000000"/>
          <w:sz w:val="28"/>
          <w:szCs w:val="28"/>
        </w:rPr>
        <w:t xml:space="preserve">, </w:t>
      </w:r>
      <w:proofErr w:type="spellStart"/>
      <w:r w:rsidRPr="00CF334F">
        <w:rPr>
          <w:color w:val="000000"/>
          <w:sz w:val="28"/>
          <w:szCs w:val="28"/>
        </w:rPr>
        <w:t>Open-label</w:t>
      </w:r>
      <w:proofErr w:type="spellEnd"/>
      <w:r w:rsidRPr="00CF334F">
        <w:rPr>
          <w:color w:val="000000"/>
          <w:sz w:val="28"/>
          <w:szCs w:val="28"/>
        </w:rPr>
        <w:t xml:space="preserve">, </w:t>
      </w:r>
      <w:proofErr w:type="spellStart"/>
      <w:r w:rsidRPr="00CF334F">
        <w:rPr>
          <w:color w:val="000000"/>
          <w:sz w:val="28"/>
          <w:szCs w:val="28"/>
        </w:rPr>
        <w:t>Noninferiority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Trial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Evaluating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Anti-Rabies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Monoclonal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Antibody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Cocktail</w:t>
      </w:r>
      <w:proofErr w:type="spellEnd"/>
      <w:r w:rsidRPr="00CF334F">
        <w:rPr>
          <w:color w:val="000000"/>
          <w:sz w:val="28"/>
          <w:szCs w:val="28"/>
        </w:rPr>
        <w:t xml:space="preserve"> (</w:t>
      </w:r>
      <w:proofErr w:type="spellStart"/>
      <w:r w:rsidRPr="00CF334F">
        <w:rPr>
          <w:color w:val="000000"/>
          <w:sz w:val="28"/>
          <w:szCs w:val="28"/>
        </w:rPr>
        <w:t>TwinrabTM</w:t>
      </w:r>
      <w:proofErr w:type="spellEnd"/>
      <w:r w:rsidRPr="00CF334F">
        <w:rPr>
          <w:color w:val="000000"/>
          <w:sz w:val="28"/>
          <w:szCs w:val="28"/>
        </w:rPr>
        <w:t xml:space="preserve">) </w:t>
      </w:r>
      <w:proofErr w:type="spellStart"/>
      <w:r w:rsidRPr="00CF334F">
        <w:rPr>
          <w:color w:val="000000"/>
          <w:sz w:val="28"/>
          <w:szCs w:val="28"/>
        </w:rPr>
        <w:t>Against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Human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Rabies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Immunoglobulin</w:t>
      </w:r>
      <w:proofErr w:type="spellEnd"/>
      <w:r w:rsidRPr="00CF334F">
        <w:rPr>
          <w:color w:val="000000"/>
          <w:sz w:val="28"/>
          <w:szCs w:val="28"/>
        </w:rPr>
        <w:t xml:space="preserve"> (HRIG). </w:t>
      </w:r>
      <w:proofErr w:type="spellStart"/>
      <w:r w:rsidRPr="00CF334F">
        <w:rPr>
          <w:color w:val="000000"/>
          <w:sz w:val="28"/>
          <w:szCs w:val="28"/>
        </w:rPr>
        <w:t>Clin</w:t>
      </w:r>
      <w:proofErr w:type="spellEnd"/>
      <w:r w:rsidRPr="00CF334F">
        <w:rPr>
          <w:color w:val="000000"/>
          <w:sz w:val="28"/>
          <w:szCs w:val="28"/>
        </w:rPr>
        <w:t xml:space="preserve">. </w:t>
      </w:r>
      <w:proofErr w:type="spellStart"/>
      <w:r w:rsidRPr="00CF334F">
        <w:rPr>
          <w:color w:val="000000"/>
          <w:sz w:val="28"/>
          <w:szCs w:val="28"/>
        </w:rPr>
        <w:t>Infect</w:t>
      </w:r>
      <w:proofErr w:type="spellEnd"/>
      <w:r w:rsidRPr="00CF334F">
        <w:rPr>
          <w:color w:val="000000"/>
          <w:sz w:val="28"/>
          <w:szCs w:val="28"/>
        </w:rPr>
        <w:t xml:space="preserve">. </w:t>
      </w:r>
      <w:proofErr w:type="spellStart"/>
      <w:r w:rsidRPr="00CF334F">
        <w:rPr>
          <w:color w:val="000000"/>
          <w:sz w:val="28"/>
          <w:szCs w:val="28"/>
        </w:rPr>
        <w:t>Dis</w:t>
      </w:r>
      <w:proofErr w:type="spellEnd"/>
      <w:r w:rsidRPr="00CF334F">
        <w:rPr>
          <w:color w:val="000000"/>
          <w:sz w:val="28"/>
          <w:szCs w:val="28"/>
        </w:rPr>
        <w:t>. 73, e2722–e2728 (2021).)</w:t>
      </w:r>
    </w:p>
    <w:p w14:paraId="77CE54AC" w14:textId="77777777" w:rsidR="00CF334F" w:rsidRPr="00CF334F" w:rsidRDefault="00CF334F" w:rsidP="00CF334F">
      <w:pPr>
        <w:pStyle w:val="a7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Проте </w:t>
      </w:r>
      <w:r w:rsidRPr="00CF334F">
        <w:rPr>
          <w:color w:val="1B1B1B"/>
          <w:sz w:val="28"/>
          <w:szCs w:val="28"/>
          <w:shd w:val="clear" w:color="auto" w:fill="FFFFFF"/>
        </w:rPr>
        <w:t xml:space="preserve">існує потенційне занепокоєння щодо препаратів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АМАт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, що містять лише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моноклональне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антитіло до одного антигену. Це занепокоєння пов’язано з тим, що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МААт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не було спроможним нейтралізувати рідкісний варіант вірусу сказу, виявлений у перуанських кажанів.</w:t>
      </w:r>
      <w:r w:rsidRPr="00CF334F">
        <w:rPr>
          <w:color w:val="1B1B1B"/>
          <w:sz w:val="28"/>
          <w:szCs w:val="28"/>
          <w:shd w:val="clear" w:color="auto" w:fill="FFFFFF"/>
        </w:rPr>
        <w:br/>
        <w:t>(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Gogtay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NJ,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Munshi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R,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Ashwath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Narayana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DH,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Mahendra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BJ,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Kshirsagar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V,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Gunale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B,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Moore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S,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Cheslock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P,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Thaker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S,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Deshpande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S,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et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al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.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Comparison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of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a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novel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human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rabies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monoclonal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antibody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to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human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rabies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immunoglobulin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for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postexposure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prophylaxis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: a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phase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2/3,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randomized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single-blind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noninferiority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controlled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study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.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Clin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Infect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Dis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. 2018;66(3):387–95.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doi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>: 10.1093/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cid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>/cix791;</w:t>
      </w:r>
      <w:r w:rsidRPr="00CF334F">
        <w:rPr>
          <w:color w:val="1B1B1B"/>
          <w:sz w:val="28"/>
          <w:szCs w:val="28"/>
          <w:shd w:val="clear" w:color="auto" w:fill="FFFFFF"/>
        </w:rPr>
        <w:br/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lastRenderedPageBreak/>
        <w:t>Kuzmina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NA,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Kuzmin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IV,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Ellison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JA,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Rupprecht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CE.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Conservation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of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binding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epitopes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for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monoclonal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antibodies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on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the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rabies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virus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glycoprotein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. J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Antivir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Antiretrovir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 xml:space="preserve">. 2013;5:037–043. </w:t>
      </w:r>
      <w:proofErr w:type="spellStart"/>
      <w:r w:rsidRPr="00CF334F">
        <w:rPr>
          <w:color w:val="1B1B1B"/>
          <w:sz w:val="28"/>
          <w:szCs w:val="28"/>
          <w:shd w:val="clear" w:color="auto" w:fill="FFFFFF"/>
        </w:rPr>
        <w:t>doi</w:t>
      </w:r>
      <w:proofErr w:type="spellEnd"/>
      <w:r w:rsidRPr="00CF334F">
        <w:rPr>
          <w:color w:val="1B1B1B"/>
          <w:sz w:val="28"/>
          <w:szCs w:val="28"/>
          <w:shd w:val="clear" w:color="auto" w:fill="FFFFFF"/>
        </w:rPr>
        <w:t>: 10.4172/jaa.1000061)</w:t>
      </w:r>
    </w:p>
    <w:p w14:paraId="4193376E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Дані наукових досліджень свідчать про те, що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 можуть забезпечити більш ранній захист порівняно зі застосуванням препаратів імуноглобуліну, що отримані з сироватки. (</w:t>
      </w:r>
      <w:hyperlink r:id="rId7" w:history="1">
        <w:r w:rsidRPr="00CF334F">
          <w:rPr>
            <w:rStyle w:val="a8"/>
            <w:color w:val="0563C1"/>
            <w:sz w:val="28"/>
            <w:szCs w:val="28"/>
          </w:rPr>
          <w:t>https://doi.org/10.1016/j.vaccine.2021.08.066</w:t>
        </w:r>
      </w:hyperlink>
      <w:r w:rsidRPr="00CF334F">
        <w:rPr>
          <w:color w:val="000000"/>
          <w:sz w:val="28"/>
          <w:szCs w:val="28"/>
        </w:rPr>
        <w:t>)</w:t>
      </w:r>
    </w:p>
    <w:p w14:paraId="47C254FF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 демонструють прийнятний профіль безпеки, співставний або кращий, у порівнянні з традиційними препаратами </w:t>
      </w:r>
      <w:proofErr w:type="spellStart"/>
      <w:r w:rsidRPr="00CF334F">
        <w:rPr>
          <w:color w:val="000000"/>
          <w:sz w:val="28"/>
          <w:szCs w:val="28"/>
        </w:rPr>
        <w:t>антирабічного</w:t>
      </w:r>
      <w:proofErr w:type="spellEnd"/>
      <w:r w:rsidRPr="00CF334F">
        <w:rPr>
          <w:color w:val="000000"/>
          <w:sz w:val="28"/>
          <w:szCs w:val="28"/>
        </w:rPr>
        <w:t xml:space="preserve"> імуноглобуліну. </w:t>
      </w:r>
      <w:r w:rsidRPr="00CF334F">
        <w:rPr>
          <w:color w:val="000000"/>
          <w:sz w:val="28"/>
          <w:szCs w:val="28"/>
        </w:rPr>
        <w:br/>
        <w:t>(</w:t>
      </w:r>
      <w:hyperlink r:id="rId8" w:history="1">
        <w:r w:rsidRPr="00CF334F">
          <w:rPr>
            <w:rStyle w:val="a8"/>
            <w:color w:val="0563C1"/>
            <w:sz w:val="28"/>
            <w:szCs w:val="28"/>
          </w:rPr>
          <w:t>https://doi.org/10.1038/s41541-025-01109-w</w:t>
        </w:r>
      </w:hyperlink>
      <w:r w:rsidRPr="00CF334F">
        <w:rPr>
          <w:color w:val="000000"/>
          <w:sz w:val="28"/>
          <w:szCs w:val="28"/>
        </w:rPr>
        <w:t xml:space="preserve">; </w:t>
      </w:r>
      <w:hyperlink r:id="rId9" w:history="1">
        <w:r w:rsidRPr="00CF334F">
          <w:rPr>
            <w:rStyle w:val="a8"/>
            <w:color w:val="0563C1"/>
            <w:sz w:val="28"/>
            <w:szCs w:val="28"/>
          </w:rPr>
          <w:t>http://dx.doi.org/10.1038/s41541-025-01109-w</w:t>
        </w:r>
      </w:hyperlink>
      <w:r w:rsidRPr="00CF334F">
        <w:rPr>
          <w:color w:val="000000"/>
          <w:sz w:val="28"/>
          <w:szCs w:val="28"/>
        </w:rPr>
        <w:t>)</w:t>
      </w:r>
    </w:p>
    <w:p w14:paraId="054392E8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Клінічні дослідження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>, включаючи дослідження фази 3, підтвердили його ефективність, що не поступається ІАЛ.</w:t>
      </w:r>
      <w:r w:rsidRPr="00CF334F">
        <w:rPr>
          <w:color w:val="000000"/>
          <w:sz w:val="28"/>
          <w:szCs w:val="28"/>
        </w:rPr>
        <w:br/>
        <w:t>(</w:t>
      </w:r>
      <w:proofErr w:type="spellStart"/>
      <w:r w:rsidRPr="00CF334F">
        <w:rPr>
          <w:color w:val="000000"/>
          <w:sz w:val="28"/>
          <w:szCs w:val="28"/>
        </w:rPr>
        <w:t>Kansagra</w:t>
      </w:r>
      <w:proofErr w:type="spellEnd"/>
      <w:r w:rsidRPr="00CF334F">
        <w:rPr>
          <w:color w:val="000000"/>
          <w:sz w:val="28"/>
          <w:szCs w:val="28"/>
        </w:rPr>
        <w:t xml:space="preserve">, K. </w:t>
      </w:r>
      <w:proofErr w:type="spellStart"/>
      <w:r w:rsidRPr="00CF334F">
        <w:rPr>
          <w:color w:val="000000"/>
          <w:sz w:val="28"/>
          <w:szCs w:val="28"/>
        </w:rPr>
        <w:t>et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al</w:t>
      </w:r>
      <w:proofErr w:type="spellEnd"/>
      <w:r w:rsidRPr="00CF334F">
        <w:rPr>
          <w:color w:val="000000"/>
          <w:sz w:val="28"/>
          <w:szCs w:val="28"/>
        </w:rPr>
        <w:t xml:space="preserve">. A </w:t>
      </w:r>
      <w:proofErr w:type="spellStart"/>
      <w:r w:rsidRPr="00CF334F">
        <w:rPr>
          <w:color w:val="000000"/>
          <w:sz w:val="28"/>
          <w:szCs w:val="28"/>
        </w:rPr>
        <w:t>Phase</w:t>
      </w:r>
      <w:proofErr w:type="spellEnd"/>
      <w:r w:rsidRPr="00CF334F">
        <w:rPr>
          <w:color w:val="000000"/>
          <w:sz w:val="28"/>
          <w:szCs w:val="28"/>
        </w:rPr>
        <w:t xml:space="preserve"> 3, </w:t>
      </w:r>
      <w:proofErr w:type="spellStart"/>
      <w:r w:rsidRPr="00CF334F">
        <w:rPr>
          <w:color w:val="000000"/>
          <w:sz w:val="28"/>
          <w:szCs w:val="28"/>
        </w:rPr>
        <w:t>Randomized</w:t>
      </w:r>
      <w:proofErr w:type="spellEnd"/>
      <w:r w:rsidRPr="00CF334F">
        <w:rPr>
          <w:color w:val="000000"/>
          <w:sz w:val="28"/>
          <w:szCs w:val="28"/>
        </w:rPr>
        <w:t xml:space="preserve">, </w:t>
      </w:r>
      <w:proofErr w:type="spellStart"/>
      <w:r w:rsidRPr="00CF334F">
        <w:rPr>
          <w:color w:val="000000"/>
          <w:sz w:val="28"/>
          <w:szCs w:val="28"/>
        </w:rPr>
        <w:t>Open-label</w:t>
      </w:r>
      <w:proofErr w:type="spellEnd"/>
      <w:r w:rsidRPr="00CF334F">
        <w:rPr>
          <w:color w:val="000000"/>
          <w:sz w:val="28"/>
          <w:szCs w:val="28"/>
        </w:rPr>
        <w:t xml:space="preserve">, </w:t>
      </w:r>
      <w:proofErr w:type="spellStart"/>
      <w:r w:rsidRPr="00CF334F">
        <w:rPr>
          <w:color w:val="000000"/>
          <w:sz w:val="28"/>
          <w:szCs w:val="28"/>
        </w:rPr>
        <w:t>Noninferiority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Trial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Evaluating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Anti-Rabies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Monoclonal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Antibody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Cocktail</w:t>
      </w:r>
      <w:proofErr w:type="spellEnd"/>
      <w:r w:rsidRPr="00CF334F">
        <w:rPr>
          <w:color w:val="000000"/>
          <w:sz w:val="28"/>
          <w:szCs w:val="28"/>
        </w:rPr>
        <w:t xml:space="preserve"> (</w:t>
      </w:r>
      <w:proofErr w:type="spellStart"/>
      <w:r w:rsidRPr="00CF334F">
        <w:rPr>
          <w:color w:val="000000"/>
          <w:sz w:val="28"/>
          <w:szCs w:val="28"/>
        </w:rPr>
        <w:t>TwinrabTM</w:t>
      </w:r>
      <w:proofErr w:type="spellEnd"/>
      <w:r w:rsidRPr="00CF334F">
        <w:rPr>
          <w:color w:val="000000"/>
          <w:sz w:val="28"/>
          <w:szCs w:val="28"/>
        </w:rPr>
        <w:t xml:space="preserve">) </w:t>
      </w:r>
      <w:proofErr w:type="spellStart"/>
      <w:r w:rsidRPr="00CF334F">
        <w:rPr>
          <w:color w:val="000000"/>
          <w:sz w:val="28"/>
          <w:szCs w:val="28"/>
        </w:rPr>
        <w:t>Against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Human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Rabies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Immunoglobulin</w:t>
      </w:r>
      <w:proofErr w:type="spellEnd"/>
      <w:r w:rsidRPr="00CF334F">
        <w:rPr>
          <w:color w:val="000000"/>
          <w:sz w:val="28"/>
          <w:szCs w:val="28"/>
        </w:rPr>
        <w:t xml:space="preserve"> (HRIG). </w:t>
      </w:r>
      <w:proofErr w:type="spellStart"/>
      <w:r w:rsidRPr="00CF334F">
        <w:rPr>
          <w:color w:val="000000"/>
          <w:sz w:val="28"/>
          <w:szCs w:val="28"/>
        </w:rPr>
        <w:t>Clin</w:t>
      </w:r>
      <w:proofErr w:type="spellEnd"/>
      <w:r w:rsidRPr="00CF334F">
        <w:rPr>
          <w:color w:val="000000"/>
          <w:sz w:val="28"/>
          <w:szCs w:val="28"/>
        </w:rPr>
        <w:t xml:space="preserve">. </w:t>
      </w:r>
      <w:proofErr w:type="spellStart"/>
      <w:r w:rsidRPr="00CF334F">
        <w:rPr>
          <w:color w:val="000000"/>
          <w:sz w:val="28"/>
          <w:szCs w:val="28"/>
        </w:rPr>
        <w:t>Infect</w:t>
      </w:r>
      <w:proofErr w:type="spellEnd"/>
      <w:r w:rsidRPr="00CF334F">
        <w:rPr>
          <w:color w:val="000000"/>
          <w:sz w:val="28"/>
          <w:szCs w:val="28"/>
        </w:rPr>
        <w:t xml:space="preserve">. </w:t>
      </w:r>
      <w:proofErr w:type="spellStart"/>
      <w:r w:rsidRPr="00CF334F">
        <w:rPr>
          <w:color w:val="000000"/>
          <w:sz w:val="28"/>
          <w:szCs w:val="28"/>
        </w:rPr>
        <w:t>Dis</w:t>
      </w:r>
      <w:proofErr w:type="spellEnd"/>
      <w:r w:rsidRPr="00CF334F">
        <w:rPr>
          <w:color w:val="000000"/>
          <w:sz w:val="28"/>
          <w:szCs w:val="28"/>
        </w:rPr>
        <w:t>. 73, e2722–e2728 (2021).)</w:t>
      </w:r>
    </w:p>
    <w:p w14:paraId="0C6780B6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Позиція ВООЗ щодо препаратів </w:t>
      </w:r>
      <w:proofErr w:type="spellStart"/>
      <w:r w:rsidRPr="00CF334F">
        <w:rPr>
          <w:color w:val="000000"/>
          <w:sz w:val="28"/>
          <w:szCs w:val="28"/>
        </w:rPr>
        <w:t>антирабічних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моноклональних</w:t>
      </w:r>
      <w:proofErr w:type="spellEnd"/>
      <w:r w:rsidRPr="00CF334F">
        <w:rPr>
          <w:color w:val="000000"/>
          <w:sz w:val="28"/>
          <w:szCs w:val="28"/>
        </w:rPr>
        <w:t xml:space="preserve"> антитіл</w:t>
      </w:r>
    </w:p>
    <w:p w14:paraId="79C182F5" w14:textId="77777777" w:rsidR="00CF334F" w:rsidRPr="00CF334F" w:rsidRDefault="00CF334F" w:rsidP="00CF334F">
      <w:pPr>
        <w:pStyle w:val="a7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1F1F1F"/>
          <w:sz w:val="28"/>
          <w:szCs w:val="28"/>
        </w:rPr>
        <w:t xml:space="preserve">ВООЗ рекомендує за можливості використовувати препарати </w:t>
      </w:r>
      <w:proofErr w:type="spellStart"/>
      <w:r w:rsidRPr="00CF334F">
        <w:rPr>
          <w:color w:val="1F1F1F"/>
          <w:sz w:val="28"/>
          <w:szCs w:val="28"/>
        </w:rPr>
        <w:t>МААт</w:t>
      </w:r>
      <w:proofErr w:type="spellEnd"/>
      <w:r w:rsidRPr="00CF334F">
        <w:rPr>
          <w:color w:val="1F1F1F"/>
          <w:sz w:val="28"/>
          <w:szCs w:val="28"/>
        </w:rPr>
        <w:t xml:space="preserve"> замість препаратів імуноглобуліну проти сказу.</w:t>
      </w:r>
      <w:r w:rsidRPr="00CF334F">
        <w:rPr>
          <w:color w:val="1F1F1F"/>
          <w:sz w:val="28"/>
          <w:szCs w:val="28"/>
        </w:rPr>
        <w:br/>
        <w:t>(</w:t>
      </w:r>
      <w:proofErr w:type="spellStart"/>
      <w:r w:rsidRPr="00CF334F">
        <w:rPr>
          <w:color w:val="1F1F1F"/>
          <w:sz w:val="28"/>
          <w:szCs w:val="28"/>
        </w:rPr>
        <w:t>Rabies</w:t>
      </w:r>
      <w:proofErr w:type="spellEnd"/>
      <w:r w:rsidRPr="00CF334F">
        <w:rPr>
          <w:color w:val="1F1F1F"/>
          <w:sz w:val="28"/>
          <w:szCs w:val="28"/>
        </w:rPr>
        <w:t xml:space="preserve"> </w:t>
      </w:r>
      <w:proofErr w:type="spellStart"/>
      <w:r w:rsidRPr="00CF334F">
        <w:rPr>
          <w:color w:val="1F1F1F"/>
          <w:sz w:val="28"/>
          <w:szCs w:val="28"/>
        </w:rPr>
        <w:t>vaccines</w:t>
      </w:r>
      <w:proofErr w:type="spellEnd"/>
      <w:r w:rsidRPr="00CF334F">
        <w:rPr>
          <w:color w:val="1F1F1F"/>
          <w:sz w:val="28"/>
          <w:szCs w:val="28"/>
        </w:rPr>
        <w:t xml:space="preserve">: WHO </w:t>
      </w:r>
      <w:proofErr w:type="spellStart"/>
      <w:r w:rsidRPr="00CF334F">
        <w:rPr>
          <w:color w:val="1F1F1F"/>
          <w:sz w:val="28"/>
          <w:szCs w:val="28"/>
        </w:rPr>
        <w:t>position</w:t>
      </w:r>
      <w:proofErr w:type="spellEnd"/>
      <w:r w:rsidRPr="00CF334F">
        <w:rPr>
          <w:color w:val="1F1F1F"/>
          <w:sz w:val="28"/>
          <w:szCs w:val="28"/>
        </w:rPr>
        <w:t xml:space="preserve"> </w:t>
      </w:r>
      <w:proofErr w:type="spellStart"/>
      <w:r w:rsidRPr="00CF334F">
        <w:rPr>
          <w:color w:val="1F1F1F"/>
          <w:sz w:val="28"/>
          <w:szCs w:val="28"/>
        </w:rPr>
        <w:t>paper</w:t>
      </w:r>
      <w:proofErr w:type="spellEnd"/>
      <w:r w:rsidRPr="00CF334F">
        <w:rPr>
          <w:color w:val="1F1F1F"/>
          <w:sz w:val="28"/>
          <w:szCs w:val="28"/>
        </w:rPr>
        <w:t xml:space="preserve"> – </w:t>
      </w:r>
      <w:proofErr w:type="spellStart"/>
      <w:r w:rsidRPr="00CF334F">
        <w:rPr>
          <w:color w:val="1F1F1F"/>
          <w:sz w:val="28"/>
          <w:szCs w:val="28"/>
        </w:rPr>
        <w:t>April</w:t>
      </w:r>
      <w:proofErr w:type="spellEnd"/>
      <w:r w:rsidRPr="00CF334F">
        <w:rPr>
          <w:color w:val="1F1F1F"/>
          <w:sz w:val="28"/>
          <w:szCs w:val="28"/>
        </w:rPr>
        <w:t xml:space="preserve"> 2018. https://www.who.int/publications/i/item/who-wer9316)</w:t>
      </w:r>
    </w:p>
    <w:p w14:paraId="0FC9DDBA" w14:textId="77777777" w:rsidR="00CF334F" w:rsidRPr="00CF334F" w:rsidRDefault="00CF334F" w:rsidP="00CF334F">
      <w:pPr>
        <w:pStyle w:val="a7"/>
        <w:numPr>
          <w:ilvl w:val="1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1F1F1F"/>
          <w:sz w:val="28"/>
          <w:szCs w:val="28"/>
        </w:rPr>
        <w:t xml:space="preserve">ВООЗ рекомендує надавати перевагу у використанні препаратам </w:t>
      </w:r>
      <w:proofErr w:type="spellStart"/>
      <w:r w:rsidRPr="00CF334F">
        <w:rPr>
          <w:color w:val="1F1F1F"/>
          <w:sz w:val="28"/>
          <w:szCs w:val="28"/>
        </w:rPr>
        <w:t>МААт</w:t>
      </w:r>
      <w:proofErr w:type="spellEnd"/>
      <w:r w:rsidRPr="00CF334F">
        <w:rPr>
          <w:color w:val="1F1F1F"/>
          <w:sz w:val="28"/>
          <w:szCs w:val="28"/>
        </w:rPr>
        <w:t xml:space="preserve">, що містять щонайменше два антитіла проти вірусу сказу («коктейлі» </w:t>
      </w:r>
      <w:proofErr w:type="spellStart"/>
      <w:r w:rsidRPr="00CF334F">
        <w:rPr>
          <w:color w:val="1F1F1F"/>
          <w:sz w:val="28"/>
          <w:szCs w:val="28"/>
        </w:rPr>
        <w:t>моноклональних</w:t>
      </w:r>
      <w:proofErr w:type="spellEnd"/>
      <w:r w:rsidRPr="00CF334F">
        <w:rPr>
          <w:color w:val="1F1F1F"/>
          <w:sz w:val="28"/>
          <w:szCs w:val="28"/>
        </w:rPr>
        <w:t xml:space="preserve"> антитіл).</w:t>
      </w:r>
      <w:r w:rsidRPr="00CF334F">
        <w:rPr>
          <w:color w:val="1F1F1F"/>
          <w:sz w:val="28"/>
          <w:szCs w:val="28"/>
        </w:rPr>
        <w:br/>
      </w:r>
      <w:r w:rsidRPr="00CF334F">
        <w:rPr>
          <w:color w:val="000000"/>
          <w:sz w:val="28"/>
          <w:szCs w:val="28"/>
        </w:rPr>
        <w:t>(</w:t>
      </w:r>
      <w:proofErr w:type="spellStart"/>
      <w:r w:rsidRPr="00CF334F">
        <w:rPr>
          <w:color w:val="000000"/>
          <w:sz w:val="28"/>
          <w:szCs w:val="28"/>
        </w:rPr>
        <w:t>Protocol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for</w:t>
      </w:r>
      <w:proofErr w:type="spellEnd"/>
      <w:r w:rsidRPr="00CF334F">
        <w:rPr>
          <w:color w:val="000000"/>
          <w:sz w:val="28"/>
          <w:szCs w:val="28"/>
        </w:rPr>
        <w:t xml:space="preserve"> a </w:t>
      </w:r>
      <w:proofErr w:type="spellStart"/>
      <w:r w:rsidRPr="00CF334F">
        <w:rPr>
          <w:color w:val="000000"/>
          <w:sz w:val="28"/>
          <w:szCs w:val="28"/>
        </w:rPr>
        <w:t>well-performed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rabies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post-exposure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prophylaxis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delivery</w:t>
      </w:r>
      <w:proofErr w:type="spellEnd"/>
      <w:r w:rsidRPr="00CF334F">
        <w:rPr>
          <w:color w:val="000000"/>
          <w:sz w:val="28"/>
          <w:szCs w:val="28"/>
        </w:rPr>
        <w:t xml:space="preserve">: </w:t>
      </w:r>
      <w:proofErr w:type="spellStart"/>
      <w:r w:rsidRPr="00CF334F">
        <w:rPr>
          <w:color w:val="000000"/>
          <w:sz w:val="28"/>
          <w:szCs w:val="28"/>
        </w:rPr>
        <w:t>To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read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along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with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the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decision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trees</w:t>
      </w:r>
      <w:proofErr w:type="spellEnd"/>
      <w:r w:rsidRPr="00CF334F">
        <w:rPr>
          <w:color w:val="000000"/>
          <w:sz w:val="28"/>
          <w:szCs w:val="28"/>
        </w:rPr>
        <w:t xml:space="preserve">, 1- </w:t>
      </w:r>
      <w:proofErr w:type="spellStart"/>
      <w:r w:rsidRPr="00CF334F">
        <w:rPr>
          <w:color w:val="000000"/>
          <w:sz w:val="28"/>
          <w:szCs w:val="28"/>
        </w:rPr>
        <w:t>Wound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Risk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Assessment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and</w:t>
      </w:r>
      <w:proofErr w:type="spellEnd"/>
      <w:r w:rsidRPr="00CF334F">
        <w:rPr>
          <w:color w:val="000000"/>
          <w:sz w:val="28"/>
          <w:szCs w:val="28"/>
        </w:rPr>
        <w:t xml:space="preserve"> 2 - PEP </w:t>
      </w:r>
      <w:proofErr w:type="spellStart"/>
      <w:r w:rsidRPr="00CF334F">
        <w:rPr>
          <w:color w:val="000000"/>
          <w:sz w:val="28"/>
          <w:szCs w:val="28"/>
        </w:rPr>
        <w:t>Risk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Assessment</w:t>
      </w:r>
      <w:proofErr w:type="spellEnd"/>
      <w:r w:rsidRPr="00CF334F">
        <w:rPr>
          <w:color w:val="000000"/>
          <w:sz w:val="28"/>
          <w:szCs w:val="28"/>
        </w:rPr>
        <w:t xml:space="preserve">. </w:t>
      </w:r>
      <w:proofErr w:type="spellStart"/>
      <w:r w:rsidRPr="00CF334F">
        <w:rPr>
          <w:color w:val="000000"/>
          <w:sz w:val="28"/>
          <w:szCs w:val="28"/>
        </w:rPr>
        <w:t>Geneva</w:t>
      </w:r>
      <w:proofErr w:type="spellEnd"/>
      <w:r w:rsidRPr="00CF334F">
        <w:rPr>
          <w:color w:val="000000"/>
          <w:sz w:val="28"/>
          <w:szCs w:val="28"/>
        </w:rPr>
        <w:t xml:space="preserve">: </w:t>
      </w:r>
      <w:proofErr w:type="spellStart"/>
      <w:r w:rsidRPr="00CF334F">
        <w:rPr>
          <w:color w:val="000000"/>
          <w:sz w:val="28"/>
          <w:szCs w:val="28"/>
        </w:rPr>
        <w:t>World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Health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Organization</w:t>
      </w:r>
      <w:proofErr w:type="spellEnd"/>
      <w:r w:rsidRPr="00CF334F">
        <w:rPr>
          <w:color w:val="000000"/>
          <w:sz w:val="28"/>
          <w:szCs w:val="28"/>
        </w:rPr>
        <w:t>; 2024. https://doi.org/10.2471/B09018)</w:t>
      </w:r>
    </w:p>
    <w:p w14:paraId="4E4BF1A0" w14:textId="77777777" w:rsidR="00CF334F" w:rsidRPr="00CF334F" w:rsidRDefault="00CF334F" w:rsidP="00CF334F">
      <w:pPr>
        <w:pStyle w:val="a7"/>
        <w:numPr>
          <w:ilvl w:val="1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1F1F1F"/>
          <w:sz w:val="28"/>
          <w:szCs w:val="28"/>
        </w:rPr>
        <w:t xml:space="preserve">Препарати </w:t>
      </w:r>
      <w:proofErr w:type="spellStart"/>
      <w:r w:rsidRPr="00CF334F">
        <w:rPr>
          <w:color w:val="1F1F1F"/>
          <w:sz w:val="28"/>
          <w:szCs w:val="28"/>
        </w:rPr>
        <w:t>МААт</w:t>
      </w:r>
      <w:proofErr w:type="spellEnd"/>
      <w:r w:rsidRPr="00CF334F">
        <w:rPr>
          <w:color w:val="1F1F1F"/>
          <w:sz w:val="28"/>
          <w:szCs w:val="28"/>
        </w:rPr>
        <w:t xml:space="preserve"> включені до переліку основних лікарських засобів ВООЗ з 2021 року.</w:t>
      </w:r>
      <w:r w:rsidRPr="00CF334F">
        <w:rPr>
          <w:color w:val="1F1F1F"/>
          <w:sz w:val="28"/>
          <w:szCs w:val="28"/>
        </w:rPr>
        <w:br/>
      </w:r>
      <w:r w:rsidRPr="00CF334F">
        <w:rPr>
          <w:color w:val="000000"/>
          <w:sz w:val="28"/>
          <w:szCs w:val="28"/>
        </w:rPr>
        <w:t xml:space="preserve">(WHO </w:t>
      </w:r>
      <w:proofErr w:type="spellStart"/>
      <w:r w:rsidRPr="00CF334F">
        <w:rPr>
          <w:color w:val="000000"/>
          <w:sz w:val="28"/>
          <w:szCs w:val="28"/>
        </w:rPr>
        <w:t>Model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List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of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Essential</w:t>
      </w:r>
      <w:proofErr w:type="spellEnd"/>
      <w:r w:rsidRPr="00CF334F">
        <w:rPr>
          <w:color w:val="000000"/>
          <w:sz w:val="28"/>
          <w:szCs w:val="28"/>
        </w:rPr>
        <w:t xml:space="preserve"> </w:t>
      </w:r>
      <w:proofErr w:type="spellStart"/>
      <w:r w:rsidRPr="00CF334F">
        <w:rPr>
          <w:color w:val="000000"/>
          <w:sz w:val="28"/>
          <w:szCs w:val="28"/>
        </w:rPr>
        <w:t>Medicines</w:t>
      </w:r>
      <w:proofErr w:type="spellEnd"/>
      <w:r w:rsidRPr="00CF334F">
        <w:rPr>
          <w:color w:val="000000"/>
          <w:sz w:val="28"/>
          <w:szCs w:val="28"/>
        </w:rPr>
        <w:t xml:space="preserve"> – 24th </w:t>
      </w:r>
      <w:proofErr w:type="spellStart"/>
      <w:r w:rsidRPr="00CF334F">
        <w:rPr>
          <w:color w:val="000000"/>
          <w:sz w:val="28"/>
          <w:szCs w:val="28"/>
        </w:rPr>
        <w:t>List</w:t>
      </w:r>
      <w:proofErr w:type="spellEnd"/>
      <w:r w:rsidRPr="00CF334F">
        <w:rPr>
          <w:color w:val="000000"/>
          <w:sz w:val="28"/>
          <w:szCs w:val="28"/>
        </w:rPr>
        <w:t xml:space="preserve"> (2025), p.50; https://iris.who.int/bitstream/handle/10665/382243/B09474-eng.pdf?sequence=1)</w:t>
      </w:r>
    </w:p>
    <w:p w14:paraId="528164C9" w14:textId="77777777" w:rsidR="00CF334F" w:rsidRPr="00CF334F" w:rsidRDefault="00CF334F" w:rsidP="00CF334F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1D35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Використання препаратів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 має ряд переваг</w:t>
      </w:r>
    </w:p>
    <w:p w14:paraId="49044ECE" w14:textId="77777777" w:rsidR="00CF334F" w:rsidRPr="00CF334F" w:rsidRDefault="00CF334F" w:rsidP="00CF334F">
      <w:pPr>
        <w:pStyle w:val="a7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F334F">
        <w:rPr>
          <w:color w:val="000000"/>
          <w:sz w:val="28"/>
          <w:szCs w:val="28"/>
        </w:rPr>
        <w:t>Моноклональні</w:t>
      </w:r>
      <w:proofErr w:type="spellEnd"/>
      <w:r w:rsidRPr="00CF334F">
        <w:rPr>
          <w:color w:val="000000"/>
          <w:sz w:val="28"/>
          <w:szCs w:val="28"/>
        </w:rPr>
        <w:t xml:space="preserve"> антитіла виробляються за допомогою генної інженерії, що дозволяє уникнути етичних проблем, пов'язаних з забором плазми у попередньо вакцинованих людей або тварин.</w:t>
      </w:r>
    </w:p>
    <w:p w14:paraId="4550223B" w14:textId="77777777" w:rsidR="00CF334F" w:rsidRPr="00CF334F" w:rsidRDefault="00CF334F" w:rsidP="00CF334F">
      <w:pPr>
        <w:pStyle w:val="a7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Виробництво препаратів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 дозволяє досягати кращої стандартизації, ретельно контролювати процеси та якість.</w:t>
      </w:r>
    </w:p>
    <w:p w14:paraId="2E3E12C4" w14:textId="77777777" w:rsidR="00CF334F" w:rsidRPr="00CF334F" w:rsidRDefault="00CF334F" w:rsidP="00CF334F">
      <w:pPr>
        <w:pStyle w:val="a7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Препарати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 рідше пов'язані із системними реакціями, які іноді спостерігаються при застосуванні </w:t>
      </w:r>
      <w:proofErr w:type="spellStart"/>
      <w:r w:rsidRPr="00CF334F">
        <w:rPr>
          <w:color w:val="000000"/>
          <w:sz w:val="28"/>
          <w:szCs w:val="28"/>
        </w:rPr>
        <w:t>імуноглобулінів</w:t>
      </w:r>
      <w:proofErr w:type="spellEnd"/>
      <w:r w:rsidRPr="00CF334F">
        <w:rPr>
          <w:color w:val="000000"/>
          <w:sz w:val="28"/>
          <w:szCs w:val="28"/>
        </w:rPr>
        <w:t>, отриманих з крові.</w:t>
      </w:r>
    </w:p>
    <w:p w14:paraId="1E62C12C" w14:textId="77777777" w:rsidR="00CF334F" w:rsidRPr="00CF334F" w:rsidRDefault="00CF334F" w:rsidP="00CF334F">
      <w:pPr>
        <w:pStyle w:val="a7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Препарати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 є дієвою альтернативою для «традиційних»  препаратів </w:t>
      </w:r>
      <w:proofErr w:type="spellStart"/>
      <w:r w:rsidRPr="00CF334F">
        <w:rPr>
          <w:color w:val="000000"/>
          <w:sz w:val="28"/>
          <w:szCs w:val="28"/>
        </w:rPr>
        <w:t>антирабічного</w:t>
      </w:r>
      <w:proofErr w:type="spellEnd"/>
      <w:r w:rsidRPr="00CF334F">
        <w:rPr>
          <w:color w:val="000000"/>
          <w:sz w:val="28"/>
          <w:szCs w:val="28"/>
        </w:rPr>
        <w:t xml:space="preserve"> імуноглобуліну, особливо в країнах з низьким та середнім рівнем доходу, де доступ до препаратів для пасивної імунопрофілактики сказу може бути обмеженим чи проблемним.</w:t>
      </w:r>
    </w:p>
    <w:p w14:paraId="4D9971E7" w14:textId="77777777" w:rsidR="00CF334F" w:rsidRPr="00CF334F" w:rsidRDefault="00CF334F" w:rsidP="00CF334F">
      <w:pPr>
        <w:pStyle w:val="a7"/>
        <w:numPr>
          <w:ilvl w:val="1"/>
          <w:numId w:val="11"/>
        </w:numPr>
        <w:spacing w:before="0" w:beforeAutospacing="0" w:after="160" w:afterAutospacing="0"/>
        <w:jc w:val="both"/>
        <w:textAlignment w:val="baseline"/>
        <w:rPr>
          <w:color w:val="000000"/>
          <w:sz w:val="28"/>
          <w:szCs w:val="28"/>
        </w:rPr>
      </w:pPr>
      <w:r w:rsidRPr="00CF334F">
        <w:rPr>
          <w:color w:val="000000"/>
          <w:sz w:val="28"/>
          <w:szCs w:val="28"/>
        </w:rPr>
        <w:t xml:space="preserve">Препарати </w:t>
      </w:r>
      <w:proofErr w:type="spellStart"/>
      <w:r w:rsidRPr="00CF334F">
        <w:rPr>
          <w:color w:val="000000"/>
          <w:sz w:val="28"/>
          <w:szCs w:val="28"/>
        </w:rPr>
        <w:t>МААт</w:t>
      </w:r>
      <w:proofErr w:type="spellEnd"/>
      <w:r w:rsidRPr="00CF334F">
        <w:rPr>
          <w:color w:val="000000"/>
          <w:sz w:val="28"/>
          <w:szCs w:val="28"/>
        </w:rPr>
        <w:t xml:space="preserve">, отримані за допомогою </w:t>
      </w:r>
      <w:proofErr w:type="spellStart"/>
      <w:r w:rsidRPr="00CF334F">
        <w:rPr>
          <w:color w:val="000000"/>
          <w:sz w:val="28"/>
          <w:szCs w:val="28"/>
        </w:rPr>
        <w:t>рекомбінантної</w:t>
      </w:r>
      <w:proofErr w:type="spellEnd"/>
      <w:r w:rsidRPr="00CF334F">
        <w:rPr>
          <w:color w:val="000000"/>
          <w:sz w:val="28"/>
          <w:szCs w:val="28"/>
        </w:rPr>
        <w:t xml:space="preserve"> технології, можуть вироблятися у великих масштабах з забезпеченням стабільної </w:t>
      </w:r>
      <w:proofErr w:type="spellStart"/>
      <w:r w:rsidRPr="00CF334F">
        <w:rPr>
          <w:color w:val="000000"/>
          <w:sz w:val="28"/>
          <w:szCs w:val="28"/>
        </w:rPr>
        <w:t>ефективністі</w:t>
      </w:r>
      <w:proofErr w:type="spellEnd"/>
      <w:r w:rsidRPr="00CF334F">
        <w:rPr>
          <w:color w:val="000000"/>
          <w:sz w:val="28"/>
          <w:szCs w:val="28"/>
        </w:rPr>
        <w:t xml:space="preserve"> та без ризику зараження патогенами, що передаються через кров.</w:t>
      </w:r>
    </w:p>
    <w:p w14:paraId="12B3783F" w14:textId="77777777" w:rsidR="00CF334F" w:rsidRPr="00CF334F" w:rsidRDefault="00CF334F" w:rsidP="00CF334F">
      <w:pPr>
        <w:pStyle w:val="a7"/>
        <w:spacing w:before="0" w:beforeAutospacing="0" w:after="160" w:afterAutospacing="0"/>
        <w:jc w:val="both"/>
        <w:rPr>
          <w:sz w:val="28"/>
          <w:szCs w:val="28"/>
        </w:rPr>
      </w:pPr>
      <w:r w:rsidRPr="00CF334F">
        <w:rPr>
          <w:b/>
          <w:bCs/>
          <w:color w:val="000000"/>
          <w:sz w:val="28"/>
          <w:szCs w:val="28"/>
        </w:rPr>
        <w:t>Висновок: </w:t>
      </w:r>
    </w:p>
    <w:p w14:paraId="0000000F" w14:textId="6D43F661" w:rsidR="007A6416" w:rsidRPr="001360F0" w:rsidRDefault="00CF334F" w:rsidP="00F4323D">
      <w:pPr>
        <w:pStyle w:val="a7"/>
        <w:spacing w:before="0" w:beforeAutospacing="0" w:after="160" w:afterAutospacing="0"/>
        <w:ind w:firstLine="720"/>
        <w:jc w:val="both"/>
        <w:rPr>
          <w:sz w:val="28"/>
          <w:szCs w:val="28"/>
          <w:lang w:val="ru-RU"/>
        </w:rPr>
      </w:pPr>
      <w:r w:rsidRPr="00CF334F">
        <w:rPr>
          <w:color w:val="001D35"/>
          <w:sz w:val="28"/>
          <w:szCs w:val="28"/>
          <w:shd w:val="clear" w:color="auto" w:fill="FFFFFF"/>
        </w:rPr>
        <w:t xml:space="preserve">НТГЕІ вважає за можливим використання в Україні препаратів </w:t>
      </w:r>
      <w:proofErr w:type="spellStart"/>
      <w:r w:rsidRPr="00CF334F">
        <w:rPr>
          <w:color w:val="001D35"/>
          <w:sz w:val="28"/>
          <w:szCs w:val="28"/>
          <w:shd w:val="clear" w:color="auto" w:fill="FFFFFF"/>
        </w:rPr>
        <w:t>моноклональних</w:t>
      </w:r>
      <w:proofErr w:type="spellEnd"/>
      <w:r w:rsidRPr="00CF334F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CF334F">
        <w:rPr>
          <w:color w:val="001D35"/>
          <w:sz w:val="28"/>
          <w:szCs w:val="28"/>
          <w:shd w:val="clear" w:color="auto" w:fill="FFFFFF"/>
        </w:rPr>
        <w:t>антирабічних</w:t>
      </w:r>
      <w:proofErr w:type="spellEnd"/>
      <w:r w:rsidRPr="00CF334F">
        <w:rPr>
          <w:color w:val="001D35"/>
          <w:sz w:val="28"/>
          <w:szCs w:val="28"/>
          <w:shd w:val="clear" w:color="auto" w:fill="FFFFFF"/>
        </w:rPr>
        <w:t xml:space="preserve"> антитіл для </w:t>
      </w:r>
      <w:proofErr w:type="spellStart"/>
      <w:r w:rsidRPr="00CF334F">
        <w:rPr>
          <w:color w:val="001D35"/>
          <w:sz w:val="28"/>
          <w:szCs w:val="28"/>
          <w:shd w:val="clear" w:color="auto" w:fill="FFFFFF"/>
        </w:rPr>
        <w:t>постконтактної</w:t>
      </w:r>
      <w:proofErr w:type="spellEnd"/>
      <w:r w:rsidRPr="00CF334F">
        <w:rPr>
          <w:color w:val="001D35"/>
          <w:sz w:val="28"/>
          <w:szCs w:val="28"/>
          <w:shd w:val="clear" w:color="auto" w:fill="FFFFFF"/>
        </w:rPr>
        <w:t xml:space="preserve"> пасивної </w:t>
      </w:r>
      <w:proofErr w:type="spellStart"/>
      <w:r w:rsidRPr="00CF334F">
        <w:rPr>
          <w:color w:val="001D35"/>
          <w:sz w:val="28"/>
          <w:szCs w:val="28"/>
          <w:shd w:val="clear" w:color="auto" w:fill="FFFFFF"/>
        </w:rPr>
        <w:t>імунофілактики</w:t>
      </w:r>
      <w:proofErr w:type="spellEnd"/>
      <w:r w:rsidRPr="00CF334F">
        <w:rPr>
          <w:color w:val="001D35"/>
          <w:sz w:val="28"/>
          <w:szCs w:val="28"/>
          <w:shd w:val="clear" w:color="auto" w:fill="FFFFFF"/>
        </w:rPr>
        <w:t xml:space="preserve"> профілактики. </w:t>
      </w:r>
    </w:p>
    <w:sectPr w:rsidR="007A6416" w:rsidRPr="001360F0">
      <w:pgSz w:w="11920" w:h="16850"/>
      <w:pgMar w:top="480" w:right="740" w:bottom="0" w:left="10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16C13"/>
    <w:multiLevelType w:val="multilevel"/>
    <w:tmpl w:val="21BA61A0"/>
    <w:lvl w:ilvl="0">
      <w:numFmt w:val="bullet"/>
      <w:lvlText w:val="●"/>
      <w:lvlJc w:val="left"/>
      <w:pPr>
        <w:ind w:left="113" w:hanging="267"/>
      </w:pPr>
      <w:rPr>
        <w:rFonts w:ascii="Arial" w:eastAsia="Arial" w:hAnsi="Arial" w:cs="Arial"/>
        <w:b w:val="0"/>
        <w:i w:val="0"/>
        <w:sz w:val="28"/>
        <w:szCs w:val="28"/>
      </w:rPr>
    </w:lvl>
    <w:lvl w:ilvl="1">
      <w:numFmt w:val="bullet"/>
      <w:lvlText w:val="○"/>
      <w:lvlJc w:val="left"/>
      <w:pPr>
        <w:ind w:left="154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■"/>
      <w:lvlJc w:val="left"/>
      <w:pPr>
        <w:ind w:left="2496" w:hanging="360"/>
      </w:pPr>
    </w:lvl>
    <w:lvl w:ilvl="3">
      <w:numFmt w:val="bullet"/>
      <w:lvlText w:val="●"/>
      <w:lvlJc w:val="left"/>
      <w:pPr>
        <w:ind w:left="3453" w:hanging="360"/>
      </w:pPr>
    </w:lvl>
    <w:lvl w:ilvl="4">
      <w:numFmt w:val="bullet"/>
      <w:lvlText w:val="○"/>
      <w:lvlJc w:val="left"/>
      <w:pPr>
        <w:ind w:left="4410" w:hanging="360"/>
      </w:pPr>
    </w:lvl>
    <w:lvl w:ilvl="5">
      <w:numFmt w:val="bullet"/>
      <w:lvlText w:val="■"/>
      <w:lvlJc w:val="left"/>
      <w:pPr>
        <w:ind w:left="5367" w:hanging="360"/>
      </w:pPr>
    </w:lvl>
    <w:lvl w:ilvl="6">
      <w:numFmt w:val="bullet"/>
      <w:lvlText w:val="●"/>
      <w:lvlJc w:val="left"/>
      <w:pPr>
        <w:ind w:left="6324" w:hanging="360"/>
      </w:pPr>
    </w:lvl>
    <w:lvl w:ilvl="7">
      <w:numFmt w:val="bullet"/>
      <w:lvlText w:val="○"/>
      <w:lvlJc w:val="left"/>
      <w:pPr>
        <w:ind w:left="7280" w:hanging="360"/>
      </w:pPr>
    </w:lvl>
    <w:lvl w:ilvl="8">
      <w:numFmt w:val="bullet"/>
      <w:lvlText w:val="■"/>
      <w:lvlJc w:val="left"/>
      <w:pPr>
        <w:ind w:left="8237" w:hanging="360"/>
      </w:pPr>
    </w:lvl>
  </w:abstractNum>
  <w:abstractNum w:abstractNumId="1" w15:restartNumberingAfterBreak="0">
    <w:nsid w:val="60C236AC"/>
    <w:multiLevelType w:val="multilevel"/>
    <w:tmpl w:val="9F60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947743">
    <w:abstractNumId w:val="0"/>
  </w:num>
  <w:num w:numId="2" w16cid:durableId="1918859799">
    <w:abstractNumId w:val="1"/>
  </w:num>
  <w:num w:numId="3" w16cid:durableId="626393627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26683295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043867487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1174880065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283968488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513111620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2130973421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1570194439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1180318040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16"/>
    <w:rsid w:val="0004278B"/>
    <w:rsid w:val="001360F0"/>
    <w:rsid w:val="007A6416"/>
    <w:rsid w:val="008C1D0A"/>
    <w:rsid w:val="00CF334F"/>
    <w:rsid w:val="00DE40FD"/>
    <w:rsid w:val="00E816EF"/>
    <w:rsid w:val="00F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5A7C"/>
  <w15:docId w15:val="{01E39F03-B4B6-452A-9F2A-53D91A9C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484" w:right="484"/>
      <w:jc w:val="center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16"/>
      <w:ind w:left="1541" w:hanging="36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6"/>
      <w:ind w:left="1541" w:right="11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CF334F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F3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41-025-01109-w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vaccine.2021.08.0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publication/394424000_Efficacy_and_safety_of_monoclonal_antibody_PEP_for_rabi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1038/s41541-025-01109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pYatZSh2CnFP3u0ChsfDxiEvBg==">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666</Words>
  <Characters>4998</Characters>
  <Application>Microsoft Office Word</Application>
  <DocSecurity>0</DocSecurity>
  <Lines>98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PHC01</dc:creator>
  <cp:lastModifiedBy>Святослав Онищук</cp:lastModifiedBy>
  <cp:revision>6</cp:revision>
  <dcterms:created xsi:type="dcterms:W3CDTF">2025-11-03T10:37:00Z</dcterms:created>
  <dcterms:modified xsi:type="dcterms:W3CDTF">2025-11-03T13:16:00Z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для Microsoft 365</vt:lpwstr>
  </property>
</Properties>
</file>