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48B9" w:rsidRDefault="004948B9">
      <w:pPr>
        <w:spacing w:before="69"/>
        <w:rPr>
          <w:b/>
          <w:bCs/>
          <w:sz w:val="20"/>
          <w:szCs w:val="20"/>
        </w:rPr>
      </w:pPr>
    </w:p>
    <w:p w14:paraId="00000002" w14:textId="77777777" w:rsidR="004948B9" w:rsidRDefault="004948B9">
      <w:pPr>
        <w:pBdr>
          <w:top w:val="nil"/>
          <w:left w:val="nil"/>
          <w:bottom w:val="nil"/>
          <w:right w:val="nil"/>
          <w:between w:val="nil"/>
        </w:pBdr>
        <w:rPr>
          <w:b/>
          <w:bCs/>
          <w:color w:val="000000"/>
        </w:rPr>
      </w:pPr>
    </w:p>
    <w:p w14:paraId="00000003" w14:textId="77777777" w:rsidR="004948B9" w:rsidRDefault="00000000">
      <w:pPr>
        <w:pBdr>
          <w:top w:val="nil"/>
          <w:left w:val="nil"/>
          <w:bottom w:val="nil"/>
          <w:right w:val="nil"/>
          <w:between w:val="nil"/>
        </w:pBdr>
        <w:spacing w:before="139" w:line="276" w:lineRule="auto"/>
        <w:ind w:left="1198" w:right="1201"/>
        <w:jc w:val="center"/>
        <w:rPr>
          <w:b/>
          <w:bCs/>
          <w:color w:val="000000"/>
          <w:sz w:val="36"/>
          <w:szCs w:val="36"/>
        </w:rPr>
      </w:pPr>
      <w:r>
        <w:rPr>
          <w:b/>
          <w:bCs/>
          <w:color w:val="000000"/>
          <w:sz w:val="36"/>
          <w:szCs w:val="36"/>
        </w:rPr>
        <w:t>Національна технічна група експертів з питань імунопрофілактики (НТГЕІ)</w:t>
      </w:r>
    </w:p>
    <w:p w14:paraId="00000004" w14:textId="77777777" w:rsidR="004948B9" w:rsidRDefault="004948B9">
      <w:pPr>
        <w:pBdr>
          <w:top w:val="nil"/>
          <w:left w:val="nil"/>
          <w:bottom w:val="nil"/>
          <w:right w:val="nil"/>
          <w:between w:val="nil"/>
        </w:pBdr>
        <w:spacing w:before="8"/>
        <w:rPr>
          <w:b/>
          <w:bCs/>
          <w:color w:val="000000"/>
          <w:sz w:val="35"/>
          <w:szCs w:val="35"/>
        </w:rPr>
      </w:pPr>
    </w:p>
    <w:p w14:paraId="00000005" w14:textId="3827F25F" w:rsidR="004948B9" w:rsidRPr="00401192" w:rsidRDefault="00000000">
      <w:pPr>
        <w:pBdr>
          <w:top w:val="nil"/>
          <w:left w:val="nil"/>
          <w:bottom w:val="nil"/>
          <w:right w:val="nil"/>
          <w:between w:val="nil"/>
        </w:pBdr>
        <w:ind w:left="484" w:right="484" w:firstLine="484"/>
        <w:jc w:val="center"/>
        <w:rPr>
          <w:b/>
          <w:bCs/>
          <w:color w:val="000000"/>
          <w:sz w:val="36"/>
          <w:szCs w:val="36"/>
          <w:lang w:val="uk-UA"/>
        </w:rPr>
      </w:pPr>
      <w:r>
        <w:rPr>
          <w:b/>
          <w:bCs/>
          <w:color w:val="000000"/>
          <w:sz w:val="36"/>
          <w:szCs w:val="36"/>
        </w:rPr>
        <w:t xml:space="preserve">ПОЗИЦІЯ № </w:t>
      </w:r>
      <w:r w:rsidR="00401192">
        <w:rPr>
          <w:b/>
          <w:bCs/>
          <w:color w:val="000000"/>
          <w:sz w:val="36"/>
          <w:szCs w:val="36"/>
          <w:lang w:val="uk-UA"/>
        </w:rPr>
        <w:t>14-11</w:t>
      </w:r>
      <w:r w:rsidRPr="00401192">
        <w:rPr>
          <w:b/>
          <w:bCs/>
          <w:color w:val="000000"/>
          <w:sz w:val="36"/>
          <w:szCs w:val="36"/>
        </w:rPr>
        <w:t>/2025</w:t>
      </w:r>
      <w:r w:rsidR="00401192">
        <w:rPr>
          <w:b/>
          <w:bCs/>
          <w:color w:val="000000"/>
          <w:sz w:val="36"/>
          <w:szCs w:val="36"/>
          <w:lang w:val="uk-UA"/>
        </w:rPr>
        <w:t>-1</w:t>
      </w:r>
    </w:p>
    <w:p w14:paraId="00000006" w14:textId="6AD6D8F0" w:rsidR="004948B9" w:rsidRDefault="00000000">
      <w:pPr>
        <w:spacing w:before="120"/>
        <w:ind w:left="486" w:right="484"/>
        <w:jc w:val="center"/>
        <w:rPr>
          <w:b/>
          <w:bCs/>
        </w:rPr>
      </w:pPr>
      <w:r>
        <w:rPr>
          <w:b/>
          <w:bCs/>
        </w:rPr>
        <w:t>(офіційна заява</w:t>
      </w:r>
      <w:r w:rsidR="000634F6">
        <w:rPr>
          <w:b/>
          <w:bCs/>
          <w:lang w:val="uk-UA"/>
        </w:rPr>
        <w:t xml:space="preserve"> згідно протоколу засідання від 14.11.2025 №40</w:t>
      </w:r>
      <w:r>
        <w:rPr>
          <w:b/>
          <w:bCs/>
        </w:rPr>
        <w:t>)</w:t>
      </w:r>
    </w:p>
    <w:p w14:paraId="00000007" w14:textId="77777777" w:rsidR="004948B9" w:rsidRDefault="00000000">
      <w:pPr>
        <w:spacing w:before="99" w:line="482" w:lineRule="auto"/>
        <w:ind w:left="487" w:right="484"/>
        <w:jc w:val="center"/>
        <w:rPr>
          <w:b/>
          <w:bCs/>
          <w:sz w:val="28"/>
          <w:szCs w:val="28"/>
        </w:rPr>
      </w:pPr>
      <w:r>
        <w:rPr>
          <w:b/>
          <w:bCs/>
          <w:sz w:val="28"/>
          <w:szCs w:val="28"/>
        </w:rPr>
        <w:t>Щодо рекомендації МОЗ України стосовно заходів з імунопрофілактики</w:t>
      </w:r>
    </w:p>
    <w:p w14:paraId="00000008" w14:textId="77777777" w:rsidR="004948B9" w:rsidRDefault="00000000">
      <w:pPr>
        <w:spacing w:before="99" w:line="482" w:lineRule="auto"/>
        <w:ind w:left="487" w:right="484"/>
        <w:jc w:val="center"/>
        <w:rPr>
          <w:b/>
          <w:bCs/>
          <w:sz w:val="28"/>
          <w:szCs w:val="28"/>
        </w:rPr>
      </w:pPr>
      <w:r>
        <w:rPr>
          <w:b/>
          <w:bCs/>
          <w:sz w:val="28"/>
          <w:szCs w:val="28"/>
        </w:rPr>
        <w:t>Дані рекомендації НТГЕІ мають рекомендований характер.</w:t>
      </w:r>
    </w:p>
    <w:p w14:paraId="00000009" w14:textId="77777777" w:rsidR="004948B9" w:rsidRDefault="00000000" w:rsidP="000634F6">
      <w:pPr>
        <w:widowControl/>
        <w:pBdr>
          <w:top w:val="nil"/>
          <w:left w:val="nil"/>
          <w:bottom w:val="nil"/>
          <w:right w:val="nil"/>
          <w:between w:val="nil"/>
        </w:pBdr>
        <w:spacing w:after="160"/>
        <w:ind w:firstLine="487"/>
        <w:rPr>
          <w:b/>
          <w:bCs/>
          <w:color w:val="000000"/>
          <w:sz w:val="28"/>
          <w:szCs w:val="28"/>
        </w:rPr>
      </w:pPr>
      <w:bookmarkStart w:id="0" w:name="_heading=h.cdwv9azigy8g" w:colFirst="0" w:colLast="0"/>
      <w:bookmarkEnd w:id="0"/>
      <w:r>
        <w:rPr>
          <w:b/>
          <w:bCs/>
          <w:color w:val="000000"/>
          <w:sz w:val="28"/>
          <w:szCs w:val="28"/>
        </w:rPr>
        <w:t>Рекомендації НТГЕІ щодо можливості використання моноклонального антитіла нірсевімаб для профілактики випадків тяжких респіраторних захворювань, спричинених респіраторно-синцитіальним вірусом на території України.</w:t>
      </w:r>
    </w:p>
    <w:p w14:paraId="0000000A" w14:textId="69226FE9" w:rsidR="004948B9" w:rsidRDefault="00000000" w:rsidP="00401192">
      <w:pPr>
        <w:widowControl/>
        <w:pBdr>
          <w:top w:val="nil"/>
          <w:left w:val="nil"/>
          <w:bottom w:val="nil"/>
          <w:right w:val="nil"/>
          <w:between w:val="nil"/>
        </w:pBdr>
        <w:spacing w:after="160"/>
        <w:ind w:firstLine="720"/>
        <w:jc w:val="both"/>
        <w:rPr>
          <w:color w:val="000000"/>
          <w:sz w:val="28"/>
          <w:szCs w:val="28"/>
        </w:rPr>
      </w:pPr>
      <w:bookmarkStart w:id="1" w:name="_Hlk214374537"/>
      <w:r>
        <w:rPr>
          <w:color w:val="000000"/>
          <w:sz w:val="28"/>
          <w:szCs w:val="28"/>
        </w:rPr>
        <w:t>У відповідь на звернення Міністерства охорони здоров’я України №26-04/35217/2-25 до НТГЕІ з проханням розглянути використання моноклонального антитіла нірсевімаб для профілактики інфекції</w:t>
      </w:r>
      <w:r w:rsidR="00AE74AF">
        <w:rPr>
          <w:color w:val="000000"/>
          <w:sz w:val="28"/>
          <w:szCs w:val="28"/>
          <w:lang w:val="uk-UA"/>
        </w:rPr>
        <w:t>,</w:t>
      </w:r>
      <w:r>
        <w:rPr>
          <w:color w:val="000000"/>
          <w:sz w:val="28"/>
          <w:szCs w:val="28"/>
        </w:rPr>
        <w:t xml:space="preserve"> викликаної респіраторно-синцитіальним вірусом</w:t>
      </w:r>
      <w:r>
        <w:rPr>
          <w:b/>
          <w:bCs/>
          <w:color w:val="000000"/>
          <w:sz w:val="28"/>
          <w:szCs w:val="28"/>
        </w:rPr>
        <w:t xml:space="preserve"> </w:t>
      </w:r>
      <w:r>
        <w:rPr>
          <w:color w:val="000000"/>
          <w:sz w:val="28"/>
          <w:szCs w:val="28"/>
        </w:rPr>
        <w:t>(РСВ)  в Україні</w:t>
      </w:r>
      <w:r w:rsidR="00AE74AF">
        <w:rPr>
          <w:color w:val="000000"/>
          <w:sz w:val="28"/>
          <w:szCs w:val="28"/>
          <w:lang w:val="uk-UA"/>
        </w:rPr>
        <w:t>,</w:t>
      </w:r>
      <w:r>
        <w:rPr>
          <w:color w:val="000000"/>
          <w:sz w:val="28"/>
          <w:szCs w:val="28"/>
        </w:rPr>
        <w:t xml:space="preserve"> надаємо офіційну позицію.</w:t>
      </w:r>
    </w:p>
    <w:p w14:paraId="0000000B" w14:textId="77777777" w:rsidR="004948B9" w:rsidRPr="00DD716C" w:rsidRDefault="00000000" w:rsidP="00401192">
      <w:pPr>
        <w:widowControl/>
        <w:pBdr>
          <w:top w:val="nil"/>
          <w:left w:val="nil"/>
          <w:bottom w:val="nil"/>
          <w:right w:val="nil"/>
          <w:between w:val="nil"/>
        </w:pBdr>
        <w:spacing w:after="160"/>
        <w:ind w:firstLine="720"/>
        <w:jc w:val="both"/>
        <w:rPr>
          <w:b/>
          <w:bCs/>
          <w:color w:val="000000"/>
          <w:sz w:val="28"/>
          <w:szCs w:val="28"/>
        </w:rPr>
      </w:pPr>
      <w:r w:rsidRPr="00DD716C">
        <w:rPr>
          <w:b/>
          <w:bCs/>
          <w:color w:val="000000"/>
          <w:sz w:val="28"/>
          <w:szCs w:val="28"/>
        </w:rPr>
        <w:t>Дана позиція НТГЕІ ґрунтується на наступних твердженнях:</w:t>
      </w:r>
    </w:p>
    <w:p w14:paraId="0000000C" w14:textId="692C286A"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Респіраторно-синцитіальний вірус (РСВ) є однією з основних причин гострих інфекцій нижніх дихальних шляхів та госпіталізацій</w:t>
      </w:r>
      <w:r w:rsidR="00AE74AF">
        <w:rPr>
          <w:color w:val="000000"/>
          <w:sz w:val="24"/>
          <w:szCs w:val="24"/>
          <w:lang w:val="uk-UA"/>
        </w:rPr>
        <w:t>,</w:t>
      </w:r>
      <w:r w:rsidRPr="00DD716C">
        <w:rPr>
          <w:color w:val="000000"/>
          <w:sz w:val="24"/>
          <w:szCs w:val="24"/>
        </w:rPr>
        <w:t xml:space="preserve"> викликаних даними станами</w:t>
      </w:r>
      <w:r w:rsidR="00AE74AF">
        <w:rPr>
          <w:color w:val="000000"/>
          <w:sz w:val="24"/>
          <w:szCs w:val="24"/>
          <w:lang w:val="uk-UA"/>
        </w:rPr>
        <w:t>,</w:t>
      </w:r>
      <w:r w:rsidRPr="00DD716C">
        <w:rPr>
          <w:color w:val="000000"/>
          <w:sz w:val="24"/>
          <w:szCs w:val="24"/>
        </w:rPr>
        <w:t xml:space="preserve"> серед новонароджених та дітей перших років життя по всьому світу. Фактично всі діти переносять хоча б один епізод РСВ інфекції до настання свого другого року життя. Згідно</w:t>
      </w:r>
      <w:r w:rsidR="00AE74AF">
        <w:rPr>
          <w:color w:val="000000"/>
          <w:sz w:val="24"/>
          <w:szCs w:val="24"/>
          <w:lang w:val="uk-UA"/>
        </w:rPr>
        <w:t xml:space="preserve"> з</w:t>
      </w:r>
      <w:r w:rsidRPr="00DD716C">
        <w:rPr>
          <w:color w:val="000000"/>
          <w:sz w:val="24"/>
          <w:szCs w:val="24"/>
        </w:rPr>
        <w:t xml:space="preserve"> </w:t>
      </w:r>
      <w:proofErr w:type="spellStart"/>
      <w:r w:rsidRPr="00DD716C">
        <w:rPr>
          <w:color w:val="000000"/>
          <w:sz w:val="24"/>
          <w:szCs w:val="24"/>
        </w:rPr>
        <w:t>дани</w:t>
      </w:r>
      <w:proofErr w:type="spellEnd"/>
      <w:r w:rsidR="00AE74AF">
        <w:rPr>
          <w:color w:val="000000"/>
          <w:sz w:val="24"/>
          <w:szCs w:val="24"/>
          <w:lang w:val="uk-UA"/>
        </w:rPr>
        <w:t>ми</w:t>
      </w:r>
      <w:r w:rsidRPr="00DD716C">
        <w:rPr>
          <w:color w:val="000000"/>
          <w:sz w:val="24"/>
          <w:szCs w:val="24"/>
        </w:rPr>
        <w:t xml:space="preserve"> систематичного аналізу 2019 року</w:t>
      </w:r>
      <w:r w:rsidRPr="00DD716C">
        <w:rPr>
          <w:color w:val="000000"/>
          <w:sz w:val="24"/>
          <w:szCs w:val="24"/>
          <w:vertAlign w:val="superscript"/>
        </w:rPr>
        <w:footnoteReference w:id="1"/>
      </w:r>
      <w:r w:rsidRPr="00DD716C">
        <w:rPr>
          <w:color w:val="000000"/>
          <w:sz w:val="24"/>
          <w:szCs w:val="24"/>
        </w:rPr>
        <w:t>: 1) щороку в світі фіксується 33 мільйони випадків гострих інфекцій нижніх дихальних шляхів, пов'язаних з РСВ; 2) 3,6 мільйона госпіталізацій та 3) 101 400 смертей</w:t>
      </w:r>
      <w:r w:rsidR="00AE74AF">
        <w:rPr>
          <w:color w:val="000000"/>
          <w:sz w:val="24"/>
          <w:szCs w:val="24"/>
          <w:lang w:val="uk-UA"/>
        </w:rPr>
        <w:t>,</w:t>
      </w:r>
      <w:r w:rsidRPr="00DD716C">
        <w:rPr>
          <w:color w:val="000000"/>
          <w:sz w:val="24"/>
          <w:szCs w:val="24"/>
        </w:rPr>
        <w:t xml:space="preserve"> спричинених РСВ, серед яких більшість</w:t>
      </w:r>
      <w:r w:rsidR="00AE74AF">
        <w:rPr>
          <w:color w:val="000000"/>
          <w:sz w:val="24"/>
          <w:szCs w:val="24"/>
          <w:lang w:val="uk-UA"/>
        </w:rPr>
        <w:t xml:space="preserve"> -</w:t>
      </w:r>
      <w:r w:rsidRPr="00DD716C">
        <w:rPr>
          <w:color w:val="000000"/>
          <w:sz w:val="24"/>
          <w:szCs w:val="24"/>
        </w:rPr>
        <w:t xml:space="preserve"> це діти віком до 5 років. При цьому понад 97% смертей серед дітей трапляються у країнах з низьким та середнім рівнем доходу.</w:t>
      </w:r>
    </w:p>
    <w:p w14:paraId="0000000D" w14:textId="77777777"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РСВ викликає респіраторні захворювання з широким спектром клінічних проявів – від інфекцій верхніх дихальних шляхів з легким перебігом до ларинготрахеобронхіту (крупу) та потенційно смертельних інфекцій нижніх дихальних шляхів, включаючи бронхіоліт та пневмонію. Більшість випадків інфекцій нижніх дихальних шляхів трапляються серед раніше здорових дітей перших років життя. Однак деякі новонароджені та немовлята мають вищий ризик розвитку тяжкого перебігу захворювання</w:t>
      </w:r>
      <w:r w:rsidRPr="00DD716C">
        <w:rPr>
          <w:color w:val="000000"/>
          <w:sz w:val="24"/>
          <w:szCs w:val="24"/>
          <w:vertAlign w:val="superscript"/>
        </w:rPr>
        <w:footnoteReference w:id="2"/>
      </w:r>
      <w:r w:rsidRPr="00DD716C">
        <w:rPr>
          <w:color w:val="000000"/>
          <w:sz w:val="24"/>
          <w:szCs w:val="24"/>
        </w:rPr>
        <w:t>, зокрема:</w:t>
      </w:r>
    </w:p>
    <w:p w14:paraId="0000000E" w14:textId="77777777" w:rsidR="004948B9" w:rsidRPr="00DD716C" w:rsidRDefault="00000000" w:rsidP="00401192">
      <w:pPr>
        <w:widowControl/>
        <w:pBdr>
          <w:top w:val="nil"/>
          <w:left w:val="nil"/>
          <w:bottom w:val="nil"/>
          <w:right w:val="nil"/>
          <w:between w:val="nil"/>
        </w:pBdr>
        <w:spacing w:after="160"/>
        <w:ind w:firstLine="720"/>
        <w:jc w:val="both"/>
        <w:rPr>
          <w:color w:val="000000"/>
          <w:sz w:val="24"/>
          <w:szCs w:val="24"/>
        </w:rPr>
      </w:pPr>
      <w:r w:rsidRPr="00DD716C">
        <w:rPr>
          <w:color w:val="000000"/>
          <w:sz w:val="24"/>
          <w:szCs w:val="24"/>
        </w:rPr>
        <w:t xml:space="preserve"> - передчасно народжені діти;</w:t>
      </w:r>
    </w:p>
    <w:p w14:paraId="0000000F" w14:textId="78ED7B0A" w:rsidR="004948B9" w:rsidRPr="00DD716C" w:rsidRDefault="00000000" w:rsidP="00401192">
      <w:pPr>
        <w:widowControl/>
        <w:pBdr>
          <w:top w:val="nil"/>
          <w:left w:val="nil"/>
          <w:bottom w:val="nil"/>
          <w:right w:val="nil"/>
          <w:between w:val="nil"/>
        </w:pBdr>
        <w:spacing w:after="160"/>
        <w:ind w:firstLine="720"/>
        <w:jc w:val="both"/>
        <w:rPr>
          <w:color w:val="000000"/>
          <w:sz w:val="24"/>
          <w:szCs w:val="24"/>
        </w:rPr>
      </w:pPr>
      <w:r w:rsidRPr="00DD716C">
        <w:rPr>
          <w:color w:val="000000"/>
          <w:sz w:val="24"/>
          <w:szCs w:val="24"/>
        </w:rPr>
        <w:lastRenderedPageBreak/>
        <w:t xml:space="preserve">- новонароджені та діти </w:t>
      </w:r>
      <w:r w:rsidR="000634F6" w:rsidRPr="00DD716C">
        <w:rPr>
          <w:color w:val="000000"/>
          <w:sz w:val="24"/>
          <w:szCs w:val="24"/>
          <w:lang w:val="uk-UA"/>
        </w:rPr>
        <w:t>і</w:t>
      </w:r>
      <w:r w:rsidRPr="00DD716C">
        <w:rPr>
          <w:color w:val="000000"/>
          <w:sz w:val="24"/>
          <w:szCs w:val="24"/>
        </w:rPr>
        <w:t>з супутніми захворюваннями дихальної та серцево-судинної систем, нейром’язевими хворобами;</w:t>
      </w:r>
    </w:p>
    <w:p w14:paraId="00000010" w14:textId="61B7FA54" w:rsidR="004948B9" w:rsidRPr="00DD716C" w:rsidRDefault="00000000" w:rsidP="00401192">
      <w:pPr>
        <w:widowControl/>
        <w:pBdr>
          <w:top w:val="nil"/>
          <w:left w:val="nil"/>
          <w:bottom w:val="nil"/>
          <w:right w:val="nil"/>
          <w:between w:val="nil"/>
        </w:pBdr>
        <w:spacing w:after="160"/>
        <w:ind w:firstLine="720"/>
        <w:jc w:val="both"/>
        <w:rPr>
          <w:color w:val="000000"/>
          <w:sz w:val="24"/>
          <w:szCs w:val="24"/>
        </w:rPr>
      </w:pPr>
      <w:r w:rsidRPr="00DD716C">
        <w:rPr>
          <w:color w:val="000000"/>
          <w:sz w:val="24"/>
          <w:szCs w:val="24"/>
        </w:rPr>
        <w:t xml:space="preserve">- діти, що мають імуноскомпрометовані стани (наприклад, лейкемія, ВІЛ-інфекція, імунодефіцитні стани), або ж такі, що проходять лікування </w:t>
      </w:r>
      <w:r w:rsidR="00877AD9">
        <w:rPr>
          <w:color w:val="000000"/>
          <w:sz w:val="24"/>
          <w:szCs w:val="24"/>
          <w:lang w:val="uk-UA"/>
        </w:rPr>
        <w:t xml:space="preserve">із </w:t>
      </w:r>
      <w:r w:rsidRPr="00DD716C">
        <w:rPr>
          <w:color w:val="000000"/>
          <w:sz w:val="24"/>
          <w:szCs w:val="24"/>
        </w:rPr>
        <w:t>застосуванням препаратів</w:t>
      </w:r>
      <w:r w:rsidR="000634F6" w:rsidRPr="00DD716C">
        <w:rPr>
          <w:color w:val="000000"/>
          <w:sz w:val="24"/>
          <w:szCs w:val="24"/>
          <w:lang w:val="uk-UA"/>
        </w:rPr>
        <w:t>,</w:t>
      </w:r>
      <w:r w:rsidRPr="00DD716C">
        <w:rPr>
          <w:color w:val="000000"/>
          <w:sz w:val="24"/>
          <w:szCs w:val="24"/>
        </w:rPr>
        <w:t xml:space="preserve"> які призводять до імуносупресії;</w:t>
      </w:r>
    </w:p>
    <w:p w14:paraId="00000011" w14:textId="77777777" w:rsidR="004948B9" w:rsidRPr="00DD716C" w:rsidRDefault="00000000" w:rsidP="00401192">
      <w:pPr>
        <w:widowControl/>
        <w:pBdr>
          <w:top w:val="nil"/>
          <w:left w:val="nil"/>
          <w:bottom w:val="nil"/>
          <w:right w:val="nil"/>
          <w:between w:val="nil"/>
        </w:pBdr>
        <w:spacing w:after="160"/>
        <w:ind w:firstLine="720"/>
        <w:jc w:val="both"/>
        <w:rPr>
          <w:color w:val="000000"/>
          <w:sz w:val="24"/>
          <w:szCs w:val="24"/>
        </w:rPr>
      </w:pPr>
      <w:r w:rsidRPr="00DD716C">
        <w:rPr>
          <w:color w:val="000000"/>
          <w:sz w:val="24"/>
          <w:szCs w:val="24"/>
        </w:rPr>
        <w:t xml:space="preserve">- діти, що перебувають у групах соціально-економічного ризику, зокрема ті, що живуть в умовах перевантаження або ж обмеженого доступу до медичної допомоги; </w:t>
      </w:r>
    </w:p>
    <w:p w14:paraId="00000012" w14:textId="77777777" w:rsidR="004948B9" w:rsidRPr="00DD716C" w:rsidRDefault="00000000" w:rsidP="00401192">
      <w:pPr>
        <w:widowControl/>
        <w:pBdr>
          <w:top w:val="nil"/>
          <w:left w:val="nil"/>
          <w:bottom w:val="nil"/>
          <w:right w:val="nil"/>
          <w:between w:val="nil"/>
        </w:pBdr>
        <w:spacing w:after="160"/>
        <w:ind w:firstLine="720"/>
        <w:jc w:val="both"/>
        <w:rPr>
          <w:color w:val="000000"/>
          <w:sz w:val="24"/>
          <w:szCs w:val="24"/>
        </w:rPr>
      </w:pPr>
      <w:r w:rsidRPr="00DD716C">
        <w:rPr>
          <w:color w:val="000000"/>
          <w:sz w:val="24"/>
          <w:szCs w:val="24"/>
        </w:rPr>
        <w:t>- діти, які проживають в умовах забрудненого повітря або мають контакти з курцями, оскільки такі фактори можуть посилювати ризик розвитку важких захворювань дихальних шляхів.</w:t>
      </w:r>
    </w:p>
    <w:p w14:paraId="00000013" w14:textId="77777777"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Захворювання, спричинене РСВ, зазвичай підозрюється на основі клінічних критеріїв. Остаточний діагноз можна встановити на основі зразків із верхніх дихальних шляхів, протестованих за допомогою методу полімеразної ланцюгової реакції (ПЛР). Тести на антиген, специфічний до РСВ, менш чутливі та специфічні, ніж ПЛР.</w:t>
      </w:r>
    </w:p>
    <w:p w14:paraId="00000014" w14:textId="37A37A19"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 xml:space="preserve">На сьогодні не існує специфічного лікування захворювання, спричиненого РСВ. Ведення хворох передбачає підтримку дихальної системи, включаючи застосування постачання додаткового кисню, інтубацію та/або механічну вентиляцію, а також гідратацію, яку часто вводять внутрішньовенно. Відсутність доступу до своєчасної медичної допомоги та відсутність відділень інтенсивної терапії </w:t>
      </w:r>
      <w:r w:rsidR="000634F6" w:rsidRPr="00DD716C">
        <w:rPr>
          <w:color w:val="000000"/>
          <w:sz w:val="24"/>
          <w:szCs w:val="24"/>
          <w:lang w:val="uk-UA"/>
        </w:rPr>
        <w:t>у</w:t>
      </w:r>
      <w:r w:rsidRPr="00DD716C">
        <w:rPr>
          <w:color w:val="000000"/>
          <w:sz w:val="24"/>
          <w:szCs w:val="24"/>
        </w:rPr>
        <w:t xml:space="preserve"> країнах з низьким </w:t>
      </w:r>
      <w:r w:rsidR="000634F6" w:rsidRPr="00DD716C">
        <w:rPr>
          <w:color w:val="000000"/>
          <w:sz w:val="24"/>
          <w:szCs w:val="24"/>
          <w:lang w:val="uk-UA"/>
        </w:rPr>
        <w:t xml:space="preserve">і </w:t>
      </w:r>
      <w:r w:rsidRPr="00DD716C">
        <w:rPr>
          <w:color w:val="000000"/>
          <w:sz w:val="24"/>
          <w:szCs w:val="24"/>
        </w:rPr>
        <w:t>середнім рівнем доходу є ключовими факторами вищ</w:t>
      </w:r>
      <w:r w:rsidR="000634F6" w:rsidRPr="00DD716C">
        <w:rPr>
          <w:color w:val="000000"/>
          <w:sz w:val="24"/>
          <w:szCs w:val="24"/>
          <w:lang w:val="uk-UA"/>
        </w:rPr>
        <w:t>ого</w:t>
      </w:r>
      <w:r w:rsidRPr="00DD716C">
        <w:rPr>
          <w:color w:val="000000"/>
          <w:sz w:val="24"/>
          <w:szCs w:val="24"/>
        </w:rPr>
        <w:t xml:space="preserve"> рівн</w:t>
      </w:r>
      <w:r w:rsidR="000634F6" w:rsidRPr="00DD716C">
        <w:rPr>
          <w:color w:val="000000"/>
          <w:sz w:val="24"/>
          <w:szCs w:val="24"/>
          <w:lang w:val="uk-UA"/>
        </w:rPr>
        <w:t>я</w:t>
      </w:r>
      <w:r w:rsidRPr="00DD716C">
        <w:rPr>
          <w:color w:val="000000"/>
          <w:sz w:val="24"/>
          <w:szCs w:val="24"/>
        </w:rPr>
        <w:t xml:space="preserve"> важких форм захворювання та смертності.</w:t>
      </w:r>
    </w:p>
    <w:p w14:paraId="00000015" w14:textId="77777777"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 xml:space="preserve">Перенесена РСВ інфекція не забезпечує тривалого імунітету, і реінфекції трапляються протягом дитинства та дорослого життя. Наразі не існує прийнятих імунних маркерів та/або порогових рівнів антитіл, що корелюють із захистом від тяжкої форми захворювання. </w:t>
      </w:r>
    </w:p>
    <w:p w14:paraId="00000016" w14:textId="5231C891" w:rsidR="004948B9" w:rsidRPr="00DD716C" w:rsidRDefault="000634F6"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lang w:val="uk-UA"/>
        </w:rPr>
        <w:t>У</w:t>
      </w:r>
      <w:r w:rsidRPr="00DD716C">
        <w:rPr>
          <w:color w:val="000000"/>
          <w:sz w:val="24"/>
          <w:szCs w:val="24"/>
        </w:rPr>
        <w:t xml:space="preserve"> багатьох країнах світу фіксують сезонні піки </w:t>
      </w:r>
      <w:r w:rsidRPr="00DD716C">
        <w:rPr>
          <w:color w:val="000000"/>
          <w:sz w:val="24"/>
          <w:szCs w:val="24"/>
          <w:lang w:val="uk-UA"/>
        </w:rPr>
        <w:t>у</w:t>
      </w:r>
      <w:r w:rsidRPr="00DD716C">
        <w:rPr>
          <w:color w:val="000000"/>
          <w:sz w:val="24"/>
          <w:szCs w:val="24"/>
        </w:rPr>
        <w:t xml:space="preserve"> передачі РСВ. У країнах з помірним кліматом епідемічний сезон РСВ припадає на пізню осінь і зиму, з середньою тривалістю 5 місяців. Сезон РСВ інфекції може варіювати залежно від географічних регіонів усередині однієї країни і також може зміщуватися на кілька місяців з року в рік. Примітно, що під час пандемії COVID-19 типова сезонність була порушена з фактично відсутністю циркуляції вірусу, однак в наступні роки спостерігалися нерегулярні піки.</w:t>
      </w:r>
    </w:p>
    <w:p w14:paraId="00000017" w14:textId="5778BEC4"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Станом на листопад 2025 року в світі ліцензовано низку імунобіологічних продуктів (ІБП) для імунізації та профілактики РСВ. Серед них  1) вакцини для вагітних жінок та людей старшого віку та 2) моноклональні антитіла для захисту немовлят. До останніх</w:t>
      </w:r>
      <w:r w:rsidR="000129F9">
        <w:rPr>
          <w:color w:val="000000"/>
          <w:sz w:val="24"/>
          <w:szCs w:val="24"/>
          <w:lang w:val="uk-UA"/>
        </w:rPr>
        <w:t>,</w:t>
      </w:r>
      <w:r w:rsidRPr="00DD716C">
        <w:rPr>
          <w:color w:val="000000"/>
          <w:sz w:val="24"/>
          <w:szCs w:val="24"/>
        </w:rPr>
        <w:t xml:space="preserve"> зокрема</w:t>
      </w:r>
      <w:r w:rsidR="000129F9">
        <w:rPr>
          <w:color w:val="000000"/>
          <w:sz w:val="24"/>
          <w:szCs w:val="24"/>
          <w:lang w:val="uk-UA"/>
        </w:rPr>
        <w:t>,</w:t>
      </w:r>
      <w:r w:rsidRPr="00DD716C">
        <w:rPr>
          <w:color w:val="000000"/>
          <w:sz w:val="24"/>
          <w:szCs w:val="24"/>
        </w:rPr>
        <w:t xml:space="preserve"> відносяться нірсевімаб (анг. Nirsevimab від компаній AstraZeneca/Sanofi, торгівельна назва Beyfortus™) та клесровімаб (анг. Сlesrovimab, від компанії Merck, торгівельна назва Enflonsia™).</w:t>
      </w:r>
    </w:p>
    <w:p w14:paraId="00000018" w14:textId="5AE833AC"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Починаючи з моменту реєстрації препаратів низка країн з високим рівнем доходу – Іспанія, США, Німеччина, Канада</w:t>
      </w:r>
      <w:r w:rsidR="000129F9">
        <w:rPr>
          <w:color w:val="000000"/>
          <w:sz w:val="24"/>
          <w:szCs w:val="24"/>
          <w:lang w:val="uk-UA"/>
        </w:rPr>
        <w:t>,</w:t>
      </w:r>
      <w:r w:rsidRPr="00DD716C">
        <w:rPr>
          <w:color w:val="000000"/>
          <w:sz w:val="24"/>
          <w:szCs w:val="24"/>
        </w:rPr>
        <w:t xml:space="preserve">  впровадила вищеказані ІБП, та</w:t>
      </w:r>
      <w:r w:rsidR="000129F9">
        <w:rPr>
          <w:color w:val="000000"/>
          <w:sz w:val="24"/>
          <w:szCs w:val="24"/>
          <w:lang w:val="uk-UA"/>
        </w:rPr>
        <w:t>,</w:t>
      </w:r>
      <w:r w:rsidRPr="00DD716C">
        <w:rPr>
          <w:color w:val="000000"/>
          <w:sz w:val="24"/>
          <w:szCs w:val="24"/>
        </w:rPr>
        <w:t xml:space="preserve"> зокрема</w:t>
      </w:r>
      <w:r w:rsidR="000129F9">
        <w:rPr>
          <w:color w:val="000000"/>
          <w:sz w:val="24"/>
          <w:szCs w:val="24"/>
          <w:lang w:val="uk-UA"/>
        </w:rPr>
        <w:t>,</w:t>
      </w:r>
      <w:r w:rsidRPr="00DD716C">
        <w:rPr>
          <w:color w:val="000000"/>
          <w:sz w:val="24"/>
          <w:szCs w:val="24"/>
        </w:rPr>
        <w:t xml:space="preserve"> моноклональні антитіла, в свої програми імунізації.</w:t>
      </w:r>
    </w:p>
    <w:p w14:paraId="00000019" w14:textId="10E0B56B"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sdt>
        <w:sdtPr>
          <w:rPr>
            <w:sz w:val="20"/>
            <w:szCs w:val="20"/>
          </w:rPr>
          <w:tag w:val="goog_rdk_0"/>
          <w:id w:val="-883653950"/>
        </w:sdtPr>
        <w:sdtContent>
          <w:r w:rsidRPr="00DD716C">
            <w:rPr>
              <w:rFonts w:eastAsia="Gungsuh"/>
              <w:color w:val="000000"/>
              <w:sz w:val="24"/>
              <w:szCs w:val="24"/>
            </w:rPr>
            <w:t>Нірсевімаб є рекомбінантним моноклональним антитілом з подовженим періодом напіввиведення, що застосовується у вигляді  одноразової внутрішньом’язевої ін'єкці</w:t>
          </w:r>
          <w:r w:rsidR="000634F6" w:rsidRPr="00DD716C">
            <w:rPr>
              <w:rFonts w:eastAsia="Gungsuh"/>
              <w:color w:val="000000"/>
              <w:sz w:val="24"/>
              <w:szCs w:val="24"/>
              <w:lang w:val="uk-UA"/>
            </w:rPr>
            <w:t>ї</w:t>
          </w:r>
          <w:r w:rsidRPr="00DD716C">
            <w:rPr>
              <w:rFonts w:eastAsia="Gungsuh"/>
              <w:color w:val="000000"/>
              <w:sz w:val="24"/>
              <w:szCs w:val="24"/>
            </w:rPr>
            <w:t xml:space="preserve">  для захисту немовлят протягом їхнього першого сезону </w:t>
          </w:r>
          <w:proofErr w:type="spellStart"/>
          <w:r w:rsidRPr="00DD716C">
            <w:rPr>
              <w:rFonts w:eastAsia="Gungsuh"/>
              <w:color w:val="000000"/>
              <w:sz w:val="24"/>
              <w:szCs w:val="24"/>
            </w:rPr>
            <w:t>зустр</w:t>
          </w:r>
          <w:proofErr w:type="spellEnd"/>
          <w:r w:rsidR="000129F9">
            <w:rPr>
              <w:rFonts w:eastAsia="Gungsuh"/>
              <w:color w:val="000000"/>
              <w:sz w:val="24"/>
              <w:szCs w:val="24"/>
              <w:lang w:val="uk-UA"/>
            </w:rPr>
            <w:t>і</w:t>
          </w:r>
          <w:proofErr w:type="spellStart"/>
          <w:r w:rsidRPr="00DD716C">
            <w:rPr>
              <w:rFonts w:eastAsia="Gungsuh"/>
              <w:color w:val="000000"/>
              <w:sz w:val="24"/>
              <w:szCs w:val="24"/>
            </w:rPr>
            <w:t>чі</w:t>
          </w:r>
          <w:proofErr w:type="spellEnd"/>
          <w:r w:rsidRPr="00DD716C">
            <w:rPr>
              <w:rFonts w:eastAsia="Gungsuh"/>
              <w:color w:val="000000"/>
              <w:sz w:val="24"/>
              <w:szCs w:val="24"/>
            </w:rPr>
            <w:t xml:space="preserve"> з РСВ інфекцією. Форма продукту – одноразовий </w:t>
          </w:r>
          <w:r w:rsidR="000634F6" w:rsidRPr="00DD716C">
            <w:rPr>
              <w:rFonts w:eastAsia="Gungsuh"/>
              <w:color w:val="000000"/>
              <w:sz w:val="24"/>
              <w:szCs w:val="24"/>
            </w:rPr>
            <w:t>попередньо</w:t>
          </w:r>
          <w:r w:rsidRPr="00DD716C">
            <w:rPr>
              <w:rFonts w:eastAsia="Gungsuh"/>
              <w:color w:val="000000"/>
              <w:sz w:val="24"/>
              <w:szCs w:val="24"/>
            </w:rPr>
            <w:t xml:space="preserve"> наповнений шприц-ампула, доступна в концентраціях 50 мг/0,5 мл (при застосуванні у дітей вагою &lt;5 кг) або 100 мг/мл (у дітей з вагою ≥5 кг). Препарат зберігається при температурі </w:t>
          </w:r>
          <w:r w:rsidR="000129F9">
            <w:rPr>
              <w:rFonts w:eastAsia="Gungsuh"/>
              <w:color w:val="000000"/>
              <w:sz w:val="24"/>
              <w:szCs w:val="24"/>
              <w:lang w:val="uk-UA"/>
            </w:rPr>
            <w:t>+</w:t>
          </w:r>
          <w:r w:rsidRPr="00DD716C">
            <w:rPr>
              <w:rFonts w:eastAsia="Gungsuh"/>
              <w:color w:val="000000"/>
              <w:sz w:val="24"/>
              <w:szCs w:val="24"/>
            </w:rPr>
            <w:t>2</w:t>
          </w:r>
          <w:r w:rsidR="000129F9" w:rsidRPr="000129F9">
            <w:rPr>
              <w:rFonts w:eastAsia="Gungsuh"/>
              <w:color w:val="000000"/>
              <w:sz w:val="24"/>
              <w:szCs w:val="24"/>
            </w:rPr>
            <w:t>°</w:t>
          </w:r>
          <w:r w:rsidRPr="00DD716C">
            <w:rPr>
              <w:rFonts w:eastAsia="Gungsuh"/>
              <w:color w:val="000000"/>
              <w:sz w:val="24"/>
              <w:szCs w:val="24"/>
            </w:rPr>
            <w:t>–</w:t>
          </w:r>
          <w:r w:rsidR="000129F9">
            <w:rPr>
              <w:rFonts w:eastAsia="Gungsuh"/>
              <w:color w:val="000000"/>
              <w:sz w:val="24"/>
              <w:szCs w:val="24"/>
              <w:lang w:val="uk-UA"/>
            </w:rPr>
            <w:t>+</w:t>
          </w:r>
          <w:r w:rsidRPr="00DD716C">
            <w:rPr>
              <w:rFonts w:eastAsia="Gungsuh"/>
              <w:color w:val="000000"/>
              <w:sz w:val="24"/>
              <w:szCs w:val="24"/>
            </w:rPr>
            <w:t>8°C.</w:t>
          </w:r>
        </w:sdtContent>
      </w:sdt>
    </w:p>
    <w:p w14:paraId="0000001A" w14:textId="70D4BEE4"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 xml:space="preserve"> Наразі з’являється дедалі більше даних про дієвість нірсевімабу. Низка з них   при застосуванні під час РСВ сезону у північній півкулі. У Галісії, Іспанія, де сезонне введення нірсевімабу розпочалося у вересні 2023 року та завершилося у березні 2024 року, продукт був запропонований трьом групам: немовлятам, народженим під час кампанії</w:t>
      </w:r>
      <w:r w:rsidR="000129F9">
        <w:rPr>
          <w:color w:val="000000"/>
          <w:sz w:val="24"/>
          <w:szCs w:val="24"/>
          <w:lang w:val="uk-UA"/>
        </w:rPr>
        <w:t>,</w:t>
      </w:r>
      <w:r w:rsidRPr="00DD716C">
        <w:rPr>
          <w:color w:val="000000"/>
          <w:sz w:val="24"/>
          <w:szCs w:val="24"/>
        </w:rPr>
        <w:t xml:space="preserve"> немовлятам віком до 6 місяців на початок кампанії та немовлятам віком 6–24 місяців </w:t>
      </w:r>
      <w:r w:rsidR="000129F9">
        <w:rPr>
          <w:color w:val="000000"/>
          <w:sz w:val="24"/>
          <w:szCs w:val="24"/>
          <w:lang w:val="uk-UA"/>
        </w:rPr>
        <w:t>і</w:t>
      </w:r>
      <w:r w:rsidRPr="00DD716C">
        <w:rPr>
          <w:color w:val="000000"/>
          <w:sz w:val="24"/>
          <w:szCs w:val="24"/>
        </w:rPr>
        <w:t xml:space="preserve">з груп ризику тяжкого перебігу РСВ інфекції. Рівень охоплення склав більше 90% серед осіб, що підлягають імунізації. Проміжний аналіз дієвості в перші 3 місяці кампанії склав 82% для запобігання госпіталізації дітей з діагнозом інфекцій нижніх дихальних шляхів (95% ДІ: </w:t>
      </w:r>
      <w:r w:rsidRPr="00DD716C">
        <w:rPr>
          <w:color w:val="000000"/>
          <w:sz w:val="24"/>
          <w:szCs w:val="24"/>
        </w:rPr>
        <w:lastRenderedPageBreak/>
        <w:t xml:space="preserve">65,6–90,2) та 86,9% (95% ДІ: 69,1–94,2) випадків </w:t>
      </w:r>
      <w:r w:rsidR="000129F9">
        <w:rPr>
          <w:color w:val="000000"/>
          <w:sz w:val="24"/>
          <w:szCs w:val="24"/>
          <w:lang w:val="uk-UA"/>
        </w:rPr>
        <w:t>і</w:t>
      </w:r>
      <w:r w:rsidRPr="00DD716C">
        <w:rPr>
          <w:color w:val="000000"/>
          <w:sz w:val="24"/>
          <w:szCs w:val="24"/>
        </w:rPr>
        <w:t>з важким перебігом</w:t>
      </w:r>
      <w:r w:rsidRPr="00DD716C">
        <w:rPr>
          <w:color w:val="000000"/>
          <w:sz w:val="24"/>
          <w:szCs w:val="24"/>
          <w:vertAlign w:val="superscript"/>
        </w:rPr>
        <w:footnoteReference w:id="3"/>
      </w:r>
      <w:r w:rsidRPr="00DD716C">
        <w:rPr>
          <w:color w:val="000000"/>
          <w:sz w:val="24"/>
          <w:szCs w:val="24"/>
        </w:rPr>
        <w:t>. Подібно до цього, висока дієвість для попередження госпіталізацій, пов'язаних з РСВ, була зафіксована в інших регіонах Іспанії</w:t>
      </w:r>
      <w:r w:rsidRPr="00DD716C">
        <w:rPr>
          <w:color w:val="000000"/>
          <w:sz w:val="24"/>
          <w:szCs w:val="24"/>
          <w:vertAlign w:val="superscript"/>
        </w:rPr>
        <w:footnoteReference w:id="4"/>
      </w:r>
      <w:r w:rsidRPr="00DD716C">
        <w:rPr>
          <w:color w:val="000000"/>
          <w:sz w:val="24"/>
          <w:szCs w:val="24"/>
        </w:rPr>
        <w:t xml:space="preserve">. Попередні оцінки дієвості </w:t>
      </w:r>
      <w:r w:rsidR="000634F6" w:rsidRPr="00DD716C">
        <w:rPr>
          <w:color w:val="000000"/>
          <w:sz w:val="24"/>
          <w:szCs w:val="24"/>
          <w:lang w:val="uk-UA"/>
        </w:rPr>
        <w:t>у</w:t>
      </w:r>
      <w:r w:rsidRPr="00DD716C">
        <w:rPr>
          <w:color w:val="000000"/>
          <w:sz w:val="24"/>
          <w:szCs w:val="24"/>
        </w:rPr>
        <w:t xml:space="preserve"> запобіганні випадків госпіталізацій, пов'язаних з РСВ, </w:t>
      </w:r>
      <w:r w:rsidR="000634F6" w:rsidRPr="00DD716C">
        <w:rPr>
          <w:color w:val="000000"/>
          <w:sz w:val="24"/>
          <w:szCs w:val="24"/>
        </w:rPr>
        <w:t>варіювалися</w:t>
      </w:r>
      <w:r w:rsidRPr="00DD716C">
        <w:rPr>
          <w:color w:val="000000"/>
          <w:sz w:val="24"/>
          <w:szCs w:val="24"/>
        </w:rPr>
        <w:t xml:space="preserve"> від 75,9% до 80,6% у Франції</w:t>
      </w:r>
      <w:r w:rsidRPr="00DD716C">
        <w:rPr>
          <w:color w:val="000000"/>
          <w:sz w:val="24"/>
          <w:szCs w:val="24"/>
          <w:vertAlign w:val="superscript"/>
        </w:rPr>
        <w:footnoteReference w:id="5"/>
      </w:r>
      <w:r w:rsidRPr="00DD716C">
        <w:rPr>
          <w:color w:val="000000"/>
          <w:sz w:val="24"/>
          <w:szCs w:val="24"/>
        </w:rPr>
        <w:t xml:space="preserve">, 90% серед загальної популяції. Слід зазначити, що більшість </w:t>
      </w:r>
      <w:r w:rsidR="000634F6" w:rsidRPr="00DD716C">
        <w:rPr>
          <w:color w:val="000000"/>
          <w:sz w:val="24"/>
          <w:szCs w:val="24"/>
          <w:lang w:val="uk-UA"/>
        </w:rPr>
        <w:t>і</w:t>
      </w:r>
      <w:r w:rsidRPr="00DD716C">
        <w:rPr>
          <w:color w:val="000000"/>
          <w:sz w:val="24"/>
          <w:szCs w:val="24"/>
        </w:rPr>
        <w:t>з цих оцінок дієвості були проведені в перші кілька місяців після введення продукту, і вони не обов'язково відображають дієвості протягом всього сезону РСВ інфекції, оскільки рівень антитіл зменшується з часом.</w:t>
      </w:r>
    </w:p>
    <w:p w14:paraId="0000001B" w14:textId="77777777"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 xml:space="preserve"> На сьогодні не існує даних щодо взаємозамінності моноклональних антитіл різних виробників.</w:t>
      </w:r>
    </w:p>
    <w:p w14:paraId="0000001C" w14:textId="2CAC2DCF"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 xml:space="preserve"> У рамках </w:t>
      </w:r>
      <w:proofErr w:type="spellStart"/>
      <w:r w:rsidRPr="00DD716C">
        <w:rPr>
          <w:color w:val="000000"/>
          <w:sz w:val="24"/>
          <w:szCs w:val="24"/>
        </w:rPr>
        <w:t>постмаркетингового</w:t>
      </w:r>
      <w:proofErr w:type="spellEnd"/>
      <w:r w:rsidRPr="00DD716C">
        <w:rPr>
          <w:color w:val="000000"/>
          <w:sz w:val="24"/>
          <w:szCs w:val="24"/>
        </w:rPr>
        <w:t xml:space="preserve"> моніторингу безпеки препарату в усіх країнах світу було введено понад 2 мільйони доз нірсевімаб, і загальний профіль безпеки є сприятливим.</w:t>
      </w:r>
    </w:p>
    <w:p w14:paraId="0000001D" w14:textId="289E615D"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 xml:space="preserve"> </w:t>
      </w:r>
      <w:r w:rsidR="000634F6" w:rsidRPr="00DD716C">
        <w:rPr>
          <w:color w:val="000000"/>
          <w:sz w:val="24"/>
          <w:szCs w:val="24"/>
        </w:rPr>
        <w:t xml:space="preserve">Згідно з рекомендаціями </w:t>
      </w:r>
      <w:r w:rsidRPr="00DD716C">
        <w:rPr>
          <w:color w:val="000000"/>
          <w:sz w:val="24"/>
          <w:szCs w:val="24"/>
        </w:rPr>
        <w:t>ВООЗ при системному застосуванні, зокрема при застосуванні препарату нірсевімаб протягом календарного року, продукт слід вводити немовлятам незабаром після народження і</w:t>
      </w:r>
      <w:r w:rsidR="000129F9">
        <w:rPr>
          <w:color w:val="000000"/>
          <w:sz w:val="24"/>
          <w:szCs w:val="24"/>
          <w:lang w:val="uk-UA"/>
        </w:rPr>
        <w:t>/</w:t>
      </w:r>
      <w:r w:rsidR="000634F6" w:rsidRPr="00DD716C">
        <w:rPr>
          <w:color w:val="000000"/>
          <w:sz w:val="24"/>
          <w:szCs w:val="24"/>
          <w:lang w:val="uk-UA"/>
        </w:rPr>
        <w:t xml:space="preserve">або </w:t>
      </w:r>
      <w:r w:rsidRPr="00DD716C">
        <w:rPr>
          <w:color w:val="000000"/>
          <w:sz w:val="24"/>
          <w:szCs w:val="24"/>
        </w:rPr>
        <w:t>до виписки з пологового будинку. Залежно  від форм застосування та дозування при застосуванні препарату під час сезонних піків хвороби, зокрема</w:t>
      </w:r>
      <w:r w:rsidR="000129F9">
        <w:rPr>
          <w:color w:val="000000"/>
          <w:sz w:val="24"/>
          <w:szCs w:val="24"/>
          <w:lang w:val="uk-UA"/>
        </w:rPr>
        <w:t>,</w:t>
      </w:r>
      <w:r w:rsidRPr="00DD716C">
        <w:rPr>
          <w:color w:val="000000"/>
          <w:sz w:val="24"/>
          <w:szCs w:val="24"/>
        </w:rPr>
        <w:t xml:space="preserve"> коли препарат вводиться старшим немовлятам безпосередньо перед початком їхнього першого та другого сезонів зустрічі з РСВ, антитіла можна вводити під час планових візитів для імунізації або інших запланованих візитів до лікаря для здорових дітей.</w:t>
      </w:r>
    </w:p>
    <w:p w14:paraId="0000001E" w14:textId="3781F45E" w:rsidR="004948B9" w:rsidRPr="00DD716C" w:rsidRDefault="00000000" w:rsidP="00401192">
      <w:pPr>
        <w:widowControl/>
        <w:numPr>
          <w:ilvl w:val="0"/>
          <w:numId w:val="2"/>
        </w:numPr>
        <w:pBdr>
          <w:top w:val="nil"/>
          <w:left w:val="nil"/>
          <w:bottom w:val="nil"/>
          <w:right w:val="nil"/>
          <w:between w:val="nil"/>
        </w:pBdr>
        <w:spacing w:after="160"/>
        <w:jc w:val="both"/>
        <w:rPr>
          <w:color w:val="000000"/>
          <w:sz w:val="24"/>
          <w:szCs w:val="24"/>
        </w:rPr>
      </w:pPr>
      <w:r w:rsidRPr="00DD716C">
        <w:rPr>
          <w:color w:val="000000"/>
          <w:sz w:val="24"/>
          <w:szCs w:val="24"/>
        </w:rPr>
        <w:t xml:space="preserve"> Моноклональні антитіла можна вводити одночасно з вакцинами</w:t>
      </w:r>
      <w:r w:rsidR="000129F9">
        <w:rPr>
          <w:color w:val="000000"/>
          <w:sz w:val="24"/>
          <w:szCs w:val="24"/>
          <w:lang w:val="uk-UA"/>
        </w:rPr>
        <w:t>,</w:t>
      </w:r>
      <w:r w:rsidRPr="00DD716C">
        <w:rPr>
          <w:color w:val="000000"/>
          <w:sz w:val="24"/>
          <w:szCs w:val="24"/>
        </w:rPr>
        <w:t xml:space="preserve"> які застосовуються для рутинних щеплень.</w:t>
      </w:r>
    </w:p>
    <w:p w14:paraId="0000001F" w14:textId="5F09FC6F" w:rsidR="004948B9" w:rsidRDefault="00000000" w:rsidP="00401192">
      <w:pPr>
        <w:widowControl/>
        <w:pBdr>
          <w:top w:val="nil"/>
          <w:left w:val="nil"/>
          <w:bottom w:val="nil"/>
          <w:right w:val="nil"/>
          <w:between w:val="nil"/>
        </w:pBdr>
        <w:spacing w:after="160"/>
        <w:jc w:val="both"/>
        <w:rPr>
          <w:color w:val="000000"/>
          <w:sz w:val="28"/>
          <w:szCs w:val="28"/>
        </w:rPr>
      </w:pPr>
      <w:r w:rsidRPr="00401192">
        <w:rPr>
          <w:b/>
          <w:bCs/>
          <w:color w:val="000000"/>
          <w:sz w:val="28"/>
          <w:szCs w:val="28"/>
        </w:rPr>
        <w:t>Висновок:</w:t>
      </w:r>
      <w:r>
        <w:rPr>
          <w:color w:val="000000"/>
          <w:sz w:val="28"/>
          <w:szCs w:val="28"/>
        </w:rPr>
        <w:t xml:space="preserve"> НТГЕІ вважає за </w:t>
      </w:r>
      <w:proofErr w:type="spellStart"/>
      <w:r>
        <w:rPr>
          <w:color w:val="000000"/>
          <w:sz w:val="28"/>
          <w:szCs w:val="28"/>
        </w:rPr>
        <w:t>можлив</w:t>
      </w:r>
      <w:proofErr w:type="spellEnd"/>
      <w:r w:rsidR="000129F9">
        <w:rPr>
          <w:color w:val="000000"/>
          <w:sz w:val="28"/>
          <w:szCs w:val="28"/>
          <w:lang w:val="uk-UA"/>
        </w:rPr>
        <w:t>е</w:t>
      </w:r>
      <w:r>
        <w:rPr>
          <w:color w:val="000000"/>
          <w:sz w:val="28"/>
          <w:szCs w:val="28"/>
        </w:rPr>
        <w:t xml:space="preserve"> використання </w:t>
      </w:r>
      <w:proofErr w:type="spellStart"/>
      <w:r>
        <w:rPr>
          <w:color w:val="000000"/>
          <w:sz w:val="28"/>
          <w:szCs w:val="28"/>
        </w:rPr>
        <w:t>моноклонального</w:t>
      </w:r>
      <w:proofErr w:type="spellEnd"/>
      <w:r>
        <w:rPr>
          <w:color w:val="000000"/>
          <w:sz w:val="28"/>
          <w:szCs w:val="28"/>
        </w:rPr>
        <w:t xml:space="preserve"> антитіла </w:t>
      </w:r>
      <w:r w:rsidR="00401192">
        <w:rPr>
          <w:color w:val="000000"/>
          <w:sz w:val="28"/>
          <w:szCs w:val="28"/>
          <w:lang w:val="uk-UA"/>
        </w:rPr>
        <w:t>н</w:t>
      </w:r>
      <w:r>
        <w:rPr>
          <w:color w:val="000000"/>
          <w:sz w:val="28"/>
          <w:szCs w:val="28"/>
        </w:rPr>
        <w:t>ірсевімаб для профілактики РСВ інфекції в Україні.</w:t>
      </w:r>
    </w:p>
    <w:p w14:paraId="6E7F8909" w14:textId="77777777" w:rsidR="000634F6" w:rsidRDefault="000634F6" w:rsidP="000634F6">
      <w:pPr>
        <w:widowControl/>
        <w:pBdr>
          <w:top w:val="nil"/>
          <w:left w:val="nil"/>
          <w:bottom w:val="nil"/>
          <w:right w:val="nil"/>
          <w:between w:val="nil"/>
        </w:pBdr>
        <w:spacing w:after="160"/>
        <w:jc w:val="both"/>
        <w:rPr>
          <w:b/>
          <w:bCs/>
          <w:color w:val="000000"/>
          <w:sz w:val="28"/>
          <w:szCs w:val="28"/>
          <w:lang w:val="uk-UA"/>
        </w:rPr>
      </w:pPr>
      <w:r w:rsidRPr="000634F6">
        <w:rPr>
          <w:b/>
          <w:bCs/>
          <w:color w:val="000000"/>
          <w:sz w:val="28"/>
          <w:szCs w:val="28"/>
        </w:rPr>
        <w:t xml:space="preserve">Зважаючи на вищезазначене, вважаємо за доцільне: </w:t>
      </w:r>
    </w:p>
    <w:p w14:paraId="00000021" w14:textId="3BE1C126" w:rsidR="004948B9" w:rsidRPr="00401192" w:rsidRDefault="00000000" w:rsidP="00401192">
      <w:pPr>
        <w:widowControl/>
        <w:pBdr>
          <w:top w:val="nil"/>
          <w:left w:val="nil"/>
          <w:bottom w:val="nil"/>
          <w:right w:val="nil"/>
          <w:between w:val="nil"/>
        </w:pBdr>
        <w:spacing w:after="160"/>
        <w:ind w:firstLine="720"/>
        <w:jc w:val="both"/>
        <w:rPr>
          <w:lang w:val="uk-UA"/>
        </w:rPr>
      </w:pPr>
      <w:sdt>
        <w:sdtPr>
          <w:tag w:val="goog_rdk_1"/>
          <w:id w:val="-302273208"/>
        </w:sdtPr>
        <w:sdtContent>
          <w:r w:rsidRPr="00401192">
            <w:rPr>
              <w:rFonts w:eastAsia="Gungsuh"/>
              <w:color w:val="000000"/>
              <w:sz w:val="28"/>
              <w:szCs w:val="28"/>
            </w:rPr>
            <w:t xml:space="preserve">Застосовувати моноклональне антитіло нірсевімаб для профілактики РСВ інфекції, в </w:t>
          </w:r>
          <w:r w:rsidR="000129F9">
            <w:rPr>
              <w:rFonts w:eastAsia="Gungsuh"/>
              <w:color w:val="000000"/>
              <w:sz w:val="28"/>
              <w:szCs w:val="28"/>
              <w:lang w:val="uk-UA"/>
            </w:rPr>
            <w:t xml:space="preserve">дозуванні </w:t>
          </w:r>
          <w:r w:rsidRPr="00401192">
            <w:rPr>
              <w:rFonts w:eastAsia="Gungsuh"/>
              <w:color w:val="000000"/>
              <w:sz w:val="28"/>
              <w:szCs w:val="28"/>
            </w:rPr>
            <w:t xml:space="preserve"> 100 мг/1</w:t>
          </w:r>
          <w:r w:rsidR="000129F9">
            <w:rPr>
              <w:rFonts w:eastAsia="Gungsuh"/>
              <w:color w:val="000000"/>
              <w:sz w:val="28"/>
              <w:szCs w:val="28"/>
              <w:lang w:val="uk-UA"/>
            </w:rPr>
            <w:t>,</w:t>
          </w:r>
          <w:r w:rsidRPr="00401192">
            <w:rPr>
              <w:rFonts w:eastAsia="Gungsuh"/>
              <w:color w:val="000000"/>
              <w:sz w:val="28"/>
              <w:szCs w:val="28"/>
            </w:rPr>
            <w:t>0 мл</w:t>
          </w:r>
          <w:r w:rsidR="000129F9">
            <w:rPr>
              <w:rFonts w:eastAsia="Gungsuh"/>
              <w:color w:val="000000"/>
              <w:sz w:val="28"/>
              <w:szCs w:val="28"/>
              <w:lang w:val="uk-UA"/>
            </w:rPr>
            <w:t>,</w:t>
          </w:r>
          <w:r w:rsidRPr="00401192">
            <w:rPr>
              <w:rFonts w:eastAsia="Gungsuh"/>
              <w:color w:val="000000"/>
              <w:sz w:val="28"/>
              <w:szCs w:val="28"/>
            </w:rPr>
            <w:t xml:space="preserve"> в дітей перших років життя, що входять в свій перший та другий сезони зустрічей з РСВ та мають вищий ризик розвитку тяжкого перебігу захворювання. </w:t>
          </w:r>
          <w:r w:rsidR="00DD716C" w:rsidRPr="00DD716C">
            <w:rPr>
              <w:rFonts w:eastAsia="Gungsuh"/>
              <w:color w:val="000000"/>
              <w:sz w:val="28"/>
              <w:szCs w:val="28"/>
            </w:rPr>
            <w:t xml:space="preserve">Згідно з інструкцією </w:t>
          </w:r>
          <w:r w:rsidRPr="00401192">
            <w:rPr>
              <w:rFonts w:eastAsia="Gungsuh"/>
              <w:color w:val="000000"/>
              <w:sz w:val="28"/>
              <w:szCs w:val="28"/>
            </w:rPr>
            <w:t>засобу його починають застосовувати при досягненні дітьми ≥5 кг. Орієнтовний  вік таких дітей складе від 3 до 24 місяців. Зважаючи на обмежену кількість доз, вважаємо</w:t>
          </w:r>
          <w:r w:rsidR="000129F9">
            <w:rPr>
              <w:rFonts w:eastAsia="Gungsuh"/>
              <w:color w:val="000000"/>
              <w:sz w:val="28"/>
              <w:szCs w:val="28"/>
              <w:lang w:val="uk-UA"/>
            </w:rPr>
            <w:t>,</w:t>
          </w:r>
          <w:r w:rsidRPr="00401192">
            <w:rPr>
              <w:rFonts w:eastAsia="Gungsuh"/>
              <w:color w:val="000000"/>
              <w:sz w:val="28"/>
              <w:szCs w:val="28"/>
            </w:rPr>
            <w:t xml:space="preserve"> що пріоритетно препарат мають отримати:</w:t>
          </w:r>
        </w:sdtContent>
      </w:sdt>
    </w:p>
    <w:p w14:paraId="00000022" w14:textId="77777777" w:rsidR="004948B9" w:rsidRDefault="00000000" w:rsidP="00401192">
      <w:pPr>
        <w:widowControl/>
        <w:pBdr>
          <w:top w:val="nil"/>
          <w:left w:val="nil"/>
          <w:bottom w:val="nil"/>
          <w:right w:val="nil"/>
          <w:between w:val="nil"/>
        </w:pBdr>
        <w:spacing w:after="160"/>
        <w:ind w:firstLine="720"/>
        <w:jc w:val="both"/>
        <w:rPr>
          <w:color w:val="000000"/>
          <w:sz w:val="28"/>
          <w:szCs w:val="28"/>
        </w:rPr>
      </w:pPr>
      <w:r>
        <w:rPr>
          <w:color w:val="000000"/>
          <w:sz w:val="28"/>
          <w:szCs w:val="28"/>
        </w:rPr>
        <w:t xml:space="preserve"> - передчасно народжені діти;</w:t>
      </w:r>
    </w:p>
    <w:p w14:paraId="00000023" w14:textId="7CAB40F1" w:rsidR="004948B9" w:rsidRDefault="00000000" w:rsidP="00401192">
      <w:pPr>
        <w:widowControl/>
        <w:pBdr>
          <w:top w:val="nil"/>
          <w:left w:val="nil"/>
          <w:bottom w:val="nil"/>
          <w:right w:val="nil"/>
          <w:between w:val="nil"/>
        </w:pBdr>
        <w:spacing w:after="160"/>
        <w:ind w:firstLine="720"/>
        <w:jc w:val="both"/>
        <w:rPr>
          <w:color w:val="000000"/>
          <w:sz w:val="28"/>
          <w:szCs w:val="28"/>
        </w:rPr>
      </w:pPr>
      <w:r>
        <w:rPr>
          <w:color w:val="000000"/>
          <w:sz w:val="28"/>
          <w:szCs w:val="28"/>
        </w:rPr>
        <w:t xml:space="preserve">- новонароджені та діти </w:t>
      </w:r>
      <w:r w:rsidR="00DD716C">
        <w:rPr>
          <w:color w:val="000000"/>
          <w:sz w:val="28"/>
          <w:szCs w:val="28"/>
          <w:lang w:val="uk-UA"/>
        </w:rPr>
        <w:t>і</w:t>
      </w:r>
      <w:r>
        <w:rPr>
          <w:color w:val="000000"/>
          <w:sz w:val="28"/>
          <w:szCs w:val="28"/>
        </w:rPr>
        <w:t>з супутніми захворюваннями дихальної та серцево-судинної систем, нейром’язевими хворобами (зокрема таких</w:t>
      </w:r>
      <w:r w:rsidR="000129F9">
        <w:rPr>
          <w:color w:val="000000"/>
          <w:sz w:val="28"/>
          <w:szCs w:val="28"/>
          <w:lang w:val="uk-UA"/>
        </w:rPr>
        <w:t>,</w:t>
      </w:r>
      <w:r>
        <w:rPr>
          <w:color w:val="000000"/>
          <w:sz w:val="28"/>
          <w:szCs w:val="28"/>
        </w:rPr>
        <w:t xml:space="preserve"> що будуть потребувати оперативного втручання через хвороби);</w:t>
      </w:r>
    </w:p>
    <w:p w14:paraId="00168C70" w14:textId="43837487" w:rsidR="00401192" w:rsidRPr="000129F9"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lastRenderedPageBreak/>
        <w:t>- діти перших років життя, що мають імуноскомпрометовані стани (наприклад, лейкемія, ВІЛ інфекція, імунодефіцитні стани), або ж такі, що проходять лікування препаратами, які призводять до імуносупресії</w:t>
      </w:r>
      <w:r w:rsidR="000129F9">
        <w:rPr>
          <w:color w:val="000000"/>
          <w:sz w:val="28"/>
          <w:szCs w:val="28"/>
          <w:lang w:val="uk-UA"/>
        </w:rPr>
        <w:t>.</w:t>
      </w:r>
    </w:p>
    <w:p w14:paraId="3859A96B" w14:textId="3600F7E5"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У випадку низької потреби серед батьків та опікунів дітей з груп ризику, для уникнення невикористання препарату, надалі надати перевагу дітям до 24 місяців, що мають обмежений доступ до отримання медичної допомоги, зокрема</w:t>
      </w:r>
      <w:r w:rsidR="000129F9">
        <w:rPr>
          <w:color w:val="000000"/>
          <w:sz w:val="28"/>
          <w:szCs w:val="28"/>
          <w:lang w:val="uk-UA"/>
        </w:rPr>
        <w:t>,</w:t>
      </w:r>
      <w:r>
        <w:rPr>
          <w:color w:val="000000"/>
          <w:sz w:val="28"/>
          <w:szCs w:val="28"/>
        </w:rPr>
        <w:t xml:space="preserve"> через факт проживання </w:t>
      </w:r>
      <w:r w:rsidR="000129F9">
        <w:rPr>
          <w:color w:val="000000"/>
          <w:sz w:val="28"/>
          <w:szCs w:val="28"/>
          <w:lang w:val="uk-UA"/>
        </w:rPr>
        <w:t>у</w:t>
      </w:r>
      <w:r>
        <w:rPr>
          <w:color w:val="000000"/>
          <w:sz w:val="28"/>
          <w:szCs w:val="28"/>
        </w:rPr>
        <w:t xml:space="preserve"> віддалених або ж населених пунктах</w:t>
      </w:r>
      <w:r w:rsidR="000129F9">
        <w:rPr>
          <w:color w:val="000000"/>
          <w:sz w:val="28"/>
          <w:szCs w:val="28"/>
          <w:lang w:val="uk-UA"/>
        </w:rPr>
        <w:t>,</w:t>
      </w:r>
      <w:r>
        <w:rPr>
          <w:color w:val="000000"/>
          <w:sz w:val="28"/>
          <w:szCs w:val="28"/>
        </w:rPr>
        <w:t xml:space="preserve"> близьких до лінії проведення бойових дій. В подальшому  пропонувати препарат дітям до 24 місяців, що входять в свій перший та другий сезон РСВ інфекцій, з урахуванням особливостей </w:t>
      </w:r>
      <w:r w:rsidR="000129F9">
        <w:rPr>
          <w:color w:val="000000"/>
          <w:sz w:val="28"/>
          <w:szCs w:val="28"/>
          <w:lang w:val="uk-UA"/>
        </w:rPr>
        <w:t xml:space="preserve">дозування </w:t>
      </w:r>
      <w:r>
        <w:rPr>
          <w:color w:val="000000"/>
          <w:sz w:val="28"/>
          <w:szCs w:val="28"/>
        </w:rPr>
        <w:t xml:space="preserve"> наданого продукту, за принципом попередніх записів та черги з боку батьків.</w:t>
      </w:r>
    </w:p>
    <w:p w14:paraId="77294C87" w14:textId="6EADB50E" w:rsidR="00401192" w:rsidRDefault="00DD716C"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lang w:val="uk-UA"/>
        </w:rPr>
        <w:t>У</w:t>
      </w:r>
      <w:r>
        <w:rPr>
          <w:color w:val="000000"/>
          <w:sz w:val="28"/>
          <w:szCs w:val="28"/>
        </w:rPr>
        <w:t xml:space="preserve"> процесі формування потреб вважаємо за доцільне долучати до даного процесу пацієнтські організації</w:t>
      </w:r>
      <w:r w:rsidR="000129F9">
        <w:rPr>
          <w:color w:val="000000"/>
          <w:sz w:val="28"/>
          <w:szCs w:val="28"/>
          <w:lang w:val="uk-UA"/>
        </w:rPr>
        <w:t>,</w:t>
      </w:r>
      <w:r>
        <w:rPr>
          <w:color w:val="000000"/>
          <w:sz w:val="28"/>
          <w:szCs w:val="28"/>
        </w:rPr>
        <w:t xml:space="preserve"> до складу яких входять батьки дітей з груп ризику</w:t>
      </w:r>
      <w:r w:rsidR="00401192">
        <w:rPr>
          <w:color w:val="000000"/>
          <w:sz w:val="28"/>
          <w:szCs w:val="28"/>
          <w:lang w:val="uk-UA"/>
        </w:rPr>
        <w:t xml:space="preserve">. </w:t>
      </w:r>
    </w:p>
    <w:p w14:paraId="14CC40F2" w14:textId="62DA8520"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 xml:space="preserve">При розгляді можливості інтеграції застосування препарату </w:t>
      </w:r>
      <w:proofErr w:type="spellStart"/>
      <w:r>
        <w:rPr>
          <w:color w:val="000000"/>
          <w:sz w:val="28"/>
          <w:szCs w:val="28"/>
        </w:rPr>
        <w:t>нірсевімаб</w:t>
      </w:r>
      <w:proofErr w:type="spellEnd"/>
      <w:r>
        <w:rPr>
          <w:color w:val="000000"/>
          <w:sz w:val="28"/>
          <w:szCs w:val="28"/>
        </w:rPr>
        <w:t xml:space="preserve"> </w:t>
      </w:r>
      <w:proofErr w:type="spellStart"/>
      <w:r>
        <w:rPr>
          <w:color w:val="000000"/>
          <w:sz w:val="28"/>
          <w:szCs w:val="28"/>
        </w:rPr>
        <w:t>донаціональних</w:t>
      </w:r>
      <w:proofErr w:type="spellEnd"/>
      <w:r>
        <w:rPr>
          <w:color w:val="000000"/>
          <w:sz w:val="28"/>
          <w:szCs w:val="28"/>
        </w:rPr>
        <w:t xml:space="preserve"> програм профілактики зважати на стабільність поставок та </w:t>
      </w:r>
      <w:proofErr w:type="spellStart"/>
      <w:r>
        <w:rPr>
          <w:color w:val="000000"/>
          <w:sz w:val="28"/>
          <w:szCs w:val="28"/>
        </w:rPr>
        <w:t>доступн</w:t>
      </w:r>
      <w:r w:rsidR="00215BA8">
        <w:rPr>
          <w:color w:val="000000"/>
          <w:sz w:val="28"/>
          <w:szCs w:val="28"/>
          <w:lang w:val="uk-UA"/>
        </w:rPr>
        <w:t>ість</w:t>
      </w:r>
      <w:proofErr w:type="spellEnd"/>
      <w:r>
        <w:rPr>
          <w:color w:val="000000"/>
          <w:sz w:val="28"/>
          <w:szCs w:val="28"/>
        </w:rPr>
        <w:t xml:space="preserve"> препарату.</w:t>
      </w:r>
    </w:p>
    <w:p w14:paraId="2B4475AC" w14:textId="743215C8"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 xml:space="preserve">Для надання більших системних рекомендацій щодо </w:t>
      </w:r>
      <w:r w:rsidR="00DD716C">
        <w:rPr>
          <w:color w:val="000000"/>
          <w:sz w:val="28"/>
          <w:szCs w:val="28"/>
        </w:rPr>
        <w:t>довготривалого</w:t>
      </w:r>
      <w:r>
        <w:rPr>
          <w:color w:val="000000"/>
          <w:sz w:val="28"/>
          <w:szCs w:val="28"/>
        </w:rPr>
        <w:t xml:space="preserve"> застосування цього та інших препаратів профілактики РСВ інфекції НТГЕІ потребує більше </w:t>
      </w:r>
      <w:r w:rsidR="00DD716C">
        <w:rPr>
          <w:color w:val="000000"/>
          <w:sz w:val="28"/>
          <w:szCs w:val="28"/>
        </w:rPr>
        <w:t>даних</w:t>
      </w:r>
      <w:r>
        <w:rPr>
          <w:color w:val="000000"/>
          <w:sz w:val="28"/>
          <w:szCs w:val="28"/>
        </w:rPr>
        <w:t xml:space="preserve"> щодо видів ІБП, подальших планів з точки зору їх реєстрації та закупівель.  </w:t>
      </w:r>
    </w:p>
    <w:p w14:paraId="0000002A" w14:textId="1FD78CE2" w:rsidR="004948B9" w:rsidRPr="00DD716C" w:rsidRDefault="00000000" w:rsidP="00401192">
      <w:pPr>
        <w:widowControl/>
        <w:pBdr>
          <w:top w:val="nil"/>
          <w:left w:val="nil"/>
          <w:bottom w:val="nil"/>
          <w:right w:val="nil"/>
          <w:between w:val="nil"/>
        </w:pBdr>
        <w:spacing w:after="160"/>
        <w:ind w:firstLine="720"/>
        <w:jc w:val="both"/>
        <w:rPr>
          <w:b/>
          <w:bCs/>
          <w:color w:val="000000"/>
          <w:sz w:val="28"/>
          <w:szCs w:val="28"/>
        </w:rPr>
      </w:pPr>
      <w:r w:rsidRPr="00DD716C">
        <w:rPr>
          <w:b/>
          <w:bCs/>
          <w:color w:val="000000"/>
          <w:sz w:val="28"/>
          <w:szCs w:val="28"/>
        </w:rPr>
        <w:t>В контексті застосування нірсевімаб при поточній поставці його в якості гуманітарної допомоги, зважаючи на характеристики препарату, а саме:</w:t>
      </w:r>
    </w:p>
    <w:p w14:paraId="0000002B" w14:textId="77777777" w:rsidR="004948B9" w:rsidRDefault="00000000" w:rsidP="00401192">
      <w:pPr>
        <w:widowControl/>
        <w:pBdr>
          <w:top w:val="nil"/>
          <w:left w:val="nil"/>
          <w:bottom w:val="nil"/>
          <w:right w:val="nil"/>
          <w:between w:val="nil"/>
        </w:pBdr>
        <w:spacing w:after="160"/>
        <w:ind w:left="720"/>
        <w:jc w:val="both"/>
        <w:rPr>
          <w:color w:val="000000"/>
          <w:sz w:val="28"/>
          <w:szCs w:val="28"/>
        </w:rPr>
      </w:pPr>
      <w:r>
        <w:rPr>
          <w:color w:val="000000"/>
          <w:sz w:val="28"/>
          <w:szCs w:val="28"/>
        </w:rPr>
        <w:t>- профілю стабільності та умов зберігання (+2...+8</w:t>
      </w:r>
      <w:r>
        <w:rPr>
          <w:color w:val="000000"/>
          <w:sz w:val="28"/>
          <w:szCs w:val="28"/>
          <w:vertAlign w:val="superscript"/>
        </w:rPr>
        <w:t>о</w:t>
      </w:r>
      <w:r>
        <w:rPr>
          <w:color w:val="000000"/>
          <w:sz w:val="28"/>
          <w:szCs w:val="28"/>
        </w:rPr>
        <w:t>С);</w:t>
      </w:r>
    </w:p>
    <w:p w14:paraId="3B65B248" w14:textId="77777777" w:rsidR="00401192" w:rsidRDefault="00000000" w:rsidP="00401192">
      <w:pPr>
        <w:widowControl/>
        <w:pBdr>
          <w:top w:val="nil"/>
          <w:left w:val="nil"/>
          <w:bottom w:val="nil"/>
          <w:right w:val="nil"/>
          <w:between w:val="nil"/>
        </w:pBdr>
        <w:spacing w:after="160"/>
        <w:ind w:left="720"/>
        <w:jc w:val="both"/>
        <w:rPr>
          <w:color w:val="000000"/>
          <w:sz w:val="28"/>
          <w:szCs w:val="28"/>
          <w:lang w:val="uk-UA"/>
        </w:rPr>
      </w:pPr>
      <w:r>
        <w:rPr>
          <w:color w:val="000000"/>
          <w:sz w:val="28"/>
          <w:szCs w:val="28"/>
        </w:rPr>
        <w:t>- можливості одночасного застосування препарату з рутинними вакцинами;</w:t>
      </w:r>
    </w:p>
    <w:p w14:paraId="7125E263" w14:textId="38C6D19B" w:rsidR="00401192" w:rsidRDefault="00401192"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lang w:val="uk-UA"/>
        </w:rPr>
        <w:t>в</w:t>
      </w:r>
      <w:r>
        <w:rPr>
          <w:color w:val="000000"/>
          <w:sz w:val="28"/>
          <w:szCs w:val="28"/>
        </w:rPr>
        <w:t>важаємо за доцільне використати поточну можливість у використанні, зберіганні та перевезенні моноклонального антитіла нірсевімаб з іншими ІБП, що використовуються для рутинної імунізації згідно</w:t>
      </w:r>
      <w:r w:rsidR="00215BA8">
        <w:rPr>
          <w:color w:val="000000"/>
          <w:sz w:val="28"/>
          <w:szCs w:val="28"/>
          <w:lang w:val="uk-UA"/>
        </w:rPr>
        <w:t xml:space="preserve"> з</w:t>
      </w:r>
      <w:r>
        <w:rPr>
          <w:color w:val="000000"/>
          <w:sz w:val="28"/>
          <w:szCs w:val="28"/>
        </w:rPr>
        <w:t xml:space="preserve"> </w:t>
      </w:r>
      <w:proofErr w:type="spellStart"/>
      <w:r>
        <w:rPr>
          <w:color w:val="000000"/>
          <w:sz w:val="28"/>
          <w:szCs w:val="28"/>
        </w:rPr>
        <w:t>Національн</w:t>
      </w:r>
      <w:r w:rsidR="00215BA8">
        <w:rPr>
          <w:color w:val="000000"/>
          <w:sz w:val="28"/>
          <w:szCs w:val="28"/>
          <w:lang w:val="uk-UA"/>
        </w:rPr>
        <w:t>им</w:t>
      </w:r>
      <w:proofErr w:type="spellEnd"/>
      <w:r>
        <w:rPr>
          <w:color w:val="000000"/>
          <w:sz w:val="28"/>
          <w:szCs w:val="28"/>
        </w:rPr>
        <w:t xml:space="preserve"> календар</w:t>
      </w:r>
      <w:proofErr w:type="spellStart"/>
      <w:r w:rsidR="00215BA8">
        <w:rPr>
          <w:color w:val="000000"/>
          <w:sz w:val="28"/>
          <w:szCs w:val="28"/>
          <w:lang w:val="uk-UA"/>
        </w:rPr>
        <w:t>ем</w:t>
      </w:r>
      <w:proofErr w:type="spellEnd"/>
      <w:r>
        <w:rPr>
          <w:color w:val="000000"/>
          <w:sz w:val="28"/>
          <w:szCs w:val="28"/>
        </w:rPr>
        <w:t xml:space="preserve"> профілактичних щеплень.</w:t>
      </w:r>
    </w:p>
    <w:p w14:paraId="0F3D8424" w14:textId="3E63F8AE"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 xml:space="preserve">Для максимально ефективного використання гуманітарної допомоги вважаємо за доцільне зібрати інформацію шодо кількості дітей, що входять до групи ризику та підпадають імунізації, та формувати можливості для отримання щеплень ними в епідемічний сезон РСВ інфекції (середина осені – початок весни). </w:t>
      </w:r>
    </w:p>
    <w:p w14:paraId="0000002F" w14:textId="1C480F18" w:rsidR="004948B9" w:rsidRP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 xml:space="preserve">З урахуванням можливості одночасного введення </w:t>
      </w:r>
      <w:r>
        <w:rPr>
          <w:sz w:val="28"/>
          <w:szCs w:val="28"/>
        </w:rPr>
        <w:t>препарату</w:t>
      </w:r>
      <w:r>
        <w:rPr>
          <w:color w:val="000000"/>
          <w:sz w:val="28"/>
          <w:szCs w:val="28"/>
        </w:rPr>
        <w:t xml:space="preserve"> з вакцинами рекомендувати надавачам послуг – педіатрам та сімейним лікарям</w:t>
      </w:r>
      <w:r w:rsidR="004272CE">
        <w:rPr>
          <w:color w:val="000000"/>
          <w:sz w:val="28"/>
          <w:szCs w:val="28"/>
          <w:lang w:val="uk-UA"/>
        </w:rPr>
        <w:t>,</w:t>
      </w:r>
      <w:r>
        <w:rPr>
          <w:color w:val="000000"/>
          <w:sz w:val="28"/>
          <w:szCs w:val="28"/>
        </w:rPr>
        <w:t xml:space="preserve">  проводити щеплення нірсевімабом під час планових </w:t>
      </w:r>
      <w:r>
        <w:rPr>
          <w:sz w:val="28"/>
          <w:szCs w:val="28"/>
        </w:rPr>
        <w:t>візитів</w:t>
      </w:r>
      <w:r>
        <w:rPr>
          <w:color w:val="000000"/>
          <w:sz w:val="28"/>
          <w:szCs w:val="28"/>
        </w:rPr>
        <w:t xml:space="preserve"> дітей з батьками та опікунами. </w:t>
      </w:r>
    </w:p>
    <w:p w14:paraId="4A193B24" w14:textId="77777777" w:rsidR="00401192" w:rsidRPr="00DD716C" w:rsidRDefault="00000000" w:rsidP="00401192">
      <w:pPr>
        <w:widowControl/>
        <w:pBdr>
          <w:top w:val="nil"/>
          <w:left w:val="nil"/>
          <w:bottom w:val="nil"/>
          <w:right w:val="nil"/>
          <w:between w:val="nil"/>
        </w:pBdr>
        <w:spacing w:after="160"/>
        <w:ind w:firstLine="720"/>
        <w:jc w:val="both"/>
        <w:rPr>
          <w:b/>
          <w:bCs/>
          <w:color w:val="000000"/>
          <w:sz w:val="28"/>
          <w:szCs w:val="28"/>
          <w:lang w:val="uk-UA"/>
        </w:rPr>
      </w:pPr>
      <w:r w:rsidRPr="00DD716C">
        <w:rPr>
          <w:b/>
          <w:bCs/>
          <w:color w:val="000000"/>
          <w:sz w:val="28"/>
          <w:szCs w:val="28"/>
        </w:rPr>
        <w:t>В контексті клінічних, етичних та логістичних аспектів застосування в рамках гуманітарної допомоги.</w:t>
      </w:r>
    </w:p>
    <w:p w14:paraId="0E7C39ED" w14:textId="77777777"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У контексті гуманітарної допомоги застосування медичних препаратів повинно базуватись на наукових доказах щодо дієвості та безпеки. Враховуючи обмеженість медичних ресурсів у кризових умовах, важливо чітко визначити пріоритетні групи дітей, які потребують заходів профілактики в першу чергу через супутні медичні стани.</w:t>
      </w:r>
    </w:p>
    <w:p w14:paraId="6AF67ACC" w14:textId="5F8CB8A0"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НТГЕІ не є органом, що оцінює етичну сторону питання, однак вважаємо</w:t>
      </w:r>
      <w:r w:rsidR="004272CE">
        <w:rPr>
          <w:color w:val="000000"/>
          <w:sz w:val="28"/>
          <w:szCs w:val="28"/>
          <w:lang w:val="uk-UA"/>
        </w:rPr>
        <w:t>,</w:t>
      </w:r>
      <w:r>
        <w:rPr>
          <w:color w:val="000000"/>
          <w:sz w:val="28"/>
          <w:szCs w:val="28"/>
        </w:rPr>
        <w:t xml:space="preserve"> що застосування гуманітарної допомоги має включати принципи справедливості, </w:t>
      </w:r>
      <w:r>
        <w:rPr>
          <w:color w:val="000000"/>
          <w:sz w:val="28"/>
          <w:szCs w:val="28"/>
        </w:rPr>
        <w:lastRenderedPageBreak/>
        <w:t xml:space="preserve">відкритості та рівного доступу до запропонованої допомоги для всіх осіб з груп ризику, незалежно від їхнього соціального статусу чи національної приналежності. </w:t>
      </w:r>
    </w:p>
    <w:p w14:paraId="59A57823" w14:textId="77777777"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 xml:space="preserve">НТГЕІ не відповідає за логістичні аспекти ефективної реалізації гуманітарної допомоги. Зважаючи на вищенаведені дані, а також з метою </w:t>
      </w:r>
      <w:r>
        <w:rPr>
          <w:sz w:val="28"/>
          <w:szCs w:val="28"/>
        </w:rPr>
        <w:t>раціонального</w:t>
      </w:r>
      <w:r>
        <w:rPr>
          <w:color w:val="000000"/>
          <w:sz w:val="28"/>
          <w:szCs w:val="28"/>
        </w:rPr>
        <w:t xml:space="preserve"> використання обмежених ресурсів, вважаємо за доцільне зберігати, транспортувати та використовувати  моноклональні антитіла разом з рутинними вакцинами в рамках Національного календаря профілактичних щеплень.</w:t>
      </w:r>
    </w:p>
    <w:p w14:paraId="56DC101B" w14:textId="1377C411"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 xml:space="preserve">Важливо наголосити, що раціональне та ефективне з програмної точки зору застосування препаратів потребує </w:t>
      </w:r>
      <w:proofErr w:type="spellStart"/>
      <w:r>
        <w:rPr>
          <w:color w:val="000000"/>
          <w:sz w:val="28"/>
          <w:szCs w:val="28"/>
        </w:rPr>
        <w:t>підготовк</w:t>
      </w:r>
      <w:proofErr w:type="spellEnd"/>
      <w:r w:rsidR="004272CE">
        <w:rPr>
          <w:color w:val="000000"/>
          <w:sz w:val="28"/>
          <w:szCs w:val="28"/>
          <w:lang w:val="uk-UA"/>
        </w:rPr>
        <w:t>и</w:t>
      </w:r>
      <w:r>
        <w:rPr>
          <w:color w:val="000000"/>
          <w:sz w:val="28"/>
          <w:szCs w:val="28"/>
        </w:rPr>
        <w:t xml:space="preserve"> медичного персоналу для його правильного використання.</w:t>
      </w:r>
    </w:p>
    <w:p w14:paraId="78C12C2F" w14:textId="3BE01D0C" w:rsidR="00401192" w:rsidRDefault="00DD716C" w:rsidP="00401192">
      <w:pPr>
        <w:widowControl/>
        <w:pBdr>
          <w:top w:val="nil"/>
          <w:left w:val="nil"/>
          <w:bottom w:val="nil"/>
          <w:right w:val="nil"/>
          <w:between w:val="nil"/>
        </w:pBdr>
        <w:spacing w:after="160"/>
        <w:ind w:firstLine="720"/>
        <w:jc w:val="both"/>
        <w:rPr>
          <w:color w:val="000000"/>
          <w:sz w:val="28"/>
          <w:szCs w:val="28"/>
          <w:lang w:val="uk-UA"/>
        </w:rPr>
      </w:pPr>
      <w:r w:rsidRPr="00DD716C">
        <w:rPr>
          <w:color w:val="000000"/>
          <w:sz w:val="28"/>
          <w:szCs w:val="28"/>
        </w:rPr>
        <w:t>Існує необхідність</w:t>
      </w:r>
      <w:r>
        <w:rPr>
          <w:color w:val="000000"/>
          <w:sz w:val="28"/>
          <w:szCs w:val="28"/>
        </w:rPr>
        <w:t xml:space="preserve"> розроблення відповідних клінічних протоколів або методичних рекомендацій.</w:t>
      </w:r>
    </w:p>
    <w:p w14:paraId="790FFB28" w14:textId="0C4E45DE"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Зважаючи на факт того, що стандарт допомоги дітям при РСВ інфекції перебував на етапі розробки, з попередньою версією</w:t>
      </w:r>
      <w:r w:rsidR="004272CE">
        <w:rPr>
          <w:color w:val="000000"/>
          <w:sz w:val="28"/>
          <w:szCs w:val="28"/>
          <w:lang w:val="uk-UA"/>
        </w:rPr>
        <w:t>,</w:t>
      </w:r>
      <w:r>
        <w:rPr>
          <w:color w:val="000000"/>
          <w:sz w:val="28"/>
          <w:szCs w:val="28"/>
        </w:rPr>
        <w:t xml:space="preserve"> опублікованою 10 років тому</w:t>
      </w:r>
      <w:r w:rsidR="004272CE">
        <w:rPr>
          <w:color w:val="000000"/>
          <w:sz w:val="28"/>
          <w:szCs w:val="28"/>
          <w:lang w:val="uk-UA"/>
        </w:rPr>
        <w:t>,</w:t>
      </w:r>
      <w:r>
        <w:rPr>
          <w:color w:val="000000"/>
          <w:sz w:val="28"/>
          <w:szCs w:val="28"/>
        </w:rPr>
        <w:t xml:space="preserve"> </w:t>
      </w:r>
      <w:r w:rsidR="00DD716C">
        <w:rPr>
          <w:color w:val="000000"/>
          <w:sz w:val="28"/>
          <w:szCs w:val="28"/>
        </w:rPr>
        <w:t>вважаємо</w:t>
      </w:r>
      <w:r>
        <w:rPr>
          <w:color w:val="000000"/>
          <w:sz w:val="28"/>
          <w:szCs w:val="28"/>
        </w:rPr>
        <w:t xml:space="preserve">, що проведення досліджень та розробка методичних рекомендацій допоможе правильно оцінювати групи ризику, застосовувати медичні засоби, звітувати про проведення </w:t>
      </w:r>
      <w:r w:rsidR="00DD716C">
        <w:rPr>
          <w:color w:val="000000"/>
          <w:sz w:val="28"/>
          <w:szCs w:val="28"/>
        </w:rPr>
        <w:t>інтервенцій</w:t>
      </w:r>
      <w:r>
        <w:rPr>
          <w:color w:val="000000"/>
          <w:sz w:val="28"/>
          <w:szCs w:val="28"/>
        </w:rPr>
        <w:t xml:space="preserve"> та оцінювати їх вплив.</w:t>
      </w:r>
    </w:p>
    <w:p w14:paraId="1CBB4464" w14:textId="77777777" w:rsidR="00401192" w:rsidRDefault="00000000" w:rsidP="00401192">
      <w:pPr>
        <w:widowControl/>
        <w:pBdr>
          <w:top w:val="nil"/>
          <w:left w:val="nil"/>
          <w:bottom w:val="nil"/>
          <w:right w:val="nil"/>
          <w:between w:val="nil"/>
        </w:pBdr>
        <w:spacing w:after="160"/>
        <w:ind w:firstLine="720"/>
        <w:jc w:val="both"/>
        <w:rPr>
          <w:color w:val="000000"/>
          <w:sz w:val="28"/>
          <w:szCs w:val="28"/>
          <w:lang w:val="uk-UA"/>
        </w:rPr>
      </w:pPr>
      <w:r>
        <w:rPr>
          <w:color w:val="000000"/>
          <w:sz w:val="28"/>
          <w:szCs w:val="28"/>
        </w:rPr>
        <w:t>Це важливо, особливо в умовах воєнного стану, де доступ до професійної медичної допомоги може бути обмежений.</w:t>
      </w:r>
    </w:p>
    <w:p w14:paraId="0000003A" w14:textId="5F42B233" w:rsidR="004948B9" w:rsidRDefault="00000000" w:rsidP="00401192">
      <w:pPr>
        <w:widowControl/>
        <w:pBdr>
          <w:top w:val="nil"/>
          <w:left w:val="nil"/>
          <w:bottom w:val="nil"/>
          <w:right w:val="nil"/>
          <w:between w:val="nil"/>
        </w:pBdr>
        <w:spacing w:after="160"/>
        <w:ind w:firstLine="720"/>
        <w:jc w:val="both"/>
        <w:rPr>
          <w:color w:val="000000"/>
          <w:sz w:val="28"/>
          <w:szCs w:val="28"/>
        </w:rPr>
      </w:pPr>
      <w:r>
        <w:rPr>
          <w:color w:val="000000"/>
          <w:sz w:val="28"/>
          <w:szCs w:val="28"/>
        </w:rPr>
        <w:t>Рекомендації мають враховувати специфіку кожного регіону, місцеві епідеміологічні особливості та наявні ресурси.</w:t>
      </w:r>
      <w:bookmarkEnd w:id="1"/>
    </w:p>
    <w:p w14:paraId="0000003B" w14:textId="77777777" w:rsidR="004948B9" w:rsidRDefault="004948B9">
      <w:pPr>
        <w:widowControl/>
        <w:pBdr>
          <w:top w:val="nil"/>
          <w:left w:val="nil"/>
          <w:bottom w:val="nil"/>
          <w:right w:val="nil"/>
          <w:between w:val="nil"/>
        </w:pBdr>
        <w:spacing w:after="160"/>
        <w:jc w:val="both"/>
        <w:rPr>
          <w:color w:val="000000"/>
          <w:sz w:val="28"/>
          <w:szCs w:val="28"/>
        </w:rPr>
      </w:pPr>
    </w:p>
    <w:p w14:paraId="0000003C" w14:textId="77777777" w:rsidR="004948B9" w:rsidRDefault="004948B9">
      <w:pPr>
        <w:widowControl/>
        <w:pBdr>
          <w:top w:val="nil"/>
          <w:left w:val="nil"/>
          <w:bottom w:val="nil"/>
          <w:right w:val="nil"/>
          <w:between w:val="nil"/>
        </w:pBdr>
        <w:spacing w:after="160"/>
        <w:ind w:firstLine="720"/>
        <w:jc w:val="both"/>
        <w:rPr>
          <w:color w:val="000000"/>
          <w:sz w:val="28"/>
          <w:szCs w:val="28"/>
        </w:rPr>
      </w:pPr>
    </w:p>
    <w:sectPr w:rsidR="004948B9">
      <w:pgSz w:w="11920" w:h="16850"/>
      <w:pgMar w:top="480" w:right="740" w:bottom="0" w:left="10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23F0C" w14:textId="77777777" w:rsidR="008F0195" w:rsidRDefault="008F0195">
      <w:r>
        <w:separator/>
      </w:r>
    </w:p>
  </w:endnote>
  <w:endnote w:type="continuationSeparator" w:id="0">
    <w:p w14:paraId="240ADDF9" w14:textId="77777777" w:rsidR="008F0195" w:rsidRDefault="008F0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DBFCFA38-8D24-4AC3-BFEA-B5F4D36DBD76}"/>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embedRegular r:id="rId2" w:fontKey="{277600D3-5B97-4F4C-ADB6-AED61A91648C}"/>
  </w:font>
  <w:font w:name="Calibri">
    <w:panose1 w:val="020F0502020204030204"/>
    <w:charset w:val="CC"/>
    <w:family w:val="swiss"/>
    <w:pitch w:val="variable"/>
    <w:sig w:usb0="E4002EFF" w:usb1="C000247B" w:usb2="00000009" w:usb3="00000000" w:csb0="000001FF" w:csb1="00000000"/>
    <w:embedRegular r:id="rId3" w:fontKey="{E82A78F1-FF11-46EF-8863-16DA022A46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154E1" w14:textId="77777777" w:rsidR="008F0195" w:rsidRDefault="008F0195">
      <w:r>
        <w:separator/>
      </w:r>
    </w:p>
  </w:footnote>
  <w:footnote w:type="continuationSeparator" w:id="0">
    <w:p w14:paraId="1BAB4FC4" w14:textId="77777777" w:rsidR="008F0195" w:rsidRDefault="008F0195">
      <w:r>
        <w:continuationSeparator/>
      </w:r>
    </w:p>
  </w:footnote>
  <w:footnote w:id="1">
    <w:p w14:paraId="0000003D" w14:textId="77777777" w:rsidR="004948B9" w:rsidRDefault="00000000">
      <w:pPr>
        <w:pBdr>
          <w:top w:val="nil"/>
          <w:left w:val="nil"/>
          <w:bottom w:val="nil"/>
          <w:right w:val="nil"/>
          <w:between w:val="nil"/>
        </w:pBdr>
        <w:rPr>
          <w:color w:val="000000"/>
          <w:sz w:val="20"/>
          <w:szCs w:val="20"/>
        </w:rPr>
      </w:pPr>
      <w:r>
        <w:rPr>
          <w:rStyle w:val="aa"/>
        </w:rPr>
        <w:footnoteRef/>
      </w:r>
      <w:r>
        <w:rPr>
          <w:color w:val="000000"/>
          <w:sz w:val="20"/>
          <w:szCs w:val="20"/>
        </w:rPr>
        <w:t xml:space="preserve"> Li Y, Wang X, Blau DM, Caballero MT, Feikin DR, Gill CJ, Madhi SA, Omer SB, Simões EAF, Campbell H, Pariente AB, Bardach D, Bassat Q, Casalegno JS, Chakhunashvili G, Crawford N, Danilenko D, Do LAH, Echavarria M, Gentile A, Gordon A, Heikkinen T, Huang QS, Jullien S, Krishnan A, Lopez EL, Markić J, Mira-Iglesias A, Moore HC, Moyes J, Mwananyanda L, Nokes DJ, Noordeen F, Obodai E, Palani N, Romero C, Salimi V, Satav A, Seo E, Shchomak Z, Singleton R, Stolyarov K, Stoszek SK, von Gottberg A, Wurzel D, Yoshida LM, Yung CF, Zar HJ; Respiratory Virus Global Epidemiology Network; Nair H; RESCEU investigators. Global, regional, and national disease burden estimates of acute lower respiratory infections due to respiratory syncytial virus in children younger than 5 years in 2019: a systematic analysis. Lancet. 2022 May 28;399(10340):2047-2064. doi: 10.1016/S0140-6736(22)00478-0. Epub 2022 May 19. PMID: 35598608; PMCID: PMC7613574.</w:t>
      </w:r>
    </w:p>
  </w:footnote>
  <w:footnote w:id="2">
    <w:p w14:paraId="0000003E" w14:textId="77777777" w:rsidR="004948B9" w:rsidRDefault="00000000">
      <w:pPr>
        <w:pBdr>
          <w:top w:val="nil"/>
          <w:left w:val="nil"/>
          <w:bottom w:val="nil"/>
          <w:right w:val="nil"/>
          <w:between w:val="nil"/>
        </w:pBdr>
        <w:rPr>
          <w:color w:val="000000"/>
          <w:sz w:val="20"/>
          <w:szCs w:val="20"/>
        </w:rPr>
      </w:pPr>
      <w:r>
        <w:rPr>
          <w:rStyle w:val="aa"/>
        </w:rPr>
        <w:footnoteRef/>
      </w:r>
      <w:r>
        <w:rPr>
          <w:color w:val="000000"/>
          <w:sz w:val="20"/>
          <w:szCs w:val="20"/>
        </w:rPr>
        <w:t xml:space="preserve"> Deng S, Cong B, Edgoose M, De Wit F, Nair H, Li Y. Risk factors for respiratory syncytial virus-associated acute lower respiratory infection in children under 5 years: An updated systematic review and meta-analysis. Int J Infect Dis. 2024 Sep;146:107125. doi: 10.1016/j.ijid.2024.107125. Epub 2024 Jun 28. PMID: 38945430.</w:t>
      </w:r>
    </w:p>
  </w:footnote>
  <w:footnote w:id="3">
    <w:p w14:paraId="0000003F" w14:textId="77777777" w:rsidR="004948B9" w:rsidRDefault="00000000">
      <w:pPr>
        <w:pBdr>
          <w:top w:val="nil"/>
          <w:left w:val="nil"/>
          <w:bottom w:val="nil"/>
          <w:right w:val="nil"/>
          <w:between w:val="nil"/>
        </w:pBdr>
        <w:rPr>
          <w:color w:val="000000"/>
          <w:sz w:val="20"/>
          <w:szCs w:val="20"/>
        </w:rPr>
      </w:pPr>
      <w:r>
        <w:rPr>
          <w:rStyle w:val="aa"/>
        </w:rPr>
        <w:footnoteRef/>
      </w:r>
      <w:r>
        <w:rPr>
          <w:color w:val="000000"/>
          <w:sz w:val="20"/>
          <w:szCs w:val="20"/>
        </w:rPr>
        <w:t xml:space="preserve"> Ares-Gómez S, Mallah N, Santiago-Pérez MI, Pardo-Seco J, Pérez-Martínez O, Otero-Barrós MT, Suárez-Gaiche N, Kramer R, Jin J, Platero-Alonso L, Alvárez-Gil RM, Ces-Ozores OM, Nartallo-Penas V, Mirás-Carballal S, Piñeiro-Sotelo M, Malvar-Pintos A, González-Pérez JM, Rodríguez-Tenreiro-Sánchez C, Rivero-Calle I, Salas A, Durán-Parrondo C, Martinón-Torres F; NIRSE-GAL study group. Effectiveness and impact of universal prophylaxis with nirsevimab in infants against hospitalisation for respiratory syncytial virus in Galicia, Spain: initial results of a population-based longitudinal study. Lancet Infect Dis. 2024 Aug;24(8):817-828. doi: 10.1016/S1473-3099(24)00215-9. Epub 2024 Apr 30. Erratum in: Lancet Infect Dis. 2024 Jul;24(7):e419. doi: 10.1016/S1473-3099(24)00355-4. PMID: 38701823.</w:t>
      </w:r>
    </w:p>
  </w:footnote>
  <w:footnote w:id="4">
    <w:p w14:paraId="00000040" w14:textId="77777777" w:rsidR="004948B9" w:rsidRDefault="00000000">
      <w:pPr>
        <w:pBdr>
          <w:top w:val="nil"/>
          <w:left w:val="nil"/>
          <w:bottom w:val="nil"/>
          <w:right w:val="nil"/>
          <w:between w:val="nil"/>
        </w:pBdr>
        <w:rPr>
          <w:color w:val="000000"/>
          <w:sz w:val="20"/>
          <w:szCs w:val="20"/>
        </w:rPr>
      </w:pPr>
      <w:r>
        <w:rPr>
          <w:rStyle w:val="aa"/>
        </w:rPr>
        <w:footnoteRef/>
      </w:r>
      <w:r>
        <w:rPr>
          <w:color w:val="000000"/>
          <w:sz w:val="20"/>
          <w:szCs w:val="20"/>
        </w:rPr>
        <w:t xml:space="preserve"> López-Lacort M, Muñoz-Quiles C, Mira-Iglesias A, López-Labrador FX, Mengual-Chuliá B, Fernández-García C, Carballido-Fernández M, Pineda-Caplliure A, Mollar-Maseres J, Shalabi Benavent M, Sanz-Herrero F, Zornoza-Moreno M, Pérez-Martín JJ, Alfayate-Miguelez S, Pérez Crespo R, Bastida Sánchez E, Menasalvas-Ruiz AI, Téllez-González MC, Esquiva Soto S, Del Toro Saravia C, Sanz-Muñoz I, Eiros JM, Matías Del Pozo V, Toquero-Asensi M, Pastor-Villalba E, Lluch-Rodrigo JA, Díez-Domingo J, Orrico-Sánchez A. Early estimates of nirsevimab immunoprophylaxis effectiveness against hospital admission for respiratory syncytial virus lower respiratory tract infections in infants, Spain, October 2023 to January 2024. Euro Surveill. 2024 Feb;29(6):2400046. doi: 10.2807/1560-7917.ES.2024.29.6.2400046. PMID: 38333937; PMCID: PMC10853977.</w:t>
      </w:r>
    </w:p>
  </w:footnote>
  <w:footnote w:id="5">
    <w:p w14:paraId="00000041" w14:textId="77777777" w:rsidR="004948B9" w:rsidRDefault="00000000">
      <w:pPr>
        <w:pBdr>
          <w:top w:val="nil"/>
          <w:left w:val="nil"/>
          <w:bottom w:val="nil"/>
          <w:right w:val="nil"/>
          <w:between w:val="nil"/>
        </w:pBdr>
        <w:rPr>
          <w:color w:val="000000"/>
          <w:sz w:val="20"/>
          <w:szCs w:val="20"/>
        </w:rPr>
      </w:pPr>
      <w:r>
        <w:rPr>
          <w:rStyle w:val="aa"/>
        </w:rPr>
        <w:footnoteRef/>
      </w:r>
      <w:r>
        <w:rPr>
          <w:color w:val="000000"/>
          <w:sz w:val="20"/>
          <w:szCs w:val="20"/>
        </w:rPr>
        <w:t xml:space="preserve"> Carbajal R, Boelle PY, Pham A, Chazette Y, Schellenberger M, Weil C, Colas AS, Lecarpentier T, Schnuriger A, Guedj R, Lorrot M, Corvol H, Enault M. Real-world effectiveness of nirsevimab immunisation against bronchiolitis in infants: a case-control study in Paris, France. Lancet Child Adolesc Health. 2024 Oct;8(10):730-739. doi: 10.1016/S2352-4642(24)00171-8. Epub 2024 Aug 26. PMID: 39208832.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326A9"/>
    <w:multiLevelType w:val="multilevel"/>
    <w:tmpl w:val="A3C421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648A6093"/>
    <w:multiLevelType w:val="multilevel"/>
    <w:tmpl w:val="55668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6793375">
    <w:abstractNumId w:val="0"/>
  </w:num>
  <w:num w:numId="2" w16cid:durableId="1235312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8B9"/>
    <w:rsid w:val="000129F9"/>
    <w:rsid w:val="000634F6"/>
    <w:rsid w:val="00115866"/>
    <w:rsid w:val="00165C95"/>
    <w:rsid w:val="001E5E0C"/>
    <w:rsid w:val="00215BA8"/>
    <w:rsid w:val="0023722F"/>
    <w:rsid w:val="00243C2D"/>
    <w:rsid w:val="00244A17"/>
    <w:rsid w:val="003D2519"/>
    <w:rsid w:val="00401192"/>
    <w:rsid w:val="004272CE"/>
    <w:rsid w:val="004948B9"/>
    <w:rsid w:val="004D5C83"/>
    <w:rsid w:val="004F3B7F"/>
    <w:rsid w:val="005C52D1"/>
    <w:rsid w:val="007D1F91"/>
    <w:rsid w:val="00877AD9"/>
    <w:rsid w:val="008F0195"/>
    <w:rsid w:val="009630D6"/>
    <w:rsid w:val="00AE74AF"/>
    <w:rsid w:val="00B25882"/>
    <w:rsid w:val="00C5365D"/>
    <w:rsid w:val="00CA1F3C"/>
    <w:rsid w:val="00DD716C"/>
    <w:rsid w:val="00DF3733"/>
    <w:rsid w:val="00EE163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F0F67"/>
  <w15:docId w15:val="{B340BB51-9C85-41BD-AED4-2349ECCA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484" w:right="484"/>
      <w:jc w:val="center"/>
    </w:pPr>
    <w:rPr>
      <w:b/>
      <w:bCs/>
      <w:sz w:val="36"/>
      <w:szCs w:val="36"/>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pPr>
      <w:spacing w:before="116"/>
      <w:ind w:left="1541" w:hanging="360"/>
      <w:jc w:val="both"/>
    </w:pPr>
    <w:rPr>
      <w:sz w:val="28"/>
      <w:szCs w:val="28"/>
    </w:rPr>
  </w:style>
  <w:style w:type="paragraph" w:styleId="a5">
    <w:name w:val="List Paragraph"/>
    <w:basedOn w:val="a"/>
    <w:uiPriority w:val="1"/>
    <w:qFormat/>
    <w:pPr>
      <w:spacing w:before="116"/>
      <w:ind w:left="1541" w:right="117" w:hanging="360"/>
      <w:jc w:val="both"/>
    </w:pPr>
  </w:style>
  <w:style w:type="paragraph" w:customStyle="1" w:styleId="TableParagraph">
    <w:name w:val="Table Paragraph"/>
    <w:basedOn w:val="a"/>
    <w:uiPriority w:val="1"/>
    <w:qFormat/>
  </w:style>
  <w:style w:type="paragraph" w:styleId="a6">
    <w:name w:val="Normal (Web)"/>
    <w:basedOn w:val="a"/>
    <w:uiPriority w:val="99"/>
    <w:unhideWhenUsed/>
    <w:rsid w:val="00CF334F"/>
    <w:pPr>
      <w:widowControl/>
      <w:spacing w:before="100" w:beforeAutospacing="1" w:after="100" w:afterAutospacing="1"/>
    </w:pPr>
    <w:rPr>
      <w:sz w:val="24"/>
      <w:szCs w:val="24"/>
    </w:rPr>
  </w:style>
  <w:style w:type="character" w:styleId="a7">
    <w:name w:val="Hyperlink"/>
    <w:basedOn w:val="a0"/>
    <w:uiPriority w:val="99"/>
    <w:semiHidden/>
    <w:unhideWhenUsed/>
    <w:rsid w:val="00CF334F"/>
    <w:rPr>
      <w:color w:val="0000FF"/>
      <w:u w:val="single"/>
    </w:rPr>
  </w:style>
  <w:style w:type="paragraph" w:styleId="a8">
    <w:name w:val="footnote text"/>
    <w:basedOn w:val="a"/>
    <w:link w:val="a9"/>
    <w:uiPriority w:val="99"/>
    <w:semiHidden/>
    <w:unhideWhenUsed/>
    <w:rsid w:val="006F4BE1"/>
    <w:rPr>
      <w:sz w:val="20"/>
      <w:szCs w:val="20"/>
    </w:rPr>
  </w:style>
  <w:style w:type="character" w:customStyle="1" w:styleId="a9">
    <w:name w:val="Текст виноски Знак"/>
    <w:basedOn w:val="a0"/>
    <w:link w:val="a8"/>
    <w:uiPriority w:val="99"/>
    <w:semiHidden/>
    <w:rsid w:val="006F4BE1"/>
    <w:rPr>
      <w:sz w:val="20"/>
      <w:szCs w:val="20"/>
    </w:rPr>
  </w:style>
  <w:style w:type="character" w:styleId="aa">
    <w:name w:val="footnote reference"/>
    <w:basedOn w:val="a0"/>
    <w:uiPriority w:val="99"/>
    <w:semiHidden/>
    <w:unhideWhenUsed/>
    <w:rsid w:val="006F4BE1"/>
    <w:rPr>
      <w:vertAlign w:val="superscript"/>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ac">
    <w:name w:val="Revision"/>
    <w:hidden/>
    <w:uiPriority w:val="99"/>
    <w:semiHidden/>
    <w:rsid w:val="00AE74AF"/>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oDUN3mWTR8B+b2PwFr/+bsHqzg==">CgMxLjAaJQoBMBIgCh4IB0IaCg9UaW1lcyBOZXcgUm9tYW4SB0d1bmdzdWgaJQoBMRIgCh4IB0IaCg9UaW1lcyBOZXcgUm9tYW4SB0d1bmdzdWgyDmguY2R3djlhemlneThnOAByITFHV3plUlk3Rnl3cGpLT3h2VExST212UW5ZaVZHOUZsVQ==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1672</Words>
  <Characters>11091</Characters>
  <Application>Microsoft Office Word</Application>
  <DocSecurity>0</DocSecurity>
  <Lines>184</Lines>
  <Paragraphs>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PHC01</dc:creator>
  <cp:lastModifiedBy>Святослав Онищук</cp:lastModifiedBy>
  <cp:revision>6</cp:revision>
  <dcterms:created xsi:type="dcterms:W3CDTF">2025-11-18T14:03:00Z</dcterms:created>
  <dcterms:modified xsi:type="dcterms:W3CDTF">2025-11-18T14:09:00Z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Microsoft® Word для Microsoft 365</vt:lpwstr>
  </property>
  <property fmtid="{D5CDD505-2E9C-101B-9397-08002B2CF9AE}" pid="4" name="LastSaved">
    <vt:filetime>2023-04-19T00:00:00Z</vt:filetime>
  </property>
  <property fmtid="{D5CDD505-2E9C-101B-9397-08002B2CF9AE}" pid="5" name="Producer">
    <vt:lpwstr>Microsoft® Word для Microsoft 365</vt:lpwstr>
  </property>
</Properties>
</file>