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51F7E9E" w:rsidR="002B72AC" w:rsidRPr="00A14180" w:rsidRDefault="00A14180" w:rsidP="00A14180">
      <w:pPr>
        <w:spacing w:after="0" w:line="240" w:lineRule="auto"/>
        <w:jc w:val="both"/>
        <w:rPr>
          <w:rStyle w:val="a3"/>
          <w:rFonts w:ascii="Times New Roman" w:eastAsia="Calibri" w:hAnsi="Times New Roman"/>
          <w:b/>
          <w:i w:val="0"/>
          <w:iCs w:val="0"/>
          <w:color w:val="000000"/>
          <w:sz w:val="24"/>
          <w:szCs w:val="24"/>
          <w:lang w:eastAsia="ru-RU"/>
        </w:rPr>
      </w:pPr>
      <w:bookmarkStart w:id="0" w:name="_Hlk203484735"/>
      <w:bookmarkStart w:id="1" w:name="_Hlk151977342"/>
      <w:r w:rsidRPr="00A14180">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w:t>
      </w:r>
      <w:r>
        <w:rPr>
          <w:rFonts w:ascii="Times New Roman" w:eastAsia="Calibri" w:hAnsi="Times New Roman"/>
          <w:b/>
          <w:color w:val="000000"/>
          <w:sz w:val="24"/>
          <w:szCs w:val="24"/>
          <w:lang w:eastAsia="ru-RU"/>
        </w:rPr>
        <w:t xml:space="preserve"> </w:t>
      </w:r>
      <w:r w:rsidRPr="00A14180">
        <w:rPr>
          <w:rFonts w:ascii="Times New Roman" w:eastAsia="Calibri" w:hAnsi="Times New Roman"/>
          <w:b/>
          <w:color w:val="000000"/>
          <w:sz w:val="24"/>
          <w:szCs w:val="24"/>
          <w:lang w:eastAsia="ru-RU"/>
        </w:rPr>
        <w:t>(Картки з індикатором для транспортування зразків ДНК)</w:t>
      </w:r>
      <w:bookmarkEnd w:id="0"/>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35287A37" w:rsidR="008201EB" w:rsidRPr="00A14180" w:rsidRDefault="002B72AC" w:rsidP="00A14180">
      <w:pPr>
        <w:spacing w:before="100" w:beforeAutospacing="1" w:after="100" w:afterAutospacing="1" w:line="240" w:lineRule="auto"/>
        <w:jc w:val="both"/>
        <w:rPr>
          <w:rFonts w:ascii="Times New Roman" w:eastAsia="Calibri" w:hAnsi="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A14180" w:rsidRPr="00A14180">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 (Картки з індикатором для транспортування зразків ДНК)</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7390FE1C" w:rsidR="00ED0C62" w:rsidRDefault="00A16043" w:rsidP="00EC0F39">
      <w:pPr>
        <w:spacing w:after="0" w:line="240" w:lineRule="auto"/>
        <w:jc w:val="both"/>
        <w:rPr>
          <w:rFonts w:ascii="Times New Roman" w:hAnsi="Times New Roman" w:cs="Times New Roman"/>
          <w:sz w:val="24"/>
          <w:szCs w:val="24"/>
        </w:rPr>
      </w:pPr>
      <w:r w:rsidRPr="00A16043">
        <w:rPr>
          <w:rFonts w:ascii="Times New Roman" w:hAnsi="Times New Roman" w:cs="Times New Roman"/>
          <w:sz w:val="24"/>
          <w:szCs w:val="24"/>
        </w:rPr>
        <w:t>UA-2025-07-21-009214-a</w:t>
      </w:r>
    </w:p>
    <w:p w14:paraId="4E9336F8" w14:textId="2A79640F"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A16043">
        <w:rPr>
          <w:rFonts w:ascii="Times New Roman" w:eastAsia="Calibri" w:hAnsi="Times New Roman" w:cs="Times New Roman"/>
          <w:sz w:val="24"/>
          <w:szCs w:val="24"/>
        </w:rPr>
        <w:t xml:space="preserve">39 406,32 </w:t>
      </w:r>
      <w:bookmarkStart w:id="2" w:name="_GoBack"/>
      <w:bookmarkEnd w:id="2"/>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29ECA5B1"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A14180">
        <w:rPr>
          <w:rFonts w:ascii="Times New Roman" w:eastAsia="Calibri" w:hAnsi="Times New Roman" w:cs="Times New Roman"/>
          <w:sz w:val="24"/>
          <w:szCs w:val="24"/>
        </w:rPr>
        <w:t xml:space="preserve">39 406,32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8187B0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3" w:name="_Hlk197359490"/>
      <w:r w:rsidR="009423B4">
        <w:rPr>
          <w:rFonts w:ascii="Times New Roman" w:eastAsia="Calibri" w:hAnsi="Times New Roman" w:cs="Times New Roman"/>
          <w:b/>
          <w:bCs/>
          <w:sz w:val="24"/>
          <w:szCs w:val="24"/>
        </w:rPr>
        <w:t xml:space="preserve">кошти </w:t>
      </w:r>
      <w:bookmarkEnd w:id="3"/>
      <w:r w:rsidR="009423B4">
        <w:rPr>
          <w:rFonts w:ascii="Times New Roman" w:eastAsia="Calibri" w:hAnsi="Times New Roman" w:cs="Times New Roman"/>
          <w:b/>
          <w:bCs/>
          <w:sz w:val="24"/>
          <w:szCs w:val="24"/>
        </w:rPr>
        <w:t>Загального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6D014C49"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A14180">
        <w:rPr>
          <w:rFonts w:ascii="Times New Roman" w:hAnsi="Times New Roman" w:cs="Times New Roman"/>
          <w:sz w:val="24"/>
          <w:szCs w:val="24"/>
        </w:rPr>
        <w:t>01</w:t>
      </w:r>
      <w:r w:rsidR="002C519E" w:rsidRPr="00516F67">
        <w:rPr>
          <w:rFonts w:ascii="Times New Roman" w:hAnsi="Times New Roman" w:cs="Times New Roman"/>
          <w:sz w:val="24"/>
          <w:szCs w:val="24"/>
        </w:rPr>
        <w:t>.</w:t>
      </w:r>
      <w:r w:rsidR="00092CC0">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4" w:name="_Hlk160711902"/>
      <w:bookmarkStart w:id="5"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6" w:name="_Hlk161758546"/>
      <w:bookmarkEnd w:id="4"/>
      <w:r>
        <w:rPr>
          <w:rFonts w:ascii="Times New Roman" w:hAnsi="Times New Roman" w:cs="Times New Roman"/>
          <w:b/>
          <w:bCs/>
          <w:color w:val="000000" w:themeColor="text1"/>
          <w:sz w:val="24"/>
          <w:szCs w:val="24"/>
        </w:rPr>
        <w:t>І</w:t>
      </w:r>
      <w:bookmarkStart w:id="7"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3D71CFB0" w14:textId="3D652082" w:rsidR="00092CC0" w:rsidRDefault="00A14180" w:rsidP="00092CC0">
      <w:pPr>
        <w:spacing w:after="0" w:line="240" w:lineRule="auto"/>
        <w:jc w:val="center"/>
        <w:rPr>
          <w:rFonts w:ascii="Times New Roman" w:hAnsi="Times New Roman" w:cs="Times New Roman"/>
          <w:b/>
          <w:color w:val="000000" w:themeColor="text1"/>
          <w:sz w:val="24"/>
          <w:szCs w:val="24"/>
          <w:lang w:eastAsia="ru-RU"/>
        </w:rPr>
      </w:pPr>
      <w:bookmarkStart w:id="8" w:name="_Hlk198903495"/>
      <w:bookmarkStart w:id="9" w:name="_Hlk150327973"/>
      <w:bookmarkStart w:id="10" w:name="_Hlk153869988"/>
      <w:bookmarkEnd w:id="5"/>
      <w:bookmarkEnd w:id="6"/>
      <w:bookmarkEnd w:id="7"/>
      <w:r w:rsidRPr="00A14180">
        <w:rPr>
          <w:rFonts w:ascii="Times New Roman" w:eastAsia="Calibri" w:hAnsi="Times New Roman"/>
          <w:b/>
          <w:color w:val="000000"/>
          <w:sz w:val="24"/>
          <w:szCs w:val="24"/>
          <w:lang w:eastAsia="ru-RU"/>
        </w:rPr>
        <w:t>ДК 021:2015: 33120000-7 Системи реєстрації медичної інформації та дослідне обладнання</w:t>
      </w:r>
      <w:r>
        <w:rPr>
          <w:rFonts w:ascii="Times New Roman" w:eastAsia="Calibri" w:hAnsi="Times New Roman"/>
          <w:b/>
          <w:color w:val="000000"/>
          <w:sz w:val="24"/>
          <w:szCs w:val="24"/>
          <w:lang w:eastAsia="ru-RU"/>
        </w:rPr>
        <w:t xml:space="preserve"> </w:t>
      </w:r>
      <w:r w:rsidRPr="00A14180">
        <w:rPr>
          <w:rFonts w:ascii="Times New Roman" w:eastAsia="Calibri" w:hAnsi="Times New Roman"/>
          <w:b/>
          <w:color w:val="000000"/>
          <w:sz w:val="24"/>
          <w:szCs w:val="24"/>
          <w:lang w:eastAsia="ru-RU"/>
        </w:rPr>
        <w:t>(Картки з індикатором для транспортування зразків ДНК)</w:t>
      </w:r>
    </w:p>
    <w:bookmarkEnd w:id="8"/>
    <w:p w14:paraId="523968CE" w14:textId="77777777" w:rsidR="00092CC0" w:rsidRDefault="00092CC0" w:rsidP="00092CC0">
      <w:pPr>
        <w:spacing w:after="0" w:line="240" w:lineRule="auto"/>
        <w:jc w:val="center"/>
        <w:rPr>
          <w:rFonts w:ascii="Times New Roman" w:hAnsi="Times New Roman" w:cs="Times New Roman"/>
          <w:b/>
          <w:color w:val="000000" w:themeColor="text1"/>
          <w:sz w:val="24"/>
          <w:szCs w:val="24"/>
          <w:lang w:eastAsia="ru-RU"/>
        </w:rPr>
      </w:pPr>
    </w:p>
    <w:p w14:paraId="7F7686D1" w14:textId="77777777" w:rsidR="00092CC0" w:rsidRDefault="00092CC0" w:rsidP="00092CC0">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011EF3EB" w14:textId="77777777" w:rsidR="00092CC0" w:rsidRDefault="00092CC0" w:rsidP="00092CC0">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738"/>
        <w:gridCol w:w="8399"/>
        <w:gridCol w:w="1648"/>
        <w:gridCol w:w="1276"/>
      </w:tblGrid>
      <w:tr w:rsidR="00092CC0" w14:paraId="0A7FB799" w14:textId="77777777" w:rsidTr="00092CC0">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9"/>
          <w:bookmarkEnd w:id="10"/>
          <w:p w14:paraId="1B8038BE"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738" w:type="dxa"/>
            <w:tcBorders>
              <w:top w:val="single" w:sz="4" w:space="0" w:color="auto"/>
              <w:left w:val="nil"/>
              <w:bottom w:val="single" w:sz="4" w:space="0" w:color="auto"/>
              <w:right w:val="single" w:sz="4" w:space="0" w:color="auto"/>
            </w:tcBorders>
            <w:vAlign w:val="center"/>
            <w:hideMark/>
          </w:tcPr>
          <w:p w14:paraId="210D979C"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399" w:type="dxa"/>
            <w:tcBorders>
              <w:top w:val="single" w:sz="4" w:space="0" w:color="auto"/>
              <w:left w:val="nil"/>
              <w:bottom w:val="single" w:sz="4" w:space="0" w:color="auto"/>
              <w:right w:val="single" w:sz="4" w:space="0" w:color="auto"/>
            </w:tcBorders>
            <w:vAlign w:val="center"/>
            <w:hideMark/>
          </w:tcPr>
          <w:p w14:paraId="217DFEB3"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79A0CBA3"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48" w:type="dxa"/>
            <w:tcBorders>
              <w:top w:val="single" w:sz="4" w:space="0" w:color="auto"/>
              <w:left w:val="nil"/>
              <w:bottom w:val="single" w:sz="4" w:space="0" w:color="auto"/>
              <w:right w:val="single" w:sz="4" w:space="0" w:color="auto"/>
            </w:tcBorders>
            <w:hideMark/>
          </w:tcPr>
          <w:p w14:paraId="28B13406"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31259988"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A14180" w14:paraId="1072E814" w14:textId="77777777" w:rsidTr="00A14180">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0B31D1B" w14:textId="77777777" w:rsidR="00A14180" w:rsidRDefault="00A14180" w:rsidP="00A1418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ru-RU" w:eastAsia="uk-UA"/>
              </w:rPr>
              <w:t>1.</w:t>
            </w:r>
          </w:p>
        </w:tc>
        <w:tc>
          <w:tcPr>
            <w:tcW w:w="2738" w:type="dxa"/>
            <w:tcBorders>
              <w:top w:val="single" w:sz="4" w:space="0" w:color="auto"/>
              <w:left w:val="single" w:sz="4" w:space="0" w:color="auto"/>
              <w:bottom w:val="single" w:sz="4" w:space="0" w:color="auto"/>
              <w:right w:val="single" w:sz="4" w:space="0" w:color="auto"/>
            </w:tcBorders>
            <w:shd w:val="clear" w:color="auto" w:fill="auto"/>
            <w:hideMark/>
          </w:tcPr>
          <w:p w14:paraId="52707B4F" w14:textId="1A127434" w:rsidR="00A14180" w:rsidRPr="00A14180" w:rsidRDefault="00A14180" w:rsidP="00A14180">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A14180">
              <w:rPr>
                <w:rFonts w:ascii="Times New Roman" w:hAnsi="Times New Roman"/>
                <w:color w:val="242424"/>
                <w:sz w:val="24"/>
                <w:szCs w:val="24"/>
                <w:shd w:val="clear" w:color="auto" w:fill="FFFFFF"/>
              </w:rPr>
              <w:t>Картки з індикатором для  транспортування зразків ДНК (</w:t>
            </w:r>
            <w:proofErr w:type="spellStart"/>
            <w:r w:rsidRPr="00A14180">
              <w:rPr>
                <w:rFonts w:ascii="Times New Roman" w:hAnsi="Times New Roman"/>
                <w:sz w:val="24"/>
                <w:szCs w:val="24"/>
              </w:rPr>
              <w:t>Indicating</w:t>
            </w:r>
            <w:proofErr w:type="spellEnd"/>
            <w:r w:rsidRPr="00A14180">
              <w:rPr>
                <w:rFonts w:ascii="Times New Roman" w:hAnsi="Times New Roman"/>
                <w:sz w:val="24"/>
                <w:szCs w:val="24"/>
              </w:rPr>
              <w:t xml:space="preserve"> FTA </w:t>
            </w:r>
            <w:proofErr w:type="spellStart"/>
            <w:r w:rsidRPr="00A14180">
              <w:rPr>
                <w:rFonts w:ascii="Times New Roman" w:hAnsi="Times New Roman"/>
                <w:sz w:val="24"/>
                <w:szCs w:val="24"/>
              </w:rPr>
              <w:t>Elute</w:t>
            </w:r>
            <w:proofErr w:type="spellEnd"/>
            <w:r w:rsidRPr="00A14180">
              <w:rPr>
                <w:rFonts w:ascii="Times New Roman" w:hAnsi="Times New Roman"/>
                <w:sz w:val="24"/>
                <w:szCs w:val="24"/>
              </w:rPr>
              <w:t xml:space="preserve"> </w:t>
            </w:r>
            <w:proofErr w:type="spellStart"/>
            <w:r w:rsidRPr="00A14180">
              <w:rPr>
                <w:rFonts w:ascii="Times New Roman" w:hAnsi="Times New Roman"/>
                <w:sz w:val="24"/>
                <w:szCs w:val="24"/>
              </w:rPr>
              <w:t>Micro</w:t>
            </w:r>
            <w:proofErr w:type="spellEnd"/>
            <w:r w:rsidRPr="00A14180">
              <w:rPr>
                <w:rFonts w:ascii="Times New Roman" w:hAnsi="Times New Roman"/>
                <w:sz w:val="24"/>
                <w:szCs w:val="24"/>
              </w:rPr>
              <w:t xml:space="preserve"> </w:t>
            </w:r>
            <w:proofErr w:type="spellStart"/>
            <w:r w:rsidRPr="00A14180">
              <w:rPr>
                <w:rFonts w:ascii="Times New Roman" w:hAnsi="Times New Roman"/>
                <w:sz w:val="24"/>
                <w:szCs w:val="24"/>
              </w:rPr>
              <w:t>Card</w:t>
            </w:r>
            <w:proofErr w:type="spellEnd"/>
            <w:r w:rsidRPr="00A14180">
              <w:rPr>
                <w:rFonts w:ascii="Times New Roman" w:hAnsi="Times New Roman"/>
                <w:sz w:val="24"/>
                <w:szCs w:val="24"/>
              </w:rPr>
              <w:t>)</w:t>
            </w:r>
          </w:p>
        </w:tc>
        <w:tc>
          <w:tcPr>
            <w:tcW w:w="8399" w:type="dxa"/>
            <w:tcBorders>
              <w:top w:val="single" w:sz="4" w:space="0" w:color="auto"/>
              <w:left w:val="single" w:sz="4" w:space="0" w:color="auto"/>
              <w:bottom w:val="single" w:sz="4" w:space="0" w:color="auto"/>
              <w:right w:val="single" w:sz="4" w:space="0" w:color="auto"/>
            </w:tcBorders>
            <w:shd w:val="clear" w:color="auto" w:fill="auto"/>
            <w:hideMark/>
          </w:tcPr>
          <w:p w14:paraId="23C01B06" w14:textId="77777777" w:rsidR="00A14180" w:rsidRPr="00A14180" w:rsidRDefault="00A14180" w:rsidP="00A14180">
            <w:pPr>
              <w:spacing w:after="0" w:line="240" w:lineRule="auto"/>
              <w:ind w:left="-45"/>
              <w:jc w:val="both"/>
              <w:rPr>
                <w:rFonts w:ascii="Times New Roman" w:hAnsi="Times New Roman"/>
                <w:sz w:val="24"/>
                <w:szCs w:val="24"/>
              </w:rPr>
            </w:pPr>
            <w:r w:rsidRPr="00A14180">
              <w:rPr>
                <w:rFonts w:ascii="Times New Roman" w:hAnsi="Times New Roman"/>
                <w:color w:val="242424"/>
                <w:sz w:val="24"/>
                <w:szCs w:val="24"/>
                <w:shd w:val="clear" w:color="auto" w:fill="FFFFFF"/>
              </w:rPr>
              <w:t>Картки з індикатором (</w:t>
            </w:r>
            <w:proofErr w:type="spellStart"/>
            <w:r w:rsidRPr="00A14180">
              <w:rPr>
                <w:rFonts w:ascii="Times New Roman" w:hAnsi="Times New Roman"/>
                <w:sz w:val="24"/>
                <w:szCs w:val="24"/>
              </w:rPr>
              <w:t>Indicating</w:t>
            </w:r>
            <w:proofErr w:type="spellEnd"/>
            <w:r w:rsidRPr="00A14180">
              <w:rPr>
                <w:rFonts w:ascii="Times New Roman" w:hAnsi="Times New Roman"/>
                <w:sz w:val="24"/>
                <w:szCs w:val="24"/>
              </w:rPr>
              <w:t xml:space="preserve"> FTA </w:t>
            </w:r>
            <w:proofErr w:type="spellStart"/>
            <w:r w:rsidRPr="00A14180">
              <w:rPr>
                <w:rFonts w:ascii="Times New Roman" w:hAnsi="Times New Roman"/>
                <w:sz w:val="24"/>
                <w:szCs w:val="24"/>
              </w:rPr>
              <w:t>Elute</w:t>
            </w:r>
            <w:proofErr w:type="spellEnd"/>
            <w:r w:rsidRPr="00A14180">
              <w:rPr>
                <w:rFonts w:ascii="Times New Roman" w:hAnsi="Times New Roman"/>
                <w:sz w:val="24"/>
                <w:szCs w:val="24"/>
              </w:rPr>
              <w:t xml:space="preserve"> </w:t>
            </w:r>
            <w:proofErr w:type="spellStart"/>
            <w:r w:rsidRPr="00A14180">
              <w:rPr>
                <w:rFonts w:ascii="Times New Roman" w:hAnsi="Times New Roman"/>
                <w:sz w:val="24"/>
                <w:szCs w:val="24"/>
              </w:rPr>
              <w:t>Micro</w:t>
            </w:r>
            <w:proofErr w:type="spellEnd"/>
            <w:r w:rsidRPr="00A14180">
              <w:rPr>
                <w:rFonts w:ascii="Times New Roman" w:hAnsi="Times New Roman"/>
                <w:sz w:val="24"/>
                <w:szCs w:val="24"/>
              </w:rPr>
              <w:t xml:space="preserve"> </w:t>
            </w:r>
            <w:proofErr w:type="spellStart"/>
            <w:r w:rsidRPr="00A14180">
              <w:rPr>
                <w:rFonts w:ascii="Times New Roman" w:hAnsi="Times New Roman"/>
                <w:sz w:val="24"/>
                <w:szCs w:val="24"/>
              </w:rPr>
              <w:t>Card</w:t>
            </w:r>
            <w:proofErr w:type="spellEnd"/>
            <w:r w:rsidRPr="00A14180">
              <w:rPr>
                <w:rFonts w:ascii="Times New Roman" w:hAnsi="Times New Roman"/>
                <w:sz w:val="24"/>
                <w:szCs w:val="24"/>
              </w:rPr>
              <w:t xml:space="preserve">) – компактна система для збору, стабілізації, зберігання, </w:t>
            </w:r>
            <w:r w:rsidRPr="00A14180">
              <w:rPr>
                <w:rFonts w:ascii="Times New Roman" w:hAnsi="Times New Roman"/>
                <w:color w:val="000000"/>
                <w:sz w:val="24"/>
                <w:szCs w:val="24"/>
                <w:shd w:val="clear" w:color="auto" w:fill="F8F8FC"/>
              </w:rPr>
              <w:t>обробки, транспортування та архівування </w:t>
            </w:r>
            <w:r w:rsidRPr="00A14180">
              <w:rPr>
                <w:rFonts w:ascii="Times New Roman" w:hAnsi="Times New Roman"/>
                <w:sz w:val="24"/>
                <w:szCs w:val="24"/>
              </w:rPr>
              <w:t>зразків ДНК при кімнатній температурі.</w:t>
            </w:r>
          </w:p>
          <w:p w14:paraId="1BD985E1" w14:textId="77777777" w:rsidR="00A14180" w:rsidRPr="00A14180" w:rsidRDefault="00A14180" w:rsidP="00A14180">
            <w:pPr>
              <w:spacing w:after="0" w:line="240" w:lineRule="auto"/>
              <w:ind w:left="-45"/>
              <w:jc w:val="both"/>
              <w:rPr>
                <w:rFonts w:ascii="Times New Roman" w:hAnsi="Times New Roman"/>
                <w:sz w:val="24"/>
                <w:szCs w:val="24"/>
              </w:rPr>
            </w:pPr>
            <w:r w:rsidRPr="00A14180">
              <w:rPr>
                <w:rFonts w:ascii="Times New Roman" w:hAnsi="Times New Roman"/>
                <w:color w:val="242424"/>
                <w:sz w:val="24"/>
                <w:szCs w:val="24"/>
                <w:shd w:val="clear" w:color="auto" w:fill="FFFFFF"/>
              </w:rPr>
              <w:t>Містить рожевий барвник.</w:t>
            </w:r>
          </w:p>
          <w:p w14:paraId="5FDF46E6" w14:textId="77777777" w:rsidR="00A14180" w:rsidRPr="00A14180" w:rsidRDefault="00A14180" w:rsidP="00A14180">
            <w:pPr>
              <w:spacing w:after="0" w:line="240" w:lineRule="auto"/>
              <w:ind w:left="-45"/>
              <w:jc w:val="both"/>
              <w:rPr>
                <w:rFonts w:ascii="Times New Roman" w:hAnsi="Times New Roman" w:cs="Times New Roman"/>
                <w:sz w:val="24"/>
                <w:szCs w:val="24"/>
                <w:lang w:val="ru-RU"/>
              </w:rPr>
            </w:pPr>
            <w:r w:rsidRPr="00A14180">
              <w:rPr>
                <w:rFonts w:ascii="Times New Roman" w:hAnsi="Times New Roman" w:cs="Times New Roman"/>
                <w:sz w:val="24"/>
                <w:szCs w:val="24"/>
              </w:rPr>
              <w:t>Містить одну область для нанесення зразка об</w:t>
            </w:r>
            <w:r w:rsidRPr="00A14180">
              <w:rPr>
                <w:rFonts w:ascii="Times New Roman" w:hAnsi="Times New Roman" w:cs="Times New Roman"/>
                <w:sz w:val="24"/>
                <w:szCs w:val="24"/>
                <w:lang w:val="ru-RU"/>
              </w:rPr>
              <w:t>’</w:t>
            </w:r>
            <w:proofErr w:type="spellStart"/>
            <w:r w:rsidRPr="00A14180">
              <w:rPr>
                <w:rFonts w:ascii="Times New Roman" w:hAnsi="Times New Roman" w:cs="Times New Roman"/>
                <w:sz w:val="24"/>
                <w:szCs w:val="24"/>
                <w:lang w:val="ru-RU"/>
              </w:rPr>
              <w:t>ємом</w:t>
            </w:r>
            <w:proofErr w:type="spellEnd"/>
            <w:r w:rsidRPr="00A14180">
              <w:rPr>
                <w:rFonts w:ascii="Times New Roman" w:hAnsi="Times New Roman" w:cs="Times New Roman"/>
                <w:sz w:val="24"/>
                <w:szCs w:val="24"/>
                <w:lang w:val="ru-RU"/>
              </w:rPr>
              <w:t xml:space="preserve"> 12- 40 </w:t>
            </w:r>
            <w:proofErr w:type="spellStart"/>
            <w:r w:rsidRPr="00A14180">
              <w:rPr>
                <w:rFonts w:ascii="Times New Roman" w:hAnsi="Times New Roman" w:cs="Times New Roman"/>
                <w:sz w:val="24"/>
                <w:szCs w:val="24"/>
                <w:lang w:val="ru-RU"/>
              </w:rPr>
              <w:t>мкл</w:t>
            </w:r>
            <w:proofErr w:type="spellEnd"/>
            <w:r w:rsidRPr="00A14180">
              <w:rPr>
                <w:rFonts w:ascii="Times New Roman" w:hAnsi="Times New Roman" w:cs="Times New Roman"/>
                <w:sz w:val="24"/>
                <w:szCs w:val="24"/>
                <w:lang w:val="ru-RU"/>
              </w:rPr>
              <w:t xml:space="preserve"> на карту.</w:t>
            </w:r>
          </w:p>
          <w:p w14:paraId="17A59090" w14:textId="7D5924A2" w:rsidR="00A14180" w:rsidRPr="00A14180" w:rsidRDefault="00A14180" w:rsidP="00A14180">
            <w:pPr>
              <w:spacing w:after="0" w:line="240" w:lineRule="auto"/>
              <w:ind w:left="-45"/>
              <w:jc w:val="both"/>
              <w:rPr>
                <w:rFonts w:ascii="Times New Roman" w:hAnsi="Times New Roman"/>
                <w:sz w:val="24"/>
                <w:szCs w:val="24"/>
                <w:lang w:val="ru-RU"/>
              </w:rPr>
            </w:pPr>
            <w:r w:rsidRPr="00A14180">
              <w:rPr>
                <w:rFonts w:ascii="Times New Roman" w:hAnsi="Times New Roman" w:cs="Times New Roman"/>
                <w:sz w:val="24"/>
                <w:szCs w:val="24"/>
              </w:rPr>
              <w:t>Паковання-100 карток.</w:t>
            </w:r>
          </w:p>
        </w:tc>
        <w:tc>
          <w:tcPr>
            <w:tcW w:w="1648" w:type="dxa"/>
            <w:tcBorders>
              <w:top w:val="single" w:sz="4" w:space="0" w:color="auto"/>
              <w:left w:val="single" w:sz="4" w:space="0" w:color="auto"/>
              <w:bottom w:val="single" w:sz="4" w:space="0" w:color="auto"/>
              <w:right w:val="single" w:sz="4" w:space="0" w:color="auto"/>
            </w:tcBorders>
            <w:vAlign w:val="center"/>
            <w:hideMark/>
          </w:tcPr>
          <w:p w14:paraId="45A7A307" w14:textId="6835F200" w:rsidR="00A14180" w:rsidRDefault="00A14180" w:rsidP="00A14180">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261EA8" w14:textId="77777777" w:rsidR="00A14180" w:rsidRDefault="00A14180" w:rsidP="00A1418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bl>
    <w:p w14:paraId="233E00F6" w14:textId="77777777" w:rsidR="00092CC0" w:rsidRDefault="00092CC0" w:rsidP="00092CC0">
      <w:pPr>
        <w:spacing w:after="0" w:line="240" w:lineRule="auto"/>
        <w:jc w:val="both"/>
        <w:rPr>
          <w:rFonts w:ascii="Times New Roman" w:eastAsia="Times New Roman" w:hAnsi="Times New Roman" w:cs="Times New Roman"/>
          <w:color w:val="000000"/>
          <w:sz w:val="24"/>
          <w:szCs w:val="24"/>
        </w:rPr>
      </w:pPr>
    </w:p>
    <w:p w14:paraId="1CB7B1F7"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4E3306FA"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169F9225"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02B64972" w14:textId="77777777" w:rsidR="00092CC0" w:rsidRDefault="00092CC0" w:rsidP="00092CC0">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262C5024"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D0B31A0"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17B889E"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7B34BF6E"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 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1A0DB58"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030B9211" w14:textId="77777777" w:rsidR="00092CC0" w:rsidRDefault="00092CC0" w:rsidP="00092CC0">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6DEF5A82"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270203F"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291D465"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92CC0" w14:paraId="61AF23D9" w14:textId="77777777" w:rsidTr="00092CC0">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F8E19C8" w14:textId="77777777" w:rsidR="00092CC0" w:rsidRDefault="00092CC0">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697FE77E"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6AE0C4CE" w14:textId="77777777" w:rsidR="00092CC0" w:rsidRDefault="00092CC0">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4BEB1297"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1434F929" w14:textId="77777777" w:rsidR="00092CC0" w:rsidRDefault="00092CC0">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4F474640"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C5EF377" w14:textId="77777777" w:rsidR="00092CC0" w:rsidRDefault="00092CC0">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092CC0" w14:paraId="4F2BAFDA" w14:textId="77777777" w:rsidTr="00092CC0">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6FF3358" w14:textId="77777777" w:rsidR="00092CC0" w:rsidRDefault="00092CC0">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576185F1"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35C599F"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8E71842" w14:textId="77777777" w:rsidR="00092CC0" w:rsidRDefault="00092CC0">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749A5A3D" w14:textId="77777777" w:rsidR="00092CC0" w:rsidRDefault="00092CC0">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084D430"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2CD235B"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72D245CD" w14:textId="77777777" w:rsidR="00092CC0" w:rsidRDefault="00092CC0">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07CCD152" w14:textId="77777777" w:rsidR="00092CC0" w:rsidRDefault="00092CC0">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5786F667"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FA7AF6C" w14:textId="77777777" w:rsidR="00092CC0" w:rsidRDefault="00092CC0">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F01B28E"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r>
      <w:tr w:rsidR="00092CC0" w14:paraId="557A9C59" w14:textId="77777777" w:rsidTr="00092CC0">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5A0615DC"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368186B1" w14:textId="77777777" w:rsidR="00092CC0" w:rsidRDefault="00092CC0">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2219121D"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36D8A5E6"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30612759"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1A2F3D0D"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2145ECA6"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12945661"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5FC271F2"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19A3F49"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r>
    </w:tbl>
    <w:p w14:paraId="5BCCF173" w14:textId="77777777" w:rsidR="00092CC0" w:rsidRDefault="00092CC0" w:rsidP="00092CC0">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6057B0ED" w14:textId="77777777" w:rsidR="00092CC0" w:rsidRDefault="00092CC0" w:rsidP="00092CC0">
      <w:pPr>
        <w:tabs>
          <w:tab w:val="left" w:pos="142"/>
        </w:tabs>
        <w:spacing w:after="0"/>
        <w:ind w:left="142" w:firstLine="567"/>
        <w:jc w:val="both"/>
        <w:rPr>
          <w:rFonts w:ascii="Times New Roman" w:eastAsia="Times New Roman" w:hAnsi="Times New Roman" w:cs="Times New Roman"/>
          <w:sz w:val="24"/>
          <w:szCs w:val="24"/>
          <w:highlight w:val="white"/>
          <w:lang w:eastAsia="de-DE"/>
        </w:rPr>
      </w:pPr>
      <w:r>
        <w:rPr>
          <w:rFonts w:ascii="Times New Roman" w:hAnsi="Times New Roman"/>
          <w:sz w:val="24"/>
          <w:szCs w:val="24"/>
          <w:highlight w:val="white"/>
        </w:rPr>
        <w:t>1.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1F2B605F" w14:textId="77777777" w:rsidR="00092CC0" w:rsidRDefault="00092CC0" w:rsidP="00092CC0">
      <w:pPr>
        <w:tabs>
          <w:tab w:val="left" w:pos="142"/>
        </w:tabs>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E1CE20B" w14:textId="77777777" w:rsidR="00092CC0" w:rsidRDefault="00092CC0" w:rsidP="00092CC0">
      <w:pPr>
        <w:tabs>
          <w:tab w:val="left" w:pos="142"/>
        </w:tabs>
        <w:spacing w:after="0"/>
        <w:ind w:left="142" w:firstLine="567"/>
        <w:jc w:val="both"/>
        <w:rPr>
          <w:rFonts w:ascii="Times New Roman" w:hAnsi="Times New Roman"/>
          <w:sz w:val="24"/>
          <w:szCs w:val="24"/>
          <w:highlight w:val="white"/>
        </w:rPr>
      </w:pPr>
      <w:r>
        <w:rPr>
          <w:rFonts w:ascii="Times New Roman" w:hAnsi="Times New Roman"/>
          <w:sz w:val="24"/>
          <w:szCs w:val="24"/>
          <w:highlight w:val="white"/>
        </w:rPr>
        <w:lastRenderedPageBreak/>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35EE8" w14:textId="77777777" w:rsidR="00CD4A1B" w:rsidRDefault="00CD4A1B" w:rsidP="0024553B">
      <w:pPr>
        <w:spacing w:after="0" w:line="240" w:lineRule="auto"/>
      </w:pPr>
      <w:r>
        <w:separator/>
      </w:r>
    </w:p>
  </w:endnote>
  <w:endnote w:type="continuationSeparator" w:id="0">
    <w:p w14:paraId="34467324" w14:textId="77777777" w:rsidR="00CD4A1B" w:rsidRDefault="00CD4A1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5B2B" w14:textId="77777777" w:rsidR="00CD4A1B" w:rsidRDefault="00CD4A1B" w:rsidP="0024553B">
      <w:pPr>
        <w:spacing w:after="0" w:line="240" w:lineRule="auto"/>
      </w:pPr>
      <w:r>
        <w:separator/>
      </w:r>
    </w:p>
  </w:footnote>
  <w:footnote w:type="continuationSeparator" w:id="0">
    <w:p w14:paraId="3E9EE8F8" w14:textId="77777777" w:rsidR="00CD4A1B" w:rsidRDefault="00CD4A1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322B05"/>
    <w:multiLevelType w:val="multilevel"/>
    <w:tmpl w:val="3CE2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4"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141486"/>
    <w:multiLevelType w:val="hybridMultilevel"/>
    <w:tmpl w:val="8B7C7706"/>
    <w:lvl w:ilvl="0" w:tplc="8FBC86AA">
      <w:start w:val="1"/>
      <w:numFmt w:val="decimal"/>
      <w:lvlText w:val="%1."/>
      <w:lvlJc w:val="left"/>
      <w:pPr>
        <w:ind w:left="529" w:hanging="360"/>
      </w:pPr>
    </w:lvl>
    <w:lvl w:ilvl="1" w:tplc="04220019">
      <w:start w:val="1"/>
      <w:numFmt w:val="lowerLetter"/>
      <w:lvlText w:val="%2."/>
      <w:lvlJc w:val="left"/>
      <w:pPr>
        <w:ind w:left="1249" w:hanging="360"/>
      </w:pPr>
    </w:lvl>
    <w:lvl w:ilvl="2" w:tplc="0422001B">
      <w:start w:val="1"/>
      <w:numFmt w:val="lowerRoman"/>
      <w:lvlText w:val="%3."/>
      <w:lvlJc w:val="right"/>
      <w:pPr>
        <w:ind w:left="1969" w:hanging="180"/>
      </w:pPr>
    </w:lvl>
    <w:lvl w:ilvl="3" w:tplc="0422000F">
      <w:start w:val="1"/>
      <w:numFmt w:val="decimal"/>
      <w:lvlText w:val="%4."/>
      <w:lvlJc w:val="left"/>
      <w:pPr>
        <w:ind w:left="2689" w:hanging="360"/>
      </w:pPr>
    </w:lvl>
    <w:lvl w:ilvl="4" w:tplc="04220019">
      <w:start w:val="1"/>
      <w:numFmt w:val="lowerLetter"/>
      <w:lvlText w:val="%5."/>
      <w:lvlJc w:val="left"/>
      <w:pPr>
        <w:ind w:left="3409" w:hanging="360"/>
      </w:pPr>
    </w:lvl>
    <w:lvl w:ilvl="5" w:tplc="0422001B">
      <w:start w:val="1"/>
      <w:numFmt w:val="lowerRoman"/>
      <w:lvlText w:val="%6."/>
      <w:lvlJc w:val="right"/>
      <w:pPr>
        <w:ind w:left="4129" w:hanging="180"/>
      </w:pPr>
    </w:lvl>
    <w:lvl w:ilvl="6" w:tplc="0422000F">
      <w:start w:val="1"/>
      <w:numFmt w:val="decimal"/>
      <w:lvlText w:val="%7."/>
      <w:lvlJc w:val="left"/>
      <w:pPr>
        <w:ind w:left="4849" w:hanging="360"/>
      </w:pPr>
    </w:lvl>
    <w:lvl w:ilvl="7" w:tplc="04220019">
      <w:start w:val="1"/>
      <w:numFmt w:val="lowerLetter"/>
      <w:lvlText w:val="%8."/>
      <w:lvlJc w:val="left"/>
      <w:pPr>
        <w:ind w:left="5569" w:hanging="360"/>
      </w:pPr>
    </w:lvl>
    <w:lvl w:ilvl="8" w:tplc="0422001B">
      <w:start w:val="1"/>
      <w:numFmt w:val="lowerRoman"/>
      <w:lvlText w:val="%9."/>
      <w:lvlJc w:val="right"/>
      <w:pPr>
        <w:ind w:left="6289" w:hanging="180"/>
      </w:pPr>
    </w:lvl>
  </w:abstractNum>
  <w:abstractNum w:abstractNumId="3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3"/>
  </w:num>
  <w:num w:numId="2">
    <w:abstractNumId w:val="26"/>
  </w:num>
  <w:num w:numId="3">
    <w:abstractNumId w:val="5"/>
  </w:num>
  <w:num w:numId="4">
    <w:abstractNumId w:val="11"/>
  </w:num>
  <w:num w:numId="5">
    <w:abstractNumId w:val="3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5"/>
  </w:num>
  <w:num w:numId="17">
    <w:abstractNumId w:val="29"/>
  </w:num>
  <w:num w:numId="18">
    <w:abstractNumId w:val="22"/>
  </w:num>
  <w:num w:numId="19">
    <w:abstractNumId w:val="9"/>
  </w:num>
  <w:num w:numId="20">
    <w:abstractNumId w:val="31"/>
  </w:num>
  <w:num w:numId="21">
    <w:abstractNumId w:val="13"/>
  </w:num>
  <w:num w:numId="22">
    <w:abstractNumId w:val="7"/>
  </w:num>
  <w:num w:numId="23">
    <w:abstractNumId w:val="16"/>
  </w:num>
  <w:num w:numId="24">
    <w:abstractNumId w:val="38"/>
  </w:num>
  <w:num w:numId="25">
    <w:abstractNumId w:val="23"/>
  </w:num>
  <w:num w:numId="26">
    <w:abstractNumId w:val="12"/>
  </w:num>
  <w:num w:numId="27">
    <w:abstractNumId w:val="24"/>
  </w:num>
  <w:num w:numId="28">
    <w:abstractNumId w:val="3"/>
  </w:num>
  <w:num w:numId="29">
    <w:abstractNumId w:val="39"/>
  </w:num>
  <w:num w:numId="30">
    <w:abstractNumId w:val="32"/>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num>
  <w:num w:numId="35">
    <w:abstractNumId w:val="28"/>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92CC0"/>
    <w:rsid w:val="000B6D9F"/>
    <w:rsid w:val="000C4E15"/>
    <w:rsid w:val="000C6C98"/>
    <w:rsid w:val="000C70A6"/>
    <w:rsid w:val="001055A1"/>
    <w:rsid w:val="00115D71"/>
    <w:rsid w:val="00127EDA"/>
    <w:rsid w:val="00140B58"/>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86D05"/>
    <w:rsid w:val="00691987"/>
    <w:rsid w:val="006C75C1"/>
    <w:rsid w:val="006D3EBF"/>
    <w:rsid w:val="006D4F37"/>
    <w:rsid w:val="006F1B4C"/>
    <w:rsid w:val="00723EF9"/>
    <w:rsid w:val="00746B50"/>
    <w:rsid w:val="00753E02"/>
    <w:rsid w:val="007542E4"/>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8346A"/>
    <w:rsid w:val="008F229E"/>
    <w:rsid w:val="00934D84"/>
    <w:rsid w:val="009423B4"/>
    <w:rsid w:val="009443DC"/>
    <w:rsid w:val="0095518A"/>
    <w:rsid w:val="0098548C"/>
    <w:rsid w:val="009E1B95"/>
    <w:rsid w:val="009E64FE"/>
    <w:rsid w:val="00A14180"/>
    <w:rsid w:val="00A16043"/>
    <w:rsid w:val="00A35A2E"/>
    <w:rsid w:val="00A35F17"/>
    <w:rsid w:val="00A52318"/>
    <w:rsid w:val="00A71EB1"/>
    <w:rsid w:val="00A775EB"/>
    <w:rsid w:val="00AC1C0E"/>
    <w:rsid w:val="00AC70C5"/>
    <w:rsid w:val="00B137D2"/>
    <w:rsid w:val="00B431E7"/>
    <w:rsid w:val="00B55FB1"/>
    <w:rsid w:val="00B66EF4"/>
    <w:rsid w:val="00B67D14"/>
    <w:rsid w:val="00BA38C6"/>
    <w:rsid w:val="00BE1FF8"/>
    <w:rsid w:val="00BE2820"/>
    <w:rsid w:val="00C06B6A"/>
    <w:rsid w:val="00C12BB7"/>
    <w:rsid w:val="00C15F77"/>
    <w:rsid w:val="00C37569"/>
    <w:rsid w:val="00C46760"/>
    <w:rsid w:val="00C60DAA"/>
    <w:rsid w:val="00CA68EE"/>
    <w:rsid w:val="00CD4A1B"/>
    <w:rsid w:val="00D14848"/>
    <w:rsid w:val="00D169A9"/>
    <w:rsid w:val="00D30B70"/>
    <w:rsid w:val="00D30E95"/>
    <w:rsid w:val="00D43D84"/>
    <w:rsid w:val="00D626B8"/>
    <w:rsid w:val="00D86D1C"/>
    <w:rsid w:val="00D9471A"/>
    <w:rsid w:val="00DA2762"/>
    <w:rsid w:val="00DD1D9E"/>
    <w:rsid w:val="00DF0278"/>
    <w:rsid w:val="00E047C4"/>
    <w:rsid w:val="00E244FD"/>
    <w:rsid w:val="00E41080"/>
    <w:rsid w:val="00E44481"/>
    <w:rsid w:val="00E45777"/>
    <w:rsid w:val="00E91074"/>
    <w:rsid w:val="00E92067"/>
    <w:rsid w:val="00E92B6E"/>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89009132">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31347539">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21676880">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5142</Words>
  <Characters>2932</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61</cp:revision>
  <dcterms:created xsi:type="dcterms:W3CDTF">2023-09-14T08:37:00Z</dcterms:created>
  <dcterms:modified xsi:type="dcterms:W3CDTF">2025-07-21T13:24:00Z</dcterms:modified>
</cp:coreProperties>
</file>