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2CBB4DB7" w14:textId="49C4FB71" w:rsidR="002E523A" w:rsidRPr="002E523A" w:rsidRDefault="00672002" w:rsidP="00515EEA">
            <w:pPr>
              <w:jc w:val="both"/>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CA65CA">
              <w:rPr>
                <w:rFonts w:ascii="Times New Roman" w:hAnsi="Times New Roman" w:cs="Times New Roman"/>
                <w:sz w:val="24"/>
                <w:szCs w:val="24"/>
              </w:rPr>
              <w:t xml:space="preserve"> </w:t>
            </w: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4CDBE5E6" w14:textId="77777777" w:rsidR="002D0827" w:rsidRPr="002D0827" w:rsidRDefault="002D0827" w:rsidP="002D0827">
            <w:pPr>
              <w:tabs>
                <w:tab w:val="left" w:pos="180"/>
                <w:tab w:val="left" w:pos="567"/>
                <w:tab w:val="left" w:pos="993"/>
              </w:tabs>
              <w:ind w:firstLine="317"/>
              <w:jc w:val="both"/>
              <w:rPr>
                <w:rFonts w:ascii="Times New Roman" w:hAnsi="Times New Roman" w:cs="Times New Roman"/>
                <w:sz w:val="24"/>
                <w:szCs w:val="24"/>
              </w:rPr>
            </w:pPr>
            <w:r w:rsidRPr="002D0827">
              <w:rPr>
                <w:rFonts w:ascii="Times New Roman" w:hAnsi="Times New Roman" w:cs="Times New Roman"/>
                <w:sz w:val="24"/>
                <w:szCs w:val="24"/>
              </w:rPr>
              <w:t>ДК 021:2015: 80560000-7 Послуги з професійної підготовки у сфері охорони здоров’я та надання першої медичної допомоги (Послуга з організації та проведення навчального заходу - двотижневого циклу тематичного удосконалення для лікарів за темою «Раціональне використання протимікробних препаратів»)</w:t>
            </w:r>
          </w:p>
          <w:p w14:paraId="5DC0B260" w14:textId="496899AA" w:rsidR="002E523A" w:rsidRPr="008655C8" w:rsidRDefault="002E523A" w:rsidP="008655C8">
            <w:pPr>
              <w:tabs>
                <w:tab w:val="left" w:pos="993"/>
              </w:tabs>
              <w:ind w:firstLine="317"/>
              <w:jc w:val="both"/>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ЄДРПОУ: 40524109</w:t>
            </w:r>
          </w:p>
          <w:p w14:paraId="107ADC61"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6542B392" w:rsidR="00B353AC" w:rsidRPr="004739B2"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Місцезнаходження: 04071, м. Київ, вул. Ярославська, 41</w:t>
            </w:r>
            <w:r w:rsidR="006A2A85" w:rsidRPr="004436EC">
              <w:rPr>
                <w:rFonts w:ascii="Times New Roman" w:hAnsi="Times New Roman" w:cs="Times New Roman"/>
                <w:sz w:val="24"/>
                <w:szCs w:val="24"/>
              </w:rPr>
              <w:t xml:space="preserve"> </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02A00D98" w:rsidR="00672002" w:rsidRPr="00692A4D" w:rsidRDefault="00692A4D" w:rsidP="00772B19">
            <w:pPr>
              <w:ind w:firstLine="317"/>
              <w:rPr>
                <w:rFonts w:ascii="Times New Roman" w:hAnsi="Times New Roman" w:cs="Times New Roman"/>
                <w:sz w:val="24"/>
                <w:szCs w:val="24"/>
              </w:rPr>
            </w:pPr>
            <w:r w:rsidRPr="00692A4D">
              <w:rPr>
                <w:rFonts w:ascii="Times New Roman" w:hAnsi="Times New Roman" w:cs="Times New Roman"/>
                <w:sz w:val="24"/>
                <w:szCs w:val="24"/>
              </w:rPr>
              <w:t>UA-2</w:t>
            </w:r>
            <w:bookmarkStart w:id="0" w:name="_GoBack"/>
            <w:bookmarkEnd w:id="0"/>
            <w:r w:rsidRPr="00692A4D">
              <w:rPr>
                <w:rFonts w:ascii="Times New Roman" w:hAnsi="Times New Roman" w:cs="Times New Roman"/>
                <w:sz w:val="24"/>
                <w:szCs w:val="24"/>
              </w:rPr>
              <w:t>025-10-28-014738-a </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B91B88" w:rsidRDefault="00B55857" w:rsidP="00880405">
            <w:pPr>
              <w:ind w:firstLine="317"/>
              <w:rPr>
                <w:rFonts w:ascii="Times New Roman" w:hAnsi="Times New Roman" w:cs="Times New Roman"/>
                <w:color w:val="000000" w:themeColor="text1"/>
                <w:sz w:val="24"/>
                <w:szCs w:val="24"/>
              </w:rPr>
            </w:pPr>
            <w:r w:rsidRPr="00B91B88">
              <w:rPr>
                <w:rFonts w:ascii="Times New Roman" w:hAnsi="Times New Roman" w:cs="Times New Roman"/>
                <w:color w:val="000000" w:themeColor="text1"/>
                <w:sz w:val="24"/>
                <w:szCs w:val="24"/>
              </w:rPr>
              <w:t>Відкриті торги</w:t>
            </w:r>
            <w:r w:rsidR="00FB46D1" w:rsidRPr="00B91B88">
              <w:rPr>
                <w:rFonts w:ascii="Times New Roman" w:hAnsi="Times New Roman" w:cs="Times New Roman"/>
                <w:color w:val="000000" w:themeColor="text1"/>
                <w:sz w:val="24"/>
                <w:szCs w:val="24"/>
              </w:rPr>
              <w:t xml:space="preserve"> з особливостями</w:t>
            </w:r>
          </w:p>
        </w:tc>
      </w:tr>
      <w:tr w:rsidR="00B55857" w:rsidRPr="002E523A" w14:paraId="373667A0" w14:textId="77777777" w:rsidTr="00817DDF">
        <w:trPr>
          <w:trHeight w:val="671"/>
        </w:trPr>
        <w:tc>
          <w:tcPr>
            <w:tcW w:w="3681" w:type="dxa"/>
          </w:tcPr>
          <w:p w14:paraId="26CD7B14" w14:textId="1A146FA8" w:rsidR="00B55857" w:rsidRPr="00BE0FC1" w:rsidRDefault="00B55857">
            <w:pPr>
              <w:rPr>
                <w:rFonts w:ascii="Times New Roman" w:hAnsi="Times New Roman" w:cs="Times New Roman"/>
                <w:color w:val="000000" w:themeColor="text1"/>
                <w:sz w:val="24"/>
                <w:szCs w:val="24"/>
                <w:shd w:val="clear" w:color="auto" w:fill="FFFFFF"/>
              </w:rPr>
            </w:pPr>
            <w:r w:rsidRPr="00BE0FC1">
              <w:rPr>
                <w:rFonts w:ascii="Times New Roman" w:hAnsi="Times New Roman" w:cs="Times New Roman"/>
                <w:color w:val="000000" w:themeColor="text1"/>
                <w:sz w:val="24"/>
                <w:szCs w:val="24"/>
                <w:shd w:val="clear" w:color="auto" w:fill="FFFFFF"/>
              </w:rPr>
              <w:t>Очікувана вартість предмета закупівлі</w:t>
            </w:r>
          </w:p>
        </w:tc>
        <w:tc>
          <w:tcPr>
            <w:tcW w:w="6237" w:type="dxa"/>
          </w:tcPr>
          <w:p w14:paraId="33F77453" w14:textId="65EA5CAD" w:rsidR="00B55857" w:rsidRPr="00BE0FC1" w:rsidRDefault="002D0827" w:rsidP="002D0827">
            <w:pPr>
              <w:spacing w:before="75"/>
              <w:ind w:firstLine="317"/>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106339</w:t>
            </w:r>
            <w:r w:rsidR="00772B1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66</w:t>
            </w:r>
            <w:r w:rsidR="00180C45">
              <w:rPr>
                <w:rFonts w:ascii="Times New Roman" w:hAnsi="Times New Roman" w:cs="Times New Roman"/>
                <w:color w:val="000000" w:themeColor="text1"/>
                <w:sz w:val="24"/>
                <w:szCs w:val="24"/>
                <w:shd w:val="clear" w:color="auto" w:fill="FFFFFF"/>
              </w:rPr>
              <w:t xml:space="preserve"> </w:t>
            </w:r>
            <w:r w:rsidR="00FB46D1" w:rsidRPr="00BE0FC1">
              <w:rPr>
                <w:rFonts w:ascii="Times New Roman" w:hAnsi="Times New Roman" w:cs="Times New Roman"/>
                <w:color w:val="000000" w:themeColor="text1"/>
                <w:sz w:val="24"/>
                <w:szCs w:val="24"/>
                <w:shd w:val="clear" w:color="auto" w:fill="FFFFFF"/>
              </w:rPr>
              <w:t>грн</w:t>
            </w:r>
            <w:r w:rsidR="00880405" w:rsidRPr="00BE0FC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з </w:t>
            </w:r>
            <w:r w:rsidR="00FB46D1" w:rsidRPr="00BE0FC1">
              <w:rPr>
                <w:rFonts w:ascii="Times New Roman" w:hAnsi="Times New Roman" w:cs="Times New Roman"/>
                <w:color w:val="000000" w:themeColor="text1"/>
                <w:sz w:val="24"/>
                <w:szCs w:val="24"/>
                <w:shd w:val="clear" w:color="auto" w:fill="FFFFFF"/>
              </w:rPr>
              <w:t>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rsidP="00880405">
            <w:pPr>
              <w:ind w:firstLine="317"/>
              <w:jc w:val="both"/>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46DFE00" w:rsidR="00220BA2" w:rsidRPr="00F12E51" w:rsidRDefault="00A64DCA" w:rsidP="00880405">
            <w:pPr>
              <w:ind w:firstLine="317"/>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w:t>
            </w:r>
            <w:r w:rsidRPr="00A64DCA">
              <w:rPr>
                <w:rFonts w:ascii="Times New Roman" w:hAnsi="Times New Roman" w:cs="Times New Roman"/>
                <w:sz w:val="24"/>
                <w:szCs w:val="24"/>
              </w:rPr>
              <w:lastRenderedPageBreak/>
              <w:t>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F12E51">
              <w:rPr>
                <w:rFonts w:ascii="Times New Roman" w:hAnsi="Times New Roman" w:cs="Times New Roman"/>
                <w:sz w:val="24"/>
                <w:szCs w:val="24"/>
              </w:rPr>
              <w:t>.</w:t>
            </w:r>
            <w:r w:rsidR="00220BA2" w:rsidRPr="00486355">
              <w:rPr>
                <w:rFonts w:ascii="Times New Roman" w:hAnsi="Times New Roman" w:cs="Times New Roman"/>
                <w:sz w:val="24"/>
                <w:szCs w:val="24"/>
              </w:rPr>
              <w:t xml:space="preserve"> </w:t>
            </w:r>
          </w:p>
        </w:tc>
      </w:tr>
      <w:tr w:rsidR="007606DD" w:rsidRPr="00B91B88"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7D14C9C3" w:rsidR="007606DD" w:rsidRPr="002D0827" w:rsidRDefault="00E511CA" w:rsidP="002D0827">
            <w:pPr>
              <w:jc w:val="both"/>
              <w:rPr>
                <w:rFonts w:ascii="Times New Roman" w:hAnsi="Times New Roman" w:cs="Times New Roman"/>
                <w:bCs/>
                <w:sz w:val="24"/>
                <w:szCs w:val="24"/>
              </w:rPr>
            </w:pPr>
            <w:r w:rsidRPr="00B91B88">
              <w:rPr>
                <w:rFonts w:ascii="Times New Roman" w:hAnsi="Times New Roman" w:cs="Times New Roman"/>
                <w:sz w:val="24"/>
                <w:szCs w:val="24"/>
              </w:rPr>
              <w:t>Відповідно до</w:t>
            </w:r>
            <w:r w:rsidR="00B04286" w:rsidRPr="00B91B88">
              <w:rPr>
                <w:rFonts w:ascii="Times New Roman" w:hAnsi="Times New Roman" w:cs="Times New Roman"/>
                <w:sz w:val="24"/>
                <w:szCs w:val="24"/>
              </w:rPr>
              <w:t xml:space="preserve"> кошторису </w:t>
            </w:r>
            <w:r w:rsidR="008A201B" w:rsidRPr="007461EC">
              <w:rPr>
                <w:rFonts w:ascii="Times New Roman" w:hAnsi="Times New Roman" w:cs="Times New Roman"/>
                <w:sz w:val="24"/>
                <w:szCs w:val="24"/>
              </w:rPr>
              <w:t xml:space="preserve">проекту </w:t>
            </w:r>
            <w:r w:rsidR="00DA78E2" w:rsidRPr="00B91B88">
              <w:rPr>
                <w:rFonts w:ascii="Times New Roman" w:hAnsi="Times New Roman" w:cs="Times New Roman"/>
                <w:sz w:val="24"/>
                <w:szCs w:val="24"/>
              </w:rPr>
              <w:t xml:space="preserve">міжнародної технічної допомоги </w:t>
            </w:r>
            <w:r w:rsidR="002D0827">
              <w:rPr>
                <w:rFonts w:ascii="Times New Roman" w:eastAsia="Times New Roman" w:hAnsi="Times New Roman" w:cs="Times New Roman"/>
                <w:sz w:val="24"/>
                <w:szCs w:val="24"/>
                <w:lang w:eastAsia="ru-RU"/>
              </w:rPr>
              <w:t>«</w:t>
            </w:r>
            <w:r w:rsidR="002D0827" w:rsidRPr="00FF0DF4">
              <w:rPr>
                <w:rFonts w:ascii="Times New Roman" w:eastAsia="Times New Roman" w:hAnsi="Times New Roman" w:cs="Times New Roman"/>
                <w:sz w:val="24"/>
                <w:szCs w:val="24"/>
                <w:lang w:eastAsia="ru-RU"/>
              </w:rPr>
              <w:t xml:space="preserve">NIPH: </w:t>
            </w:r>
            <w:r w:rsidR="002D0827" w:rsidRPr="00F6631B">
              <w:rPr>
                <w:rFonts w:ascii="Times New Roman" w:eastAsia="Times New Roman" w:hAnsi="Times New Roman" w:cs="Times New Roman"/>
                <w:sz w:val="24"/>
                <w:szCs w:val="24"/>
                <w:lang w:eastAsia="ru-RU"/>
              </w:rPr>
              <w:t>UKR-24/0022</w:t>
            </w:r>
            <w:r w:rsidR="002D0827">
              <w:rPr>
                <w:rFonts w:ascii="Times New Roman" w:eastAsia="Times New Roman" w:hAnsi="Times New Roman" w:cs="Times New Roman"/>
                <w:sz w:val="24"/>
                <w:szCs w:val="24"/>
                <w:lang w:eastAsia="ru-RU"/>
              </w:rPr>
              <w:t xml:space="preserve"> в </w:t>
            </w:r>
            <w:r w:rsidR="002D0827" w:rsidRPr="00F6631B">
              <w:rPr>
                <w:rFonts w:ascii="Times New Roman" w:eastAsia="Times New Roman" w:hAnsi="Times New Roman" w:cs="Times New Roman"/>
                <w:sz w:val="24"/>
                <w:szCs w:val="24"/>
                <w:lang w:eastAsia="ru-RU"/>
              </w:rPr>
              <w:t xml:space="preserve">рамках реалізації проекту інституційного співробітництва в сфері охорони здоров`я з Україною, згідно Угоди про надання субгранту від 01 січня 2025 року між Замовником та Норвезьким інститутом громадського здоров’я (НІГЗ) </w:t>
            </w:r>
            <w:r w:rsidR="002D0827" w:rsidRPr="00FF0DF4">
              <w:rPr>
                <w:rFonts w:ascii="Times New Roman" w:eastAsia="Times New Roman" w:hAnsi="Times New Roman" w:cs="Times New Roman"/>
                <w:sz w:val="24"/>
                <w:szCs w:val="24"/>
                <w:lang w:eastAsia="ru-RU"/>
              </w:rPr>
              <w:t xml:space="preserve">(далі - НІГЗ або партнер з розвитку) </w:t>
            </w:r>
            <w:r w:rsidR="002D0827" w:rsidRPr="00F6631B">
              <w:rPr>
                <w:rFonts w:ascii="Times New Roman" w:eastAsia="Times New Roman" w:hAnsi="Times New Roman" w:cs="Times New Roman"/>
                <w:sz w:val="24"/>
                <w:szCs w:val="24"/>
                <w:lang w:eastAsia="ru-RU"/>
              </w:rPr>
              <w:t>за фінансової підтримки Міністерства закордонних справ Норвегії через Норвезький директорат з питань співробітництва у сфері розвитку,  Folkehelseinstituttet</w:t>
            </w:r>
            <w:r w:rsidR="002D0827">
              <w:rPr>
                <w:rFonts w:ascii="Times New Roman" w:eastAsia="Times New Roman" w:hAnsi="Times New Roman" w:cs="Times New Roman"/>
                <w:sz w:val="24"/>
                <w:szCs w:val="24"/>
                <w:lang w:eastAsia="ru-RU"/>
              </w:rPr>
              <w:t>»</w:t>
            </w:r>
            <w:r w:rsidR="002D0827">
              <w:rPr>
                <w:rFonts w:ascii="Times New Roman" w:hAnsi="Times New Roman" w:cs="Times New Roman"/>
                <w:bCs/>
                <w:sz w:val="24"/>
                <w:szCs w:val="24"/>
              </w:rPr>
              <w:t>.</w:t>
            </w:r>
          </w:p>
        </w:tc>
      </w:tr>
    </w:tbl>
    <w:p w14:paraId="03CD3BB2" w14:textId="159524CA" w:rsidR="00E624FB" w:rsidRDefault="0035051A">
      <w:pPr>
        <w:rPr>
          <w:rFonts w:ascii="Times New Roman" w:hAnsi="Times New Roman" w:cs="Times New Roman"/>
          <w:sz w:val="24"/>
          <w:szCs w:val="24"/>
        </w:rPr>
      </w:pPr>
    </w:p>
    <w:p w14:paraId="15B11BD9" w14:textId="46860BBA" w:rsidR="00A94EB9" w:rsidRDefault="00A94EB9">
      <w:pPr>
        <w:rPr>
          <w:rFonts w:ascii="Times New Roman" w:hAnsi="Times New Roman" w:cs="Times New Roman"/>
          <w:sz w:val="24"/>
          <w:szCs w:val="24"/>
        </w:rPr>
      </w:pPr>
    </w:p>
    <w:p w14:paraId="1F7CCBBE" w14:textId="11A10474" w:rsidR="00A94EB9" w:rsidRDefault="00A94EB9">
      <w:pPr>
        <w:rPr>
          <w:rFonts w:ascii="Times New Roman" w:hAnsi="Times New Roman" w:cs="Times New Roman"/>
          <w:sz w:val="24"/>
          <w:szCs w:val="24"/>
        </w:rPr>
      </w:pPr>
    </w:p>
    <w:p w14:paraId="6934941B" w14:textId="2122B1F8" w:rsidR="00A94EB9" w:rsidRDefault="00A94EB9">
      <w:pPr>
        <w:rPr>
          <w:rFonts w:ascii="Times New Roman" w:hAnsi="Times New Roman" w:cs="Times New Roman"/>
          <w:sz w:val="24"/>
          <w:szCs w:val="24"/>
        </w:rPr>
      </w:pPr>
    </w:p>
    <w:p w14:paraId="4B12289F" w14:textId="12AD3814" w:rsidR="00A94EB9" w:rsidRDefault="00A94EB9">
      <w:pPr>
        <w:rPr>
          <w:rFonts w:ascii="Times New Roman" w:hAnsi="Times New Roman" w:cs="Times New Roman"/>
          <w:sz w:val="24"/>
          <w:szCs w:val="24"/>
        </w:rPr>
      </w:pPr>
    </w:p>
    <w:p w14:paraId="1A4D025A" w14:textId="175FFB2F" w:rsidR="00A94EB9" w:rsidRDefault="00A94EB9">
      <w:pPr>
        <w:rPr>
          <w:rFonts w:ascii="Times New Roman" w:hAnsi="Times New Roman" w:cs="Times New Roman"/>
          <w:sz w:val="24"/>
          <w:szCs w:val="24"/>
        </w:rPr>
      </w:pPr>
    </w:p>
    <w:p w14:paraId="5833EE4C" w14:textId="5B49CA9A" w:rsidR="00A94EB9" w:rsidRDefault="00A94EB9">
      <w:pPr>
        <w:rPr>
          <w:rFonts w:ascii="Times New Roman" w:hAnsi="Times New Roman" w:cs="Times New Roman"/>
          <w:sz w:val="24"/>
          <w:szCs w:val="24"/>
        </w:rPr>
      </w:pPr>
    </w:p>
    <w:p w14:paraId="38EE4C7D" w14:textId="28F92962" w:rsidR="00A94EB9" w:rsidRDefault="00A94EB9">
      <w:pPr>
        <w:rPr>
          <w:rFonts w:ascii="Times New Roman" w:hAnsi="Times New Roman" w:cs="Times New Roman"/>
          <w:sz w:val="24"/>
          <w:szCs w:val="24"/>
        </w:rPr>
      </w:pPr>
    </w:p>
    <w:p w14:paraId="79B5637F" w14:textId="3EB7099B" w:rsidR="00A94EB9" w:rsidRDefault="00A94EB9">
      <w:pPr>
        <w:rPr>
          <w:rFonts w:ascii="Times New Roman" w:hAnsi="Times New Roman" w:cs="Times New Roman"/>
          <w:sz w:val="24"/>
          <w:szCs w:val="24"/>
        </w:rPr>
      </w:pPr>
    </w:p>
    <w:p w14:paraId="0EF84C90" w14:textId="669DEE34" w:rsidR="00A94EB9" w:rsidRDefault="00A94EB9">
      <w:pPr>
        <w:rPr>
          <w:rFonts w:ascii="Times New Roman" w:hAnsi="Times New Roman" w:cs="Times New Roman"/>
          <w:sz w:val="24"/>
          <w:szCs w:val="24"/>
        </w:rPr>
      </w:pPr>
    </w:p>
    <w:p w14:paraId="53C81C14" w14:textId="3EEA0747" w:rsidR="00A94EB9" w:rsidRDefault="00A94EB9">
      <w:pPr>
        <w:rPr>
          <w:rFonts w:ascii="Times New Roman" w:hAnsi="Times New Roman" w:cs="Times New Roman"/>
          <w:sz w:val="24"/>
          <w:szCs w:val="24"/>
        </w:rPr>
      </w:pPr>
    </w:p>
    <w:p w14:paraId="33260ABB" w14:textId="55767CE7" w:rsidR="00A94EB9" w:rsidRDefault="00A94EB9">
      <w:pPr>
        <w:rPr>
          <w:rFonts w:ascii="Times New Roman" w:hAnsi="Times New Roman" w:cs="Times New Roman"/>
          <w:sz w:val="24"/>
          <w:szCs w:val="24"/>
        </w:rPr>
      </w:pPr>
    </w:p>
    <w:p w14:paraId="3DA28302" w14:textId="1E88BC72" w:rsidR="00A94EB9" w:rsidRDefault="00A94EB9">
      <w:pPr>
        <w:rPr>
          <w:rFonts w:ascii="Times New Roman" w:hAnsi="Times New Roman" w:cs="Times New Roman"/>
          <w:sz w:val="24"/>
          <w:szCs w:val="24"/>
        </w:rPr>
      </w:pPr>
    </w:p>
    <w:p w14:paraId="7EB21749" w14:textId="11343C5D" w:rsidR="00A94EB9" w:rsidRDefault="00A94EB9">
      <w:pPr>
        <w:rPr>
          <w:rFonts w:ascii="Times New Roman" w:hAnsi="Times New Roman" w:cs="Times New Roman"/>
          <w:sz w:val="24"/>
          <w:szCs w:val="24"/>
        </w:rPr>
      </w:pPr>
    </w:p>
    <w:p w14:paraId="3EB481A8" w14:textId="02C53427" w:rsidR="00A94EB9" w:rsidRDefault="00A94EB9">
      <w:pPr>
        <w:rPr>
          <w:rFonts w:ascii="Times New Roman" w:hAnsi="Times New Roman" w:cs="Times New Roman"/>
          <w:sz w:val="24"/>
          <w:szCs w:val="24"/>
        </w:rPr>
      </w:pPr>
    </w:p>
    <w:p w14:paraId="1EF87E02" w14:textId="67724018" w:rsidR="00A94EB9" w:rsidRDefault="00A94EB9">
      <w:pPr>
        <w:rPr>
          <w:rFonts w:ascii="Times New Roman" w:hAnsi="Times New Roman" w:cs="Times New Roman"/>
          <w:sz w:val="24"/>
          <w:szCs w:val="24"/>
        </w:rPr>
      </w:pPr>
    </w:p>
    <w:p w14:paraId="2511B5A2" w14:textId="3371C452" w:rsidR="00A93304" w:rsidRDefault="00A93304">
      <w:pPr>
        <w:rPr>
          <w:rFonts w:ascii="Times New Roman" w:hAnsi="Times New Roman" w:cs="Times New Roman"/>
          <w:sz w:val="24"/>
          <w:szCs w:val="24"/>
        </w:rPr>
      </w:pPr>
    </w:p>
    <w:p w14:paraId="2E8547AB" w14:textId="4A1B48B5" w:rsidR="00A93304" w:rsidRDefault="00A93304">
      <w:pPr>
        <w:rPr>
          <w:rFonts w:ascii="Times New Roman" w:hAnsi="Times New Roman" w:cs="Times New Roman"/>
          <w:sz w:val="24"/>
          <w:szCs w:val="24"/>
        </w:rPr>
      </w:pPr>
    </w:p>
    <w:p w14:paraId="787245CF" w14:textId="4EFB9A3A" w:rsidR="00A93304" w:rsidRDefault="00A93304">
      <w:pPr>
        <w:rPr>
          <w:rFonts w:ascii="Times New Roman" w:hAnsi="Times New Roman" w:cs="Times New Roman"/>
          <w:sz w:val="24"/>
          <w:szCs w:val="24"/>
        </w:rPr>
      </w:pPr>
    </w:p>
    <w:p w14:paraId="4D699794" w14:textId="77777777" w:rsidR="00761520" w:rsidRPr="00602272" w:rsidRDefault="00761520" w:rsidP="00761520">
      <w:pPr>
        <w:spacing w:after="0" w:line="240" w:lineRule="auto"/>
        <w:ind w:firstLine="709"/>
        <w:jc w:val="center"/>
        <w:rPr>
          <w:rFonts w:ascii="Times New Roman" w:hAnsi="Times New Roman" w:cs="Times New Roman"/>
          <w:b/>
          <w:sz w:val="24"/>
          <w:szCs w:val="24"/>
        </w:rPr>
      </w:pPr>
      <w:r w:rsidRPr="00602272">
        <w:rPr>
          <w:rFonts w:ascii="Times New Roman" w:hAnsi="Times New Roman" w:cs="Times New Roman"/>
          <w:b/>
          <w:sz w:val="24"/>
          <w:szCs w:val="24"/>
        </w:rPr>
        <w:lastRenderedPageBreak/>
        <w:t>ТЕХНІЧНЕ ЗАВДАННЯ</w:t>
      </w:r>
    </w:p>
    <w:p w14:paraId="66E8D5B7" w14:textId="77777777" w:rsidR="00761520" w:rsidRPr="00F44FE8" w:rsidRDefault="00761520" w:rsidP="00761520">
      <w:pPr>
        <w:spacing w:after="0" w:line="240" w:lineRule="auto"/>
        <w:ind w:firstLine="709"/>
        <w:jc w:val="center"/>
        <w:rPr>
          <w:rFonts w:ascii="Times New Roman" w:hAnsi="Times New Roman" w:cs="Times New Roman"/>
          <w:sz w:val="18"/>
          <w:szCs w:val="18"/>
          <w:shd w:val="clear" w:color="auto" w:fill="FFFFFF"/>
        </w:rPr>
      </w:pPr>
      <w:r w:rsidRPr="00F44FE8">
        <w:rPr>
          <w:rFonts w:ascii="Times New Roman" w:hAnsi="Times New Roman" w:cs="Times New Roman"/>
          <w:sz w:val="18"/>
          <w:szCs w:val="18"/>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0D5BBC3A" w14:textId="77777777" w:rsidR="00761520" w:rsidRPr="00602272" w:rsidRDefault="00761520" w:rsidP="00761520">
      <w:pPr>
        <w:spacing w:after="0" w:line="240" w:lineRule="auto"/>
        <w:ind w:firstLine="709"/>
        <w:jc w:val="both"/>
        <w:rPr>
          <w:rFonts w:ascii="Times New Roman" w:hAnsi="Times New Roman" w:cs="Times New Roman"/>
          <w:sz w:val="24"/>
          <w:szCs w:val="24"/>
        </w:rPr>
      </w:pPr>
    </w:p>
    <w:p w14:paraId="1350C262" w14:textId="77777777" w:rsidR="00761520" w:rsidRDefault="00761520" w:rsidP="00761520">
      <w:pPr>
        <w:tabs>
          <w:tab w:val="left" w:pos="180"/>
          <w:tab w:val="left" w:pos="567"/>
          <w:tab w:val="left" w:pos="993"/>
        </w:tabs>
        <w:spacing w:after="0" w:line="240" w:lineRule="auto"/>
        <w:ind w:firstLine="709"/>
        <w:jc w:val="center"/>
        <w:rPr>
          <w:rFonts w:ascii="Times New Roman" w:eastAsia="Times New Roman" w:hAnsi="Times New Roman" w:cs="Times New Roman"/>
          <w:b/>
          <w:bCs/>
          <w:sz w:val="24"/>
          <w:szCs w:val="24"/>
          <w:lang w:eastAsia="uk-UA"/>
        </w:rPr>
      </w:pPr>
      <w:r w:rsidRPr="00A44C51">
        <w:rPr>
          <w:rFonts w:ascii="Times New Roman" w:eastAsia="Calibri" w:hAnsi="Times New Roman" w:cs="Times New Roman"/>
          <w:b/>
          <w:sz w:val="24"/>
          <w:szCs w:val="24"/>
        </w:rPr>
        <w:t>ДК 021:2015: 80560000-7 Послуги з професійної підготовки у сфері охорони здоров’я та надання першої медичної допомоги</w:t>
      </w:r>
      <w:r w:rsidRPr="00602272">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w:t>
      </w:r>
      <w:r w:rsidRPr="00602272">
        <w:rPr>
          <w:rFonts w:ascii="Times New Roman" w:eastAsia="Times New Roman" w:hAnsi="Times New Roman" w:cs="Times New Roman"/>
          <w:b/>
          <w:bCs/>
          <w:sz w:val="24"/>
          <w:szCs w:val="24"/>
          <w:lang w:eastAsia="ar-SA"/>
        </w:rPr>
        <w:t xml:space="preserve">Послуга з організації та проведення навчального заходу - двотижневого циклу тематичного удосконалення для лікарів за темою </w:t>
      </w:r>
      <w:r w:rsidRPr="00602272">
        <w:rPr>
          <w:rFonts w:ascii="Times New Roman" w:hAnsi="Times New Roman" w:cs="Times New Roman"/>
          <w:b/>
          <w:bCs/>
          <w:sz w:val="24"/>
          <w:szCs w:val="24"/>
        </w:rPr>
        <w:t>«Раціональне використання протимікробних препаратів»</w:t>
      </w:r>
      <w:r>
        <w:rPr>
          <w:rFonts w:ascii="Times New Roman" w:eastAsia="Times New Roman" w:hAnsi="Times New Roman" w:cs="Times New Roman"/>
          <w:b/>
          <w:bCs/>
          <w:sz w:val="24"/>
          <w:szCs w:val="24"/>
          <w:lang w:eastAsia="uk-UA"/>
        </w:rPr>
        <w:t>)</w:t>
      </w:r>
    </w:p>
    <w:p w14:paraId="1C3DDDC1" w14:textId="77777777" w:rsidR="00761520" w:rsidRPr="00F44FE8" w:rsidRDefault="00761520" w:rsidP="00761520">
      <w:pPr>
        <w:tabs>
          <w:tab w:val="left" w:pos="180"/>
          <w:tab w:val="left" w:pos="567"/>
          <w:tab w:val="left" w:pos="993"/>
        </w:tabs>
        <w:spacing w:after="0" w:line="240" w:lineRule="auto"/>
        <w:ind w:firstLine="709"/>
        <w:jc w:val="center"/>
        <w:rPr>
          <w:rFonts w:ascii="Times New Roman" w:eastAsia="Times New Roman" w:hAnsi="Times New Roman" w:cs="Times New Roman"/>
          <w:b/>
          <w:bCs/>
          <w:sz w:val="24"/>
          <w:szCs w:val="24"/>
          <w:lang w:eastAsia="uk-UA"/>
        </w:rPr>
      </w:pPr>
    </w:p>
    <w:p w14:paraId="0C70F8C7" w14:textId="77777777" w:rsidR="00761520" w:rsidRDefault="00761520" w:rsidP="0076152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Послуги передбачають організацію та проведення Виконавцем навчальних заходів, у вигляді циклів тематичного удосконалення з питань раціонального використання протимікробних препаратів, для лікарів, які направлені для участі в таких навчальних заходах Замовником, для групи учасників, визначеної Замовником (слухачі), з використанням навчальних програм, запропонованих Виконавцем, що відповідають вимогам, визначеним Замовником. </w:t>
      </w:r>
    </w:p>
    <w:p w14:paraId="65049E97" w14:textId="77777777" w:rsidR="00761520" w:rsidRDefault="00761520" w:rsidP="00761520">
      <w:pPr>
        <w:spacing w:after="0" w:line="240" w:lineRule="auto"/>
        <w:ind w:firstLine="567"/>
        <w:rPr>
          <w:rFonts w:ascii="Times New Roman" w:hAnsi="Times New Roman" w:cs="Times New Roman"/>
          <w:b/>
          <w:bCs/>
          <w:sz w:val="24"/>
          <w:szCs w:val="24"/>
          <w:lang w:eastAsia="ru-RU"/>
        </w:rPr>
      </w:pPr>
    </w:p>
    <w:p w14:paraId="7D44FED0" w14:textId="77777777" w:rsidR="00761520" w:rsidRDefault="00761520" w:rsidP="00761520">
      <w:pPr>
        <w:spacing w:after="0" w:line="240" w:lineRule="auto"/>
        <w:ind w:firstLine="567"/>
        <w:rPr>
          <w:rFonts w:ascii="Times New Roman" w:hAnsi="Times New Roman" w:cs="Times New Roman"/>
          <w:sz w:val="24"/>
          <w:szCs w:val="24"/>
          <w:lang w:eastAsia="ru-RU"/>
        </w:rPr>
      </w:pPr>
      <w:r>
        <w:rPr>
          <w:rFonts w:ascii="Times New Roman" w:hAnsi="Times New Roman" w:cs="Times New Roman"/>
          <w:b/>
          <w:bCs/>
          <w:sz w:val="24"/>
          <w:szCs w:val="24"/>
          <w:lang w:eastAsia="ru-RU"/>
        </w:rPr>
        <w:t>Строки надання Послуги:</w:t>
      </w:r>
      <w:r>
        <w:rPr>
          <w:rFonts w:ascii="Times New Roman" w:hAnsi="Times New Roman" w:cs="Times New Roman"/>
          <w:sz w:val="24"/>
          <w:szCs w:val="24"/>
          <w:lang w:eastAsia="ru-RU"/>
        </w:rPr>
        <w:t xml:space="preserve"> </w:t>
      </w:r>
      <w:r>
        <w:rPr>
          <w:rFonts w:ascii="Times New Roman" w:hAnsi="Times New Roman" w:cs="Times New Roman"/>
          <w:sz w:val="24"/>
          <w:szCs w:val="24"/>
        </w:rPr>
        <w:t>з моменту укладення Договору до</w:t>
      </w:r>
      <w:r>
        <w:rPr>
          <w:rFonts w:ascii="Times New Roman" w:hAnsi="Times New Roman" w:cs="Times New Roman"/>
          <w:sz w:val="24"/>
          <w:szCs w:val="24"/>
          <w:lang w:eastAsia="ru-RU"/>
        </w:rPr>
        <w:t xml:space="preserve"> 20 грудня 2025 року.</w:t>
      </w:r>
    </w:p>
    <w:p w14:paraId="5AF06A58" w14:textId="77777777" w:rsidR="00761520" w:rsidRDefault="00761520" w:rsidP="00761520">
      <w:pPr>
        <w:spacing w:after="0" w:line="240" w:lineRule="auto"/>
        <w:ind w:firstLine="567"/>
        <w:jc w:val="both"/>
        <w:rPr>
          <w:rFonts w:ascii="Times New Roman" w:hAnsi="Times New Roman" w:cs="Times New Roman"/>
          <w:b/>
          <w:bCs/>
          <w:sz w:val="24"/>
          <w:szCs w:val="24"/>
          <w:lang w:eastAsia="ru-RU"/>
        </w:rPr>
      </w:pPr>
    </w:p>
    <w:p w14:paraId="542CAAAD" w14:textId="77777777" w:rsidR="00761520" w:rsidRDefault="00761520" w:rsidP="00761520">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lang w:eastAsia="ru-RU"/>
        </w:rPr>
        <w:t>Місце надання Послуги</w:t>
      </w:r>
      <w:r>
        <w:rPr>
          <w:rFonts w:ascii="Times New Roman" w:hAnsi="Times New Roman" w:cs="Times New Roman"/>
          <w:sz w:val="24"/>
          <w:szCs w:val="24"/>
          <w:lang w:eastAsia="ru-RU"/>
        </w:rPr>
        <w:t>:</w:t>
      </w:r>
      <w:r>
        <w:tab/>
      </w:r>
      <w:r>
        <w:rPr>
          <w:rFonts w:ascii="Times New Roman" w:hAnsi="Times New Roman" w:cs="Times New Roman"/>
          <w:sz w:val="24"/>
          <w:szCs w:val="24"/>
        </w:rPr>
        <w:t xml:space="preserve">послуги надаються Виконавцем слухачам в дистанційному форматі в режимі реального часу, згідно графіку, узгодженого Виконавцем та Замовником  в порядку, визначеному Договором. </w:t>
      </w:r>
    </w:p>
    <w:p w14:paraId="509CA097" w14:textId="77777777" w:rsidR="00761520" w:rsidRDefault="00761520" w:rsidP="00761520">
      <w:pPr>
        <w:spacing w:after="0" w:line="240" w:lineRule="auto"/>
        <w:ind w:firstLine="567"/>
        <w:jc w:val="both"/>
        <w:rPr>
          <w:rFonts w:ascii="Times New Roman" w:hAnsi="Times New Roman" w:cs="Times New Roman"/>
          <w:b/>
          <w:bCs/>
          <w:sz w:val="24"/>
          <w:szCs w:val="24"/>
          <w:lang w:eastAsia="ru-RU"/>
        </w:rPr>
      </w:pPr>
    </w:p>
    <w:p w14:paraId="23C9905B" w14:textId="77777777" w:rsidR="00761520" w:rsidRDefault="00761520" w:rsidP="00761520">
      <w:pPr>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Орієнтовна (станом на момент укладання Договору) кількість слухачів:  </w:t>
      </w:r>
      <w:r>
        <w:rPr>
          <w:rFonts w:ascii="Times New Roman" w:hAnsi="Times New Roman" w:cs="Times New Roman"/>
          <w:sz w:val="24"/>
          <w:szCs w:val="24"/>
          <w:lang w:eastAsia="ru-RU"/>
        </w:rPr>
        <w:t>33 особи</w:t>
      </w:r>
      <w:r>
        <w:rPr>
          <w:rFonts w:ascii="Times New Roman" w:hAnsi="Times New Roman" w:cs="Times New Roman"/>
          <w:b/>
          <w:bCs/>
          <w:sz w:val="24"/>
          <w:szCs w:val="24"/>
          <w:lang w:eastAsia="ru-RU"/>
        </w:rPr>
        <w:t>.</w:t>
      </w:r>
    </w:p>
    <w:p w14:paraId="06B3C230" w14:textId="77777777" w:rsidR="00761520" w:rsidRDefault="00761520" w:rsidP="00761520">
      <w:pPr>
        <w:spacing w:after="0" w:line="240" w:lineRule="auto"/>
        <w:ind w:firstLine="567"/>
        <w:jc w:val="both"/>
        <w:rPr>
          <w:rFonts w:ascii="Times New Roman" w:eastAsia="Times New Roman" w:hAnsi="Times New Roman" w:cs="Times New Roman"/>
          <w:color w:val="000000"/>
          <w:sz w:val="24"/>
          <w:szCs w:val="24"/>
        </w:rPr>
      </w:pPr>
      <w:r w:rsidRPr="00B96489">
        <w:rPr>
          <w:rFonts w:ascii="Times New Roman" w:hAnsi="Times New Roman" w:cs="Times New Roman"/>
          <w:bCs/>
          <w:sz w:val="24"/>
          <w:szCs w:val="24"/>
          <w:lang w:eastAsia="ru-RU"/>
        </w:rPr>
        <w:t xml:space="preserve">Точна кількість </w:t>
      </w:r>
      <w:r>
        <w:rPr>
          <w:rFonts w:ascii="Times New Roman" w:hAnsi="Times New Roman" w:cs="Times New Roman"/>
          <w:bCs/>
          <w:sz w:val="24"/>
          <w:szCs w:val="24"/>
          <w:lang w:eastAsia="ru-RU"/>
        </w:rPr>
        <w:t>слухачів</w:t>
      </w:r>
      <w:r w:rsidRPr="00B96489">
        <w:rPr>
          <w:rFonts w:ascii="Times New Roman" w:hAnsi="Times New Roman" w:cs="Times New Roman"/>
          <w:bCs/>
          <w:sz w:val="24"/>
          <w:szCs w:val="24"/>
          <w:lang w:eastAsia="ru-RU"/>
        </w:rPr>
        <w:t xml:space="preserve"> визначається на підставі </w:t>
      </w:r>
      <w:r w:rsidRPr="006854BB">
        <w:rPr>
          <w:rFonts w:ascii="Times New Roman" w:eastAsia="Times New Roman" w:hAnsi="Times New Roman" w:cs="Times New Roman"/>
          <w:sz w:val="24"/>
          <w:szCs w:val="24"/>
        </w:rPr>
        <w:t xml:space="preserve">відповідно до </w:t>
      </w:r>
      <w:r>
        <w:rPr>
          <w:rFonts w:ascii="Times New Roman" w:eastAsia="Times New Roman" w:hAnsi="Times New Roman" w:cs="Times New Roman"/>
          <w:sz w:val="24"/>
          <w:szCs w:val="24"/>
        </w:rPr>
        <w:t>підсумку кількості</w:t>
      </w:r>
      <w:r w:rsidRPr="00685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слухачів, вказаної в </w:t>
      </w:r>
      <w:r w:rsidRPr="006854BB">
        <w:rPr>
          <w:rFonts w:ascii="Times New Roman" w:eastAsia="Times New Roman" w:hAnsi="Times New Roman" w:cs="Times New Roman"/>
          <w:sz w:val="24"/>
          <w:szCs w:val="24"/>
        </w:rPr>
        <w:t>заяв</w:t>
      </w:r>
      <w:r>
        <w:rPr>
          <w:rFonts w:ascii="Times New Roman" w:eastAsia="Times New Roman" w:hAnsi="Times New Roman" w:cs="Times New Roman"/>
          <w:sz w:val="24"/>
          <w:szCs w:val="24"/>
        </w:rPr>
        <w:t>ках</w:t>
      </w:r>
      <w:r w:rsidRPr="006854BB">
        <w:rPr>
          <w:rFonts w:ascii="Times New Roman" w:eastAsia="Times New Roman" w:hAnsi="Times New Roman" w:cs="Times New Roman"/>
          <w:sz w:val="24"/>
          <w:szCs w:val="24"/>
        </w:rPr>
        <w:t xml:space="preserve"> Замовника, поданих </w:t>
      </w:r>
      <w:r>
        <w:rPr>
          <w:rFonts w:ascii="Times New Roman" w:eastAsia="Times New Roman" w:hAnsi="Times New Roman" w:cs="Times New Roman"/>
          <w:color w:val="000000"/>
          <w:sz w:val="24"/>
          <w:szCs w:val="24"/>
        </w:rPr>
        <w:t>у відповідності до Договору.</w:t>
      </w:r>
    </w:p>
    <w:p w14:paraId="392D57B9" w14:textId="77777777" w:rsidR="00761520" w:rsidRDefault="00761520" w:rsidP="00761520">
      <w:pPr>
        <w:tabs>
          <w:tab w:val="left" w:pos="7416"/>
        </w:tabs>
        <w:spacing w:after="0" w:line="240" w:lineRule="auto"/>
        <w:ind w:firstLine="567"/>
        <w:jc w:val="both"/>
        <w:rPr>
          <w:rFonts w:ascii="Times New Roman" w:eastAsia="Times New Roman" w:hAnsi="Times New Roman" w:cs="Times New Roman"/>
          <w:b/>
          <w:color w:val="000000"/>
          <w:sz w:val="24"/>
          <w:szCs w:val="24"/>
        </w:rPr>
      </w:pPr>
    </w:p>
    <w:p w14:paraId="1B8B1519" w14:textId="77777777" w:rsidR="00761520" w:rsidRDefault="00761520" w:rsidP="00761520">
      <w:pPr>
        <w:tabs>
          <w:tab w:val="left" w:pos="7416"/>
        </w:tabs>
        <w:spacing w:after="0"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Найменування циклу тематичного удосконалення: «</w:t>
      </w:r>
      <w:r w:rsidRPr="00E62A16">
        <w:rPr>
          <w:rFonts w:ascii="Times New Roman" w:hAnsi="Times New Roman" w:cs="Times New Roman"/>
          <w:bCs/>
          <w:sz w:val="24"/>
          <w:szCs w:val="24"/>
        </w:rPr>
        <w:t>Раціональне використання протимікробних препаратів</w:t>
      </w:r>
      <w:r>
        <w:rPr>
          <w:rFonts w:ascii="Times New Roman" w:eastAsia="Times New Roman" w:hAnsi="Times New Roman" w:cs="Times New Roman"/>
          <w:b/>
          <w:color w:val="000000"/>
          <w:sz w:val="24"/>
          <w:szCs w:val="24"/>
        </w:rPr>
        <w:t>».</w:t>
      </w:r>
    </w:p>
    <w:p w14:paraId="41B51F19" w14:textId="77777777" w:rsidR="00761520" w:rsidRDefault="00761520" w:rsidP="00761520">
      <w:pPr>
        <w:tabs>
          <w:tab w:val="left" w:pos="7416"/>
        </w:tabs>
        <w:spacing w:after="0" w:line="240" w:lineRule="auto"/>
        <w:ind w:firstLine="567"/>
        <w:jc w:val="both"/>
        <w:rPr>
          <w:rFonts w:ascii="Times New Roman" w:eastAsia="Times New Roman" w:hAnsi="Times New Roman" w:cs="Times New Roman"/>
          <w:b/>
          <w:color w:val="000000"/>
          <w:sz w:val="24"/>
          <w:szCs w:val="24"/>
        </w:rPr>
      </w:pPr>
    </w:p>
    <w:p w14:paraId="5C76D2B4" w14:textId="77777777" w:rsidR="00761520" w:rsidRPr="00B96489" w:rsidRDefault="00761520" w:rsidP="00761520">
      <w:pPr>
        <w:tabs>
          <w:tab w:val="left" w:pos="284"/>
          <w:tab w:val="left" w:pos="993"/>
        </w:tabs>
        <w:spacing w:after="0" w:line="240" w:lineRule="auto"/>
        <w:ind w:firstLine="426"/>
        <w:jc w:val="both"/>
        <w:rPr>
          <w:rFonts w:ascii="Times New Roman" w:hAnsi="Times New Roman" w:cs="Times New Roman"/>
          <w:b/>
          <w:bCs/>
          <w:sz w:val="24"/>
          <w:szCs w:val="24"/>
        </w:rPr>
      </w:pPr>
      <w:r w:rsidRPr="00B96489">
        <w:rPr>
          <w:rFonts w:ascii="Times New Roman" w:eastAsia="Times New Roman" w:hAnsi="Times New Roman" w:cs="Times New Roman"/>
          <w:b/>
          <w:bCs/>
          <w:sz w:val="24"/>
          <w:szCs w:val="24"/>
        </w:rPr>
        <w:t xml:space="preserve">Якісні вимоги до програми навчального заходу, </w:t>
      </w:r>
      <w:r w:rsidRPr="00B96489">
        <w:rPr>
          <w:rFonts w:ascii="Times New Roman" w:hAnsi="Times New Roman" w:cs="Times New Roman"/>
          <w:b/>
          <w:bCs/>
          <w:sz w:val="24"/>
          <w:szCs w:val="24"/>
        </w:rPr>
        <w:t>обсягу програми навчального заходу та вимог для завершення навчання</w:t>
      </w:r>
    </w:p>
    <w:p w14:paraId="557E2E50" w14:textId="77777777" w:rsidR="00761520" w:rsidRPr="006D0EA1" w:rsidRDefault="00761520" w:rsidP="00761520">
      <w:pPr>
        <w:pStyle w:val="a6"/>
        <w:spacing w:after="120"/>
        <w:ind w:left="0" w:firstLine="567"/>
        <w:jc w:val="both"/>
        <w:rPr>
          <w:rFonts w:ascii="Times New Roman" w:hAnsi="Times New Roman" w:cs="Times New Roman"/>
          <w:sz w:val="24"/>
          <w:szCs w:val="24"/>
        </w:rPr>
      </w:pPr>
      <w:r w:rsidRPr="006D0EA1">
        <w:rPr>
          <w:rFonts w:ascii="Times New Roman" w:hAnsi="Times New Roman" w:cs="Times New Roman"/>
          <w:sz w:val="24"/>
          <w:szCs w:val="24"/>
        </w:rPr>
        <w:t xml:space="preserve">Навчальний захід повинен передбачати навчальне навантаження, що дає </w:t>
      </w:r>
      <w:r>
        <w:rPr>
          <w:rFonts w:ascii="Times New Roman" w:hAnsi="Times New Roman" w:cs="Times New Roman"/>
          <w:sz w:val="24"/>
          <w:szCs w:val="24"/>
        </w:rPr>
        <w:t>слухачам</w:t>
      </w:r>
      <w:r w:rsidRPr="006D0EA1">
        <w:rPr>
          <w:rFonts w:ascii="Times New Roman" w:hAnsi="Times New Roman" w:cs="Times New Roman"/>
          <w:sz w:val="24"/>
          <w:szCs w:val="24"/>
        </w:rPr>
        <w:t xml:space="preserve"> можливість здобути відповідні компетентності, потрібні для подальшої професійної діяльності для надавачів медичних послуг з напрямків раціонального використання протимікробних препаратів, та повинен передбачати заходи оцінки знань учасників.</w:t>
      </w:r>
    </w:p>
    <w:p w14:paraId="64C3949E" w14:textId="77777777" w:rsidR="00761520" w:rsidRDefault="00761520" w:rsidP="00761520">
      <w:pPr>
        <w:pStyle w:val="a6"/>
        <w:ind w:left="426"/>
        <w:jc w:val="both"/>
        <w:rPr>
          <w:rFonts w:ascii="Times New Roman" w:hAnsi="Times New Roman" w:cs="Times New Roman"/>
          <w:sz w:val="24"/>
          <w:szCs w:val="24"/>
        </w:rPr>
      </w:pPr>
    </w:p>
    <w:p w14:paraId="3E295E45" w14:textId="77777777" w:rsidR="00761520" w:rsidRDefault="00761520" w:rsidP="00761520">
      <w:pPr>
        <w:pStyle w:val="a6"/>
        <w:ind w:left="0" w:firstLine="567"/>
        <w:jc w:val="both"/>
        <w:rPr>
          <w:rFonts w:ascii="Times New Roman" w:hAnsi="Times New Roman" w:cs="Times New Roman"/>
          <w:sz w:val="24"/>
          <w:szCs w:val="24"/>
        </w:rPr>
      </w:pPr>
      <w:r w:rsidRPr="00B96489">
        <w:rPr>
          <w:rFonts w:ascii="Times New Roman" w:hAnsi="Times New Roman" w:cs="Times New Roman"/>
          <w:b/>
          <w:sz w:val="24"/>
          <w:szCs w:val="24"/>
        </w:rPr>
        <w:t>Кількість навчальних годин в рамках циклу тематичного удосконалення:</w:t>
      </w:r>
      <w:r w:rsidRPr="006D0EA1">
        <w:rPr>
          <w:rFonts w:ascii="Times New Roman" w:hAnsi="Times New Roman" w:cs="Times New Roman"/>
          <w:sz w:val="24"/>
          <w:szCs w:val="24"/>
        </w:rPr>
        <w:t xml:space="preserve"> </w:t>
      </w:r>
      <w:bookmarkStart w:id="1" w:name="_Hlk207974862"/>
      <w:r w:rsidRPr="006D0EA1">
        <w:rPr>
          <w:rFonts w:ascii="Times New Roman" w:hAnsi="Times New Roman" w:cs="Times New Roman"/>
          <w:sz w:val="24"/>
          <w:szCs w:val="24"/>
        </w:rPr>
        <w:t>не менше 38 годин</w:t>
      </w:r>
      <w:bookmarkStart w:id="2" w:name="_Hlk207974870"/>
      <w:bookmarkEnd w:id="1"/>
      <w:r w:rsidRPr="006D0EA1">
        <w:rPr>
          <w:rFonts w:ascii="Times New Roman" w:hAnsi="Times New Roman" w:cs="Times New Roman"/>
          <w:sz w:val="24"/>
          <w:szCs w:val="24"/>
        </w:rPr>
        <w:t>/1 навчальний тижден</w:t>
      </w:r>
      <w:bookmarkEnd w:id="2"/>
      <w:r w:rsidRPr="006D0EA1">
        <w:rPr>
          <w:rFonts w:ascii="Times New Roman" w:hAnsi="Times New Roman" w:cs="Times New Roman"/>
          <w:sz w:val="24"/>
          <w:szCs w:val="24"/>
        </w:rPr>
        <w:t xml:space="preserve">ь </w:t>
      </w:r>
      <w:r>
        <w:rPr>
          <w:rFonts w:ascii="Times New Roman" w:hAnsi="Times New Roman" w:cs="Times New Roman"/>
          <w:sz w:val="24"/>
          <w:szCs w:val="24"/>
        </w:rPr>
        <w:t>при дистанційній формі з</w:t>
      </w:r>
      <w:r w:rsidRPr="006D0EA1">
        <w:rPr>
          <w:rFonts w:ascii="Times New Roman" w:hAnsi="Times New Roman" w:cs="Times New Roman"/>
          <w:sz w:val="24"/>
          <w:szCs w:val="24"/>
        </w:rPr>
        <w:t xml:space="preserve">добуття </w:t>
      </w:r>
      <w:r>
        <w:rPr>
          <w:rFonts w:ascii="Times New Roman" w:hAnsi="Times New Roman" w:cs="Times New Roman"/>
          <w:sz w:val="24"/>
          <w:szCs w:val="24"/>
        </w:rPr>
        <w:t xml:space="preserve">слухачами </w:t>
      </w:r>
      <w:r w:rsidRPr="006D0EA1">
        <w:rPr>
          <w:rFonts w:ascii="Times New Roman" w:hAnsi="Times New Roman" w:cs="Times New Roman"/>
          <w:sz w:val="24"/>
          <w:szCs w:val="24"/>
        </w:rPr>
        <w:t>освіти.</w:t>
      </w:r>
    </w:p>
    <w:p w14:paraId="541253FB" w14:textId="77777777" w:rsidR="00761520" w:rsidRPr="006D0EA1" w:rsidRDefault="00761520" w:rsidP="00761520">
      <w:pPr>
        <w:pStyle w:val="a6"/>
        <w:ind w:left="426"/>
        <w:jc w:val="both"/>
        <w:rPr>
          <w:rFonts w:ascii="Times New Roman" w:hAnsi="Times New Roman" w:cs="Times New Roman"/>
          <w:sz w:val="24"/>
          <w:szCs w:val="24"/>
        </w:rPr>
      </w:pPr>
    </w:p>
    <w:p w14:paraId="5E2CB8FF" w14:textId="77777777" w:rsidR="00761520" w:rsidRPr="006D0EA1" w:rsidRDefault="00761520" w:rsidP="00761520">
      <w:pPr>
        <w:pStyle w:val="a6"/>
        <w:ind w:left="0" w:firstLine="567"/>
        <w:jc w:val="both"/>
        <w:rPr>
          <w:rFonts w:ascii="Times New Roman" w:hAnsi="Times New Roman" w:cs="Times New Roman"/>
          <w:sz w:val="24"/>
          <w:szCs w:val="24"/>
        </w:rPr>
      </w:pPr>
      <w:r w:rsidRPr="006D0EA1">
        <w:rPr>
          <w:rFonts w:ascii="Times New Roman" w:hAnsi="Times New Roman" w:cs="Times New Roman"/>
          <w:sz w:val="24"/>
          <w:szCs w:val="24"/>
        </w:rPr>
        <w:t>Зміст навчального заходу (циклу тематичного удосконалення) повинен мати чітку структуру; освітні компоненти, включені до навчальної програми, дають можливість досягти заявлених цілей та програмних результатів навчання.</w:t>
      </w:r>
    </w:p>
    <w:p w14:paraId="74C1EF4B" w14:textId="77777777" w:rsidR="00761520" w:rsidRPr="00B96489" w:rsidRDefault="00761520" w:rsidP="00761520">
      <w:pPr>
        <w:spacing w:after="0" w:line="240" w:lineRule="auto"/>
        <w:ind w:firstLine="567"/>
        <w:jc w:val="both"/>
        <w:rPr>
          <w:rFonts w:ascii="Times New Roman" w:hAnsi="Times New Roman" w:cs="Times New Roman"/>
          <w:b/>
          <w:sz w:val="24"/>
          <w:szCs w:val="24"/>
        </w:rPr>
      </w:pPr>
      <w:r w:rsidRPr="00B96489">
        <w:rPr>
          <w:rFonts w:ascii="Times New Roman" w:hAnsi="Times New Roman" w:cs="Times New Roman"/>
          <w:b/>
          <w:sz w:val="24"/>
          <w:szCs w:val="24"/>
        </w:rPr>
        <w:t>Програма навчального заходу повинна включати наступні навчальні модулі:</w:t>
      </w:r>
    </w:p>
    <w:p w14:paraId="4F05F639" w14:textId="77777777" w:rsidR="00761520" w:rsidRPr="00E62A16" w:rsidRDefault="00761520" w:rsidP="00761520">
      <w:pPr>
        <w:pStyle w:val="a6"/>
        <w:numPr>
          <w:ilvl w:val="0"/>
          <w:numId w:val="8"/>
        </w:numPr>
        <w:ind w:left="0" w:firstLine="426"/>
        <w:jc w:val="both"/>
        <w:rPr>
          <w:rFonts w:ascii="Times New Roman" w:hAnsi="Times New Roman" w:cs="Times New Roman"/>
          <w:sz w:val="24"/>
          <w:szCs w:val="24"/>
        </w:rPr>
      </w:pPr>
      <w:r w:rsidRPr="00E62A16">
        <w:rPr>
          <w:rFonts w:ascii="Times New Roman" w:hAnsi="Times New Roman" w:cs="Times New Roman"/>
          <w:sz w:val="24"/>
          <w:szCs w:val="24"/>
        </w:rPr>
        <w:t>Особливості використання протимікробних препаратів</w:t>
      </w:r>
      <w:r>
        <w:rPr>
          <w:rFonts w:ascii="Times New Roman" w:hAnsi="Times New Roman" w:cs="Times New Roman"/>
          <w:sz w:val="24"/>
          <w:szCs w:val="24"/>
        </w:rPr>
        <w:t>.</w:t>
      </w:r>
    </w:p>
    <w:p w14:paraId="32C3CACA" w14:textId="77777777" w:rsidR="00761520" w:rsidRPr="00E62A16" w:rsidRDefault="00761520" w:rsidP="00761520">
      <w:pPr>
        <w:pStyle w:val="a6"/>
        <w:numPr>
          <w:ilvl w:val="0"/>
          <w:numId w:val="8"/>
        </w:numPr>
        <w:ind w:left="0" w:firstLine="426"/>
        <w:jc w:val="both"/>
        <w:rPr>
          <w:rFonts w:ascii="Times New Roman" w:hAnsi="Times New Roman" w:cs="Times New Roman"/>
          <w:sz w:val="24"/>
          <w:szCs w:val="24"/>
        </w:rPr>
      </w:pPr>
      <w:r w:rsidRPr="00E62A16">
        <w:rPr>
          <w:rFonts w:ascii="Times New Roman" w:hAnsi="Times New Roman" w:cs="Times New Roman"/>
          <w:sz w:val="24"/>
          <w:szCs w:val="24"/>
        </w:rPr>
        <w:t>Законодавство у сфері раціонального використання протимікробних препаратів та боротьби з поширенням протимікробної резистентності</w:t>
      </w:r>
      <w:r>
        <w:rPr>
          <w:rFonts w:ascii="Times New Roman" w:hAnsi="Times New Roman" w:cs="Times New Roman"/>
          <w:sz w:val="24"/>
          <w:szCs w:val="24"/>
        </w:rPr>
        <w:t>.</w:t>
      </w:r>
    </w:p>
    <w:p w14:paraId="1C47784F"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b/>
          <w:bCs/>
          <w:sz w:val="24"/>
          <w:szCs w:val="24"/>
        </w:rPr>
      </w:pPr>
      <w:r w:rsidRPr="00E62A16">
        <w:rPr>
          <w:rFonts w:ascii="Times New Roman" w:hAnsi="Times New Roman" w:cs="Times New Roman"/>
          <w:sz w:val="24"/>
          <w:szCs w:val="24"/>
        </w:rPr>
        <w:t>Особливості діагностики та лікування інфекційних хвороб</w:t>
      </w:r>
      <w:r>
        <w:rPr>
          <w:rFonts w:ascii="Times New Roman" w:hAnsi="Times New Roman" w:cs="Times New Roman"/>
          <w:sz w:val="24"/>
          <w:szCs w:val="24"/>
        </w:rPr>
        <w:t>.</w:t>
      </w:r>
    </w:p>
    <w:p w14:paraId="7CDF28C4"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sz w:val="24"/>
          <w:szCs w:val="24"/>
        </w:rPr>
      </w:pPr>
      <w:r w:rsidRPr="00E62A16">
        <w:rPr>
          <w:rFonts w:ascii="Times New Roman" w:hAnsi="Times New Roman" w:cs="Times New Roman"/>
          <w:sz w:val="24"/>
          <w:szCs w:val="24"/>
        </w:rPr>
        <w:t>Протимікробна резистентність – причини виникнення, поширення та наслідки для повсякденної медичної практики</w:t>
      </w:r>
      <w:r>
        <w:rPr>
          <w:rFonts w:ascii="Times New Roman" w:hAnsi="Times New Roman" w:cs="Times New Roman"/>
          <w:sz w:val="24"/>
          <w:szCs w:val="24"/>
        </w:rPr>
        <w:t>.</w:t>
      </w:r>
    </w:p>
    <w:p w14:paraId="182BDEA4"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sz w:val="24"/>
          <w:szCs w:val="24"/>
        </w:rPr>
      </w:pPr>
      <w:r w:rsidRPr="00E62A16">
        <w:rPr>
          <w:rFonts w:ascii="Times New Roman" w:hAnsi="Times New Roman" w:cs="Times New Roman"/>
          <w:sz w:val="24"/>
          <w:szCs w:val="24"/>
        </w:rPr>
        <w:t>Використання протимікробних препаратів в умовах поширення протимікробної резистентності</w:t>
      </w:r>
      <w:r>
        <w:rPr>
          <w:rFonts w:ascii="Times New Roman" w:hAnsi="Times New Roman" w:cs="Times New Roman"/>
          <w:sz w:val="24"/>
          <w:szCs w:val="24"/>
        </w:rPr>
        <w:t>.</w:t>
      </w:r>
    </w:p>
    <w:p w14:paraId="660901BB"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sz w:val="24"/>
          <w:szCs w:val="24"/>
        </w:rPr>
      </w:pPr>
      <w:r w:rsidRPr="00E62A16">
        <w:rPr>
          <w:rFonts w:ascii="Times New Roman" w:hAnsi="Times New Roman" w:cs="Times New Roman"/>
          <w:sz w:val="24"/>
          <w:szCs w:val="24"/>
        </w:rPr>
        <w:t>Сучасне законодавство щодо раціонального використання протимікробних препаратів</w:t>
      </w:r>
      <w:r>
        <w:rPr>
          <w:rFonts w:ascii="Times New Roman" w:hAnsi="Times New Roman" w:cs="Times New Roman"/>
          <w:sz w:val="24"/>
          <w:szCs w:val="24"/>
        </w:rPr>
        <w:t>.</w:t>
      </w:r>
    </w:p>
    <w:p w14:paraId="02946011"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sz w:val="24"/>
          <w:szCs w:val="24"/>
        </w:rPr>
      </w:pPr>
      <w:r w:rsidRPr="00E62A16">
        <w:rPr>
          <w:rFonts w:ascii="Times New Roman" w:hAnsi="Times New Roman" w:cs="Times New Roman"/>
          <w:sz w:val="24"/>
          <w:szCs w:val="24"/>
        </w:rPr>
        <w:lastRenderedPageBreak/>
        <w:t>Фармакологія та раціональне клінічне використання протимікробних препаратів</w:t>
      </w:r>
      <w:r>
        <w:rPr>
          <w:rFonts w:ascii="Times New Roman" w:hAnsi="Times New Roman" w:cs="Times New Roman"/>
          <w:sz w:val="24"/>
          <w:szCs w:val="24"/>
        </w:rPr>
        <w:t>.</w:t>
      </w:r>
    </w:p>
    <w:p w14:paraId="11362CB1" w14:textId="77777777" w:rsidR="00761520" w:rsidRPr="00E62A16" w:rsidRDefault="00761520" w:rsidP="00761520">
      <w:pPr>
        <w:pStyle w:val="a6"/>
        <w:numPr>
          <w:ilvl w:val="0"/>
          <w:numId w:val="8"/>
        </w:numPr>
        <w:shd w:val="clear" w:color="auto" w:fill="FFFFFF" w:themeFill="background1"/>
        <w:ind w:left="0" w:firstLine="426"/>
        <w:jc w:val="both"/>
        <w:rPr>
          <w:rFonts w:ascii="Times New Roman" w:hAnsi="Times New Roman" w:cs="Times New Roman"/>
          <w:sz w:val="24"/>
          <w:szCs w:val="24"/>
        </w:rPr>
      </w:pPr>
      <w:r w:rsidRPr="00E62A16">
        <w:rPr>
          <w:rFonts w:ascii="Times New Roman" w:hAnsi="Times New Roman" w:cs="Times New Roman"/>
          <w:sz w:val="24"/>
          <w:szCs w:val="24"/>
        </w:rPr>
        <w:t>Фармакологія та раціональне клінічне використання антифунгальних препаратів</w:t>
      </w:r>
      <w:r>
        <w:rPr>
          <w:rFonts w:ascii="Times New Roman" w:hAnsi="Times New Roman" w:cs="Times New Roman"/>
          <w:sz w:val="24"/>
          <w:szCs w:val="24"/>
        </w:rPr>
        <w:t>.</w:t>
      </w:r>
    </w:p>
    <w:p w14:paraId="665D44D6" w14:textId="77777777" w:rsidR="00761520" w:rsidRPr="00871A30" w:rsidRDefault="00761520" w:rsidP="00761520">
      <w:pPr>
        <w:pStyle w:val="a6"/>
        <w:numPr>
          <w:ilvl w:val="0"/>
          <w:numId w:val="8"/>
        </w:numPr>
        <w:shd w:val="clear" w:color="auto" w:fill="FFFFFF"/>
        <w:tabs>
          <w:tab w:val="left" w:pos="0"/>
        </w:tabs>
        <w:ind w:left="0" w:firstLine="426"/>
        <w:jc w:val="both"/>
        <w:rPr>
          <w:rFonts w:ascii="Times New Roman" w:hAnsi="Times New Roman" w:cs="Times New Roman"/>
          <w:sz w:val="24"/>
          <w:szCs w:val="24"/>
        </w:rPr>
      </w:pPr>
      <w:r w:rsidRPr="00871A30">
        <w:rPr>
          <w:rFonts w:ascii="Times New Roman" w:hAnsi="Times New Roman" w:cs="Times New Roman"/>
          <w:sz w:val="24"/>
          <w:szCs w:val="24"/>
        </w:rPr>
        <w:t>Фармакологія та раціональне клінічне використання противірусних препаратів.</w:t>
      </w:r>
    </w:p>
    <w:p w14:paraId="2326C1FA" w14:textId="77777777" w:rsidR="00761520" w:rsidRDefault="00761520" w:rsidP="00761520">
      <w:pPr>
        <w:spacing w:after="0" w:line="240" w:lineRule="auto"/>
        <w:ind w:firstLine="567"/>
        <w:rPr>
          <w:rFonts w:ascii="Times New Roman" w:eastAsia="Times New Roman" w:hAnsi="Times New Roman" w:cs="Times New Roman"/>
          <w:b/>
          <w:bCs/>
          <w:sz w:val="24"/>
          <w:szCs w:val="24"/>
        </w:rPr>
      </w:pPr>
    </w:p>
    <w:p w14:paraId="20EC4D71" w14:textId="77777777" w:rsidR="00761520" w:rsidRDefault="00761520" w:rsidP="00761520">
      <w:pPr>
        <w:spacing w:after="0" w:line="240" w:lineRule="auto"/>
        <w:ind w:firstLine="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Вимоги до організації процесу навчання на циклі тематичного удосконалення:</w:t>
      </w:r>
    </w:p>
    <w:p w14:paraId="2463B5AE" w14:textId="77777777" w:rsidR="00761520" w:rsidRDefault="00761520" w:rsidP="0076152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Навчальний захід (цикл тематичного удосконалення проводиться Виконавцем, який є закладом вищої освіти. </w:t>
      </w:r>
    </w:p>
    <w:p w14:paraId="203D8E95" w14:textId="77777777" w:rsidR="00761520" w:rsidRDefault="00761520" w:rsidP="00761520">
      <w:pPr>
        <w:pStyle w:val="a6"/>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Для викладання програми мають бути залучені викладачі, що мають дипломи про вищу освіту не нижче рівня магістра чи доктора філософії (PhD) за напрямком освіти, що відповідає темі навчального</w:t>
      </w:r>
      <w:r>
        <w:rPr>
          <w:rFonts w:ascii="Times New Roman" w:hAnsi="Times New Roman" w:cs="Times New Roman"/>
          <w:b/>
          <w:bCs/>
          <w:sz w:val="24"/>
          <w:szCs w:val="24"/>
        </w:rPr>
        <w:t xml:space="preserve"> </w:t>
      </w:r>
      <w:r>
        <w:rPr>
          <w:rFonts w:ascii="Times New Roman" w:hAnsi="Times New Roman" w:cs="Times New Roman"/>
          <w:sz w:val="24"/>
          <w:szCs w:val="24"/>
        </w:rPr>
        <w:t xml:space="preserve">заходу, рівня освіти галузі знань I «Охорона здоров’я та соціальне забезпечення», та мають відповідний досвід у сфері, що відповідає темі навчального заходу. </w:t>
      </w:r>
    </w:p>
    <w:p w14:paraId="7493B0B5" w14:textId="77777777" w:rsidR="00761520" w:rsidRDefault="00761520" w:rsidP="00761520">
      <w:pPr>
        <w:pStyle w:val="a6"/>
        <w:tabs>
          <w:tab w:val="left" w:pos="993"/>
        </w:tabs>
        <w:ind w:left="0" w:firstLine="567"/>
        <w:jc w:val="both"/>
        <w:rPr>
          <w:rFonts w:ascii="Times New Roman" w:hAnsi="Times New Roman" w:cs="Times New Roman"/>
          <w:sz w:val="24"/>
          <w:szCs w:val="24"/>
        </w:rPr>
      </w:pPr>
    </w:p>
    <w:p w14:paraId="60EF1400" w14:textId="77777777" w:rsidR="00761520" w:rsidRDefault="00761520" w:rsidP="00761520">
      <w:pPr>
        <w:tabs>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Організація процесу навчання забезпечується Виконавцем та передбачає: комунікацію зі слухачами, які визначені Замовником, щодо проведення навчального заходу, здійснення технічного та організаційного супроводу слухачів в у процесі їх реєстрації для участі в навчальному заході на платформі для навчання (Zoom, Google Meet, Moodle, Teams тощо); супровід їх участі у навчальному заході (в т.ч. забезпечення їх доступу до навчального заходу за допомогою відповідної дистанційної платформи).</w:t>
      </w:r>
    </w:p>
    <w:p w14:paraId="4EDF34C4" w14:textId="77777777" w:rsidR="00761520" w:rsidRDefault="00761520" w:rsidP="00761520">
      <w:pPr>
        <w:tabs>
          <w:tab w:val="left" w:pos="993"/>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 результатом участі в навчальному заході Виконавець забезпечує видачу кожному слухачу відповідних документів за результатами проходження навчання на циклі тематичного удосконалення. </w:t>
      </w:r>
    </w:p>
    <w:p w14:paraId="63F82B34" w14:textId="77777777" w:rsidR="00761520" w:rsidRDefault="00761520" w:rsidP="00761520">
      <w:pPr>
        <w:shd w:val="clear" w:color="auto" w:fill="FFFFFF" w:themeFill="background1"/>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Послуги надаються Виконавцем за заявками про надання послуг Замовника, в яких останній зазначає найменування навчального заходу, обсяг Послуг, що необхідно надати Виконавцю, та строк їх надання, прізвище, ім’я, по-батькові, реєстраційний номер</w:t>
      </w:r>
      <w:r>
        <w:rPr>
          <w:rFonts w:ascii="Times New Roman" w:eastAsia="Times New Roman" w:hAnsi="Times New Roman" w:cs="Times New Roman"/>
          <w:sz w:val="24"/>
          <w:szCs w:val="24"/>
        </w:rPr>
        <w:t xml:space="preserve"> облікової картки платника податків, адресу електронної пошти кожного учасника, який буде проходити навчання. Заявка про надання Послуг направляється Замовником за допомогою засобів електронного поштового зв’язку на електронну пошту Виконавця, зазначену у Договорі.</w:t>
      </w:r>
    </w:p>
    <w:p w14:paraId="429E483A" w14:textId="77777777" w:rsidR="00761520" w:rsidRDefault="00761520" w:rsidP="00761520">
      <w:pPr>
        <w:tabs>
          <w:tab w:val="left" w:pos="993"/>
        </w:tabs>
        <w:spacing w:after="0" w:line="240" w:lineRule="auto"/>
        <w:ind w:firstLine="567"/>
        <w:contextualSpacing/>
        <w:jc w:val="both"/>
        <w:rPr>
          <w:rFonts w:ascii="Times New Roman" w:eastAsia="Times New Roman" w:hAnsi="Times New Roman" w:cs="Times New Roman"/>
          <w:sz w:val="24"/>
          <w:szCs w:val="24"/>
        </w:rPr>
      </w:pPr>
    </w:p>
    <w:p w14:paraId="4D45A6D8" w14:textId="77777777" w:rsidR="00761520" w:rsidRDefault="00761520" w:rsidP="00761520">
      <w:pPr>
        <w:tabs>
          <w:tab w:val="left" w:pos="993"/>
        </w:tabs>
        <w:spacing w:after="0" w:line="240" w:lineRule="auto"/>
        <w:ind w:firstLine="567"/>
        <w:contextualSpacing/>
        <w:jc w:val="both"/>
        <w:rPr>
          <w:rFonts w:ascii="Times New Roman" w:eastAsia="Times New Roman" w:hAnsi="Times New Roman" w:cs="Times New Roman"/>
        </w:rPr>
      </w:pPr>
      <w:r w:rsidRPr="00B96489">
        <w:rPr>
          <w:rFonts w:ascii="Times New Roman" w:hAnsi="Times New Roman" w:cs="Times New Roman"/>
          <w:b/>
          <w:sz w:val="24"/>
          <w:szCs w:val="24"/>
        </w:rPr>
        <w:t>Графік навчання</w:t>
      </w:r>
      <w:r>
        <w:rPr>
          <w:rFonts w:ascii="Times New Roman" w:hAnsi="Times New Roman" w:cs="Times New Roman"/>
          <w:sz w:val="24"/>
          <w:szCs w:val="24"/>
        </w:rPr>
        <w:t xml:space="preserve"> має бути розроблений Виконавцем та узгоджений з Замовником, на умовах, визначених Договором, до подачі Заявки про надання Послуг.  </w:t>
      </w:r>
    </w:p>
    <w:p w14:paraId="041E9B24" w14:textId="77777777" w:rsidR="00761520" w:rsidRDefault="00761520" w:rsidP="00761520">
      <w:pPr>
        <w:tabs>
          <w:tab w:val="left" w:pos="993"/>
        </w:tabs>
        <w:spacing w:after="0" w:line="240" w:lineRule="auto"/>
        <w:ind w:firstLine="567"/>
        <w:contextualSpacing/>
        <w:jc w:val="both"/>
        <w:rPr>
          <w:rFonts w:ascii="Times New Roman" w:hAnsi="Times New Roman" w:cs="Times New Roman"/>
          <w:sz w:val="24"/>
          <w:szCs w:val="24"/>
        </w:rPr>
      </w:pPr>
    </w:p>
    <w:p w14:paraId="2532726C" w14:textId="77777777" w:rsidR="00761520" w:rsidRDefault="00761520" w:rsidP="00761520">
      <w:pPr>
        <w:tabs>
          <w:tab w:val="left" w:pos="993"/>
        </w:tabs>
        <w:spacing w:after="0" w:line="240" w:lineRule="auto"/>
        <w:ind w:firstLine="567"/>
        <w:contextualSpacing/>
        <w:jc w:val="both"/>
        <w:rPr>
          <w:rFonts w:ascii="Times New Roman" w:hAnsi="Times New Roman" w:cs="Times New Roman"/>
          <w:b/>
          <w:bCs/>
          <w:sz w:val="24"/>
          <w:szCs w:val="24"/>
        </w:rPr>
      </w:pPr>
      <w:r>
        <w:rPr>
          <w:rFonts w:ascii="Times New Roman" w:hAnsi="Times New Roman" w:cs="Times New Roman"/>
          <w:b/>
          <w:bCs/>
          <w:sz w:val="24"/>
          <w:szCs w:val="24"/>
        </w:rPr>
        <w:t>Вимоги до форми навчання</w:t>
      </w:r>
    </w:p>
    <w:p w14:paraId="1B5C5182" w14:textId="77777777" w:rsidR="00761520" w:rsidRDefault="00761520" w:rsidP="00761520">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Навчальні заходи мають проводитись за дистанційною формою навчання.</w:t>
      </w:r>
    </w:p>
    <w:p w14:paraId="25587412" w14:textId="77777777" w:rsidR="00761520" w:rsidRDefault="00761520">
      <w:pPr>
        <w:rPr>
          <w:rFonts w:ascii="Times New Roman" w:hAnsi="Times New Roman" w:cs="Times New Roman"/>
          <w:sz w:val="24"/>
          <w:szCs w:val="24"/>
        </w:rPr>
      </w:pPr>
    </w:p>
    <w:sectPr w:rsidR="00761520">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9D219" w14:textId="77777777" w:rsidR="0035051A" w:rsidRDefault="0035051A" w:rsidP="00345352">
      <w:pPr>
        <w:spacing w:after="0" w:line="240" w:lineRule="auto"/>
      </w:pPr>
      <w:r>
        <w:separator/>
      </w:r>
    </w:p>
  </w:endnote>
  <w:endnote w:type="continuationSeparator" w:id="0">
    <w:p w14:paraId="733D9454" w14:textId="77777777" w:rsidR="0035051A" w:rsidRDefault="0035051A" w:rsidP="003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ED79" w14:textId="3EE5C8A7" w:rsidR="00345352" w:rsidRDefault="00345352">
    <w:pPr>
      <w:pStyle w:val="ab"/>
    </w:pPr>
    <w:r>
      <w:rPr>
        <w:noProof/>
        <w:color w:val="000000"/>
        <w:lang w:eastAsia="uk-UA"/>
      </w:rPr>
      <w:drawing>
        <wp:inline distT="0" distB="0" distL="0" distR="0" wp14:anchorId="104F971F" wp14:editId="58653BAE">
          <wp:extent cx="1688465" cy="560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8465" cy="5607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F36D" w14:textId="77777777" w:rsidR="0035051A" w:rsidRDefault="0035051A" w:rsidP="00345352">
      <w:pPr>
        <w:spacing w:after="0" w:line="240" w:lineRule="auto"/>
      </w:pPr>
      <w:r>
        <w:separator/>
      </w:r>
    </w:p>
  </w:footnote>
  <w:footnote w:type="continuationSeparator" w:id="0">
    <w:p w14:paraId="30A411E5" w14:textId="77777777" w:rsidR="0035051A" w:rsidRDefault="0035051A" w:rsidP="003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D246176"/>
    <w:multiLevelType w:val="hybridMultilevel"/>
    <w:tmpl w:val="77A69124"/>
    <w:lvl w:ilvl="0" w:tplc="305A6A2C">
      <w:start w:val="1"/>
      <w:numFmt w:val="bullet"/>
      <w:lvlText w:val=""/>
      <w:lvlJc w:val="left"/>
      <w:pPr>
        <w:ind w:left="358" w:hanging="360"/>
      </w:pPr>
      <w:rPr>
        <w:rFonts w:ascii="Symbol" w:hAnsi="Symbol"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3"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4" w15:restartNumberingAfterBreak="0">
    <w:nsid w:val="49520DD0"/>
    <w:multiLevelType w:val="hybridMultilevel"/>
    <w:tmpl w:val="23BC6DD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504E7EDE"/>
    <w:multiLevelType w:val="hybridMultilevel"/>
    <w:tmpl w:val="644E98A6"/>
    <w:lvl w:ilvl="0" w:tplc="9E14E1CA">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6F281211"/>
    <w:multiLevelType w:val="multilevel"/>
    <w:tmpl w:val="799E0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D231D0"/>
    <w:multiLevelType w:val="hybridMultilevel"/>
    <w:tmpl w:val="ECC84FF2"/>
    <w:lvl w:ilvl="0" w:tplc="5C54604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4"/>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32"/>
    <w:rsid w:val="000A2317"/>
    <w:rsid w:val="000C7625"/>
    <w:rsid w:val="00100F33"/>
    <w:rsid w:val="001352E4"/>
    <w:rsid w:val="00153539"/>
    <w:rsid w:val="00180C45"/>
    <w:rsid w:val="00220BA2"/>
    <w:rsid w:val="00246255"/>
    <w:rsid w:val="00252D5E"/>
    <w:rsid w:val="002A54E4"/>
    <w:rsid w:val="002D0827"/>
    <w:rsid w:val="002E02C7"/>
    <w:rsid w:val="002E523A"/>
    <w:rsid w:val="00345352"/>
    <w:rsid w:val="0035051A"/>
    <w:rsid w:val="003B0CDD"/>
    <w:rsid w:val="003B2D04"/>
    <w:rsid w:val="003F258A"/>
    <w:rsid w:val="004436EC"/>
    <w:rsid w:val="00454324"/>
    <w:rsid w:val="004739B2"/>
    <w:rsid w:val="00486355"/>
    <w:rsid w:val="004F4402"/>
    <w:rsid w:val="00515EEA"/>
    <w:rsid w:val="005378EA"/>
    <w:rsid w:val="00560D23"/>
    <w:rsid w:val="005E1449"/>
    <w:rsid w:val="00672002"/>
    <w:rsid w:val="00687DE7"/>
    <w:rsid w:val="00692A4D"/>
    <w:rsid w:val="006A2258"/>
    <w:rsid w:val="006A2A85"/>
    <w:rsid w:val="006C20CC"/>
    <w:rsid w:val="006C7005"/>
    <w:rsid w:val="006D49A5"/>
    <w:rsid w:val="007461EC"/>
    <w:rsid w:val="007606DD"/>
    <w:rsid w:val="00761520"/>
    <w:rsid w:val="00765532"/>
    <w:rsid w:val="00772B19"/>
    <w:rsid w:val="00817DDF"/>
    <w:rsid w:val="00846604"/>
    <w:rsid w:val="008655C8"/>
    <w:rsid w:val="00880405"/>
    <w:rsid w:val="008A201B"/>
    <w:rsid w:val="00965748"/>
    <w:rsid w:val="009705CE"/>
    <w:rsid w:val="00975051"/>
    <w:rsid w:val="009B2ACE"/>
    <w:rsid w:val="00A0432B"/>
    <w:rsid w:val="00A269F5"/>
    <w:rsid w:val="00A64DCA"/>
    <w:rsid w:val="00A93304"/>
    <w:rsid w:val="00A94EB9"/>
    <w:rsid w:val="00AD19FC"/>
    <w:rsid w:val="00B04286"/>
    <w:rsid w:val="00B353AC"/>
    <w:rsid w:val="00B55857"/>
    <w:rsid w:val="00B91B88"/>
    <w:rsid w:val="00BC0F6A"/>
    <w:rsid w:val="00BE0FC1"/>
    <w:rsid w:val="00CA45E3"/>
    <w:rsid w:val="00CA65CA"/>
    <w:rsid w:val="00D33F51"/>
    <w:rsid w:val="00D51B65"/>
    <w:rsid w:val="00D572FC"/>
    <w:rsid w:val="00D80DDE"/>
    <w:rsid w:val="00DA78E2"/>
    <w:rsid w:val="00E02090"/>
    <w:rsid w:val="00E511CA"/>
    <w:rsid w:val="00E66623"/>
    <w:rsid w:val="00F12E51"/>
    <w:rsid w:val="00F2229B"/>
    <w:rsid w:val="00F73EE1"/>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45"/>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180C4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aliases w:val="References,Elenco Normale,Number Bullets,List Paragraph (numbered (a)),Список уровня 2,название табл/рис,Chapter10,----,1 Буллет,EBRD List,заголовок 1.1,List Paragraph_Num123,En tête 1,List Paragraph,Абзац списку 1,тв-Абзац списка,lp1"/>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6"/>
    <w:uiPriority w:val="34"/>
    <w:qFormat/>
    <w:locked/>
    <w:rsid w:val="00486355"/>
    <w:rPr>
      <w:rFonts w:ascii="Calibri" w:eastAsia="Calibri" w:hAnsi="Calibri" w:cs="Calibri"/>
      <w:sz w:val="20"/>
      <w:szCs w:val="20"/>
      <w:lang w:eastAsia="ru-RU"/>
    </w:rPr>
  </w:style>
  <w:style w:type="character" w:customStyle="1" w:styleId="green">
    <w:name w:val="green"/>
    <w:basedOn w:val="a0"/>
    <w:rsid w:val="006A2258"/>
  </w:style>
  <w:style w:type="character" w:styleId="a8">
    <w:name w:val="Hyperlink"/>
    <w:basedOn w:val="a0"/>
    <w:uiPriority w:val="99"/>
    <w:unhideWhenUsed/>
    <w:rsid w:val="00A94EB9"/>
    <w:rPr>
      <w:color w:val="0000FF"/>
      <w:u w:val="single"/>
    </w:rPr>
  </w:style>
  <w:style w:type="paragraph" w:styleId="a9">
    <w:name w:val="header"/>
    <w:basedOn w:val="a"/>
    <w:link w:val="aa"/>
    <w:uiPriority w:val="99"/>
    <w:unhideWhenUsed/>
    <w:rsid w:val="0034535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345352"/>
  </w:style>
  <w:style w:type="paragraph" w:styleId="ab">
    <w:name w:val="footer"/>
    <w:basedOn w:val="a"/>
    <w:link w:val="ac"/>
    <w:uiPriority w:val="99"/>
    <w:unhideWhenUsed/>
    <w:rsid w:val="00345352"/>
    <w:pPr>
      <w:tabs>
        <w:tab w:val="center" w:pos="4819"/>
        <w:tab w:val="right" w:pos="9639"/>
      </w:tabs>
      <w:spacing w:after="0" w:line="240" w:lineRule="auto"/>
    </w:pPr>
  </w:style>
  <w:style w:type="character" w:customStyle="1" w:styleId="ac">
    <w:name w:val="Нижний колонтитул Знак"/>
    <w:basedOn w:val="a0"/>
    <w:link w:val="ab"/>
    <w:uiPriority w:val="99"/>
    <w:rsid w:val="00345352"/>
  </w:style>
  <w:style w:type="character" w:customStyle="1" w:styleId="20">
    <w:name w:val="Заголовок 2 Знак"/>
    <w:basedOn w:val="a0"/>
    <w:link w:val="2"/>
    <w:uiPriority w:val="9"/>
    <w:rsid w:val="00180C45"/>
    <w:rPr>
      <w:rFonts w:asciiTheme="majorHAnsi" w:eastAsiaTheme="majorEastAsia" w:hAnsiTheme="majorHAnsi" w:cstheme="majorBidi"/>
      <w:color w:val="2F5496" w:themeColor="accent1" w:themeShade="BF"/>
      <w:sz w:val="26"/>
      <w:szCs w:val="26"/>
    </w:rPr>
  </w:style>
  <w:style w:type="paragraph" w:styleId="ad">
    <w:name w:val="annotation text"/>
    <w:basedOn w:val="a"/>
    <w:link w:val="ae"/>
    <w:uiPriority w:val="99"/>
    <w:semiHidden/>
    <w:unhideWhenUsed/>
    <w:rsid w:val="00180C45"/>
    <w:pPr>
      <w:spacing w:after="200" w:line="240" w:lineRule="auto"/>
    </w:pPr>
    <w:rPr>
      <w:sz w:val="20"/>
      <w:szCs w:val="20"/>
    </w:rPr>
  </w:style>
  <w:style w:type="character" w:customStyle="1" w:styleId="ae">
    <w:name w:val="Текст примечания Знак"/>
    <w:basedOn w:val="a0"/>
    <w:link w:val="ad"/>
    <w:uiPriority w:val="99"/>
    <w:semiHidden/>
    <w:rsid w:val="00180C45"/>
    <w:rPr>
      <w:sz w:val="20"/>
      <w:szCs w:val="20"/>
    </w:rPr>
  </w:style>
  <w:style w:type="paragraph" w:styleId="af">
    <w:name w:val="Normal (Web)"/>
    <w:basedOn w:val="a"/>
    <w:uiPriority w:val="99"/>
    <w:unhideWhenUsed/>
    <w:rsid w:val="00180C4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916356">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48830921">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5752</Words>
  <Characters>3279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i.sak</cp:lastModifiedBy>
  <cp:revision>64</cp:revision>
  <dcterms:created xsi:type="dcterms:W3CDTF">2022-06-08T07:41:00Z</dcterms:created>
  <dcterms:modified xsi:type="dcterms:W3CDTF">2025-10-28T14:52:00Z</dcterms:modified>
</cp:coreProperties>
</file>