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2"/>
        <w:gridCol w:w="5040"/>
      </w:tblGrid>
      <w:tr w:rsidR="00551789" w:rsidRPr="00140988" w:rsidTr="00AC0939">
        <w:trPr>
          <w:trHeight w:hRule="exact" w:val="802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1789" w:rsidRPr="00140988" w:rsidRDefault="00184039" w:rsidP="00E158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>
                  <wp:extent cx="2785745" cy="5105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74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1789" w:rsidRPr="00AC0939" w:rsidRDefault="00AC60AD" w:rsidP="00B84A31">
            <w:pPr>
              <w:ind w:right="1950"/>
            </w:pPr>
            <w:r>
              <w:rPr>
                <w:b/>
                <w:color w:val="000000"/>
                <w:sz w:val="26"/>
              </w:rPr>
              <w:t>Всесвітня організація охорони здоров’я</w:t>
            </w:r>
          </w:p>
        </w:tc>
      </w:tr>
      <w:tr w:rsidR="00551789" w:rsidRPr="00140988" w:rsidTr="00E158A5">
        <w:trPr>
          <w:trHeight w:hRule="exact" w:val="2726"/>
        </w:trPr>
        <w:tc>
          <w:tcPr>
            <w:tcW w:w="9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1789" w:rsidRPr="00140988" w:rsidRDefault="00551789" w:rsidP="00E158A5">
            <w:pPr>
              <w:rPr>
                <w:rFonts w:asciiTheme="minorHAnsi" w:hAnsiTheme="minorHAnsi" w:cstheme="minorHAnsi"/>
              </w:rPr>
            </w:pPr>
          </w:p>
        </w:tc>
      </w:tr>
      <w:tr w:rsidR="00551789" w:rsidRPr="00140988" w:rsidTr="00E158A5">
        <w:trPr>
          <w:trHeight w:hRule="exact" w:val="1738"/>
        </w:trPr>
        <w:tc>
          <w:tcPr>
            <w:tcW w:w="9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1789" w:rsidRPr="00140988" w:rsidRDefault="00AC60AD" w:rsidP="00E158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1F497D"/>
                <w:sz w:val="44"/>
              </w:rPr>
              <w:t>Одночасне лікування лікарсько-стійкого туберкульозу та гепатиту С</w:t>
            </w:r>
          </w:p>
        </w:tc>
      </w:tr>
      <w:tr w:rsidR="00551789" w:rsidRPr="00140988" w:rsidTr="00E158A5">
        <w:trPr>
          <w:trHeight w:hRule="exact" w:val="5040"/>
        </w:trPr>
        <w:tc>
          <w:tcPr>
            <w:tcW w:w="9422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551789" w:rsidRPr="00140988" w:rsidRDefault="00AC60AD" w:rsidP="00E158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1F497D"/>
                <w:sz w:val="36"/>
              </w:rPr>
              <w:t>Оперативне повідомлення</w:t>
            </w:r>
          </w:p>
        </w:tc>
      </w:tr>
      <w:tr w:rsidR="00551789" w:rsidRPr="00140988" w:rsidTr="00E158A5">
        <w:trPr>
          <w:trHeight w:hRule="exact" w:val="2645"/>
        </w:trPr>
        <w:tc>
          <w:tcPr>
            <w:tcW w:w="9422" w:type="dxa"/>
            <w:gridSpan w:val="2"/>
            <w:tcBorders>
              <w:top w:val="nil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FFFFFF"/>
          </w:tcPr>
          <w:p w:rsidR="00551789" w:rsidRPr="00140988" w:rsidRDefault="00AC60AD" w:rsidP="00E158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9"/>
                <w:sz w:val="32"/>
              </w:rPr>
              <w:t>Березень 2024 р.</w:t>
            </w:r>
          </w:p>
        </w:tc>
      </w:tr>
    </w:tbl>
    <w:p w:rsidR="00551789" w:rsidRPr="00140988" w:rsidRDefault="00551789" w:rsidP="00184039">
      <w:pPr>
        <w:rPr>
          <w:rFonts w:asciiTheme="minorHAnsi" w:hAnsiTheme="minorHAnsi" w:cstheme="minorHAnsi"/>
        </w:rPr>
        <w:sectPr w:rsidR="00551789" w:rsidRPr="00140988" w:rsidSect="00140988">
          <w:type w:val="continuous"/>
          <w:pgSz w:w="11909" w:h="16838" w:code="9"/>
          <w:pgMar w:top="1418" w:right="1418" w:bottom="1418" w:left="1418" w:header="720" w:footer="1134" w:gutter="0"/>
          <w:cols w:space="60"/>
          <w:noEndnote/>
          <w:docGrid w:linePitch="272"/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2"/>
        <w:gridCol w:w="5040"/>
      </w:tblGrid>
      <w:tr w:rsidR="00E158A5" w:rsidRPr="00140988" w:rsidTr="00617C08">
        <w:trPr>
          <w:trHeight w:hRule="exact" w:val="802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58A5" w:rsidRPr="00140988" w:rsidRDefault="00E158A5" w:rsidP="00617C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58A5" w:rsidRPr="00140988" w:rsidRDefault="00E158A5" w:rsidP="00617C08">
            <w:pPr>
              <w:ind w:right="2939"/>
              <w:rPr>
                <w:rFonts w:asciiTheme="minorHAnsi" w:hAnsiTheme="minorHAnsi" w:cstheme="minorHAnsi"/>
              </w:rPr>
            </w:pPr>
          </w:p>
        </w:tc>
      </w:tr>
      <w:tr w:rsidR="00E158A5" w:rsidRPr="00140988" w:rsidTr="00617C08">
        <w:trPr>
          <w:trHeight w:hRule="exact" w:val="2726"/>
        </w:trPr>
        <w:tc>
          <w:tcPr>
            <w:tcW w:w="9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58A5" w:rsidRPr="00140988" w:rsidRDefault="00E158A5" w:rsidP="00617C08">
            <w:pPr>
              <w:rPr>
                <w:rFonts w:asciiTheme="minorHAnsi" w:hAnsiTheme="minorHAnsi" w:cstheme="minorHAnsi"/>
              </w:rPr>
            </w:pPr>
          </w:p>
        </w:tc>
      </w:tr>
      <w:tr w:rsidR="00E158A5" w:rsidRPr="00140988" w:rsidTr="00617C08">
        <w:trPr>
          <w:trHeight w:hRule="exact" w:val="1738"/>
        </w:trPr>
        <w:tc>
          <w:tcPr>
            <w:tcW w:w="9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58A5" w:rsidRPr="00140988" w:rsidRDefault="00E158A5" w:rsidP="00617C0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58A5" w:rsidRPr="00140988" w:rsidTr="00617C08">
        <w:trPr>
          <w:trHeight w:hRule="exact" w:val="5040"/>
        </w:trPr>
        <w:tc>
          <w:tcPr>
            <w:tcW w:w="9422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158A5" w:rsidRPr="00140988" w:rsidRDefault="00E158A5" w:rsidP="00617C0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58A5" w:rsidRPr="00140988" w:rsidTr="00617C08">
        <w:trPr>
          <w:trHeight w:hRule="exact" w:val="2645"/>
        </w:trPr>
        <w:tc>
          <w:tcPr>
            <w:tcW w:w="9422" w:type="dxa"/>
            <w:gridSpan w:val="2"/>
            <w:tcBorders>
              <w:top w:val="nil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FFFFFF"/>
          </w:tcPr>
          <w:p w:rsidR="00E158A5" w:rsidRPr="00140988" w:rsidRDefault="00E158A5" w:rsidP="00617C0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51789" w:rsidRPr="00140988" w:rsidRDefault="00551789" w:rsidP="00184039">
      <w:pPr>
        <w:rPr>
          <w:rFonts w:asciiTheme="minorHAnsi" w:hAnsiTheme="minorHAnsi" w:cstheme="minorHAnsi"/>
        </w:rPr>
      </w:pPr>
    </w:p>
    <w:p w:rsidR="00551789" w:rsidRPr="00140988" w:rsidRDefault="00551789" w:rsidP="00184039">
      <w:pPr>
        <w:rPr>
          <w:rFonts w:asciiTheme="minorHAnsi" w:hAnsiTheme="minorHAnsi" w:cstheme="minorHAnsi"/>
        </w:rPr>
        <w:sectPr w:rsidR="00551789" w:rsidRPr="00140988" w:rsidSect="00140988">
          <w:pgSz w:w="11909" w:h="16838" w:code="9"/>
          <w:pgMar w:top="1418" w:right="1418" w:bottom="1418" w:left="1418" w:header="720" w:footer="1134" w:gutter="0"/>
          <w:cols w:space="60"/>
          <w:noEndnote/>
          <w:docGrid w:linePitch="272"/>
        </w:sectPr>
      </w:pPr>
    </w:p>
    <w:p w:rsidR="00551789" w:rsidRPr="00B84A31" w:rsidRDefault="00AC60AD" w:rsidP="00184039">
      <w:r w:rsidRPr="00B84A31">
        <w:rPr>
          <w:b/>
          <w:color w:val="000000"/>
          <w:sz w:val="28"/>
        </w:rPr>
        <w:lastRenderedPageBreak/>
        <w:t>Короткий огляд</w:t>
      </w:r>
    </w:p>
    <w:p w:rsidR="00551789" w:rsidRPr="00B84A31" w:rsidRDefault="00AC60AD" w:rsidP="00B84A31">
      <w:pPr>
        <w:spacing w:before="180"/>
        <w:jc w:val="both"/>
        <w:rPr>
          <w:rFonts w:asciiTheme="minorHAnsi" w:hAnsiTheme="minorHAnsi" w:cstheme="minorHAnsi"/>
          <w:sz w:val="18"/>
        </w:rPr>
      </w:pPr>
      <w:r w:rsidRPr="00B84A31">
        <w:rPr>
          <w:rFonts w:asciiTheme="minorHAnsi" w:hAnsiTheme="minorHAnsi"/>
          <w:color w:val="000000"/>
          <w:sz w:val="22"/>
        </w:rPr>
        <w:t>Туберкульоз (</w:t>
      </w:r>
      <w:proofErr w:type="spellStart"/>
      <w:r w:rsidRPr="00B84A31">
        <w:rPr>
          <w:rFonts w:asciiTheme="minorHAnsi" w:hAnsiTheme="minorHAnsi"/>
          <w:color w:val="000000"/>
          <w:sz w:val="22"/>
        </w:rPr>
        <w:t>ТБ</w:t>
      </w:r>
      <w:proofErr w:type="spellEnd"/>
      <w:r w:rsidRPr="00B84A31">
        <w:rPr>
          <w:rFonts w:asciiTheme="minorHAnsi" w:hAnsiTheme="minorHAnsi"/>
          <w:color w:val="000000"/>
          <w:sz w:val="22"/>
        </w:rPr>
        <w:t xml:space="preserve">) залишається загрозою для глобальної системи охорони здоров’я та другою у світі причиною смерті від одного інфекційного </w:t>
      </w:r>
      <w:proofErr w:type="spellStart"/>
      <w:r w:rsidRPr="00B84A31">
        <w:rPr>
          <w:rFonts w:asciiTheme="minorHAnsi" w:hAnsiTheme="minorHAnsi"/>
          <w:color w:val="000000"/>
          <w:sz w:val="22"/>
        </w:rPr>
        <w:t>агента</w:t>
      </w:r>
      <w:proofErr w:type="spellEnd"/>
      <w:r w:rsidRPr="00B84A31">
        <w:rPr>
          <w:rFonts w:asciiTheme="minorHAnsi" w:hAnsiTheme="minorHAnsi"/>
          <w:color w:val="000000"/>
          <w:sz w:val="22"/>
        </w:rPr>
        <w:t xml:space="preserve"> після </w:t>
      </w:r>
      <w:proofErr w:type="spellStart"/>
      <w:r w:rsidRPr="00B84A31">
        <w:rPr>
          <w:rFonts w:asciiTheme="minorHAnsi" w:hAnsiTheme="minorHAnsi"/>
          <w:color w:val="000000"/>
          <w:sz w:val="22"/>
        </w:rPr>
        <w:t>коронавірусної</w:t>
      </w:r>
      <w:proofErr w:type="spellEnd"/>
      <w:r w:rsidRPr="00B84A31">
        <w:rPr>
          <w:rFonts w:asciiTheme="minorHAnsi" w:hAnsiTheme="minorHAnsi"/>
          <w:color w:val="000000"/>
          <w:sz w:val="22"/>
        </w:rPr>
        <w:t xml:space="preserve"> хвороби (</w:t>
      </w:r>
      <w:proofErr w:type="spellStart"/>
      <w:r w:rsidRPr="00B84A31">
        <w:rPr>
          <w:rFonts w:asciiTheme="minorHAnsi" w:hAnsiTheme="minorHAnsi"/>
          <w:color w:val="000000"/>
          <w:sz w:val="22"/>
        </w:rPr>
        <w:t>COVID</w:t>
      </w:r>
      <w:proofErr w:type="spellEnd"/>
      <w:r w:rsidRPr="00B84A31">
        <w:rPr>
          <w:rFonts w:asciiTheme="minorHAnsi" w:hAnsiTheme="minorHAnsi"/>
          <w:color w:val="000000"/>
          <w:sz w:val="22"/>
        </w:rPr>
        <w:t>-19). Понад 10 мільйонів людей продовжують хворіти на туберкульоз щороку (1).</w:t>
      </w:r>
    </w:p>
    <w:p w:rsidR="00551789" w:rsidRPr="00B84A31" w:rsidRDefault="00AC60AD" w:rsidP="00140988">
      <w:pPr>
        <w:spacing w:before="120"/>
        <w:jc w:val="both"/>
        <w:rPr>
          <w:rFonts w:asciiTheme="minorHAnsi" w:hAnsiTheme="minorHAnsi" w:cstheme="minorHAnsi"/>
          <w:sz w:val="18"/>
        </w:rPr>
      </w:pPr>
      <w:r w:rsidRPr="00B84A31">
        <w:rPr>
          <w:rFonts w:asciiTheme="minorHAnsi" w:hAnsiTheme="minorHAnsi"/>
          <w:color w:val="000000"/>
          <w:sz w:val="22"/>
        </w:rPr>
        <w:t xml:space="preserve">За оцінками, у 2022 році на </w:t>
      </w:r>
      <w:proofErr w:type="spellStart"/>
      <w:r w:rsidRPr="00B84A31">
        <w:rPr>
          <w:rFonts w:asciiTheme="minorHAnsi" w:hAnsiTheme="minorHAnsi"/>
          <w:color w:val="000000"/>
          <w:sz w:val="22"/>
        </w:rPr>
        <w:t>мультирезистентний</w:t>
      </w:r>
      <w:r w:rsidRPr="00B84A31">
        <w:rPr>
          <w:rFonts w:asciiTheme="minorHAnsi" w:hAnsiTheme="minorHAnsi"/>
          <w:color w:val="000000"/>
          <w:sz w:val="22"/>
          <w:vertAlign w:val="superscript"/>
        </w:rPr>
        <w:t>1</w:t>
      </w:r>
      <w:proofErr w:type="spellEnd"/>
      <w:r w:rsidRPr="00B84A31">
        <w:rPr>
          <w:rFonts w:asciiTheme="minorHAnsi" w:hAnsiTheme="minorHAnsi"/>
          <w:color w:val="000000"/>
          <w:sz w:val="22"/>
        </w:rPr>
        <w:t xml:space="preserve"> або </w:t>
      </w:r>
      <w:proofErr w:type="spellStart"/>
      <w:r w:rsidRPr="00B84A31">
        <w:rPr>
          <w:rFonts w:asciiTheme="minorHAnsi" w:hAnsiTheme="minorHAnsi"/>
          <w:color w:val="000000"/>
          <w:sz w:val="22"/>
        </w:rPr>
        <w:t>рифампіцин</w:t>
      </w:r>
      <w:proofErr w:type="spellEnd"/>
      <w:r w:rsidRPr="00B84A31">
        <w:rPr>
          <w:rFonts w:asciiTheme="minorHAnsi" w:hAnsiTheme="minorHAnsi"/>
          <w:color w:val="000000"/>
          <w:sz w:val="22"/>
        </w:rPr>
        <w:t>-резистентний туберкульоз (МР/Риф-</w:t>
      </w:r>
      <w:proofErr w:type="spellStart"/>
      <w:r w:rsidRPr="00B84A31">
        <w:rPr>
          <w:rFonts w:asciiTheme="minorHAnsi" w:hAnsiTheme="minorHAnsi"/>
          <w:color w:val="000000"/>
          <w:sz w:val="22"/>
        </w:rPr>
        <w:t>ТБ</w:t>
      </w:r>
      <w:proofErr w:type="spellEnd"/>
      <w:r w:rsidRPr="00B84A31">
        <w:rPr>
          <w:rFonts w:asciiTheme="minorHAnsi" w:hAnsiTheme="minorHAnsi"/>
          <w:color w:val="000000"/>
          <w:sz w:val="22"/>
        </w:rPr>
        <w:t>) захворіли 410 000 осіб (95 % ДІ: 370 000–450 000) у всьому світі. Спостерігається стійке поліпшення показників успішності лікування людей з діагнозом МР/Риф-</w:t>
      </w:r>
      <w:proofErr w:type="spellStart"/>
      <w:r w:rsidRPr="00B84A31">
        <w:rPr>
          <w:rFonts w:asciiTheme="minorHAnsi" w:hAnsiTheme="minorHAnsi"/>
          <w:color w:val="000000"/>
          <w:sz w:val="22"/>
        </w:rPr>
        <w:t>ТБ</w:t>
      </w:r>
      <w:proofErr w:type="spellEnd"/>
      <w:r w:rsidRPr="00B84A31">
        <w:rPr>
          <w:rFonts w:asciiTheme="minorHAnsi" w:hAnsiTheme="minorHAnsi"/>
          <w:color w:val="000000"/>
          <w:sz w:val="22"/>
        </w:rPr>
        <w:t>, але вони залишаються тривожно низькими. У 2020 році в усьому світі показник успішності лікування становив 63 %, порівняно з 60 % у 2019 році та 50 % у 2012 році. Лікування МР/Риф-</w:t>
      </w:r>
      <w:proofErr w:type="spellStart"/>
      <w:r w:rsidRPr="00B84A31">
        <w:rPr>
          <w:rFonts w:asciiTheme="minorHAnsi" w:hAnsiTheme="minorHAnsi"/>
          <w:color w:val="000000"/>
          <w:sz w:val="22"/>
        </w:rPr>
        <w:t>ТБ</w:t>
      </w:r>
      <w:proofErr w:type="spellEnd"/>
      <w:r w:rsidRPr="00B84A31">
        <w:rPr>
          <w:rFonts w:asciiTheme="minorHAnsi" w:hAnsiTheme="minorHAnsi"/>
          <w:color w:val="000000"/>
          <w:sz w:val="22"/>
        </w:rPr>
        <w:t xml:space="preserve"> пов’язане з багатьма проблемами, які ще більше загострюються для людей з уже існуючими захворюваннями печінки через потенційну гепатотоксичність деяких протитуберкульозних препаратів, що може підвищити ризик медикаментозного ураження печінки.</w:t>
      </w:r>
    </w:p>
    <w:p w:rsidR="00551789" w:rsidRPr="00B84A31" w:rsidRDefault="00AC60AD" w:rsidP="00140988">
      <w:pPr>
        <w:spacing w:before="120"/>
        <w:jc w:val="both"/>
        <w:rPr>
          <w:rFonts w:asciiTheme="minorHAnsi" w:hAnsiTheme="minorHAnsi" w:cstheme="minorHAnsi"/>
          <w:sz w:val="18"/>
        </w:rPr>
      </w:pPr>
      <w:r w:rsidRPr="00B84A31">
        <w:rPr>
          <w:rFonts w:asciiTheme="minorHAnsi" w:hAnsiTheme="minorHAnsi"/>
          <w:color w:val="000000"/>
          <w:sz w:val="22"/>
        </w:rPr>
        <w:t>Епідеміологія хронічного гепатиту С (</w:t>
      </w:r>
      <w:proofErr w:type="spellStart"/>
      <w:r w:rsidRPr="00B84A31">
        <w:rPr>
          <w:rFonts w:asciiTheme="minorHAnsi" w:hAnsiTheme="minorHAnsi"/>
          <w:color w:val="000000"/>
          <w:sz w:val="22"/>
        </w:rPr>
        <w:t>ВГС</w:t>
      </w:r>
      <w:proofErr w:type="spellEnd"/>
      <w:r w:rsidRPr="00B84A31">
        <w:rPr>
          <w:rFonts w:asciiTheme="minorHAnsi" w:hAnsiTheme="minorHAnsi"/>
          <w:color w:val="000000"/>
          <w:sz w:val="22"/>
        </w:rPr>
        <w:t xml:space="preserve">) та туберкульозу значною мірою збігається через спільні чинники ризику, наприклад, вживання ін’єкційних наркотиків, бездомність або ув’язнення. Хронічний вірусний гепатит С або В може негативно впливати на лікування туберкульозу, підвищуючи ризик гепатотоксичності протитуберкульозних препаратів і, таким чином, впливаючи на вибір препарату. Це, в свою чергу, може знизити успішність лікування туберкульозу. За оцінками, глобальний показник </w:t>
      </w:r>
      <w:proofErr w:type="spellStart"/>
      <w:r w:rsidRPr="00B84A31">
        <w:rPr>
          <w:rFonts w:asciiTheme="minorHAnsi" w:hAnsiTheme="minorHAnsi"/>
          <w:color w:val="000000"/>
          <w:sz w:val="22"/>
        </w:rPr>
        <w:t>серопоширеності</w:t>
      </w:r>
      <w:proofErr w:type="spellEnd"/>
      <w:r w:rsidRPr="00B84A31">
        <w:rPr>
          <w:rFonts w:asciiTheme="minorHAnsi" w:hAnsiTheme="minorHAnsi"/>
          <w:color w:val="000000"/>
          <w:sz w:val="22"/>
        </w:rPr>
        <w:t xml:space="preserve"> антитіл до </w:t>
      </w:r>
      <w:proofErr w:type="spellStart"/>
      <w:r w:rsidRPr="00B84A31">
        <w:rPr>
          <w:rFonts w:asciiTheme="minorHAnsi" w:hAnsiTheme="minorHAnsi"/>
          <w:color w:val="000000"/>
          <w:sz w:val="22"/>
        </w:rPr>
        <w:t>ВГС</w:t>
      </w:r>
      <w:proofErr w:type="spellEnd"/>
      <w:r w:rsidRPr="00B84A31">
        <w:rPr>
          <w:rFonts w:asciiTheme="minorHAnsi" w:hAnsiTheme="minorHAnsi"/>
          <w:color w:val="000000"/>
          <w:sz w:val="22"/>
        </w:rPr>
        <w:t xml:space="preserve"> у хворих на туберкульоз становить 10,4 %, що перевищує середній показник у загальній популяції, який становить 1,4 %. </w:t>
      </w:r>
      <w:r w:rsidRPr="00B84A31">
        <w:rPr>
          <w:rFonts w:asciiTheme="minorHAnsi" w:hAnsiTheme="minorHAnsi"/>
          <w:sz w:val="22"/>
        </w:rPr>
        <w:t xml:space="preserve">Більше того, дослідження серед хворих на туберкульоз, які вживають нелегальні ін’єкційні наркотики, свідчать про поширеність </w:t>
      </w:r>
      <w:proofErr w:type="spellStart"/>
      <w:r w:rsidRPr="00B84A31">
        <w:rPr>
          <w:rFonts w:asciiTheme="minorHAnsi" w:hAnsiTheme="minorHAnsi"/>
          <w:sz w:val="22"/>
        </w:rPr>
        <w:t>ВГС</w:t>
      </w:r>
      <w:proofErr w:type="spellEnd"/>
      <w:r w:rsidRPr="00B84A31">
        <w:rPr>
          <w:rFonts w:asciiTheme="minorHAnsi" w:hAnsiTheme="minorHAnsi"/>
          <w:sz w:val="22"/>
        </w:rPr>
        <w:t xml:space="preserve"> на рівні 92,5 % (95 % ДІ 80,8–99,0) (2).</w:t>
      </w:r>
    </w:p>
    <w:p w:rsidR="00551789" w:rsidRPr="00B84A31" w:rsidRDefault="00AC60AD" w:rsidP="00140988">
      <w:pPr>
        <w:spacing w:before="120"/>
        <w:jc w:val="both"/>
        <w:rPr>
          <w:rFonts w:asciiTheme="minorHAnsi" w:hAnsiTheme="minorHAnsi" w:cstheme="minorHAnsi"/>
          <w:sz w:val="18"/>
        </w:rPr>
      </w:pPr>
      <w:r w:rsidRPr="00B84A31">
        <w:rPr>
          <w:rFonts w:asciiTheme="minorHAnsi" w:hAnsiTheme="minorHAnsi"/>
          <w:color w:val="000000"/>
          <w:sz w:val="22"/>
        </w:rPr>
        <w:t>Короткодіючі (від 12 до 24 тижнів) пероральні противірусні засоби прямої дії (</w:t>
      </w:r>
      <w:proofErr w:type="spellStart"/>
      <w:r w:rsidRPr="00B84A31">
        <w:rPr>
          <w:rFonts w:asciiTheme="minorHAnsi" w:hAnsiTheme="minorHAnsi"/>
          <w:color w:val="000000"/>
          <w:sz w:val="22"/>
        </w:rPr>
        <w:t>ПЗПД</w:t>
      </w:r>
      <w:proofErr w:type="spellEnd"/>
      <w:r w:rsidRPr="00B84A31">
        <w:rPr>
          <w:rFonts w:asciiTheme="minorHAnsi" w:hAnsiTheme="minorHAnsi"/>
          <w:color w:val="000000"/>
          <w:sz w:val="22"/>
        </w:rPr>
        <w:t xml:space="preserve">) змінили підхід до лікування </w:t>
      </w:r>
      <w:proofErr w:type="spellStart"/>
      <w:r w:rsidRPr="00B84A31">
        <w:rPr>
          <w:rFonts w:asciiTheme="minorHAnsi" w:hAnsiTheme="minorHAnsi"/>
          <w:color w:val="000000"/>
          <w:sz w:val="22"/>
        </w:rPr>
        <w:t>ВГС</w:t>
      </w:r>
      <w:proofErr w:type="spellEnd"/>
      <w:r w:rsidRPr="00B84A31">
        <w:rPr>
          <w:rFonts w:asciiTheme="minorHAnsi" w:hAnsiTheme="minorHAnsi"/>
          <w:color w:val="000000"/>
          <w:sz w:val="22"/>
        </w:rPr>
        <w:t>, демонструючи високі показники одужання — понад 90 % пацієнтів досягають стійкої вірусологічної відповіді (</w:t>
      </w:r>
      <w:proofErr w:type="spellStart"/>
      <w:r w:rsidRPr="00B84A31">
        <w:rPr>
          <w:rFonts w:asciiTheme="minorHAnsi" w:hAnsiTheme="minorHAnsi"/>
          <w:color w:val="000000"/>
          <w:sz w:val="22"/>
        </w:rPr>
        <w:t>СВВ</w:t>
      </w:r>
      <w:proofErr w:type="spellEnd"/>
      <w:r w:rsidRPr="00B84A31">
        <w:rPr>
          <w:rFonts w:asciiTheme="minorHAnsi" w:hAnsiTheme="minorHAnsi"/>
          <w:color w:val="000000"/>
          <w:sz w:val="22"/>
        </w:rPr>
        <w:t xml:space="preserve">), що свідчить про елімінацію вірусу, а також відмінний профіль безпеки та високу </w:t>
      </w:r>
      <w:proofErr w:type="spellStart"/>
      <w:r w:rsidRPr="00B84A31">
        <w:rPr>
          <w:rFonts w:asciiTheme="minorHAnsi" w:hAnsiTheme="minorHAnsi"/>
          <w:color w:val="000000"/>
          <w:sz w:val="22"/>
        </w:rPr>
        <w:t>переносимість</w:t>
      </w:r>
      <w:proofErr w:type="spellEnd"/>
      <w:r w:rsidRPr="00B84A31">
        <w:rPr>
          <w:rFonts w:asciiTheme="minorHAnsi" w:hAnsiTheme="minorHAnsi"/>
          <w:color w:val="000000"/>
          <w:sz w:val="22"/>
        </w:rPr>
        <w:t xml:space="preserve">. Відомі лікарські взаємодії з </w:t>
      </w:r>
      <w:proofErr w:type="spellStart"/>
      <w:r w:rsidRPr="00B84A31">
        <w:rPr>
          <w:rFonts w:asciiTheme="minorHAnsi" w:hAnsiTheme="minorHAnsi"/>
          <w:color w:val="000000"/>
          <w:sz w:val="22"/>
        </w:rPr>
        <w:t>рифаміцинами</w:t>
      </w:r>
      <w:proofErr w:type="spellEnd"/>
      <w:r w:rsidRPr="00B84A31">
        <w:rPr>
          <w:rFonts w:asciiTheme="minorHAnsi" w:hAnsiTheme="minorHAnsi"/>
          <w:color w:val="000000"/>
          <w:sz w:val="22"/>
        </w:rPr>
        <w:t xml:space="preserve"> унеможливлюють одночасне застосування </w:t>
      </w:r>
      <w:proofErr w:type="spellStart"/>
      <w:r w:rsidRPr="00B84A31">
        <w:rPr>
          <w:rFonts w:asciiTheme="minorHAnsi" w:hAnsiTheme="minorHAnsi"/>
          <w:color w:val="000000"/>
          <w:sz w:val="22"/>
        </w:rPr>
        <w:t>ПЗПД</w:t>
      </w:r>
      <w:proofErr w:type="spellEnd"/>
      <w:r w:rsidRPr="00B84A31">
        <w:rPr>
          <w:rFonts w:asciiTheme="minorHAnsi" w:hAnsiTheme="minorHAnsi"/>
          <w:color w:val="000000"/>
          <w:sz w:val="22"/>
        </w:rPr>
        <w:t xml:space="preserve"> при </w:t>
      </w:r>
      <w:proofErr w:type="spellStart"/>
      <w:r w:rsidRPr="00B84A31">
        <w:rPr>
          <w:rFonts w:asciiTheme="minorHAnsi" w:hAnsiTheme="minorHAnsi"/>
          <w:color w:val="000000"/>
          <w:sz w:val="22"/>
        </w:rPr>
        <w:t>ТБ</w:t>
      </w:r>
      <w:proofErr w:type="spellEnd"/>
      <w:r w:rsidRPr="00B84A31">
        <w:rPr>
          <w:rFonts w:asciiTheme="minorHAnsi" w:hAnsiTheme="minorHAnsi"/>
          <w:color w:val="000000"/>
          <w:sz w:val="22"/>
        </w:rPr>
        <w:t xml:space="preserve"> з лікарською чутливістю [очікується, що з препаратами для лікування МР/Риф-</w:t>
      </w:r>
      <w:proofErr w:type="spellStart"/>
      <w:r w:rsidRPr="00B84A31">
        <w:rPr>
          <w:rFonts w:asciiTheme="minorHAnsi" w:hAnsiTheme="minorHAnsi"/>
          <w:color w:val="000000"/>
          <w:sz w:val="22"/>
        </w:rPr>
        <w:t>ТБ</w:t>
      </w:r>
      <w:proofErr w:type="spellEnd"/>
      <w:r w:rsidRPr="00B84A31">
        <w:rPr>
          <w:rFonts w:asciiTheme="minorHAnsi" w:hAnsiTheme="minorHAnsi"/>
          <w:color w:val="000000"/>
          <w:sz w:val="22"/>
        </w:rPr>
        <w:t xml:space="preserve"> взаємодія буде незначною або взагалі відсутня] (3). Однак відносно мало відомо про те, як вести пацієнтів із МР </w:t>
      </w:r>
      <w:proofErr w:type="spellStart"/>
      <w:r w:rsidRPr="00B84A31">
        <w:rPr>
          <w:rFonts w:asciiTheme="minorHAnsi" w:hAnsiTheme="minorHAnsi"/>
          <w:color w:val="000000"/>
          <w:sz w:val="22"/>
        </w:rPr>
        <w:t>ТБ</w:t>
      </w:r>
      <w:proofErr w:type="spellEnd"/>
      <w:r w:rsidRPr="00B84A31">
        <w:rPr>
          <w:rFonts w:asciiTheme="minorHAnsi" w:hAnsiTheme="minorHAnsi"/>
          <w:color w:val="000000"/>
          <w:sz w:val="22"/>
        </w:rPr>
        <w:t xml:space="preserve">, які мають хронічну </w:t>
      </w:r>
      <w:proofErr w:type="spellStart"/>
      <w:r w:rsidRPr="00B84A31">
        <w:rPr>
          <w:rFonts w:asciiTheme="minorHAnsi" w:hAnsiTheme="minorHAnsi"/>
          <w:color w:val="000000"/>
          <w:sz w:val="22"/>
        </w:rPr>
        <w:t>ВГС</w:t>
      </w:r>
      <w:proofErr w:type="spellEnd"/>
      <w:r w:rsidRPr="00B84A31">
        <w:rPr>
          <w:rFonts w:asciiTheme="minorHAnsi" w:hAnsiTheme="minorHAnsi"/>
          <w:color w:val="000000"/>
          <w:sz w:val="22"/>
        </w:rPr>
        <w:t xml:space="preserve">-інфекцію, а національні політики та практики відрізняються, що підкреслює потребу в глобальній настанові. Незважаючи на обмеженість прямих доказів, паралельне лікування </w:t>
      </w:r>
      <w:proofErr w:type="spellStart"/>
      <w:r w:rsidRPr="00B84A31">
        <w:rPr>
          <w:rFonts w:asciiTheme="minorHAnsi" w:hAnsiTheme="minorHAnsi"/>
          <w:color w:val="000000"/>
          <w:sz w:val="22"/>
        </w:rPr>
        <w:t>ВГС</w:t>
      </w:r>
      <w:proofErr w:type="spellEnd"/>
      <w:r w:rsidRPr="00B84A31">
        <w:rPr>
          <w:rFonts w:asciiTheme="minorHAnsi" w:hAnsiTheme="minorHAnsi"/>
          <w:color w:val="000000"/>
          <w:sz w:val="22"/>
        </w:rPr>
        <w:t xml:space="preserve"> та МР/Риф-</w:t>
      </w:r>
      <w:proofErr w:type="spellStart"/>
      <w:r w:rsidRPr="00B84A31">
        <w:rPr>
          <w:rFonts w:asciiTheme="minorHAnsi" w:hAnsiTheme="minorHAnsi"/>
          <w:color w:val="000000"/>
          <w:sz w:val="22"/>
        </w:rPr>
        <w:t>ТБ</w:t>
      </w:r>
      <w:proofErr w:type="spellEnd"/>
      <w:r w:rsidRPr="00B84A31">
        <w:rPr>
          <w:rFonts w:asciiTheme="minorHAnsi" w:hAnsiTheme="minorHAnsi"/>
          <w:color w:val="000000"/>
          <w:sz w:val="22"/>
        </w:rPr>
        <w:t xml:space="preserve"> видається доцільним і потенційно корисним для пацієнтів із ко-інфекцією. Для вирішення цієї проблеми </w:t>
      </w:r>
      <w:proofErr w:type="spellStart"/>
      <w:r w:rsidRPr="00B84A31">
        <w:rPr>
          <w:rFonts w:asciiTheme="minorHAnsi" w:hAnsiTheme="minorHAnsi"/>
          <w:color w:val="000000"/>
          <w:sz w:val="22"/>
        </w:rPr>
        <w:t>ВООЗ</w:t>
      </w:r>
      <w:proofErr w:type="spellEnd"/>
      <w:r w:rsidRPr="00B84A31">
        <w:rPr>
          <w:rFonts w:asciiTheme="minorHAnsi" w:hAnsiTheme="minorHAnsi"/>
          <w:color w:val="000000"/>
          <w:sz w:val="22"/>
        </w:rPr>
        <w:t xml:space="preserve"> доручила проведення систематичного огляду літератури з питань одночасного лікування лікарсько-стійкого туберкульозу та гепатиту С. Результати цього систематичного огляду показали, що опубліковані докази з цього питання є мінімальними (4).</w:t>
      </w:r>
    </w:p>
    <w:p w:rsidR="00551789" w:rsidRPr="00B84A31" w:rsidRDefault="00AC60AD" w:rsidP="00B84A31">
      <w:pPr>
        <w:spacing w:before="120"/>
        <w:jc w:val="both"/>
        <w:rPr>
          <w:rFonts w:asciiTheme="minorHAnsi" w:hAnsiTheme="minorHAnsi" w:cstheme="minorHAnsi"/>
          <w:sz w:val="18"/>
        </w:rPr>
      </w:pPr>
      <w:r w:rsidRPr="00B84A31">
        <w:rPr>
          <w:rFonts w:asciiTheme="minorHAnsi" w:hAnsiTheme="minorHAnsi"/>
          <w:color w:val="000000"/>
          <w:sz w:val="22"/>
        </w:rPr>
        <w:t xml:space="preserve">Щоб заповнити цю прогалину в знаннях, Глобальна програма </w:t>
      </w:r>
      <w:proofErr w:type="spellStart"/>
      <w:r w:rsidRPr="00B84A31">
        <w:rPr>
          <w:rFonts w:asciiTheme="minorHAnsi" w:hAnsiTheme="minorHAnsi"/>
          <w:color w:val="000000"/>
          <w:sz w:val="22"/>
        </w:rPr>
        <w:t>ВООЗ</w:t>
      </w:r>
      <w:proofErr w:type="spellEnd"/>
      <w:r w:rsidRPr="00B84A31">
        <w:rPr>
          <w:rFonts w:asciiTheme="minorHAnsi" w:hAnsiTheme="minorHAnsi"/>
          <w:color w:val="000000"/>
          <w:sz w:val="22"/>
        </w:rPr>
        <w:t xml:space="preserve"> з боротьби з туберкульозом (</w:t>
      </w:r>
      <w:proofErr w:type="spellStart"/>
      <w:r w:rsidRPr="00B84A31">
        <w:rPr>
          <w:rFonts w:asciiTheme="minorHAnsi" w:hAnsiTheme="minorHAnsi"/>
          <w:color w:val="000000"/>
          <w:sz w:val="22"/>
        </w:rPr>
        <w:t>ВООЗ</w:t>
      </w:r>
      <w:proofErr w:type="spellEnd"/>
      <w:r w:rsidRPr="00B84A31">
        <w:rPr>
          <w:rFonts w:asciiTheme="minorHAnsi" w:hAnsiTheme="minorHAnsi"/>
          <w:color w:val="000000"/>
          <w:sz w:val="22"/>
        </w:rPr>
        <w:t>/</w:t>
      </w:r>
      <w:proofErr w:type="spellStart"/>
      <w:r w:rsidRPr="00B84A31">
        <w:rPr>
          <w:rFonts w:asciiTheme="minorHAnsi" w:hAnsiTheme="minorHAnsi"/>
          <w:color w:val="000000"/>
          <w:sz w:val="22"/>
        </w:rPr>
        <w:t>ГТБ</w:t>
      </w:r>
      <w:proofErr w:type="spellEnd"/>
      <w:r w:rsidRPr="00B84A31">
        <w:rPr>
          <w:rFonts w:asciiTheme="minorHAnsi" w:hAnsiTheme="minorHAnsi"/>
          <w:color w:val="000000"/>
          <w:sz w:val="22"/>
        </w:rPr>
        <w:t xml:space="preserve">) звернулася до громадськості із закликом зібрати «експертні докази» від окремих експертів у різних країнах. Експертні докази були визначені як спостереження або досвід, отримані від особи, яка є обізнаною або досвідченою в певній галузі (5). Цей підхід можна розглядати за певних обставин, якщо опублікованих прямих доказів надзвичайно мало. «Експертні докази» можна розглядати так само, як і звіти про випадки або серії випадків, що використовуються в межах </w:t>
      </w:r>
      <w:proofErr w:type="spellStart"/>
      <w:r w:rsidRPr="00B84A31">
        <w:rPr>
          <w:rFonts w:asciiTheme="minorHAnsi" w:hAnsiTheme="minorHAnsi"/>
          <w:color w:val="000000"/>
          <w:sz w:val="22"/>
        </w:rPr>
        <w:t>GRADE</w:t>
      </w:r>
      <w:proofErr w:type="spellEnd"/>
      <w:r w:rsidRPr="00B84A31">
        <w:rPr>
          <w:rFonts w:asciiTheme="minorHAnsi" w:hAnsiTheme="minorHAnsi"/>
          <w:color w:val="000000"/>
          <w:sz w:val="22"/>
        </w:rPr>
        <w:t xml:space="preserve"> (Система градації рекомендацій, експертиз, розвитку та оцінювання), якщо для їх збору застосовуються систематичні та прозорі методи, а опис доказів зводить до мінімуму інтерпретацію того, якою мірою вони підтверджують або не підтверджують той чи інший висновок.</w:t>
      </w:r>
    </w:p>
    <w:p w:rsidR="00551789" w:rsidRDefault="00AC60AD" w:rsidP="00B84A31">
      <w:pPr>
        <w:spacing w:before="120"/>
        <w:jc w:val="both"/>
        <w:rPr>
          <w:rFonts w:asciiTheme="minorHAnsi" w:hAnsiTheme="minorHAnsi"/>
          <w:color w:val="000000"/>
          <w:sz w:val="22"/>
        </w:rPr>
      </w:pPr>
      <w:r w:rsidRPr="00B84A31">
        <w:rPr>
          <w:rFonts w:asciiTheme="minorHAnsi" w:hAnsiTheme="minorHAnsi"/>
          <w:color w:val="000000"/>
          <w:sz w:val="22"/>
        </w:rPr>
        <w:t>Незалежна ГРН (Група з розробки настанови) оцінювала результати цих експертних доказів, використовуючи градацію</w:t>
      </w:r>
    </w:p>
    <w:p w:rsidR="00B84A31" w:rsidRPr="00B84A31" w:rsidRDefault="00B84A31" w:rsidP="00B84A31">
      <w:pPr>
        <w:jc w:val="both"/>
        <w:rPr>
          <w:rFonts w:asciiTheme="minorHAnsi" w:hAnsiTheme="minorHAnsi" w:cstheme="minorHAnsi"/>
          <w:sz w:val="18"/>
          <w:lang w:val="ru-UA"/>
        </w:rPr>
      </w:pPr>
      <w:r>
        <w:rPr>
          <w:rFonts w:asciiTheme="minorHAnsi" w:hAnsiTheme="minorHAnsi"/>
          <w:color w:val="000000"/>
          <w:sz w:val="22"/>
          <w:lang w:val="ru-UA"/>
        </w:rPr>
        <w:t>__________________________</w:t>
      </w:r>
    </w:p>
    <w:p w:rsidR="00551789" w:rsidRPr="00B84A31" w:rsidRDefault="00AC60AD" w:rsidP="00B84A31">
      <w:pPr>
        <w:spacing w:before="40"/>
        <w:jc w:val="both"/>
        <w:rPr>
          <w:rFonts w:asciiTheme="minorHAnsi" w:hAnsiTheme="minorHAnsi" w:cstheme="minorHAnsi"/>
        </w:rPr>
      </w:pPr>
      <w:r w:rsidRPr="00B84A31">
        <w:rPr>
          <w:rFonts w:asciiTheme="minorHAnsi" w:hAnsiTheme="minorHAnsi"/>
          <w:color w:val="000000"/>
          <w:vertAlign w:val="superscript"/>
        </w:rPr>
        <w:t>1</w:t>
      </w:r>
      <w:r w:rsidRPr="00B84A31">
        <w:rPr>
          <w:rFonts w:asciiTheme="minorHAnsi" w:hAnsiTheme="minorHAnsi"/>
          <w:color w:val="000000"/>
        </w:rPr>
        <w:t xml:space="preserve"> Визначається як комбінована стійкість до </w:t>
      </w:r>
      <w:proofErr w:type="spellStart"/>
      <w:r w:rsidRPr="00B84A31">
        <w:rPr>
          <w:rFonts w:asciiTheme="minorHAnsi" w:hAnsiTheme="minorHAnsi"/>
          <w:color w:val="000000"/>
        </w:rPr>
        <w:t>рифампіцину</w:t>
      </w:r>
      <w:proofErr w:type="spellEnd"/>
      <w:r w:rsidRPr="00B84A31">
        <w:rPr>
          <w:rFonts w:asciiTheme="minorHAnsi" w:hAnsiTheme="minorHAnsi"/>
          <w:color w:val="000000"/>
        </w:rPr>
        <w:t xml:space="preserve"> та </w:t>
      </w:r>
      <w:proofErr w:type="spellStart"/>
      <w:r w:rsidRPr="00B84A31">
        <w:rPr>
          <w:rFonts w:asciiTheme="minorHAnsi" w:hAnsiTheme="minorHAnsi"/>
          <w:color w:val="000000"/>
        </w:rPr>
        <w:t>ізоніазиду</w:t>
      </w:r>
      <w:proofErr w:type="spellEnd"/>
      <w:r w:rsidRPr="00B84A31">
        <w:rPr>
          <w:rFonts w:asciiTheme="minorHAnsi" w:hAnsiTheme="minorHAnsi"/>
          <w:color w:val="000000"/>
        </w:rPr>
        <w:t>, двох найважливіших протитуберкульозних препаратів.</w:t>
      </w:r>
    </w:p>
    <w:p w:rsidR="00551789" w:rsidRPr="00B84A31" w:rsidRDefault="00551789" w:rsidP="00B84A31">
      <w:pPr>
        <w:spacing w:before="29"/>
        <w:jc w:val="both"/>
        <w:rPr>
          <w:rFonts w:asciiTheme="minorHAnsi" w:hAnsiTheme="minorHAnsi" w:cstheme="minorHAnsi"/>
        </w:rPr>
        <w:sectPr w:rsidR="00551789" w:rsidRPr="00B84A31" w:rsidSect="00140988">
          <w:footerReference w:type="default" r:id="rId8"/>
          <w:pgSz w:w="11909" w:h="16838" w:code="9"/>
          <w:pgMar w:top="1418" w:right="1418" w:bottom="1418" w:left="1418" w:header="720" w:footer="1134" w:gutter="0"/>
          <w:pgNumType w:start="1"/>
          <w:cols w:space="60"/>
          <w:noEndnote/>
          <w:docGrid w:linePitch="272"/>
        </w:sectPr>
      </w:pPr>
    </w:p>
    <w:p w:rsidR="00551789" w:rsidRPr="00AE782B" w:rsidRDefault="00AC60AD" w:rsidP="00184039">
      <w:pPr>
        <w:jc w:val="both"/>
        <w:rPr>
          <w:rFonts w:asciiTheme="minorHAnsi" w:hAnsiTheme="minorHAnsi" w:cstheme="minorHAnsi"/>
          <w:sz w:val="18"/>
        </w:rPr>
      </w:pPr>
      <w:r w:rsidRPr="00AE782B">
        <w:rPr>
          <w:rFonts w:asciiTheme="minorHAnsi" w:hAnsiTheme="minorHAnsi"/>
          <w:color w:val="000000"/>
          <w:sz w:val="22"/>
        </w:rPr>
        <w:lastRenderedPageBreak/>
        <w:t xml:space="preserve">рекомендацій, експертиз, розвитку та оцінювання </w:t>
      </w:r>
      <w:proofErr w:type="spellStart"/>
      <w:r w:rsidRPr="00AE782B">
        <w:rPr>
          <w:rFonts w:asciiTheme="minorHAnsi" w:hAnsiTheme="minorHAnsi"/>
          <w:color w:val="000000"/>
          <w:sz w:val="22"/>
        </w:rPr>
        <w:t>GRADE</w:t>
      </w:r>
      <w:proofErr w:type="spellEnd"/>
      <w:r w:rsidRPr="00AE782B">
        <w:rPr>
          <w:rFonts w:asciiTheme="minorHAnsi" w:hAnsiTheme="minorHAnsi"/>
          <w:color w:val="000000"/>
          <w:sz w:val="22"/>
        </w:rPr>
        <w:t xml:space="preserve">, у листопаді 2023 року (6). Детальні рекомендації, засновані на цьому аналізі, будуть представлені в оновленій версії зведених рекомендацій </w:t>
      </w:r>
      <w:proofErr w:type="spellStart"/>
      <w:r w:rsidRPr="00AE782B">
        <w:rPr>
          <w:rFonts w:asciiTheme="minorHAnsi" w:hAnsiTheme="minorHAnsi"/>
          <w:color w:val="000000"/>
          <w:sz w:val="22"/>
        </w:rPr>
        <w:t>ВООЗ</w:t>
      </w:r>
      <w:proofErr w:type="spellEnd"/>
      <w:r w:rsidRPr="00AE782B">
        <w:rPr>
          <w:rFonts w:asciiTheme="minorHAnsi" w:hAnsiTheme="minorHAnsi"/>
          <w:color w:val="000000"/>
          <w:sz w:val="22"/>
        </w:rPr>
        <w:t xml:space="preserve"> з лікування туберкульозу 2024 року.</w:t>
      </w:r>
    </w:p>
    <w:p w:rsidR="00551789" w:rsidRPr="00AE782B" w:rsidRDefault="00AC60AD" w:rsidP="00184039">
      <w:pPr>
        <w:spacing w:before="115"/>
        <w:jc w:val="both"/>
        <w:rPr>
          <w:rFonts w:asciiTheme="minorHAnsi" w:hAnsiTheme="minorHAnsi" w:cstheme="minorHAnsi"/>
          <w:sz w:val="18"/>
        </w:rPr>
      </w:pPr>
      <w:r w:rsidRPr="00AE782B">
        <w:rPr>
          <w:rFonts w:asciiTheme="minorHAnsi" w:hAnsiTheme="minorHAnsi"/>
          <w:color w:val="000000"/>
          <w:sz w:val="22"/>
        </w:rPr>
        <w:t>Це оперативне повідомлення має на меті поінформувати Національні програми боротьби з туберкульозом (</w:t>
      </w:r>
      <w:proofErr w:type="spellStart"/>
      <w:r w:rsidRPr="00AE782B">
        <w:rPr>
          <w:rFonts w:asciiTheme="minorHAnsi" w:hAnsiTheme="minorHAnsi"/>
          <w:color w:val="000000"/>
          <w:sz w:val="22"/>
        </w:rPr>
        <w:t>НПБТ</w:t>
      </w:r>
      <w:proofErr w:type="spellEnd"/>
      <w:r w:rsidRPr="00AE782B">
        <w:rPr>
          <w:rFonts w:asciiTheme="minorHAnsi" w:hAnsiTheme="minorHAnsi"/>
          <w:color w:val="000000"/>
          <w:sz w:val="22"/>
        </w:rPr>
        <w:t>) та інші зацікавлені сторони про ключові наслідки для одночасного лікування лікарсько-стійкого туберкульозу та гепатиту С, сприяючи безперешкодній інтеграції та плануванню на національному рівні.</w:t>
      </w:r>
    </w:p>
    <w:p w:rsidR="001929AD" w:rsidRPr="00AE782B" w:rsidRDefault="00AC60AD" w:rsidP="001929AD">
      <w:pPr>
        <w:spacing w:before="240"/>
        <w:rPr>
          <w:b/>
          <w:bCs/>
          <w:color w:val="000000"/>
          <w:sz w:val="28"/>
          <w:szCs w:val="28"/>
        </w:rPr>
      </w:pPr>
      <w:r w:rsidRPr="00AE782B">
        <w:rPr>
          <w:b/>
          <w:color w:val="000000"/>
          <w:sz w:val="28"/>
        </w:rPr>
        <w:t xml:space="preserve">Ключові оновлення </w:t>
      </w:r>
    </w:p>
    <w:p w:rsidR="00551789" w:rsidRPr="00AE782B" w:rsidRDefault="00AC60AD" w:rsidP="001929AD">
      <w:pPr>
        <w:spacing w:before="240"/>
        <w:rPr>
          <w:rFonts w:asciiTheme="minorHAnsi" w:hAnsiTheme="minorHAnsi" w:cstheme="minorHAnsi"/>
          <w:sz w:val="18"/>
        </w:rPr>
      </w:pPr>
      <w:r w:rsidRPr="00AE782B">
        <w:rPr>
          <w:rFonts w:asciiTheme="minorHAnsi" w:hAnsiTheme="minorHAnsi" w:cstheme="minorHAnsi"/>
          <w:b/>
          <w:color w:val="000000"/>
          <w:sz w:val="22"/>
        </w:rPr>
        <w:t>Експертні докази</w:t>
      </w:r>
    </w:p>
    <w:p w:rsidR="00551789" w:rsidRPr="00AE782B" w:rsidRDefault="00AC60AD" w:rsidP="00AC0939">
      <w:pPr>
        <w:spacing w:before="245"/>
        <w:jc w:val="both"/>
        <w:rPr>
          <w:rFonts w:asciiTheme="minorHAnsi" w:hAnsiTheme="minorHAnsi" w:cstheme="minorHAnsi"/>
          <w:sz w:val="18"/>
        </w:rPr>
      </w:pPr>
      <w:r w:rsidRPr="00AE782B">
        <w:rPr>
          <w:rFonts w:asciiTheme="minorHAnsi" w:hAnsiTheme="minorHAnsi"/>
          <w:color w:val="000000"/>
          <w:sz w:val="22"/>
        </w:rPr>
        <w:t xml:space="preserve">Отримання результатів на основі експертних доказів щодо стратегій лікування пацієнтів з ко-інфекцією </w:t>
      </w:r>
      <w:proofErr w:type="spellStart"/>
      <w:r w:rsidRPr="00AE782B">
        <w:rPr>
          <w:rFonts w:asciiTheme="minorHAnsi" w:hAnsiTheme="minorHAnsi"/>
          <w:color w:val="000000"/>
          <w:sz w:val="22"/>
        </w:rPr>
        <w:t>ВГС</w:t>
      </w:r>
      <w:proofErr w:type="spellEnd"/>
      <w:r w:rsidRPr="00AE782B">
        <w:rPr>
          <w:rFonts w:asciiTheme="minorHAnsi" w:hAnsiTheme="minorHAnsi"/>
          <w:color w:val="000000"/>
          <w:sz w:val="22"/>
        </w:rPr>
        <w:t xml:space="preserve"> та МР/</w:t>
      </w:r>
      <w:proofErr w:type="spellStart"/>
      <w:r w:rsidRPr="00AE782B">
        <w:rPr>
          <w:rFonts w:asciiTheme="minorHAnsi" w:hAnsiTheme="minorHAnsi"/>
          <w:color w:val="000000"/>
          <w:sz w:val="22"/>
        </w:rPr>
        <w:t>РР</w:t>
      </w:r>
      <w:proofErr w:type="spellEnd"/>
      <w:r w:rsidRPr="00AE782B">
        <w:rPr>
          <w:rFonts w:asciiTheme="minorHAnsi" w:hAnsiTheme="minorHAnsi"/>
          <w:color w:val="000000"/>
          <w:sz w:val="22"/>
        </w:rPr>
        <w:t xml:space="preserve"> </w:t>
      </w:r>
      <w:proofErr w:type="spellStart"/>
      <w:r w:rsidRPr="00AE782B">
        <w:rPr>
          <w:rFonts w:asciiTheme="minorHAnsi" w:hAnsiTheme="minorHAnsi"/>
          <w:color w:val="000000"/>
          <w:sz w:val="22"/>
        </w:rPr>
        <w:t>ТБ</w:t>
      </w:r>
      <w:proofErr w:type="spellEnd"/>
      <w:r w:rsidRPr="00AE782B">
        <w:rPr>
          <w:rFonts w:asciiTheme="minorHAnsi" w:hAnsiTheme="minorHAnsi"/>
          <w:color w:val="000000"/>
          <w:sz w:val="22"/>
        </w:rPr>
        <w:t>:</w:t>
      </w:r>
    </w:p>
    <w:p w:rsidR="00AC0939" w:rsidRPr="00AE782B" w:rsidRDefault="00AC60AD" w:rsidP="00AC0939">
      <w:pPr>
        <w:pStyle w:val="a7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</w:rPr>
      </w:pPr>
      <w:r w:rsidRPr="00AE782B">
        <w:rPr>
          <w:rFonts w:asciiTheme="minorHAnsi" w:hAnsiTheme="minorHAnsi"/>
          <w:color w:val="000000"/>
          <w:sz w:val="22"/>
        </w:rPr>
        <w:t xml:space="preserve">У зборі експертних даних взяли участь 16 респондентів (клініцистів-експертів) з 9 країн. </w:t>
      </w:r>
    </w:p>
    <w:p w:rsidR="00AC0939" w:rsidRPr="00AE782B" w:rsidRDefault="00AC60AD" w:rsidP="00AC0939">
      <w:pPr>
        <w:pStyle w:val="a7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</w:rPr>
      </w:pPr>
      <w:r w:rsidRPr="00AE782B">
        <w:rPr>
          <w:rFonts w:asciiTheme="minorHAnsi" w:hAnsiTheme="minorHAnsi"/>
          <w:color w:val="000000"/>
          <w:sz w:val="22"/>
        </w:rPr>
        <w:t xml:space="preserve">Результати були отримані від 135 пацієнтів, які отримували одночасне лікування МР </w:t>
      </w:r>
      <w:proofErr w:type="spellStart"/>
      <w:r w:rsidRPr="00AE782B">
        <w:rPr>
          <w:rFonts w:asciiTheme="minorHAnsi" w:hAnsiTheme="minorHAnsi"/>
          <w:color w:val="000000"/>
          <w:sz w:val="22"/>
        </w:rPr>
        <w:t>ТБ</w:t>
      </w:r>
      <w:proofErr w:type="spellEnd"/>
      <w:r w:rsidRPr="00AE782B">
        <w:rPr>
          <w:rFonts w:asciiTheme="minorHAnsi" w:hAnsiTheme="minorHAnsi"/>
          <w:color w:val="000000"/>
          <w:sz w:val="22"/>
        </w:rPr>
        <w:t xml:space="preserve"> та </w:t>
      </w:r>
      <w:proofErr w:type="spellStart"/>
      <w:r w:rsidRPr="00AE782B">
        <w:rPr>
          <w:rFonts w:asciiTheme="minorHAnsi" w:hAnsiTheme="minorHAnsi"/>
          <w:color w:val="000000"/>
          <w:sz w:val="22"/>
        </w:rPr>
        <w:t>ВГС</w:t>
      </w:r>
      <w:proofErr w:type="spellEnd"/>
      <w:r w:rsidRPr="00AE782B">
        <w:rPr>
          <w:rFonts w:asciiTheme="minorHAnsi" w:hAnsiTheme="minorHAnsi"/>
          <w:color w:val="000000"/>
          <w:sz w:val="22"/>
        </w:rPr>
        <w:t xml:space="preserve">, та 439 пацієнтів, які спочатку отримували лікування МР </w:t>
      </w:r>
      <w:proofErr w:type="spellStart"/>
      <w:r w:rsidRPr="00AE782B">
        <w:rPr>
          <w:rFonts w:asciiTheme="minorHAnsi" w:hAnsiTheme="minorHAnsi"/>
          <w:color w:val="000000"/>
          <w:sz w:val="22"/>
        </w:rPr>
        <w:t>ТБ</w:t>
      </w:r>
      <w:proofErr w:type="spellEnd"/>
      <w:r w:rsidRPr="00AE782B">
        <w:rPr>
          <w:rFonts w:asciiTheme="minorHAnsi" w:hAnsiTheme="minorHAnsi"/>
          <w:color w:val="000000"/>
          <w:sz w:val="22"/>
        </w:rPr>
        <w:t xml:space="preserve">, а потім лікування </w:t>
      </w:r>
      <w:proofErr w:type="spellStart"/>
      <w:r w:rsidRPr="00AE782B">
        <w:rPr>
          <w:rFonts w:asciiTheme="minorHAnsi" w:hAnsiTheme="minorHAnsi"/>
          <w:color w:val="000000"/>
          <w:sz w:val="22"/>
        </w:rPr>
        <w:t>ВГС</w:t>
      </w:r>
      <w:proofErr w:type="spellEnd"/>
      <w:r w:rsidRPr="00AE782B">
        <w:rPr>
          <w:rFonts w:asciiTheme="minorHAnsi" w:hAnsiTheme="minorHAnsi"/>
          <w:color w:val="000000"/>
          <w:sz w:val="22"/>
        </w:rPr>
        <w:t xml:space="preserve"> після завершення лікування туберкульозу.</w:t>
      </w:r>
    </w:p>
    <w:p w:rsidR="00AC0939" w:rsidRPr="00AE782B" w:rsidRDefault="00AC60AD" w:rsidP="00AC0939">
      <w:pPr>
        <w:pStyle w:val="a7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</w:rPr>
      </w:pPr>
      <w:r w:rsidRPr="00AE782B">
        <w:rPr>
          <w:rFonts w:asciiTheme="minorHAnsi" w:hAnsiTheme="minorHAnsi"/>
          <w:color w:val="000000"/>
          <w:sz w:val="22"/>
        </w:rPr>
        <w:t xml:space="preserve">8 респондентів надали дані з обох когорт для порівняльного аналізу. </w:t>
      </w:r>
    </w:p>
    <w:p w:rsidR="001929AD" w:rsidRPr="00AE782B" w:rsidRDefault="00AC60AD" w:rsidP="00AC0939">
      <w:pPr>
        <w:pStyle w:val="a7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</w:rPr>
      </w:pPr>
      <w:r w:rsidRPr="00AE782B">
        <w:rPr>
          <w:rFonts w:asciiTheme="minorHAnsi" w:hAnsiTheme="minorHAnsi"/>
          <w:color w:val="000000"/>
          <w:sz w:val="22"/>
        </w:rPr>
        <w:t xml:space="preserve">Інші 8 респондентів надали дані лише для когорти інтервенції або когорти порівняння для описового аналізу. </w:t>
      </w:r>
    </w:p>
    <w:p w:rsidR="00551789" w:rsidRPr="00AE782B" w:rsidRDefault="00AC60AD" w:rsidP="001929AD">
      <w:pPr>
        <w:jc w:val="both"/>
        <w:rPr>
          <w:rFonts w:asciiTheme="minorHAnsi" w:hAnsiTheme="minorHAnsi" w:cstheme="minorHAnsi"/>
          <w:sz w:val="18"/>
        </w:rPr>
      </w:pPr>
      <w:r w:rsidRPr="00AE782B">
        <w:rPr>
          <w:rFonts w:asciiTheme="minorHAnsi" w:hAnsiTheme="minorHAnsi"/>
          <w:color w:val="000000"/>
          <w:sz w:val="22"/>
        </w:rPr>
        <w:t>Загальна достовірність доказів була дуже низькою, оскільки оцінки ефектів ґрунтувалися на даних про результати, отриманих на основі вибірки або записів, отриманих від експертів.</w:t>
      </w:r>
    </w:p>
    <w:p w:rsidR="00551789" w:rsidRPr="00AE782B" w:rsidRDefault="00AC60AD" w:rsidP="00184039">
      <w:pPr>
        <w:spacing w:before="307"/>
        <w:rPr>
          <w:rFonts w:asciiTheme="minorHAnsi" w:hAnsiTheme="minorHAnsi" w:cstheme="minorHAnsi"/>
          <w:sz w:val="18"/>
        </w:rPr>
      </w:pPr>
      <w:r w:rsidRPr="00AE782B">
        <w:rPr>
          <w:rFonts w:asciiTheme="minorHAnsi" w:hAnsiTheme="minorHAnsi"/>
          <w:b/>
          <w:color w:val="000000"/>
          <w:sz w:val="22"/>
        </w:rPr>
        <w:t>Основні висновки</w:t>
      </w:r>
    </w:p>
    <w:p w:rsidR="00551789" w:rsidRPr="00AE782B" w:rsidRDefault="00AC60AD" w:rsidP="00184039">
      <w:pPr>
        <w:jc w:val="both"/>
        <w:rPr>
          <w:rFonts w:asciiTheme="minorHAnsi" w:hAnsiTheme="minorHAnsi" w:cstheme="minorHAnsi"/>
          <w:sz w:val="18"/>
        </w:rPr>
      </w:pPr>
      <w:r w:rsidRPr="00AE782B">
        <w:rPr>
          <w:rFonts w:asciiTheme="minorHAnsi" w:hAnsiTheme="minorHAnsi"/>
          <w:color w:val="000000"/>
          <w:sz w:val="22"/>
        </w:rPr>
        <w:t xml:space="preserve">Докази свідчать про те, що одночасне лікування МР </w:t>
      </w:r>
      <w:proofErr w:type="spellStart"/>
      <w:r w:rsidRPr="00AE782B">
        <w:rPr>
          <w:rFonts w:asciiTheme="minorHAnsi" w:hAnsiTheme="minorHAnsi"/>
          <w:color w:val="000000"/>
          <w:sz w:val="22"/>
        </w:rPr>
        <w:t>ТБ</w:t>
      </w:r>
      <w:proofErr w:type="spellEnd"/>
      <w:r w:rsidRPr="00AE782B">
        <w:rPr>
          <w:rFonts w:asciiTheme="minorHAnsi" w:hAnsiTheme="minorHAnsi"/>
          <w:color w:val="000000"/>
          <w:sz w:val="22"/>
        </w:rPr>
        <w:t xml:space="preserve"> та </w:t>
      </w:r>
      <w:proofErr w:type="spellStart"/>
      <w:r w:rsidRPr="00AE782B">
        <w:rPr>
          <w:rFonts w:asciiTheme="minorHAnsi" w:hAnsiTheme="minorHAnsi"/>
          <w:color w:val="000000"/>
          <w:sz w:val="22"/>
        </w:rPr>
        <w:t>ВГС</w:t>
      </w:r>
      <w:proofErr w:type="spellEnd"/>
      <w:r w:rsidRPr="00AE782B">
        <w:rPr>
          <w:rFonts w:asciiTheme="minorHAnsi" w:hAnsiTheme="minorHAnsi"/>
          <w:color w:val="000000"/>
          <w:sz w:val="22"/>
        </w:rPr>
        <w:t xml:space="preserve">, порівняно з лікуванням лише МР </w:t>
      </w:r>
      <w:proofErr w:type="spellStart"/>
      <w:r w:rsidRPr="00AE782B">
        <w:rPr>
          <w:rFonts w:asciiTheme="minorHAnsi" w:hAnsiTheme="minorHAnsi"/>
          <w:color w:val="000000"/>
          <w:sz w:val="22"/>
        </w:rPr>
        <w:t>ТБ</w:t>
      </w:r>
      <w:proofErr w:type="spellEnd"/>
      <w:r w:rsidRPr="00AE782B">
        <w:rPr>
          <w:rFonts w:asciiTheme="minorHAnsi" w:hAnsiTheme="minorHAnsi"/>
          <w:color w:val="000000"/>
          <w:sz w:val="22"/>
        </w:rPr>
        <w:t xml:space="preserve"> з відтермінуванням лікування </w:t>
      </w:r>
      <w:proofErr w:type="spellStart"/>
      <w:r w:rsidRPr="00AE782B">
        <w:rPr>
          <w:rFonts w:asciiTheme="minorHAnsi" w:hAnsiTheme="minorHAnsi"/>
          <w:color w:val="000000"/>
          <w:sz w:val="22"/>
        </w:rPr>
        <w:t>ВГС</w:t>
      </w:r>
      <w:proofErr w:type="spellEnd"/>
      <w:r w:rsidRPr="00AE782B">
        <w:rPr>
          <w:rFonts w:asciiTheme="minorHAnsi" w:hAnsiTheme="minorHAnsi"/>
          <w:color w:val="000000"/>
          <w:sz w:val="22"/>
        </w:rPr>
        <w:t xml:space="preserve">, може призвести до підвищення успішності лікування МР </w:t>
      </w:r>
      <w:proofErr w:type="spellStart"/>
      <w:r w:rsidRPr="00AE782B">
        <w:rPr>
          <w:rFonts w:asciiTheme="minorHAnsi" w:hAnsiTheme="minorHAnsi"/>
          <w:color w:val="000000"/>
          <w:sz w:val="22"/>
        </w:rPr>
        <w:t>ТБ</w:t>
      </w:r>
      <w:proofErr w:type="spellEnd"/>
      <w:r w:rsidRPr="00AE782B">
        <w:rPr>
          <w:rFonts w:asciiTheme="minorHAnsi" w:hAnsiTheme="minorHAnsi"/>
          <w:color w:val="000000"/>
          <w:sz w:val="22"/>
        </w:rPr>
        <w:t xml:space="preserve">, зменшення кількості випадків невдалого лікування МР </w:t>
      </w:r>
      <w:proofErr w:type="spellStart"/>
      <w:r w:rsidRPr="00AE782B">
        <w:rPr>
          <w:rFonts w:asciiTheme="minorHAnsi" w:hAnsiTheme="minorHAnsi"/>
          <w:color w:val="000000"/>
          <w:sz w:val="22"/>
        </w:rPr>
        <w:t>ТБ</w:t>
      </w:r>
      <w:proofErr w:type="spellEnd"/>
      <w:r w:rsidRPr="00AE782B">
        <w:rPr>
          <w:rFonts w:asciiTheme="minorHAnsi" w:hAnsiTheme="minorHAnsi"/>
          <w:color w:val="000000"/>
          <w:sz w:val="22"/>
        </w:rPr>
        <w:t xml:space="preserve">, меншої кількості втрат при подальшому спостереженні та незначного зниження кількості смертей. Також було визнано потенційну користь від підтримки прихильності до лікування </w:t>
      </w:r>
      <w:proofErr w:type="spellStart"/>
      <w:r w:rsidRPr="00AE782B">
        <w:rPr>
          <w:rFonts w:asciiTheme="minorHAnsi" w:hAnsiTheme="minorHAnsi"/>
          <w:color w:val="000000"/>
          <w:sz w:val="22"/>
        </w:rPr>
        <w:t>ВГС</w:t>
      </w:r>
      <w:proofErr w:type="spellEnd"/>
      <w:r w:rsidRPr="00AE782B">
        <w:rPr>
          <w:rFonts w:asciiTheme="minorHAnsi" w:hAnsiTheme="minorHAnsi"/>
          <w:color w:val="000000"/>
          <w:sz w:val="22"/>
        </w:rPr>
        <w:t xml:space="preserve"> під час лікування МР/Риф-</w:t>
      </w:r>
      <w:proofErr w:type="spellStart"/>
      <w:r w:rsidRPr="00AE782B">
        <w:rPr>
          <w:rFonts w:asciiTheme="minorHAnsi" w:hAnsiTheme="minorHAnsi"/>
          <w:color w:val="000000"/>
          <w:sz w:val="22"/>
        </w:rPr>
        <w:t>ТБ</w:t>
      </w:r>
      <w:proofErr w:type="spellEnd"/>
      <w:r w:rsidRPr="00AE782B">
        <w:rPr>
          <w:rFonts w:asciiTheme="minorHAnsi" w:hAnsiTheme="minorHAnsi"/>
          <w:color w:val="000000"/>
          <w:sz w:val="22"/>
        </w:rPr>
        <w:t xml:space="preserve"> (5).</w:t>
      </w:r>
    </w:p>
    <w:p w:rsidR="00551789" w:rsidRPr="00AE782B" w:rsidRDefault="00AC60AD" w:rsidP="00184039">
      <w:pPr>
        <w:spacing w:before="288"/>
        <w:jc w:val="both"/>
        <w:rPr>
          <w:rFonts w:asciiTheme="minorHAnsi" w:hAnsiTheme="minorHAnsi" w:cstheme="minorHAnsi"/>
          <w:sz w:val="18"/>
        </w:rPr>
      </w:pPr>
      <w:r w:rsidRPr="00AE782B">
        <w:rPr>
          <w:rFonts w:asciiTheme="minorHAnsi" w:hAnsiTheme="minorHAnsi"/>
          <w:color w:val="000000"/>
          <w:sz w:val="22"/>
        </w:rPr>
        <w:t xml:space="preserve">Паралельне лікування </w:t>
      </w:r>
      <w:proofErr w:type="spellStart"/>
      <w:r w:rsidRPr="00AE782B">
        <w:rPr>
          <w:rFonts w:asciiTheme="minorHAnsi" w:hAnsiTheme="minorHAnsi"/>
          <w:color w:val="000000"/>
          <w:sz w:val="22"/>
        </w:rPr>
        <w:t>ВГС</w:t>
      </w:r>
      <w:proofErr w:type="spellEnd"/>
      <w:r w:rsidRPr="00AE782B">
        <w:rPr>
          <w:rFonts w:asciiTheme="minorHAnsi" w:hAnsiTheme="minorHAnsi"/>
          <w:color w:val="000000"/>
          <w:sz w:val="22"/>
        </w:rPr>
        <w:t xml:space="preserve"> та МР/Риф-</w:t>
      </w:r>
      <w:proofErr w:type="spellStart"/>
      <w:r w:rsidRPr="00AE782B">
        <w:rPr>
          <w:rFonts w:asciiTheme="minorHAnsi" w:hAnsiTheme="minorHAnsi"/>
          <w:color w:val="000000"/>
          <w:sz w:val="22"/>
        </w:rPr>
        <w:t>ТБ</w:t>
      </w:r>
      <w:proofErr w:type="spellEnd"/>
      <w:r w:rsidRPr="00AE782B">
        <w:rPr>
          <w:rFonts w:asciiTheme="minorHAnsi" w:hAnsiTheme="minorHAnsi"/>
          <w:color w:val="000000"/>
          <w:sz w:val="22"/>
        </w:rPr>
        <w:t xml:space="preserve"> було визнано доцільним, а загальна користь від нього, ймовірно, переважає потенційну шкоду.</w:t>
      </w:r>
    </w:p>
    <w:p w:rsidR="00551789" w:rsidRPr="00AE782B" w:rsidRDefault="00AC60AD" w:rsidP="00184039">
      <w:pPr>
        <w:spacing w:before="514"/>
      </w:pPr>
      <w:r w:rsidRPr="00AE782B">
        <w:rPr>
          <w:b/>
          <w:color w:val="000000"/>
          <w:sz w:val="28"/>
        </w:rPr>
        <w:t>Підсумок</w:t>
      </w:r>
    </w:p>
    <w:p w:rsidR="00551789" w:rsidRPr="00AE782B" w:rsidRDefault="00AC60AD" w:rsidP="00184039">
      <w:pPr>
        <w:spacing w:before="226"/>
        <w:ind w:left="163"/>
        <w:jc w:val="both"/>
        <w:rPr>
          <w:rFonts w:asciiTheme="minorHAnsi" w:hAnsiTheme="minorHAnsi" w:cstheme="minorHAnsi"/>
          <w:sz w:val="18"/>
        </w:rPr>
      </w:pPr>
      <w:r w:rsidRPr="00AE782B">
        <w:rPr>
          <w:rFonts w:asciiTheme="minorHAnsi" w:hAnsiTheme="minorHAnsi"/>
          <w:color w:val="000000"/>
          <w:sz w:val="22"/>
        </w:rPr>
        <w:t>Докази свідчать про те, що пацієнти з підтвердженим МР/Риф-</w:t>
      </w:r>
      <w:proofErr w:type="spellStart"/>
      <w:r w:rsidRPr="00AE782B">
        <w:rPr>
          <w:rFonts w:asciiTheme="minorHAnsi" w:hAnsiTheme="minorHAnsi"/>
          <w:color w:val="000000"/>
          <w:sz w:val="22"/>
        </w:rPr>
        <w:t>ТБ</w:t>
      </w:r>
      <w:proofErr w:type="spellEnd"/>
      <w:r w:rsidRPr="00AE782B">
        <w:rPr>
          <w:rFonts w:asciiTheme="minorHAnsi" w:hAnsiTheme="minorHAnsi"/>
          <w:color w:val="000000"/>
          <w:sz w:val="22"/>
        </w:rPr>
        <w:t xml:space="preserve"> та гепатитом С можуть отримати користь від одночасного застосування відповідних методів лікування за програмними умовами. Важливо зазначити, що пацієнти, які страждають на МР/Риф-</w:t>
      </w:r>
      <w:proofErr w:type="spellStart"/>
      <w:r w:rsidRPr="00AE782B">
        <w:rPr>
          <w:rFonts w:asciiTheme="minorHAnsi" w:hAnsiTheme="minorHAnsi"/>
          <w:color w:val="000000"/>
          <w:sz w:val="22"/>
        </w:rPr>
        <w:t>ТБ</w:t>
      </w:r>
      <w:proofErr w:type="spellEnd"/>
      <w:r w:rsidRPr="00AE782B">
        <w:rPr>
          <w:rFonts w:asciiTheme="minorHAnsi" w:hAnsiTheme="minorHAnsi"/>
          <w:color w:val="000000"/>
          <w:sz w:val="22"/>
        </w:rPr>
        <w:t>, можуть проходити лікування як коротшими, так і довшими схемами перорального лікування одночасно з лікуванням гепатиту С.</w:t>
      </w:r>
    </w:p>
    <w:p w:rsidR="00551789" w:rsidRPr="00AE782B" w:rsidRDefault="00AC60AD" w:rsidP="00184039">
      <w:pPr>
        <w:numPr>
          <w:ilvl w:val="0"/>
          <w:numId w:val="1"/>
        </w:numPr>
        <w:tabs>
          <w:tab w:val="left" w:pos="883"/>
        </w:tabs>
        <w:spacing w:before="86"/>
        <w:ind w:left="883" w:hanging="360"/>
        <w:jc w:val="both"/>
        <w:rPr>
          <w:rFonts w:asciiTheme="minorHAnsi" w:eastAsia="Times New Roman" w:hAnsiTheme="minorHAnsi" w:cstheme="minorHAnsi"/>
          <w:color w:val="000000"/>
          <w:sz w:val="22"/>
          <w:szCs w:val="24"/>
        </w:rPr>
      </w:pPr>
      <w:r w:rsidRPr="00AE782B">
        <w:rPr>
          <w:rFonts w:asciiTheme="minorHAnsi" w:hAnsiTheme="minorHAnsi"/>
          <w:color w:val="000000"/>
          <w:sz w:val="22"/>
        </w:rPr>
        <w:t xml:space="preserve">Одночасне лікування МР </w:t>
      </w:r>
      <w:proofErr w:type="spellStart"/>
      <w:r w:rsidRPr="00AE782B">
        <w:rPr>
          <w:rFonts w:asciiTheme="minorHAnsi" w:hAnsiTheme="minorHAnsi"/>
          <w:color w:val="000000"/>
          <w:sz w:val="22"/>
        </w:rPr>
        <w:t>ТБ</w:t>
      </w:r>
      <w:proofErr w:type="spellEnd"/>
      <w:r w:rsidRPr="00AE782B">
        <w:rPr>
          <w:rFonts w:asciiTheme="minorHAnsi" w:hAnsiTheme="minorHAnsi"/>
          <w:color w:val="000000"/>
          <w:sz w:val="22"/>
        </w:rPr>
        <w:t xml:space="preserve"> та </w:t>
      </w:r>
      <w:proofErr w:type="spellStart"/>
      <w:r w:rsidRPr="00AE782B">
        <w:rPr>
          <w:rFonts w:asciiTheme="minorHAnsi" w:hAnsiTheme="minorHAnsi"/>
          <w:color w:val="000000"/>
          <w:sz w:val="22"/>
        </w:rPr>
        <w:t>ВГС</w:t>
      </w:r>
      <w:proofErr w:type="spellEnd"/>
      <w:r w:rsidRPr="00AE782B">
        <w:rPr>
          <w:rFonts w:asciiTheme="minorHAnsi" w:hAnsiTheme="minorHAnsi"/>
          <w:color w:val="000000"/>
          <w:sz w:val="22"/>
        </w:rPr>
        <w:t xml:space="preserve"> сприяє ліпшим результатам та економічній ефективності, ніж відкладання лікування </w:t>
      </w:r>
      <w:proofErr w:type="spellStart"/>
      <w:r w:rsidRPr="00AE782B">
        <w:rPr>
          <w:rFonts w:asciiTheme="minorHAnsi" w:hAnsiTheme="minorHAnsi"/>
          <w:color w:val="000000"/>
          <w:sz w:val="22"/>
        </w:rPr>
        <w:t>ВГС</w:t>
      </w:r>
      <w:proofErr w:type="spellEnd"/>
      <w:r w:rsidRPr="00AE782B">
        <w:rPr>
          <w:rFonts w:asciiTheme="minorHAnsi" w:hAnsiTheme="minorHAnsi"/>
          <w:color w:val="000000"/>
          <w:sz w:val="22"/>
        </w:rPr>
        <w:t xml:space="preserve"> до завершення лікування МР/Риф-</w:t>
      </w:r>
      <w:proofErr w:type="spellStart"/>
      <w:r w:rsidRPr="00AE782B">
        <w:rPr>
          <w:rFonts w:asciiTheme="minorHAnsi" w:hAnsiTheme="minorHAnsi"/>
          <w:color w:val="000000"/>
          <w:sz w:val="22"/>
        </w:rPr>
        <w:t>ТБ</w:t>
      </w:r>
      <w:proofErr w:type="spellEnd"/>
      <w:r w:rsidRPr="00AE782B">
        <w:rPr>
          <w:rFonts w:asciiTheme="minorHAnsi" w:hAnsiTheme="minorHAnsi"/>
          <w:color w:val="000000"/>
          <w:sz w:val="22"/>
        </w:rPr>
        <w:t>. Це стосується всіх пацієнтів із підтвердженим діагнозом МР/Риф-</w:t>
      </w:r>
      <w:proofErr w:type="spellStart"/>
      <w:r w:rsidRPr="00AE782B">
        <w:rPr>
          <w:rFonts w:asciiTheme="minorHAnsi" w:hAnsiTheme="minorHAnsi"/>
          <w:color w:val="000000"/>
          <w:sz w:val="22"/>
        </w:rPr>
        <w:t>ТБ</w:t>
      </w:r>
      <w:proofErr w:type="spellEnd"/>
      <w:r w:rsidRPr="00AE782B">
        <w:rPr>
          <w:rFonts w:asciiTheme="minorHAnsi" w:hAnsiTheme="minorHAnsi"/>
          <w:color w:val="000000"/>
          <w:sz w:val="22"/>
        </w:rPr>
        <w:t xml:space="preserve"> та </w:t>
      </w:r>
      <w:proofErr w:type="spellStart"/>
      <w:r w:rsidRPr="00AE782B">
        <w:rPr>
          <w:rFonts w:asciiTheme="minorHAnsi" w:hAnsiTheme="minorHAnsi"/>
          <w:color w:val="000000"/>
          <w:sz w:val="22"/>
        </w:rPr>
        <w:t>ВГС</w:t>
      </w:r>
      <w:proofErr w:type="spellEnd"/>
      <w:r w:rsidRPr="00AE782B">
        <w:rPr>
          <w:rFonts w:asciiTheme="minorHAnsi" w:hAnsiTheme="minorHAnsi"/>
          <w:color w:val="000000"/>
          <w:sz w:val="22"/>
        </w:rPr>
        <w:t>.</w:t>
      </w:r>
    </w:p>
    <w:p w:rsidR="00551789" w:rsidRPr="00AE782B" w:rsidRDefault="00AC60AD" w:rsidP="00184039">
      <w:pPr>
        <w:numPr>
          <w:ilvl w:val="0"/>
          <w:numId w:val="1"/>
        </w:numPr>
        <w:tabs>
          <w:tab w:val="left" w:pos="883"/>
        </w:tabs>
        <w:spacing w:before="91"/>
        <w:ind w:left="883" w:hanging="360"/>
        <w:jc w:val="both"/>
        <w:rPr>
          <w:rFonts w:asciiTheme="minorHAnsi" w:eastAsia="Times New Roman" w:hAnsiTheme="minorHAnsi" w:cstheme="minorHAnsi"/>
          <w:color w:val="000000"/>
          <w:sz w:val="22"/>
          <w:szCs w:val="24"/>
        </w:rPr>
      </w:pPr>
      <w:r w:rsidRPr="00AE782B">
        <w:rPr>
          <w:rFonts w:asciiTheme="minorHAnsi" w:hAnsiTheme="minorHAnsi"/>
          <w:color w:val="000000"/>
          <w:sz w:val="22"/>
        </w:rPr>
        <w:t xml:space="preserve">У пацієнтів із ко-інфекцією лікарсько-стійкого </w:t>
      </w:r>
      <w:proofErr w:type="spellStart"/>
      <w:r w:rsidRPr="00AE782B">
        <w:rPr>
          <w:rFonts w:asciiTheme="minorHAnsi" w:hAnsiTheme="minorHAnsi"/>
          <w:color w:val="000000"/>
          <w:sz w:val="22"/>
        </w:rPr>
        <w:t>ТБ</w:t>
      </w:r>
      <w:proofErr w:type="spellEnd"/>
      <w:r w:rsidRPr="00AE782B">
        <w:rPr>
          <w:rFonts w:asciiTheme="minorHAnsi" w:hAnsiTheme="minorHAnsi"/>
          <w:color w:val="000000"/>
          <w:sz w:val="22"/>
        </w:rPr>
        <w:t xml:space="preserve"> та </w:t>
      </w:r>
      <w:proofErr w:type="spellStart"/>
      <w:r w:rsidRPr="00AE782B">
        <w:rPr>
          <w:rFonts w:asciiTheme="minorHAnsi" w:hAnsiTheme="minorHAnsi"/>
          <w:color w:val="000000"/>
          <w:sz w:val="22"/>
        </w:rPr>
        <w:t>ВГС</w:t>
      </w:r>
      <w:proofErr w:type="spellEnd"/>
      <w:r w:rsidRPr="00AE782B">
        <w:rPr>
          <w:rFonts w:asciiTheme="minorHAnsi" w:hAnsiTheme="minorHAnsi"/>
          <w:color w:val="000000"/>
          <w:sz w:val="22"/>
        </w:rPr>
        <w:t xml:space="preserve"> одночасне лікування </w:t>
      </w:r>
      <w:proofErr w:type="spellStart"/>
      <w:r w:rsidRPr="00AE782B">
        <w:rPr>
          <w:rFonts w:asciiTheme="minorHAnsi" w:hAnsiTheme="minorHAnsi"/>
          <w:color w:val="000000"/>
          <w:sz w:val="22"/>
        </w:rPr>
        <w:t>ВГС</w:t>
      </w:r>
      <w:proofErr w:type="spellEnd"/>
      <w:r w:rsidRPr="00AE782B">
        <w:rPr>
          <w:rFonts w:asciiTheme="minorHAnsi" w:hAnsiTheme="minorHAnsi"/>
          <w:color w:val="000000"/>
          <w:sz w:val="22"/>
        </w:rPr>
        <w:t xml:space="preserve"> та МР/Риф-</w:t>
      </w:r>
      <w:proofErr w:type="spellStart"/>
      <w:r w:rsidRPr="00AE782B">
        <w:rPr>
          <w:rFonts w:asciiTheme="minorHAnsi" w:hAnsiTheme="minorHAnsi"/>
          <w:color w:val="000000"/>
          <w:sz w:val="22"/>
        </w:rPr>
        <w:t>ТБ</w:t>
      </w:r>
      <w:proofErr w:type="spellEnd"/>
      <w:r w:rsidRPr="00AE782B">
        <w:rPr>
          <w:rFonts w:asciiTheme="minorHAnsi" w:hAnsiTheme="minorHAnsi"/>
          <w:color w:val="000000"/>
          <w:sz w:val="22"/>
        </w:rPr>
        <w:t xml:space="preserve"> може дати ліпші результати лікування порівняно з відкладанням лікування </w:t>
      </w:r>
      <w:proofErr w:type="spellStart"/>
      <w:r w:rsidRPr="00AE782B">
        <w:rPr>
          <w:rFonts w:asciiTheme="minorHAnsi" w:hAnsiTheme="minorHAnsi"/>
          <w:color w:val="000000"/>
          <w:sz w:val="22"/>
        </w:rPr>
        <w:t>ВГС</w:t>
      </w:r>
      <w:proofErr w:type="spellEnd"/>
      <w:r w:rsidRPr="00AE782B">
        <w:rPr>
          <w:rFonts w:asciiTheme="minorHAnsi" w:hAnsiTheme="minorHAnsi"/>
          <w:color w:val="000000"/>
          <w:sz w:val="22"/>
        </w:rPr>
        <w:t xml:space="preserve"> до завершення лікування МР/Риф-</w:t>
      </w:r>
      <w:proofErr w:type="spellStart"/>
      <w:r w:rsidRPr="00AE782B">
        <w:rPr>
          <w:rFonts w:asciiTheme="minorHAnsi" w:hAnsiTheme="minorHAnsi"/>
          <w:color w:val="000000"/>
          <w:sz w:val="22"/>
        </w:rPr>
        <w:t>ТБ</w:t>
      </w:r>
      <w:proofErr w:type="spellEnd"/>
      <w:r w:rsidRPr="00AE782B">
        <w:rPr>
          <w:rFonts w:asciiTheme="minorHAnsi" w:hAnsiTheme="minorHAnsi"/>
          <w:color w:val="000000"/>
          <w:sz w:val="22"/>
        </w:rPr>
        <w:t>.</w:t>
      </w:r>
    </w:p>
    <w:p w:rsidR="00551789" w:rsidRPr="00AE782B" w:rsidRDefault="00551789" w:rsidP="00184039">
      <w:pPr>
        <w:numPr>
          <w:ilvl w:val="0"/>
          <w:numId w:val="1"/>
        </w:numPr>
        <w:tabs>
          <w:tab w:val="left" w:pos="883"/>
        </w:tabs>
        <w:spacing w:before="91"/>
        <w:ind w:left="883" w:hanging="360"/>
        <w:jc w:val="both"/>
        <w:rPr>
          <w:rFonts w:asciiTheme="minorHAnsi" w:eastAsia="Times New Roman" w:hAnsiTheme="minorHAnsi" w:cstheme="minorHAnsi"/>
          <w:color w:val="000000"/>
          <w:sz w:val="22"/>
          <w:szCs w:val="24"/>
        </w:rPr>
        <w:sectPr w:rsidR="00551789" w:rsidRPr="00AE782B" w:rsidSect="00140988">
          <w:pgSz w:w="11909" w:h="16838" w:code="9"/>
          <w:pgMar w:top="1418" w:right="1418" w:bottom="1418" w:left="1418" w:header="720" w:footer="1134" w:gutter="0"/>
          <w:cols w:space="60"/>
          <w:noEndnote/>
          <w:docGrid w:linePitch="272"/>
        </w:sectPr>
      </w:pPr>
    </w:p>
    <w:p w:rsidR="00551789" w:rsidRPr="009B67A4" w:rsidRDefault="00AC60AD" w:rsidP="00184039">
      <w:pPr>
        <w:numPr>
          <w:ilvl w:val="0"/>
          <w:numId w:val="1"/>
        </w:numPr>
        <w:tabs>
          <w:tab w:val="left" w:pos="883"/>
        </w:tabs>
        <w:spacing w:before="91"/>
        <w:ind w:left="883" w:hanging="36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9B67A4">
        <w:rPr>
          <w:rFonts w:asciiTheme="minorHAnsi" w:hAnsiTheme="minorHAnsi"/>
          <w:color w:val="000000"/>
          <w:sz w:val="22"/>
          <w:szCs w:val="22"/>
        </w:rPr>
        <w:lastRenderedPageBreak/>
        <w:t xml:space="preserve">При призначенні обох схем лікування </w:t>
      </w:r>
      <w:proofErr w:type="spellStart"/>
      <w:r w:rsidRPr="009B67A4">
        <w:rPr>
          <w:rFonts w:asciiTheme="minorHAnsi" w:hAnsiTheme="minorHAnsi"/>
          <w:color w:val="000000"/>
          <w:sz w:val="22"/>
          <w:szCs w:val="22"/>
        </w:rPr>
        <w:t>ВГС</w:t>
      </w:r>
      <w:proofErr w:type="spellEnd"/>
      <w:r w:rsidRPr="009B67A4">
        <w:rPr>
          <w:rFonts w:asciiTheme="minorHAnsi" w:hAnsiTheme="minorHAnsi"/>
          <w:color w:val="000000"/>
          <w:sz w:val="22"/>
          <w:szCs w:val="22"/>
        </w:rPr>
        <w:t xml:space="preserve"> та МР </w:t>
      </w:r>
      <w:proofErr w:type="spellStart"/>
      <w:r w:rsidRPr="009B67A4">
        <w:rPr>
          <w:rFonts w:asciiTheme="minorHAnsi" w:hAnsiTheme="minorHAnsi"/>
          <w:color w:val="000000"/>
          <w:sz w:val="22"/>
          <w:szCs w:val="22"/>
        </w:rPr>
        <w:t>ТБ</w:t>
      </w:r>
      <w:proofErr w:type="spellEnd"/>
      <w:r w:rsidRPr="009B67A4">
        <w:rPr>
          <w:rFonts w:asciiTheme="minorHAnsi" w:hAnsiTheme="minorHAnsi"/>
          <w:color w:val="000000"/>
          <w:sz w:val="22"/>
          <w:szCs w:val="22"/>
        </w:rPr>
        <w:t xml:space="preserve"> слід керуватися знаннями та міркуваннями щодо потенційних лікарських взаємодій та вподобань пацієнта. Відсутність лікування </w:t>
      </w:r>
      <w:proofErr w:type="spellStart"/>
      <w:r w:rsidRPr="009B67A4">
        <w:rPr>
          <w:rFonts w:asciiTheme="minorHAnsi" w:hAnsiTheme="minorHAnsi"/>
          <w:color w:val="000000"/>
          <w:sz w:val="22"/>
          <w:szCs w:val="22"/>
        </w:rPr>
        <w:t>ВГС</w:t>
      </w:r>
      <w:proofErr w:type="spellEnd"/>
      <w:r w:rsidRPr="009B67A4">
        <w:rPr>
          <w:rFonts w:asciiTheme="minorHAnsi" w:hAnsiTheme="minorHAnsi"/>
          <w:color w:val="000000"/>
          <w:sz w:val="22"/>
          <w:szCs w:val="22"/>
        </w:rPr>
        <w:t xml:space="preserve"> не повинна затримувати початок лікування МР </w:t>
      </w:r>
      <w:proofErr w:type="spellStart"/>
      <w:r w:rsidRPr="009B67A4">
        <w:rPr>
          <w:rFonts w:asciiTheme="minorHAnsi" w:hAnsiTheme="minorHAnsi"/>
          <w:color w:val="000000"/>
          <w:sz w:val="22"/>
          <w:szCs w:val="22"/>
        </w:rPr>
        <w:t>ТБ</w:t>
      </w:r>
      <w:proofErr w:type="spellEnd"/>
      <w:r w:rsidRPr="009B67A4">
        <w:rPr>
          <w:rFonts w:asciiTheme="minorHAnsi" w:hAnsiTheme="minorHAnsi"/>
          <w:color w:val="000000"/>
          <w:sz w:val="22"/>
          <w:szCs w:val="22"/>
        </w:rPr>
        <w:t>.</w:t>
      </w:r>
    </w:p>
    <w:p w:rsidR="00551789" w:rsidRPr="009B67A4" w:rsidRDefault="00AC60AD" w:rsidP="00184039">
      <w:pPr>
        <w:numPr>
          <w:ilvl w:val="0"/>
          <w:numId w:val="1"/>
        </w:numPr>
        <w:tabs>
          <w:tab w:val="left" w:pos="883"/>
        </w:tabs>
        <w:spacing w:before="86"/>
        <w:ind w:left="883" w:hanging="36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9B67A4">
        <w:rPr>
          <w:rFonts w:asciiTheme="minorHAnsi" w:hAnsiTheme="minorHAnsi"/>
          <w:color w:val="000000"/>
          <w:sz w:val="22"/>
          <w:szCs w:val="22"/>
        </w:rPr>
        <w:t xml:space="preserve">Надання лікування повинно відповідати стандартам, рекомендованим </w:t>
      </w:r>
      <w:proofErr w:type="spellStart"/>
      <w:r w:rsidRPr="009B67A4">
        <w:rPr>
          <w:rFonts w:asciiTheme="minorHAnsi" w:hAnsiTheme="minorHAnsi"/>
          <w:color w:val="000000"/>
          <w:sz w:val="22"/>
          <w:szCs w:val="22"/>
        </w:rPr>
        <w:t>ВООЗ</w:t>
      </w:r>
      <w:proofErr w:type="spellEnd"/>
      <w:r w:rsidRPr="009B67A4">
        <w:rPr>
          <w:rFonts w:asciiTheme="minorHAnsi" w:hAnsiTheme="minorHAnsi"/>
          <w:color w:val="000000"/>
          <w:sz w:val="22"/>
          <w:szCs w:val="22"/>
        </w:rPr>
        <w:t>, включаючи орієнтований на пацієнта догляд та підтримку,</w:t>
      </w:r>
      <w:hyperlink r:id="rId9" w:history="1">
        <w:r w:rsidRPr="009B67A4">
          <w:rPr>
            <w:rFonts w:asciiTheme="minorHAnsi" w:hAnsiTheme="minorHAnsi"/>
            <w:color w:val="0066CC"/>
            <w:sz w:val="22"/>
            <w:szCs w:val="22"/>
            <w:u w:val="single"/>
          </w:rPr>
          <w:t xml:space="preserve"> активний </w:t>
        </w:r>
      </w:hyperlink>
      <w:r w:rsidRPr="009B67A4">
        <w:rPr>
          <w:rFonts w:asciiTheme="minorHAnsi" w:hAnsiTheme="minorHAnsi"/>
          <w:color w:val="000000"/>
          <w:sz w:val="22"/>
          <w:szCs w:val="22"/>
        </w:rPr>
        <w:t>моніторинг та управління безпечністю препаратів, а також регулярний нагляд за пацієнтом.</w:t>
      </w:r>
    </w:p>
    <w:p w:rsidR="00551789" w:rsidRPr="009B67A4" w:rsidRDefault="00AC60AD" w:rsidP="00184039">
      <w:pPr>
        <w:spacing w:before="245"/>
      </w:pPr>
      <w:r w:rsidRPr="009B67A4">
        <w:rPr>
          <w:b/>
          <w:color w:val="000000"/>
          <w:sz w:val="28"/>
        </w:rPr>
        <w:t>Подальші етапи</w:t>
      </w:r>
    </w:p>
    <w:p w:rsidR="00551789" w:rsidRPr="009B67A4" w:rsidRDefault="00AC60AD" w:rsidP="00184039">
      <w:pPr>
        <w:numPr>
          <w:ilvl w:val="0"/>
          <w:numId w:val="1"/>
        </w:numPr>
        <w:tabs>
          <w:tab w:val="left" w:pos="360"/>
        </w:tabs>
        <w:spacing w:before="235"/>
        <w:ind w:left="360" w:hanging="360"/>
        <w:jc w:val="both"/>
        <w:rPr>
          <w:rFonts w:asciiTheme="minorHAnsi" w:eastAsia="Times New Roman" w:hAnsiTheme="minorHAnsi" w:cstheme="minorHAnsi"/>
          <w:color w:val="000000"/>
          <w:sz w:val="22"/>
          <w:szCs w:val="24"/>
        </w:rPr>
      </w:pPr>
      <w:r w:rsidRPr="009B67A4">
        <w:rPr>
          <w:rFonts w:asciiTheme="minorHAnsi" w:hAnsiTheme="minorHAnsi"/>
          <w:color w:val="000000"/>
          <w:sz w:val="22"/>
        </w:rPr>
        <w:t xml:space="preserve">Нове видання зведених рекомендацій </w:t>
      </w:r>
      <w:proofErr w:type="spellStart"/>
      <w:r w:rsidRPr="009B67A4">
        <w:rPr>
          <w:rFonts w:asciiTheme="minorHAnsi" w:hAnsiTheme="minorHAnsi"/>
          <w:color w:val="000000"/>
          <w:sz w:val="22"/>
        </w:rPr>
        <w:t>ВООЗ</w:t>
      </w:r>
      <w:proofErr w:type="spellEnd"/>
      <w:r w:rsidRPr="009B67A4">
        <w:rPr>
          <w:rFonts w:asciiTheme="minorHAnsi" w:hAnsiTheme="minorHAnsi"/>
          <w:color w:val="000000"/>
          <w:sz w:val="22"/>
        </w:rPr>
        <w:t xml:space="preserve"> з лікування туберкульозу та лікарсько-стійкого туберкульозу включатиме оновлені рекомендації та детальні результати огляду доказової бази, на основі якого проводився аналіз.</w:t>
      </w:r>
    </w:p>
    <w:p w:rsidR="00551789" w:rsidRPr="009B67A4" w:rsidRDefault="00AC60AD" w:rsidP="00184039">
      <w:pPr>
        <w:numPr>
          <w:ilvl w:val="0"/>
          <w:numId w:val="1"/>
        </w:numPr>
        <w:tabs>
          <w:tab w:val="left" w:pos="360"/>
        </w:tabs>
        <w:spacing w:before="77"/>
        <w:ind w:left="360" w:hanging="360"/>
        <w:jc w:val="both"/>
        <w:rPr>
          <w:rFonts w:asciiTheme="minorHAnsi" w:eastAsia="Times New Roman" w:hAnsiTheme="minorHAnsi" w:cstheme="minorHAnsi"/>
          <w:color w:val="000000"/>
          <w:sz w:val="22"/>
          <w:szCs w:val="24"/>
        </w:rPr>
      </w:pPr>
      <w:r w:rsidRPr="009B67A4">
        <w:rPr>
          <w:rFonts w:asciiTheme="minorHAnsi" w:hAnsiTheme="minorHAnsi"/>
          <w:color w:val="000000"/>
          <w:sz w:val="22"/>
        </w:rPr>
        <w:t xml:space="preserve">Нове видання зведених рекомендацій </w:t>
      </w:r>
      <w:proofErr w:type="spellStart"/>
      <w:r w:rsidRPr="009B67A4">
        <w:rPr>
          <w:rFonts w:asciiTheme="minorHAnsi" w:hAnsiTheme="minorHAnsi"/>
          <w:color w:val="000000"/>
          <w:sz w:val="22"/>
        </w:rPr>
        <w:t>ВООЗ</w:t>
      </w:r>
      <w:proofErr w:type="spellEnd"/>
      <w:r w:rsidRPr="009B67A4">
        <w:rPr>
          <w:rFonts w:asciiTheme="minorHAnsi" w:hAnsiTheme="minorHAnsi"/>
          <w:color w:val="000000"/>
          <w:sz w:val="22"/>
        </w:rPr>
        <w:t xml:space="preserve"> буде супроводжуватися оновленням Оперативного посібника з туберкульозу: Модуль 4: лікування, з додатковою інформацією про відбір пацієнтів, розробку схем лікування, роботу в підгрупах, взаємодію між препаратами, а також моніторинг та оцінку програм.</w:t>
      </w:r>
    </w:p>
    <w:p w:rsidR="00551789" w:rsidRPr="009B67A4" w:rsidRDefault="00AC60AD" w:rsidP="00184039">
      <w:pPr>
        <w:spacing w:before="250"/>
      </w:pPr>
      <w:r w:rsidRPr="009B67A4">
        <w:rPr>
          <w:b/>
          <w:color w:val="000000"/>
          <w:sz w:val="28"/>
        </w:rPr>
        <w:t>Подяка</w:t>
      </w:r>
    </w:p>
    <w:p w:rsidR="00551789" w:rsidRPr="009B67A4" w:rsidRDefault="00AC60AD" w:rsidP="00184039">
      <w:pPr>
        <w:spacing w:before="221"/>
        <w:jc w:val="both"/>
        <w:rPr>
          <w:rFonts w:asciiTheme="minorHAnsi" w:hAnsiTheme="minorHAnsi" w:cstheme="minorHAnsi"/>
          <w:sz w:val="18"/>
        </w:rPr>
      </w:pPr>
      <w:proofErr w:type="spellStart"/>
      <w:r w:rsidRPr="009B67A4">
        <w:rPr>
          <w:rFonts w:asciiTheme="minorHAnsi" w:hAnsiTheme="minorHAnsi"/>
          <w:color w:val="000000"/>
          <w:sz w:val="22"/>
        </w:rPr>
        <w:t>ВООЗ</w:t>
      </w:r>
      <w:proofErr w:type="spellEnd"/>
      <w:r w:rsidRPr="009B67A4">
        <w:rPr>
          <w:rFonts w:asciiTheme="minorHAnsi" w:hAnsiTheme="minorHAnsi"/>
          <w:color w:val="000000"/>
          <w:sz w:val="22"/>
        </w:rPr>
        <w:t xml:space="preserve"> висловлює подяку за роботу членам ГРН, рецензентам доказової бази, національним програмам боротьби з </w:t>
      </w:r>
      <w:proofErr w:type="spellStart"/>
      <w:r w:rsidRPr="009B67A4">
        <w:rPr>
          <w:rFonts w:asciiTheme="minorHAnsi" w:hAnsiTheme="minorHAnsi"/>
          <w:color w:val="000000"/>
          <w:sz w:val="22"/>
        </w:rPr>
        <w:t>ТБ</w:t>
      </w:r>
      <w:proofErr w:type="spellEnd"/>
      <w:r w:rsidRPr="009B67A4">
        <w:rPr>
          <w:rFonts w:asciiTheme="minorHAnsi" w:hAnsiTheme="minorHAnsi"/>
          <w:color w:val="000000"/>
          <w:sz w:val="22"/>
        </w:rPr>
        <w:t xml:space="preserve">, співробітникам </w:t>
      </w:r>
      <w:proofErr w:type="spellStart"/>
      <w:r w:rsidRPr="009B67A4">
        <w:rPr>
          <w:rFonts w:asciiTheme="minorHAnsi" w:hAnsiTheme="minorHAnsi"/>
          <w:color w:val="000000"/>
          <w:sz w:val="22"/>
        </w:rPr>
        <w:t>ВООЗ</w:t>
      </w:r>
      <w:proofErr w:type="spellEnd"/>
      <w:r w:rsidRPr="009B67A4">
        <w:rPr>
          <w:rFonts w:asciiTheme="minorHAnsi" w:hAnsiTheme="minorHAnsi"/>
          <w:color w:val="000000"/>
          <w:sz w:val="22"/>
        </w:rPr>
        <w:t>, технічним та фінансовим партнерам, представникам громад і громадянського суспільства, пацієнтам та особам, які здійснюють догляд за ними, а також клінічним експертам, які надали дані для цієї оновленої версії.</w:t>
      </w:r>
    </w:p>
    <w:p w:rsidR="00551789" w:rsidRPr="009B67A4" w:rsidRDefault="00551789" w:rsidP="00184039">
      <w:pPr>
        <w:spacing w:before="221"/>
        <w:jc w:val="both"/>
        <w:rPr>
          <w:rFonts w:asciiTheme="minorHAnsi" w:hAnsiTheme="minorHAnsi" w:cstheme="minorHAnsi"/>
          <w:sz w:val="18"/>
        </w:rPr>
        <w:sectPr w:rsidR="00551789" w:rsidRPr="009B67A4" w:rsidSect="00140988">
          <w:pgSz w:w="11909" w:h="16838" w:code="9"/>
          <w:pgMar w:top="1418" w:right="1418" w:bottom="1418" w:left="1418" w:header="720" w:footer="1134" w:gutter="0"/>
          <w:cols w:space="60"/>
          <w:noEndnote/>
          <w:docGrid w:linePitch="272"/>
        </w:sectPr>
      </w:pPr>
    </w:p>
    <w:p w:rsidR="00551789" w:rsidRDefault="00AC60AD" w:rsidP="00184039">
      <w:pPr>
        <w:rPr>
          <w:b/>
          <w:color w:val="000000"/>
          <w:sz w:val="28"/>
        </w:rPr>
      </w:pPr>
      <w:r w:rsidRPr="00D431F8">
        <w:rPr>
          <w:b/>
          <w:color w:val="000000"/>
          <w:sz w:val="28"/>
        </w:rPr>
        <w:lastRenderedPageBreak/>
        <w:t>Список використаної літератури:</w:t>
      </w:r>
    </w:p>
    <w:p w:rsidR="00D431F8" w:rsidRPr="00B84A31" w:rsidRDefault="00D431F8" w:rsidP="00D431F8">
      <w:pPr>
        <w:jc w:val="both"/>
        <w:rPr>
          <w:rFonts w:asciiTheme="minorHAnsi" w:hAnsiTheme="minorHAnsi" w:cstheme="minorHAnsi"/>
          <w:sz w:val="18"/>
          <w:lang w:val="ru-UA"/>
        </w:rPr>
      </w:pPr>
      <w:r>
        <w:rPr>
          <w:rFonts w:asciiTheme="minorHAnsi" w:hAnsiTheme="minorHAnsi"/>
          <w:color w:val="000000"/>
          <w:sz w:val="22"/>
          <w:lang w:val="ru-UA"/>
        </w:rPr>
        <w:t>__________________________</w:t>
      </w:r>
    </w:p>
    <w:p w:rsidR="00551789" w:rsidRPr="00D431F8" w:rsidRDefault="00AC60AD" w:rsidP="00D431F8">
      <w:pPr>
        <w:tabs>
          <w:tab w:val="left" w:pos="245"/>
        </w:tabs>
        <w:spacing w:before="120"/>
        <w:rPr>
          <w:rFonts w:asciiTheme="minorHAnsi" w:hAnsiTheme="minorHAnsi" w:cstheme="minorHAnsi"/>
        </w:rPr>
      </w:pPr>
      <w:r w:rsidRPr="00D431F8">
        <w:rPr>
          <w:rFonts w:asciiTheme="minorHAnsi" w:hAnsiTheme="minorHAnsi" w:cstheme="minorHAnsi"/>
          <w:color w:val="000000"/>
        </w:rPr>
        <w:t>1.</w:t>
      </w:r>
      <w:r w:rsidRPr="00D431F8">
        <w:rPr>
          <w:rFonts w:asciiTheme="minorHAnsi" w:hAnsiTheme="minorHAnsi" w:cstheme="minorHAnsi"/>
          <w:color w:val="000000"/>
        </w:rPr>
        <w:tab/>
      </w:r>
      <w:proofErr w:type="spellStart"/>
      <w:r w:rsidRPr="00D431F8">
        <w:rPr>
          <w:rFonts w:asciiTheme="minorHAnsi" w:hAnsiTheme="minorHAnsi" w:cstheme="minorHAnsi"/>
          <w:color w:val="000000"/>
        </w:rPr>
        <w:t>Global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tuberculosis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report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2023. </w:t>
      </w:r>
      <w:proofErr w:type="spellStart"/>
      <w:r w:rsidRPr="00D431F8">
        <w:rPr>
          <w:rFonts w:asciiTheme="minorHAnsi" w:hAnsiTheme="minorHAnsi" w:cstheme="minorHAnsi"/>
          <w:color w:val="000000"/>
        </w:rPr>
        <w:t>Geneva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Pr="00D431F8">
        <w:rPr>
          <w:rFonts w:asciiTheme="minorHAnsi" w:hAnsiTheme="minorHAnsi" w:cstheme="minorHAnsi"/>
          <w:color w:val="000000"/>
        </w:rPr>
        <w:t>World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Health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Organization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; 2023: </w:t>
      </w:r>
      <w:hyperlink r:id="rId10" w:history="1">
        <w:proofErr w:type="spellStart"/>
        <w:r w:rsidRPr="00D431F8">
          <w:rPr>
            <w:rFonts w:asciiTheme="minorHAnsi" w:hAnsiTheme="minorHAnsi" w:cstheme="minorHAnsi"/>
            <w:color w:val="0066CC"/>
            <w:u w:val="single"/>
          </w:rPr>
          <w:t>https</w:t>
        </w:r>
        <w:proofErr w:type="spellEnd"/>
        <w:r w:rsidRPr="00D431F8">
          <w:rPr>
            <w:rFonts w:asciiTheme="minorHAnsi" w:hAnsiTheme="minorHAnsi" w:cstheme="minorHAnsi"/>
            <w:color w:val="0066CC"/>
            <w:u w:val="single"/>
          </w:rPr>
          <w:t>://</w:t>
        </w:r>
        <w:proofErr w:type="spellStart"/>
        <w:r w:rsidRPr="00D431F8">
          <w:rPr>
            <w:rFonts w:asciiTheme="minorHAnsi" w:hAnsiTheme="minorHAnsi" w:cstheme="minorHAnsi"/>
            <w:color w:val="0066CC"/>
            <w:u w:val="single"/>
          </w:rPr>
          <w:t>www.who.int</w:t>
        </w:r>
        <w:proofErr w:type="spellEnd"/>
        <w:r w:rsidRPr="00D431F8">
          <w:rPr>
            <w:rFonts w:asciiTheme="minorHAnsi" w:hAnsiTheme="minorHAnsi" w:cstheme="minorHAnsi"/>
            <w:color w:val="0066CC"/>
            <w:u w:val="single"/>
          </w:rPr>
          <w:t>/</w:t>
        </w:r>
        <w:proofErr w:type="spellStart"/>
        <w:r w:rsidRPr="00D431F8">
          <w:rPr>
            <w:rFonts w:asciiTheme="minorHAnsi" w:hAnsiTheme="minorHAnsi" w:cstheme="minorHAnsi"/>
            <w:color w:val="0066CC"/>
            <w:u w:val="single"/>
          </w:rPr>
          <w:t>publications</w:t>
        </w:r>
        <w:proofErr w:type="spellEnd"/>
        <w:r w:rsidRPr="00D431F8">
          <w:rPr>
            <w:rFonts w:asciiTheme="minorHAnsi" w:hAnsiTheme="minorHAnsi" w:cstheme="minorHAnsi"/>
            <w:color w:val="0066CC"/>
            <w:u w:val="single"/>
          </w:rPr>
          <w:t>/i/</w:t>
        </w:r>
        <w:proofErr w:type="spellStart"/>
        <w:r w:rsidRPr="00D431F8">
          <w:rPr>
            <w:rFonts w:asciiTheme="minorHAnsi" w:hAnsiTheme="minorHAnsi" w:cstheme="minorHAnsi"/>
            <w:color w:val="0066CC"/>
            <w:u w:val="single"/>
          </w:rPr>
          <w:t>item</w:t>
        </w:r>
        <w:proofErr w:type="spellEnd"/>
        <w:r w:rsidRPr="00D431F8">
          <w:rPr>
            <w:rFonts w:asciiTheme="minorHAnsi" w:hAnsiTheme="minorHAnsi" w:cstheme="minorHAnsi"/>
            <w:color w:val="0066CC"/>
            <w:u w:val="single"/>
          </w:rPr>
          <w:t>/9789240083851</w:t>
        </w:r>
      </w:hyperlink>
    </w:p>
    <w:p w:rsidR="00551789" w:rsidRPr="00D431F8" w:rsidRDefault="00AC60AD" w:rsidP="00184039">
      <w:pPr>
        <w:numPr>
          <w:ilvl w:val="0"/>
          <w:numId w:val="2"/>
        </w:numPr>
        <w:tabs>
          <w:tab w:val="left" w:pos="197"/>
        </w:tabs>
        <w:rPr>
          <w:rFonts w:asciiTheme="minorHAnsi" w:hAnsiTheme="minorHAnsi" w:cstheme="minorHAnsi"/>
          <w:color w:val="000000"/>
        </w:rPr>
      </w:pPr>
      <w:proofErr w:type="spellStart"/>
      <w:r w:rsidRPr="00D431F8">
        <w:rPr>
          <w:rFonts w:asciiTheme="minorHAnsi" w:hAnsiTheme="minorHAnsi" w:cstheme="minorHAnsi"/>
          <w:color w:val="000000"/>
        </w:rPr>
        <w:t>Olaru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ID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D431F8">
        <w:rPr>
          <w:rFonts w:asciiTheme="minorHAnsi" w:hAnsiTheme="minorHAnsi" w:cstheme="minorHAnsi"/>
          <w:color w:val="000000"/>
        </w:rPr>
        <w:t>Denkinger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CM, </w:t>
      </w:r>
      <w:proofErr w:type="spellStart"/>
      <w:r w:rsidRPr="00D431F8">
        <w:rPr>
          <w:rFonts w:asciiTheme="minorHAnsi" w:hAnsiTheme="minorHAnsi" w:cstheme="minorHAnsi"/>
          <w:color w:val="000000"/>
        </w:rPr>
        <w:t>et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al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., </w:t>
      </w:r>
      <w:proofErr w:type="spellStart"/>
      <w:r w:rsidRPr="00D431F8">
        <w:rPr>
          <w:rFonts w:asciiTheme="minorHAnsi" w:hAnsiTheme="minorHAnsi" w:cstheme="minorHAnsi"/>
          <w:color w:val="000000"/>
        </w:rPr>
        <w:t>Global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Prevalence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of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Hepatitis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B </w:t>
      </w:r>
      <w:proofErr w:type="spellStart"/>
      <w:r w:rsidRPr="00D431F8">
        <w:rPr>
          <w:rFonts w:asciiTheme="minorHAnsi" w:hAnsiTheme="minorHAnsi" w:cstheme="minorHAnsi"/>
          <w:color w:val="000000"/>
        </w:rPr>
        <w:t>or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Hepatitis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C </w:t>
      </w:r>
      <w:proofErr w:type="spellStart"/>
      <w:r w:rsidRPr="00D431F8">
        <w:rPr>
          <w:rFonts w:asciiTheme="minorHAnsi" w:hAnsiTheme="minorHAnsi" w:cstheme="minorHAnsi"/>
          <w:color w:val="000000"/>
        </w:rPr>
        <w:t>Infection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among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Patients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with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Tuberculosis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Disease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Pr="00D431F8">
        <w:rPr>
          <w:rFonts w:asciiTheme="minorHAnsi" w:hAnsiTheme="minorHAnsi" w:cstheme="minorHAnsi"/>
          <w:color w:val="000000"/>
        </w:rPr>
        <w:t>Systematic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Review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and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Meta-Analysis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’. </w:t>
      </w:r>
      <w:proofErr w:type="spellStart"/>
      <w:r w:rsidRPr="00D431F8">
        <w:rPr>
          <w:rFonts w:asciiTheme="minorHAnsi" w:hAnsiTheme="minorHAnsi" w:cstheme="minorHAnsi"/>
          <w:color w:val="000000"/>
        </w:rPr>
        <w:t>eClinicalMedicine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D431F8">
        <w:rPr>
          <w:rFonts w:asciiTheme="minorHAnsi" w:hAnsiTheme="minorHAnsi" w:cstheme="minorHAnsi"/>
          <w:color w:val="000000"/>
        </w:rPr>
        <w:t>vol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. 58, 2023, 2022 </w:t>
      </w:r>
      <w:hyperlink r:id="rId11" w:history="1">
        <w:proofErr w:type="spellStart"/>
        <w:r w:rsidRPr="00D431F8">
          <w:rPr>
            <w:rFonts w:asciiTheme="minorHAnsi" w:hAnsiTheme="minorHAnsi" w:cstheme="minorHAnsi"/>
            <w:color w:val="0066CC"/>
            <w:u w:val="single"/>
          </w:rPr>
          <w:t>https</w:t>
        </w:r>
        <w:proofErr w:type="spellEnd"/>
        <w:r w:rsidRPr="00D431F8">
          <w:rPr>
            <w:rFonts w:asciiTheme="minorHAnsi" w:hAnsiTheme="minorHAnsi" w:cstheme="minorHAnsi"/>
            <w:color w:val="0066CC"/>
            <w:u w:val="single"/>
          </w:rPr>
          <w:t>://</w:t>
        </w:r>
        <w:proofErr w:type="spellStart"/>
        <w:r w:rsidRPr="00D431F8">
          <w:rPr>
            <w:rFonts w:asciiTheme="minorHAnsi" w:hAnsiTheme="minorHAnsi" w:cstheme="minorHAnsi"/>
            <w:color w:val="0066CC"/>
            <w:u w:val="single"/>
          </w:rPr>
          <w:t>doi.org</w:t>
        </w:r>
        <w:proofErr w:type="spellEnd"/>
        <w:r w:rsidRPr="00D431F8">
          <w:rPr>
            <w:rFonts w:asciiTheme="minorHAnsi" w:hAnsiTheme="minorHAnsi" w:cstheme="minorHAnsi"/>
            <w:color w:val="0066CC"/>
            <w:u w:val="single"/>
          </w:rPr>
          <w:t>/10.1016/</w:t>
        </w:r>
        <w:proofErr w:type="spellStart"/>
        <w:r w:rsidRPr="00D431F8">
          <w:rPr>
            <w:rFonts w:asciiTheme="minorHAnsi" w:hAnsiTheme="minorHAnsi" w:cstheme="minorHAnsi"/>
            <w:color w:val="0066CC"/>
            <w:u w:val="single"/>
          </w:rPr>
          <w:t>j.eclinm.2023.101938</w:t>
        </w:r>
        <w:proofErr w:type="spellEnd"/>
      </w:hyperlink>
    </w:p>
    <w:p w:rsidR="00551789" w:rsidRPr="00D431F8" w:rsidRDefault="00AC60AD" w:rsidP="00184039">
      <w:pPr>
        <w:numPr>
          <w:ilvl w:val="0"/>
          <w:numId w:val="2"/>
        </w:numPr>
        <w:tabs>
          <w:tab w:val="left" w:pos="197"/>
        </w:tabs>
        <w:rPr>
          <w:rFonts w:asciiTheme="minorHAnsi" w:hAnsiTheme="minorHAnsi" w:cstheme="minorHAnsi"/>
          <w:color w:val="000000"/>
        </w:rPr>
      </w:pPr>
      <w:proofErr w:type="spellStart"/>
      <w:r w:rsidRPr="00D431F8">
        <w:rPr>
          <w:rFonts w:asciiTheme="minorHAnsi" w:hAnsiTheme="minorHAnsi" w:cstheme="minorHAnsi"/>
          <w:color w:val="000000"/>
        </w:rPr>
        <w:t>Zoratti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MJ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D431F8">
        <w:rPr>
          <w:rFonts w:asciiTheme="minorHAnsi" w:hAnsiTheme="minorHAnsi" w:cstheme="minorHAnsi"/>
          <w:color w:val="000000"/>
        </w:rPr>
        <w:t>Siddiqua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A, </w:t>
      </w:r>
      <w:proofErr w:type="spellStart"/>
      <w:r w:rsidRPr="00D431F8">
        <w:rPr>
          <w:rFonts w:asciiTheme="minorHAnsi" w:hAnsiTheme="minorHAnsi" w:cstheme="minorHAnsi"/>
          <w:color w:val="000000"/>
        </w:rPr>
        <w:t>Morassut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RE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D431F8">
        <w:rPr>
          <w:rFonts w:asciiTheme="minorHAnsi" w:hAnsiTheme="minorHAnsi" w:cstheme="minorHAnsi"/>
          <w:color w:val="000000"/>
        </w:rPr>
        <w:t>Zeraatkar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D, </w:t>
      </w:r>
      <w:proofErr w:type="spellStart"/>
      <w:r w:rsidRPr="00D431F8">
        <w:rPr>
          <w:rFonts w:asciiTheme="minorHAnsi" w:hAnsiTheme="minorHAnsi" w:cstheme="minorHAnsi"/>
          <w:color w:val="000000"/>
        </w:rPr>
        <w:t>Chou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R, </w:t>
      </w:r>
      <w:proofErr w:type="spellStart"/>
      <w:r w:rsidRPr="00D431F8">
        <w:rPr>
          <w:rFonts w:asciiTheme="minorHAnsi" w:hAnsiTheme="minorHAnsi" w:cstheme="minorHAnsi"/>
          <w:color w:val="000000"/>
        </w:rPr>
        <w:t>van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Holten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J, </w:t>
      </w:r>
      <w:proofErr w:type="spellStart"/>
      <w:r w:rsidRPr="00D431F8">
        <w:rPr>
          <w:rFonts w:asciiTheme="minorHAnsi" w:hAnsiTheme="minorHAnsi" w:cstheme="minorHAnsi"/>
          <w:color w:val="000000"/>
        </w:rPr>
        <w:t>Xie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F, </w:t>
      </w:r>
      <w:proofErr w:type="spellStart"/>
      <w:r w:rsidRPr="00D431F8">
        <w:rPr>
          <w:rFonts w:asciiTheme="minorHAnsi" w:hAnsiTheme="minorHAnsi" w:cstheme="minorHAnsi"/>
          <w:color w:val="000000"/>
        </w:rPr>
        <w:t>Druyts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E. </w:t>
      </w:r>
      <w:proofErr w:type="spellStart"/>
      <w:r w:rsidRPr="00D431F8">
        <w:rPr>
          <w:rFonts w:asciiTheme="minorHAnsi" w:hAnsiTheme="minorHAnsi" w:cstheme="minorHAnsi"/>
          <w:color w:val="000000"/>
        </w:rPr>
        <w:t>Pangenotypic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direct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acting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antivirals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for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the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treatment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of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chronic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hepatitis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C </w:t>
      </w:r>
      <w:proofErr w:type="spellStart"/>
      <w:r w:rsidRPr="00D431F8">
        <w:rPr>
          <w:rFonts w:asciiTheme="minorHAnsi" w:hAnsiTheme="minorHAnsi" w:cstheme="minorHAnsi"/>
          <w:color w:val="000000"/>
        </w:rPr>
        <w:t>virus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infection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: A </w:t>
      </w:r>
      <w:proofErr w:type="spellStart"/>
      <w:r w:rsidRPr="00D431F8">
        <w:rPr>
          <w:rFonts w:asciiTheme="minorHAnsi" w:hAnsiTheme="minorHAnsi" w:cstheme="minorHAnsi"/>
          <w:color w:val="000000"/>
        </w:rPr>
        <w:t>systematic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literature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review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and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meta-analysis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D431F8">
        <w:rPr>
          <w:rFonts w:asciiTheme="minorHAnsi" w:hAnsiTheme="minorHAnsi" w:cstheme="minorHAnsi"/>
          <w:color w:val="000000"/>
        </w:rPr>
        <w:t>EClinicalMedicine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. 2020 </w:t>
      </w:r>
      <w:proofErr w:type="spellStart"/>
      <w:r w:rsidRPr="00D431F8">
        <w:rPr>
          <w:rFonts w:asciiTheme="minorHAnsi" w:hAnsiTheme="minorHAnsi" w:cstheme="minorHAnsi"/>
          <w:color w:val="000000"/>
        </w:rPr>
        <w:t>Jan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r w:rsidRPr="00D431F8">
        <w:rPr>
          <w:rFonts w:asciiTheme="minorHAnsi" w:hAnsiTheme="minorHAnsi" w:cstheme="minorHAnsi"/>
          <w:color w:val="212121"/>
        </w:rPr>
        <w:t xml:space="preserve">5; 18:100237. </w:t>
      </w:r>
      <w:proofErr w:type="spellStart"/>
      <w:r w:rsidRPr="00D431F8">
        <w:rPr>
          <w:rFonts w:asciiTheme="minorHAnsi" w:hAnsiTheme="minorHAnsi" w:cstheme="minorHAnsi"/>
          <w:color w:val="212121"/>
        </w:rPr>
        <w:t>doi</w:t>
      </w:r>
      <w:proofErr w:type="spellEnd"/>
      <w:r w:rsidRPr="00D431F8">
        <w:rPr>
          <w:rFonts w:asciiTheme="minorHAnsi" w:hAnsiTheme="minorHAnsi" w:cstheme="minorHAnsi"/>
          <w:color w:val="212121"/>
        </w:rPr>
        <w:t>:</w:t>
      </w:r>
      <w:hyperlink r:id="rId12" w:history="1">
        <w:r w:rsidRPr="00D431F8">
          <w:rPr>
            <w:rFonts w:asciiTheme="minorHAnsi" w:hAnsiTheme="minorHAnsi" w:cstheme="minorHAnsi"/>
            <w:color w:val="0066CC"/>
            <w:u w:val="single"/>
          </w:rPr>
          <w:t xml:space="preserve"> 10.1016/</w:t>
        </w:r>
        <w:proofErr w:type="spellStart"/>
        <w:r w:rsidRPr="00D431F8">
          <w:rPr>
            <w:rFonts w:asciiTheme="minorHAnsi" w:hAnsiTheme="minorHAnsi" w:cstheme="minorHAnsi"/>
            <w:color w:val="0066CC"/>
            <w:u w:val="single"/>
          </w:rPr>
          <w:t>j.eclinm.2019.12.007</w:t>
        </w:r>
        <w:proofErr w:type="spellEnd"/>
      </w:hyperlink>
    </w:p>
    <w:p w:rsidR="00551789" w:rsidRPr="00D431F8" w:rsidRDefault="00AC60AD" w:rsidP="00184039">
      <w:pPr>
        <w:numPr>
          <w:ilvl w:val="0"/>
          <w:numId w:val="2"/>
        </w:numPr>
        <w:tabs>
          <w:tab w:val="left" w:pos="197"/>
        </w:tabs>
        <w:rPr>
          <w:rFonts w:asciiTheme="minorHAnsi" w:hAnsiTheme="minorHAnsi" w:cstheme="minorHAnsi"/>
          <w:color w:val="000000"/>
        </w:rPr>
      </w:pPr>
      <w:proofErr w:type="spellStart"/>
      <w:r w:rsidRPr="00D431F8">
        <w:rPr>
          <w:rFonts w:asciiTheme="minorHAnsi" w:hAnsiTheme="minorHAnsi" w:cstheme="minorHAnsi"/>
          <w:color w:val="000000"/>
        </w:rPr>
        <w:t>Olaru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ID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D431F8">
        <w:rPr>
          <w:rFonts w:asciiTheme="minorHAnsi" w:hAnsiTheme="minorHAnsi" w:cstheme="minorHAnsi"/>
          <w:color w:val="000000"/>
        </w:rPr>
        <w:t>Denkinger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CM, </w:t>
      </w:r>
      <w:proofErr w:type="spellStart"/>
      <w:r w:rsidRPr="00D431F8">
        <w:rPr>
          <w:rFonts w:asciiTheme="minorHAnsi" w:hAnsiTheme="minorHAnsi" w:cstheme="minorHAnsi"/>
          <w:color w:val="000000"/>
        </w:rPr>
        <w:t>et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al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., </w:t>
      </w:r>
      <w:proofErr w:type="spellStart"/>
      <w:r w:rsidRPr="00D431F8">
        <w:rPr>
          <w:rFonts w:asciiTheme="minorHAnsi" w:hAnsiTheme="minorHAnsi" w:cstheme="minorHAnsi"/>
          <w:color w:val="000000"/>
        </w:rPr>
        <w:t>Co-Administration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of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Treatment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for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Drug-Resistant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TB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and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Hepatitis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C.’ </w:t>
      </w:r>
      <w:proofErr w:type="spellStart"/>
      <w:r w:rsidRPr="00D431F8">
        <w:rPr>
          <w:rFonts w:asciiTheme="minorHAnsi" w:hAnsiTheme="minorHAnsi" w:cstheme="minorHAnsi"/>
          <w:color w:val="000000"/>
        </w:rPr>
        <w:t>The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International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Journal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of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Tuberculosis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and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Lung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Disease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 : </w:t>
      </w:r>
      <w:proofErr w:type="spellStart"/>
      <w:r w:rsidRPr="00D431F8">
        <w:rPr>
          <w:rFonts w:asciiTheme="minorHAnsi" w:hAnsiTheme="minorHAnsi" w:cstheme="minorHAnsi"/>
          <w:color w:val="000000"/>
        </w:rPr>
        <w:t>The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Official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Journal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of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the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International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Union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against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Tuberculosis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and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Lung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Disease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D431F8">
        <w:rPr>
          <w:rFonts w:asciiTheme="minorHAnsi" w:hAnsiTheme="minorHAnsi" w:cstheme="minorHAnsi"/>
          <w:color w:val="000000"/>
        </w:rPr>
        <w:t>Jan</w:t>
      </w:r>
      <w:proofErr w:type="spellEnd"/>
      <w:r w:rsidRPr="00D431F8">
        <w:rPr>
          <w:rFonts w:asciiTheme="minorHAnsi" w:hAnsiTheme="minorHAnsi" w:cstheme="minorHAnsi"/>
          <w:color w:val="000000"/>
        </w:rPr>
        <w:t>. 2023.</w:t>
      </w:r>
      <w:hyperlink r:id="rId13" w:history="1">
        <w:r w:rsidRPr="00D431F8">
          <w:rPr>
            <w:rFonts w:asciiTheme="minorHAnsi" w:hAnsiTheme="minorHAnsi" w:cstheme="minorHAnsi"/>
            <w:color w:val="0066CC"/>
            <w:u w:val="single"/>
          </w:rPr>
          <w:t xml:space="preserve"> </w:t>
        </w:r>
        <w:proofErr w:type="spellStart"/>
        <w:r w:rsidRPr="00D431F8">
          <w:rPr>
            <w:rFonts w:asciiTheme="minorHAnsi" w:hAnsiTheme="minorHAnsi" w:cstheme="minorHAnsi"/>
            <w:color w:val="0066CC"/>
            <w:u w:val="single"/>
          </w:rPr>
          <w:t>https</w:t>
        </w:r>
        <w:proofErr w:type="spellEnd"/>
        <w:r w:rsidRPr="00D431F8">
          <w:rPr>
            <w:rFonts w:asciiTheme="minorHAnsi" w:hAnsiTheme="minorHAnsi" w:cstheme="minorHAnsi"/>
            <w:color w:val="0066CC"/>
            <w:u w:val="single"/>
          </w:rPr>
          <w:t>://</w:t>
        </w:r>
        <w:proofErr w:type="spellStart"/>
        <w:r w:rsidRPr="00D431F8">
          <w:rPr>
            <w:rFonts w:asciiTheme="minorHAnsi" w:hAnsiTheme="minorHAnsi" w:cstheme="minorHAnsi"/>
            <w:color w:val="0066CC"/>
            <w:u w:val="single"/>
          </w:rPr>
          <w:t>doi.org</w:t>
        </w:r>
        <w:proofErr w:type="spellEnd"/>
        <w:r w:rsidRPr="00D431F8">
          <w:rPr>
            <w:rFonts w:asciiTheme="minorHAnsi" w:hAnsiTheme="minorHAnsi" w:cstheme="minorHAnsi"/>
            <w:color w:val="0066CC"/>
            <w:u w:val="single"/>
          </w:rPr>
          <w:t>/10.5588/</w:t>
        </w:r>
        <w:proofErr w:type="spellStart"/>
        <w:r w:rsidRPr="00D431F8">
          <w:rPr>
            <w:rFonts w:asciiTheme="minorHAnsi" w:hAnsiTheme="minorHAnsi" w:cstheme="minorHAnsi"/>
            <w:color w:val="0066CC"/>
            <w:u w:val="single"/>
          </w:rPr>
          <w:t>ijtld.22.0403</w:t>
        </w:r>
        <w:proofErr w:type="spellEnd"/>
        <w:r w:rsidRPr="00D431F8">
          <w:rPr>
            <w:rFonts w:asciiTheme="minorHAnsi" w:hAnsiTheme="minorHAnsi" w:cstheme="minorHAnsi"/>
            <w:color w:val="0066CC"/>
            <w:u w:val="single"/>
          </w:rPr>
          <w:t>.</w:t>
        </w:r>
      </w:hyperlink>
    </w:p>
    <w:p w:rsidR="00551789" w:rsidRPr="00D431F8" w:rsidRDefault="00AC60AD" w:rsidP="00184039">
      <w:pPr>
        <w:numPr>
          <w:ilvl w:val="0"/>
          <w:numId w:val="3"/>
        </w:numPr>
        <w:tabs>
          <w:tab w:val="left" w:pos="240"/>
        </w:tabs>
        <w:rPr>
          <w:rFonts w:asciiTheme="minorHAnsi" w:hAnsiTheme="minorHAnsi" w:cstheme="minorHAnsi"/>
          <w:color w:val="000000"/>
        </w:rPr>
      </w:pPr>
      <w:proofErr w:type="spellStart"/>
      <w:r w:rsidRPr="00D431F8">
        <w:rPr>
          <w:rFonts w:asciiTheme="minorHAnsi" w:hAnsiTheme="minorHAnsi" w:cstheme="minorHAnsi"/>
          <w:color w:val="000000"/>
        </w:rPr>
        <w:t>Schunemann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, H. J., </w:t>
      </w:r>
      <w:proofErr w:type="spellStart"/>
      <w:r w:rsidRPr="00D431F8">
        <w:rPr>
          <w:rFonts w:asciiTheme="minorHAnsi" w:hAnsiTheme="minorHAnsi" w:cstheme="minorHAnsi"/>
          <w:color w:val="000000"/>
        </w:rPr>
        <w:t>et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al</w:t>
      </w:r>
      <w:proofErr w:type="spellEnd"/>
      <w:r w:rsidRPr="00D431F8">
        <w:rPr>
          <w:rFonts w:asciiTheme="minorHAnsi" w:hAnsiTheme="minorHAnsi" w:cstheme="minorHAnsi"/>
          <w:color w:val="000000"/>
        </w:rPr>
        <w:t>. ‘</w:t>
      </w:r>
      <w:proofErr w:type="spellStart"/>
      <w:r w:rsidRPr="00D431F8">
        <w:rPr>
          <w:rFonts w:asciiTheme="minorHAnsi" w:hAnsiTheme="minorHAnsi" w:cstheme="minorHAnsi"/>
          <w:color w:val="000000"/>
        </w:rPr>
        <w:t>Distinguishing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Opinion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from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Evidence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in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Guidelines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’. </w:t>
      </w:r>
      <w:proofErr w:type="spellStart"/>
      <w:r w:rsidRPr="00D431F8">
        <w:rPr>
          <w:rFonts w:asciiTheme="minorHAnsi" w:hAnsiTheme="minorHAnsi" w:cstheme="minorHAnsi"/>
          <w:color w:val="000000"/>
        </w:rPr>
        <w:t>BMJ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D431F8">
        <w:rPr>
          <w:rFonts w:asciiTheme="minorHAnsi" w:hAnsiTheme="minorHAnsi" w:cstheme="minorHAnsi"/>
          <w:color w:val="000000"/>
        </w:rPr>
        <w:t>vol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. 366, </w:t>
      </w:r>
      <w:proofErr w:type="spellStart"/>
      <w:r w:rsidRPr="00D431F8">
        <w:rPr>
          <w:rFonts w:asciiTheme="minorHAnsi" w:hAnsiTheme="minorHAnsi" w:cstheme="minorHAnsi"/>
          <w:color w:val="000000"/>
        </w:rPr>
        <w:t>July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2019. </w:t>
      </w:r>
      <w:hyperlink r:id="rId14" w:history="1">
        <w:proofErr w:type="spellStart"/>
        <w:r w:rsidRPr="00D431F8">
          <w:rPr>
            <w:rFonts w:asciiTheme="minorHAnsi" w:hAnsiTheme="minorHAnsi" w:cstheme="minorHAnsi"/>
            <w:color w:val="0066CC"/>
            <w:u w:val="single"/>
          </w:rPr>
          <w:t>https</w:t>
        </w:r>
        <w:proofErr w:type="spellEnd"/>
        <w:r w:rsidRPr="00D431F8">
          <w:rPr>
            <w:rFonts w:asciiTheme="minorHAnsi" w:hAnsiTheme="minorHAnsi" w:cstheme="minorHAnsi"/>
            <w:color w:val="0066CC"/>
            <w:u w:val="single"/>
          </w:rPr>
          <w:t>://</w:t>
        </w:r>
        <w:proofErr w:type="spellStart"/>
        <w:r w:rsidRPr="00D431F8">
          <w:rPr>
            <w:rFonts w:asciiTheme="minorHAnsi" w:hAnsiTheme="minorHAnsi" w:cstheme="minorHAnsi"/>
            <w:color w:val="0066CC"/>
            <w:u w:val="single"/>
          </w:rPr>
          <w:t>doi.org</w:t>
        </w:r>
        <w:proofErr w:type="spellEnd"/>
        <w:r w:rsidRPr="00D431F8">
          <w:rPr>
            <w:rFonts w:asciiTheme="minorHAnsi" w:hAnsiTheme="minorHAnsi" w:cstheme="minorHAnsi"/>
            <w:color w:val="0066CC"/>
            <w:u w:val="single"/>
          </w:rPr>
          <w:t>/10.1136/</w:t>
        </w:r>
        <w:proofErr w:type="spellStart"/>
        <w:r w:rsidRPr="00D431F8">
          <w:rPr>
            <w:rFonts w:asciiTheme="minorHAnsi" w:hAnsiTheme="minorHAnsi" w:cstheme="minorHAnsi"/>
            <w:color w:val="0066CC"/>
            <w:u w:val="single"/>
          </w:rPr>
          <w:t>bmj.l4606</w:t>
        </w:r>
        <w:proofErr w:type="spellEnd"/>
      </w:hyperlink>
    </w:p>
    <w:p w:rsidR="00551789" w:rsidRPr="00D431F8" w:rsidRDefault="00AC60AD" w:rsidP="00184039">
      <w:pPr>
        <w:numPr>
          <w:ilvl w:val="0"/>
          <w:numId w:val="3"/>
        </w:numPr>
        <w:tabs>
          <w:tab w:val="left" w:pos="240"/>
        </w:tabs>
        <w:rPr>
          <w:rFonts w:asciiTheme="minorHAnsi" w:hAnsiTheme="minorHAnsi" w:cstheme="minorHAnsi"/>
          <w:color w:val="000000"/>
        </w:rPr>
      </w:pPr>
      <w:proofErr w:type="spellStart"/>
      <w:r w:rsidRPr="00D431F8">
        <w:rPr>
          <w:rFonts w:asciiTheme="minorHAnsi" w:hAnsiTheme="minorHAnsi" w:cstheme="minorHAnsi"/>
          <w:color w:val="000000"/>
        </w:rPr>
        <w:t>GRADE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working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group</w:t>
      </w:r>
      <w:proofErr w:type="spellEnd"/>
      <w:r w:rsidRPr="00D431F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431F8">
        <w:rPr>
          <w:rFonts w:asciiTheme="minorHAnsi" w:hAnsiTheme="minorHAnsi" w:cstheme="minorHAnsi"/>
          <w:color w:val="000000"/>
        </w:rPr>
        <w:t>website</w:t>
      </w:r>
      <w:proofErr w:type="spellEnd"/>
      <w:r w:rsidRPr="00D431F8">
        <w:rPr>
          <w:rFonts w:asciiTheme="minorHAnsi" w:hAnsiTheme="minorHAnsi" w:cstheme="minorHAnsi"/>
          <w:color w:val="0000FF"/>
          <w:u w:val="single"/>
        </w:rPr>
        <w:t xml:space="preserve">. </w:t>
      </w:r>
      <w:hyperlink r:id="rId15" w:history="1">
        <w:r w:rsidRPr="00D431F8">
          <w:rPr>
            <w:rFonts w:asciiTheme="minorHAnsi" w:hAnsiTheme="minorHAnsi" w:cstheme="minorHAnsi"/>
            <w:color w:val="0066CC"/>
            <w:u w:val="single"/>
          </w:rPr>
          <w:t xml:space="preserve"> </w:t>
        </w:r>
        <w:proofErr w:type="spellStart"/>
        <w:r w:rsidRPr="00D431F8">
          <w:rPr>
            <w:rFonts w:asciiTheme="minorHAnsi" w:hAnsiTheme="minorHAnsi" w:cstheme="minorHAnsi"/>
            <w:color w:val="0066CC"/>
            <w:u w:val="single"/>
          </w:rPr>
          <w:t>https</w:t>
        </w:r>
        <w:proofErr w:type="spellEnd"/>
        <w:r w:rsidRPr="00D431F8">
          <w:rPr>
            <w:rFonts w:asciiTheme="minorHAnsi" w:hAnsiTheme="minorHAnsi" w:cstheme="minorHAnsi"/>
            <w:color w:val="0066CC"/>
            <w:u w:val="single"/>
          </w:rPr>
          <w:t>://</w:t>
        </w:r>
        <w:proofErr w:type="spellStart"/>
        <w:r w:rsidRPr="00D431F8">
          <w:rPr>
            <w:rFonts w:asciiTheme="minorHAnsi" w:hAnsiTheme="minorHAnsi" w:cstheme="minorHAnsi"/>
            <w:color w:val="0066CC"/>
            <w:u w:val="single"/>
          </w:rPr>
          <w:t>www.gradeworkinggroup.org</w:t>
        </w:r>
        <w:proofErr w:type="spellEnd"/>
        <w:r w:rsidRPr="00D431F8">
          <w:rPr>
            <w:rFonts w:asciiTheme="minorHAnsi" w:hAnsiTheme="minorHAnsi" w:cstheme="minorHAnsi"/>
            <w:color w:val="0066CC"/>
            <w:u w:val="single"/>
          </w:rPr>
          <w:t>/</w:t>
        </w:r>
      </w:hyperlink>
    </w:p>
    <w:p w:rsidR="00551789" w:rsidRPr="00D431F8" w:rsidRDefault="00551789" w:rsidP="00184039">
      <w:pPr>
        <w:numPr>
          <w:ilvl w:val="0"/>
          <w:numId w:val="3"/>
        </w:numPr>
        <w:tabs>
          <w:tab w:val="left" w:pos="240"/>
        </w:tabs>
        <w:rPr>
          <w:rFonts w:asciiTheme="minorHAnsi" w:hAnsiTheme="minorHAnsi" w:cstheme="minorHAnsi"/>
          <w:color w:val="000000"/>
        </w:rPr>
        <w:sectPr w:rsidR="00551789" w:rsidRPr="00D431F8" w:rsidSect="00140988">
          <w:pgSz w:w="11909" w:h="16838" w:code="9"/>
          <w:pgMar w:top="1418" w:right="1418" w:bottom="1418" w:left="1418" w:header="720" w:footer="1134" w:gutter="0"/>
          <w:cols w:space="60"/>
          <w:noEndnote/>
          <w:docGrid w:linePitch="272"/>
        </w:sectPr>
      </w:pPr>
    </w:p>
    <w:p w:rsidR="00551789" w:rsidRPr="001963AA" w:rsidRDefault="00AC60AD" w:rsidP="001963AA">
      <w:pPr>
        <w:jc w:val="both"/>
        <w:rPr>
          <w:rFonts w:asciiTheme="minorHAnsi" w:hAnsiTheme="minorHAnsi" w:cstheme="minorHAnsi"/>
          <w:sz w:val="22"/>
          <w:szCs w:val="22"/>
        </w:rPr>
      </w:pPr>
      <w:r w:rsidRPr="001963AA">
        <w:rPr>
          <w:rFonts w:asciiTheme="minorHAnsi" w:hAnsiTheme="minorHAnsi"/>
          <w:b/>
          <w:color w:val="000000"/>
          <w:sz w:val="22"/>
          <w:szCs w:val="22"/>
        </w:rPr>
        <w:lastRenderedPageBreak/>
        <w:t xml:space="preserve">© Всесвітня організація охорони здоров’я, 2024 р. </w:t>
      </w:r>
      <w:r w:rsidRPr="001963AA">
        <w:rPr>
          <w:rFonts w:asciiTheme="minorHAnsi" w:hAnsiTheme="minorHAnsi"/>
          <w:color w:val="000000"/>
          <w:sz w:val="22"/>
          <w:szCs w:val="22"/>
        </w:rPr>
        <w:t xml:space="preserve">Деякі права </w:t>
      </w:r>
      <w:proofErr w:type="spellStart"/>
      <w:r w:rsidRPr="001963AA">
        <w:rPr>
          <w:rFonts w:asciiTheme="minorHAnsi" w:hAnsiTheme="minorHAnsi"/>
          <w:color w:val="000000"/>
          <w:sz w:val="22"/>
          <w:szCs w:val="22"/>
        </w:rPr>
        <w:t>застережено</w:t>
      </w:r>
      <w:proofErr w:type="spellEnd"/>
      <w:r w:rsidRPr="001963AA">
        <w:rPr>
          <w:rFonts w:asciiTheme="minorHAnsi" w:hAnsiTheme="minorHAnsi"/>
          <w:color w:val="000000"/>
          <w:sz w:val="22"/>
          <w:szCs w:val="22"/>
        </w:rPr>
        <w:t>. Ця робота доступна за ліцензією</w:t>
      </w:r>
      <w:hyperlink r:id="rId16" w:history="1">
        <w:r w:rsidRPr="001963AA">
          <w:rPr>
            <w:rFonts w:asciiTheme="minorHAnsi" w:hAnsiTheme="minorHAnsi"/>
            <w:color w:val="0066CC"/>
            <w:sz w:val="22"/>
            <w:szCs w:val="22"/>
            <w:u w:val="single"/>
          </w:rPr>
          <w:t xml:space="preserve"> CC </w:t>
        </w:r>
        <w:proofErr w:type="spellStart"/>
        <w:r w:rsidRPr="001963AA">
          <w:rPr>
            <w:rFonts w:asciiTheme="minorHAnsi" w:hAnsiTheme="minorHAnsi"/>
            <w:color w:val="0066CC"/>
            <w:sz w:val="22"/>
            <w:szCs w:val="22"/>
            <w:u w:val="single"/>
          </w:rPr>
          <w:t>BY-NC-SA</w:t>
        </w:r>
        <w:proofErr w:type="spellEnd"/>
        <w:r w:rsidRPr="001963AA">
          <w:rPr>
            <w:rFonts w:asciiTheme="minorHAnsi" w:hAnsiTheme="minorHAnsi"/>
            <w:color w:val="0066CC"/>
            <w:sz w:val="22"/>
            <w:szCs w:val="22"/>
            <w:u w:val="single"/>
          </w:rPr>
          <w:t xml:space="preserve"> 3.0 </w:t>
        </w:r>
        <w:proofErr w:type="spellStart"/>
        <w:r w:rsidRPr="001963AA">
          <w:rPr>
            <w:rFonts w:asciiTheme="minorHAnsi" w:hAnsiTheme="minorHAnsi"/>
            <w:color w:val="0066CC"/>
            <w:sz w:val="22"/>
            <w:szCs w:val="22"/>
            <w:u w:val="single"/>
          </w:rPr>
          <w:t>IGO</w:t>
        </w:r>
        <w:proofErr w:type="spellEnd"/>
      </w:hyperlink>
      <w:r w:rsidRPr="001963AA">
        <w:rPr>
          <w:rFonts w:asciiTheme="minorHAnsi" w:hAnsiTheme="minorHAnsi"/>
          <w:color w:val="000000"/>
          <w:sz w:val="22"/>
          <w:szCs w:val="22"/>
        </w:rPr>
        <w:t>.</w:t>
      </w:r>
    </w:p>
    <w:p w:rsidR="00AC60AD" w:rsidRPr="001963AA" w:rsidRDefault="00AC60AD" w:rsidP="001963AA">
      <w:pPr>
        <w:jc w:val="both"/>
        <w:rPr>
          <w:rFonts w:asciiTheme="minorHAnsi" w:hAnsiTheme="minorHAnsi" w:cstheme="minorHAnsi"/>
          <w:sz w:val="22"/>
          <w:szCs w:val="22"/>
        </w:rPr>
      </w:pPr>
      <w:r w:rsidRPr="001963AA">
        <w:rPr>
          <w:rFonts w:asciiTheme="minorHAnsi" w:hAnsiTheme="minorHAnsi"/>
          <w:b/>
          <w:color w:val="000000"/>
          <w:sz w:val="22"/>
          <w:szCs w:val="22"/>
        </w:rPr>
        <w:t>Пропоноване цитування</w:t>
      </w:r>
      <w:r w:rsidRPr="001963AA">
        <w:rPr>
          <w:rFonts w:asciiTheme="minorHAnsi" w:hAnsiTheme="minorHAnsi"/>
          <w:color w:val="000000"/>
          <w:sz w:val="22"/>
          <w:szCs w:val="22"/>
        </w:rPr>
        <w:t>. Одночасне лікування лікарсько-стійкого туберкульозу та гепатиту С. Оперативне повідомлення. Женева: Всесвітня організація охорони здоров’я; 2024 р.</w:t>
      </w:r>
      <w:hyperlink r:id="rId17" w:history="1">
        <w:r w:rsidRPr="001963AA">
          <w:rPr>
            <w:rFonts w:asciiTheme="minorHAnsi" w:hAnsiTheme="minorHAnsi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1963AA">
          <w:rPr>
            <w:rFonts w:asciiTheme="minorHAnsi" w:hAnsiTheme="minorHAnsi"/>
            <w:color w:val="0066CC"/>
            <w:sz w:val="22"/>
            <w:szCs w:val="22"/>
            <w:u w:val="single"/>
          </w:rPr>
          <w:t>https</w:t>
        </w:r>
        <w:proofErr w:type="spellEnd"/>
        <w:r w:rsidRPr="001963AA">
          <w:rPr>
            <w:rFonts w:asciiTheme="minorHAnsi" w:hAnsiTheme="minorHAnsi"/>
            <w:color w:val="0066CC"/>
            <w:sz w:val="22"/>
            <w:szCs w:val="22"/>
            <w:u w:val="single"/>
          </w:rPr>
          <w:t>://</w:t>
        </w:r>
        <w:proofErr w:type="spellStart"/>
        <w:r w:rsidRPr="001963AA">
          <w:rPr>
            <w:rFonts w:asciiTheme="minorHAnsi" w:hAnsiTheme="minorHAnsi"/>
            <w:color w:val="0066CC"/>
            <w:sz w:val="22"/>
            <w:szCs w:val="22"/>
            <w:u w:val="single"/>
          </w:rPr>
          <w:t>doi.org</w:t>
        </w:r>
        <w:proofErr w:type="spellEnd"/>
        <w:r w:rsidRPr="001963AA">
          <w:rPr>
            <w:rFonts w:asciiTheme="minorHAnsi" w:hAnsiTheme="minorHAnsi"/>
            <w:color w:val="0066CC"/>
            <w:sz w:val="22"/>
            <w:szCs w:val="22"/>
            <w:u w:val="single"/>
          </w:rPr>
          <w:t>/10.2471/</w:t>
        </w:r>
        <w:proofErr w:type="spellStart"/>
        <w:r w:rsidRPr="001963AA">
          <w:rPr>
            <w:rFonts w:asciiTheme="minorHAnsi" w:hAnsiTheme="minorHAnsi"/>
            <w:color w:val="0066CC"/>
            <w:sz w:val="22"/>
            <w:szCs w:val="22"/>
            <w:u w:val="single"/>
          </w:rPr>
          <w:t>B09017</w:t>
        </w:r>
        <w:proofErr w:type="spellEnd"/>
      </w:hyperlink>
      <w:bookmarkStart w:id="0" w:name="_GoBack"/>
      <w:bookmarkEnd w:id="0"/>
    </w:p>
    <w:sectPr w:rsidR="00AC60AD" w:rsidRPr="001963AA" w:rsidSect="00140988">
      <w:pgSz w:w="11909" w:h="16838" w:code="9"/>
      <w:pgMar w:top="1418" w:right="1418" w:bottom="1418" w:left="1418" w:header="720" w:footer="113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1F8" w:rsidRDefault="001F41F8" w:rsidP="00140988">
      <w:r>
        <w:separator/>
      </w:r>
    </w:p>
  </w:endnote>
  <w:endnote w:type="continuationSeparator" w:id="0">
    <w:p w:rsidR="001F41F8" w:rsidRDefault="001F41F8" w:rsidP="0014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88" w:rsidRPr="00140988" w:rsidRDefault="00140988" w:rsidP="00140988">
    <w:pPr>
      <w:pStyle w:val="a5"/>
      <w:jc w:val="right"/>
      <w:rPr>
        <w:rFonts w:asciiTheme="minorHAnsi" w:hAnsiTheme="minorHAnsi" w:cstheme="minorHAnsi"/>
        <w:sz w:val="22"/>
      </w:rPr>
    </w:pPr>
    <w:r w:rsidRPr="00140988">
      <w:rPr>
        <w:rFonts w:asciiTheme="minorHAnsi" w:hAnsiTheme="minorHAnsi" w:cstheme="minorHAnsi"/>
        <w:sz w:val="22"/>
      </w:rPr>
      <w:fldChar w:fldCharType="begin"/>
    </w:r>
    <w:r w:rsidRPr="00140988">
      <w:rPr>
        <w:rFonts w:asciiTheme="minorHAnsi" w:hAnsiTheme="minorHAnsi" w:cstheme="minorHAnsi"/>
        <w:sz w:val="22"/>
      </w:rPr>
      <w:instrText>PAGE   \* MERGEFORMAT</w:instrText>
    </w:r>
    <w:r w:rsidRPr="00140988">
      <w:rPr>
        <w:rFonts w:asciiTheme="minorHAnsi" w:hAnsiTheme="minorHAnsi" w:cstheme="minorHAnsi"/>
        <w:sz w:val="22"/>
      </w:rPr>
      <w:fldChar w:fldCharType="separate"/>
    </w:r>
    <w:r w:rsidR="001963AA">
      <w:rPr>
        <w:rFonts w:asciiTheme="minorHAnsi" w:hAnsiTheme="minorHAnsi" w:cstheme="minorHAnsi"/>
        <w:noProof/>
        <w:sz w:val="22"/>
      </w:rPr>
      <w:t>5</w:t>
    </w:r>
    <w:r w:rsidRPr="00140988">
      <w:rPr>
        <w:rFonts w:asciiTheme="minorHAnsi" w:hAnsiTheme="minorHAnsi" w:cs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1F8" w:rsidRDefault="001F41F8" w:rsidP="00140988">
      <w:r>
        <w:separator/>
      </w:r>
    </w:p>
  </w:footnote>
  <w:footnote w:type="continuationSeparator" w:id="0">
    <w:p w:rsidR="001F41F8" w:rsidRDefault="001F41F8" w:rsidP="00140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4E26D3E"/>
    <w:lvl w:ilvl="0">
      <w:numFmt w:val="bullet"/>
      <w:lvlText w:val="*"/>
      <w:lvlJc w:val="left"/>
    </w:lvl>
  </w:abstractNum>
  <w:abstractNum w:abstractNumId="1" w15:restartNumberingAfterBreak="0">
    <w:nsid w:val="12D34F20"/>
    <w:multiLevelType w:val="singleLevel"/>
    <w:tmpl w:val="70C81210"/>
    <w:lvl w:ilvl="0">
      <w:start w:val="2"/>
      <w:numFmt w:val="decimal"/>
      <w:lvlText w:val="%1."/>
      <w:legacy w:legacy="1" w:legacySpace="0" w:legacyIndent="197"/>
      <w:lvlJc w:val="left"/>
      <w:rPr>
        <w:rFonts w:asciiTheme="minorHAnsi" w:hAnsiTheme="minorHAnsi" w:cstheme="minorHAnsi" w:hint="default"/>
      </w:rPr>
    </w:lvl>
  </w:abstractNum>
  <w:abstractNum w:abstractNumId="2" w15:restartNumberingAfterBreak="0">
    <w:nsid w:val="322022E6"/>
    <w:multiLevelType w:val="hybridMultilevel"/>
    <w:tmpl w:val="0642617E"/>
    <w:lvl w:ilvl="0" w:tplc="70C81A7A">
      <w:start w:val="65535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32AF6"/>
    <w:multiLevelType w:val="singleLevel"/>
    <w:tmpl w:val="36F6E138"/>
    <w:lvl w:ilvl="0">
      <w:start w:val="5"/>
      <w:numFmt w:val="decimal"/>
      <w:lvlText w:val="%1."/>
      <w:legacy w:legacy="1" w:legacySpace="0" w:legacyIndent="240"/>
      <w:lvlJc w:val="left"/>
      <w:rPr>
        <w:rFonts w:asciiTheme="minorHAnsi" w:hAnsiTheme="minorHAnsi" w:cstheme="minorHAnsi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39"/>
    <w:rsid w:val="000A7640"/>
    <w:rsid w:val="00140988"/>
    <w:rsid w:val="00184039"/>
    <w:rsid w:val="001929AD"/>
    <w:rsid w:val="001963AA"/>
    <w:rsid w:val="001F41F8"/>
    <w:rsid w:val="00551789"/>
    <w:rsid w:val="009B67A4"/>
    <w:rsid w:val="00AC0939"/>
    <w:rsid w:val="00AC60AD"/>
    <w:rsid w:val="00AE782B"/>
    <w:rsid w:val="00B84A31"/>
    <w:rsid w:val="00D431F8"/>
    <w:rsid w:val="00E1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DF6C8"/>
  <w14:defaultImageDpi w14:val="0"/>
  <w15:docId w15:val="{12E33187-2AFF-4C67-8547-A5A4C023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988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0988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0988"/>
    <w:pPr>
      <w:tabs>
        <w:tab w:val="center" w:pos="4703"/>
        <w:tab w:val="right" w:pos="94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0988"/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AC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i.org/10.5588/ijtld.22.040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i.org/10.1016/j.eclinm.2019.12.007" TargetMode="External"/><Relationship Id="rId17" Type="http://schemas.openxmlformats.org/officeDocument/2006/relationships/hyperlink" Target="https://doi.org/10.2471/B090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-sa/3.0/ig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eclinm.2023.1019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radeworkinggroup.org/" TargetMode="External"/><Relationship Id="rId10" Type="http://schemas.openxmlformats.org/officeDocument/2006/relationships/hyperlink" Target="https://www.who.int/publications/i/item/978924008385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ho.int/tdr/research/tb_hiv/adsm/details_adsm/en/" TargetMode="External"/><Relationship Id="rId14" Type="http://schemas.openxmlformats.org/officeDocument/2006/relationships/hyperlink" Target="https://doi.org/10.1136/bmj.l46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1549</Words>
  <Characters>8834</Characters>
  <Application>Microsoft Office Word</Application>
  <DocSecurity>0</DocSecurity>
  <Lines>73</Lines>
  <Paragraphs>20</Paragraphs>
  <ScaleCrop>false</ScaleCrop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 Communication: Key changes to treatment of multidrug- and rifampicin-resistant tuberculosis (MDR/RR-TB)</dc:title>
  <dc:subject/>
  <dc:creator>VINEY, Kerri</dc:creator>
  <cp:keywords/>
  <dc:description/>
  <cp:lastModifiedBy>Ryta Rakovska</cp:lastModifiedBy>
  <cp:revision>11</cp:revision>
  <dcterms:created xsi:type="dcterms:W3CDTF">2024-04-10T15:45:00Z</dcterms:created>
  <dcterms:modified xsi:type="dcterms:W3CDTF">2024-04-12T09:14:00Z</dcterms:modified>
</cp:coreProperties>
</file>