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637A" w14:textId="77777777" w:rsidR="002F6D72" w:rsidRDefault="005D4B7B">
      <w:pPr>
        <w:pStyle w:val="a3"/>
        <w:ind w:left="32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577503" wp14:editId="2C30D80C">
            <wp:extent cx="1965160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16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03A8" w14:textId="77777777" w:rsidR="002F6D72" w:rsidRDefault="002F6D72">
      <w:pPr>
        <w:pStyle w:val="a3"/>
        <w:rPr>
          <w:rFonts w:ascii="Times New Roman"/>
          <w:sz w:val="20"/>
        </w:rPr>
      </w:pPr>
    </w:p>
    <w:p w14:paraId="456010AF" w14:textId="77777777" w:rsidR="002F6D72" w:rsidRDefault="002F6D72">
      <w:pPr>
        <w:pStyle w:val="a3"/>
        <w:rPr>
          <w:rFonts w:ascii="Times New Roman"/>
          <w:sz w:val="20"/>
        </w:rPr>
      </w:pPr>
    </w:p>
    <w:p w14:paraId="116CDC73" w14:textId="77777777" w:rsidR="002F6D72" w:rsidRDefault="002F6D72">
      <w:pPr>
        <w:pStyle w:val="a3"/>
        <w:rPr>
          <w:rFonts w:ascii="Times New Roman"/>
          <w:sz w:val="20"/>
        </w:rPr>
      </w:pPr>
    </w:p>
    <w:p w14:paraId="1851D736" w14:textId="77777777" w:rsidR="002F6D72" w:rsidRDefault="002F6D72">
      <w:pPr>
        <w:pStyle w:val="a3"/>
        <w:rPr>
          <w:rFonts w:ascii="Times New Roman"/>
          <w:sz w:val="20"/>
        </w:rPr>
      </w:pPr>
    </w:p>
    <w:p w14:paraId="16B9E546" w14:textId="77777777" w:rsidR="002F6D72" w:rsidRDefault="002F6D72">
      <w:pPr>
        <w:pStyle w:val="a3"/>
        <w:rPr>
          <w:rFonts w:ascii="Times New Roman"/>
          <w:sz w:val="20"/>
        </w:rPr>
      </w:pPr>
    </w:p>
    <w:p w14:paraId="749D59CF" w14:textId="77777777" w:rsidR="002F6D72" w:rsidRDefault="002F6D72">
      <w:pPr>
        <w:pStyle w:val="a3"/>
        <w:rPr>
          <w:rFonts w:ascii="Times New Roman"/>
          <w:sz w:val="20"/>
        </w:rPr>
      </w:pPr>
    </w:p>
    <w:p w14:paraId="538B60EB" w14:textId="77777777" w:rsidR="002F6D72" w:rsidRDefault="002F6D72">
      <w:pPr>
        <w:pStyle w:val="a3"/>
        <w:rPr>
          <w:rFonts w:ascii="Times New Roman"/>
          <w:sz w:val="20"/>
        </w:rPr>
      </w:pPr>
    </w:p>
    <w:p w14:paraId="251207FE" w14:textId="77777777" w:rsidR="002F6D72" w:rsidRDefault="002F6D72">
      <w:pPr>
        <w:pStyle w:val="a3"/>
        <w:rPr>
          <w:rFonts w:ascii="Times New Roman"/>
          <w:sz w:val="20"/>
        </w:rPr>
      </w:pPr>
    </w:p>
    <w:p w14:paraId="3FC94EF9" w14:textId="77777777" w:rsidR="002F6D72" w:rsidRDefault="002F6D72">
      <w:pPr>
        <w:pStyle w:val="a3"/>
        <w:rPr>
          <w:rFonts w:ascii="Times New Roman"/>
          <w:sz w:val="20"/>
        </w:rPr>
      </w:pPr>
    </w:p>
    <w:p w14:paraId="18E3B6BB" w14:textId="2AE52E6F" w:rsidR="00840FC3" w:rsidRPr="008E7A07" w:rsidRDefault="00840FC3" w:rsidP="00840FC3">
      <w:pPr>
        <w:spacing w:line="259" w:lineRule="auto"/>
        <w:ind w:left="105" w:right="126"/>
        <w:jc w:val="center"/>
        <w:rPr>
          <w:b/>
          <w:color w:val="1F477B"/>
          <w:sz w:val="44"/>
          <w:lang w:val="ru-RU"/>
        </w:rPr>
      </w:pPr>
      <w:proofErr w:type="spellStart"/>
      <w:r w:rsidRPr="008E7A07">
        <w:rPr>
          <w:b/>
          <w:color w:val="1F477B"/>
          <w:sz w:val="44"/>
          <w:lang w:val="ru-RU"/>
        </w:rPr>
        <w:t>Швидк</w:t>
      </w:r>
      <w:proofErr w:type="spellEnd"/>
      <w:r>
        <w:rPr>
          <w:b/>
          <w:color w:val="1F477B"/>
          <w:sz w:val="44"/>
          <w:lang w:val="uk-UA"/>
        </w:rPr>
        <w:t>е повідомлення</w:t>
      </w:r>
      <w:r w:rsidRPr="008E7A07">
        <w:rPr>
          <w:b/>
          <w:color w:val="1F477B"/>
          <w:sz w:val="44"/>
          <w:lang w:val="ru-RU"/>
        </w:rPr>
        <w:t>:</w:t>
      </w:r>
    </w:p>
    <w:p w14:paraId="561A5F4B" w14:textId="72E5D562" w:rsidR="002F6D72" w:rsidRPr="00840FC3" w:rsidRDefault="00840FC3" w:rsidP="00840FC3">
      <w:pPr>
        <w:spacing w:line="259" w:lineRule="auto"/>
        <w:ind w:left="105" w:right="126"/>
        <w:jc w:val="center"/>
        <w:rPr>
          <w:b/>
          <w:sz w:val="44"/>
          <w:lang w:val="ru-RU"/>
        </w:rPr>
      </w:pPr>
      <w:proofErr w:type="spellStart"/>
      <w:r w:rsidRPr="00840FC3">
        <w:rPr>
          <w:b/>
          <w:color w:val="1F477B"/>
          <w:sz w:val="44"/>
          <w:lang w:val="ru-RU"/>
        </w:rPr>
        <w:t>Молекулярні</w:t>
      </w:r>
      <w:proofErr w:type="spellEnd"/>
      <w:r w:rsidRPr="00840FC3">
        <w:rPr>
          <w:b/>
          <w:color w:val="1F477B"/>
          <w:sz w:val="44"/>
          <w:lang w:val="ru-RU"/>
        </w:rPr>
        <w:t xml:space="preserve"> </w:t>
      </w:r>
      <w:proofErr w:type="spellStart"/>
      <w:r w:rsidRPr="00840FC3">
        <w:rPr>
          <w:b/>
          <w:color w:val="1F477B"/>
          <w:sz w:val="44"/>
          <w:lang w:val="ru-RU"/>
        </w:rPr>
        <w:t>аналізи</w:t>
      </w:r>
      <w:proofErr w:type="spellEnd"/>
      <w:r w:rsidRPr="00840FC3">
        <w:rPr>
          <w:b/>
          <w:color w:val="1F477B"/>
          <w:sz w:val="44"/>
          <w:lang w:val="ru-RU"/>
        </w:rPr>
        <w:t xml:space="preserve"> як </w:t>
      </w:r>
      <w:proofErr w:type="spellStart"/>
      <w:r w:rsidRPr="00840FC3">
        <w:rPr>
          <w:b/>
          <w:color w:val="1F477B"/>
          <w:sz w:val="44"/>
          <w:lang w:val="ru-RU"/>
        </w:rPr>
        <w:t>початкові</w:t>
      </w:r>
      <w:proofErr w:type="spellEnd"/>
      <w:r w:rsidRPr="00840FC3">
        <w:rPr>
          <w:b/>
          <w:color w:val="1F477B"/>
          <w:sz w:val="44"/>
          <w:lang w:val="ru-RU"/>
        </w:rPr>
        <w:t xml:space="preserve"> тести для </w:t>
      </w:r>
      <w:proofErr w:type="spellStart"/>
      <w:r w:rsidRPr="00840FC3">
        <w:rPr>
          <w:b/>
          <w:color w:val="1F477B"/>
          <w:sz w:val="44"/>
          <w:lang w:val="ru-RU"/>
        </w:rPr>
        <w:t>діагностики</w:t>
      </w:r>
      <w:proofErr w:type="spellEnd"/>
      <w:r w:rsidRPr="00840FC3">
        <w:rPr>
          <w:b/>
          <w:color w:val="1F477B"/>
          <w:sz w:val="44"/>
          <w:lang w:val="ru-RU"/>
        </w:rPr>
        <w:t xml:space="preserve"> </w:t>
      </w:r>
      <w:proofErr w:type="spellStart"/>
      <w:r w:rsidRPr="00840FC3">
        <w:rPr>
          <w:b/>
          <w:color w:val="1F477B"/>
          <w:sz w:val="44"/>
          <w:lang w:val="ru-RU"/>
        </w:rPr>
        <w:t>туберкульозу</w:t>
      </w:r>
      <w:proofErr w:type="spellEnd"/>
      <w:r w:rsidRPr="00840FC3">
        <w:rPr>
          <w:b/>
          <w:color w:val="1F477B"/>
          <w:sz w:val="44"/>
          <w:lang w:val="ru-RU"/>
        </w:rPr>
        <w:t xml:space="preserve"> та </w:t>
      </w:r>
      <w:proofErr w:type="spellStart"/>
      <w:r w:rsidRPr="00840FC3">
        <w:rPr>
          <w:b/>
          <w:color w:val="1F477B"/>
          <w:sz w:val="44"/>
          <w:lang w:val="ru-RU"/>
        </w:rPr>
        <w:t>резистентності</w:t>
      </w:r>
      <w:proofErr w:type="spellEnd"/>
      <w:r w:rsidRPr="00840FC3">
        <w:rPr>
          <w:b/>
          <w:color w:val="1F477B"/>
          <w:sz w:val="44"/>
          <w:lang w:val="ru-RU"/>
        </w:rPr>
        <w:t xml:space="preserve"> до </w:t>
      </w:r>
      <w:proofErr w:type="spellStart"/>
      <w:r w:rsidRPr="00840FC3">
        <w:rPr>
          <w:b/>
          <w:color w:val="1F477B"/>
          <w:sz w:val="44"/>
          <w:lang w:val="ru-RU"/>
        </w:rPr>
        <w:t>рифампіцину</w:t>
      </w:r>
      <w:proofErr w:type="spellEnd"/>
    </w:p>
    <w:p w14:paraId="4CC6B5F5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7E3F5F8D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6041A579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5175F988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35F2C9CC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3E346675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7B4B7E0D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1A2FB9FA" w14:textId="77777777" w:rsidR="002F6D72" w:rsidRPr="00840FC3" w:rsidRDefault="002F6D72">
      <w:pPr>
        <w:pStyle w:val="a3"/>
        <w:rPr>
          <w:b/>
          <w:sz w:val="44"/>
          <w:lang w:val="ru-RU"/>
        </w:rPr>
      </w:pPr>
    </w:p>
    <w:p w14:paraId="33FE6C09" w14:textId="77777777" w:rsidR="002F6D72" w:rsidRPr="00840FC3" w:rsidRDefault="002F6D72">
      <w:pPr>
        <w:pStyle w:val="a3"/>
        <w:spacing w:before="1"/>
        <w:rPr>
          <w:b/>
          <w:sz w:val="45"/>
          <w:lang w:val="ru-RU"/>
        </w:rPr>
      </w:pPr>
    </w:p>
    <w:p w14:paraId="4283624C" w14:textId="1B45CC08" w:rsidR="002F6D72" w:rsidRPr="00840FC3" w:rsidRDefault="00840FC3">
      <w:pPr>
        <w:ind w:left="105" w:right="120"/>
        <w:jc w:val="center"/>
        <w:rPr>
          <w:b/>
          <w:sz w:val="32"/>
          <w:lang w:val="ru-RU"/>
        </w:rPr>
      </w:pPr>
      <w:r>
        <w:rPr>
          <w:b/>
          <w:color w:val="000008"/>
          <w:sz w:val="32"/>
          <w:lang w:val="uk-UA"/>
        </w:rPr>
        <w:t>Січень</w:t>
      </w:r>
      <w:r w:rsidR="005D4B7B" w:rsidRPr="00840FC3">
        <w:rPr>
          <w:b/>
          <w:color w:val="000008"/>
          <w:sz w:val="32"/>
          <w:lang w:val="ru-RU"/>
        </w:rPr>
        <w:t xml:space="preserve"> 2020</w:t>
      </w:r>
    </w:p>
    <w:p w14:paraId="455ECCF5" w14:textId="77777777" w:rsidR="002F6D72" w:rsidRPr="00840FC3" w:rsidRDefault="002F6D72">
      <w:pPr>
        <w:jc w:val="center"/>
        <w:rPr>
          <w:sz w:val="32"/>
          <w:lang w:val="ru-RU"/>
        </w:rPr>
        <w:sectPr w:rsidR="002F6D72" w:rsidRPr="00840FC3">
          <w:footerReference w:type="default" r:id="rId8"/>
          <w:type w:val="continuous"/>
          <w:pgSz w:w="12240" w:h="15840"/>
          <w:pgMar w:top="1500" w:right="1320" w:bottom="1120" w:left="1340" w:header="708" w:footer="932" w:gutter="0"/>
          <w:pgNumType w:start="1"/>
          <w:cols w:space="720"/>
        </w:sectPr>
      </w:pPr>
    </w:p>
    <w:p w14:paraId="1312075A" w14:textId="0FCACFEC" w:rsidR="00840FC3" w:rsidRPr="008E7A07" w:rsidRDefault="00840FC3" w:rsidP="00840FC3">
      <w:pPr>
        <w:spacing w:before="157"/>
        <w:ind w:left="100"/>
        <w:jc w:val="both"/>
        <w:rPr>
          <w:sz w:val="21"/>
          <w:lang w:val="ru-RU"/>
        </w:rPr>
      </w:pPr>
      <w:proofErr w:type="spellStart"/>
      <w:r w:rsidRPr="00840FC3">
        <w:rPr>
          <w:sz w:val="21"/>
          <w:lang w:val="ru-RU"/>
        </w:rPr>
        <w:lastRenderedPageBreak/>
        <w:t>Молекулярні</w:t>
      </w:r>
      <w:proofErr w:type="spellEnd"/>
      <w:r w:rsidRPr="00840FC3">
        <w:rPr>
          <w:sz w:val="21"/>
          <w:lang w:val="ru-RU"/>
        </w:rPr>
        <w:t xml:space="preserve"> </w:t>
      </w:r>
      <w:proofErr w:type="spellStart"/>
      <w:r w:rsidRPr="00840FC3">
        <w:rPr>
          <w:sz w:val="21"/>
          <w:lang w:val="ru-RU"/>
        </w:rPr>
        <w:t>аналізи</w:t>
      </w:r>
      <w:proofErr w:type="spellEnd"/>
      <w:r w:rsidRPr="00840FC3">
        <w:rPr>
          <w:sz w:val="21"/>
          <w:lang w:val="ru-RU"/>
        </w:rPr>
        <w:t xml:space="preserve">, </w:t>
      </w:r>
      <w:proofErr w:type="spellStart"/>
      <w:r w:rsidRPr="00840FC3">
        <w:rPr>
          <w:sz w:val="21"/>
          <w:lang w:val="ru-RU"/>
        </w:rPr>
        <w:t>призначені</w:t>
      </w:r>
      <w:proofErr w:type="spellEnd"/>
      <w:r w:rsidRPr="00840FC3">
        <w:rPr>
          <w:sz w:val="21"/>
          <w:lang w:val="ru-RU"/>
        </w:rPr>
        <w:t xml:space="preserve"> в </w:t>
      </w:r>
      <w:proofErr w:type="spellStart"/>
      <w:r w:rsidRPr="00840FC3">
        <w:rPr>
          <w:sz w:val="21"/>
          <w:lang w:val="ru-RU"/>
        </w:rPr>
        <w:t>якості</w:t>
      </w:r>
      <w:proofErr w:type="spellEnd"/>
      <w:r w:rsidRPr="00840FC3">
        <w:rPr>
          <w:sz w:val="21"/>
          <w:lang w:val="ru-RU"/>
        </w:rPr>
        <w:t xml:space="preserve"> </w:t>
      </w:r>
      <w:proofErr w:type="spellStart"/>
      <w:r w:rsidRPr="00840FC3">
        <w:rPr>
          <w:sz w:val="21"/>
          <w:lang w:val="ru-RU"/>
        </w:rPr>
        <w:t>початкових</w:t>
      </w:r>
      <w:proofErr w:type="spellEnd"/>
      <w:r w:rsidRPr="00840FC3">
        <w:rPr>
          <w:sz w:val="21"/>
          <w:lang w:val="ru-RU"/>
        </w:rPr>
        <w:t xml:space="preserve"> </w:t>
      </w:r>
      <w:proofErr w:type="spellStart"/>
      <w:r w:rsidRPr="00840FC3">
        <w:rPr>
          <w:sz w:val="21"/>
          <w:lang w:val="ru-RU"/>
        </w:rPr>
        <w:t>тестів</w:t>
      </w:r>
      <w:proofErr w:type="spellEnd"/>
      <w:r w:rsidRPr="00840FC3">
        <w:rPr>
          <w:sz w:val="21"/>
          <w:lang w:val="ru-RU"/>
        </w:rPr>
        <w:t xml:space="preserve"> для </w:t>
      </w:r>
      <w:proofErr w:type="spellStart"/>
      <w:r w:rsidRPr="00840FC3">
        <w:rPr>
          <w:sz w:val="21"/>
          <w:lang w:val="ru-RU"/>
        </w:rPr>
        <w:t>діагностики</w:t>
      </w:r>
      <w:proofErr w:type="spellEnd"/>
      <w:r w:rsidRPr="00840FC3">
        <w:rPr>
          <w:sz w:val="21"/>
          <w:lang w:val="ru-RU"/>
        </w:rPr>
        <w:t xml:space="preserve"> </w:t>
      </w:r>
      <w:proofErr w:type="spellStart"/>
      <w:r w:rsidRPr="00840FC3">
        <w:rPr>
          <w:sz w:val="21"/>
          <w:lang w:val="ru-RU"/>
        </w:rPr>
        <w:t>легеневого</w:t>
      </w:r>
      <w:proofErr w:type="spellEnd"/>
      <w:r w:rsidRPr="00840FC3">
        <w:rPr>
          <w:sz w:val="21"/>
          <w:lang w:val="ru-RU"/>
        </w:rPr>
        <w:t xml:space="preserve"> та </w:t>
      </w:r>
      <w:proofErr w:type="spellStart"/>
      <w:r w:rsidRPr="00840FC3">
        <w:rPr>
          <w:sz w:val="21"/>
          <w:lang w:val="ru-RU"/>
        </w:rPr>
        <w:t>позалегеневого</w:t>
      </w:r>
      <w:proofErr w:type="spellEnd"/>
      <w:r w:rsidRPr="00840FC3">
        <w:rPr>
          <w:sz w:val="21"/>
          <w:lang w:val="ru-RU"/>
        </w:rPr>
        <w:t xml:space="preserve"> </w:t>
      </w:r>
      <w:proofErr w:type="spellStart"/>
      <w:r w:rsidRPr="00840FC3">
        <w:rPr>
          <w:sz w:val="21"/>
          <w:lang w:val="ru-RU"/>
        </w:rPr>
        <w:t>туберкульозу</w:t>
      </w:r>
      <w:proofErr w:type="spellEnd"/>
      <w:r w:rsidRPr="00840FC3">
        <w:rPr>
          <w:sz w:val="21"/>
          <w:lang w:val="ru-RU"/>
        </w:rPr>
        <w:t xml:space="preserve"> та </w:t>
      </w:r>
      <w:proofErr w:type="spellStart"/>
      <w:r w:rsidRPr="00840FC3">
        <w:rPr>
          <w:sz w:val="21"/>
          <w:lang w:val="ru-RU"/>
        </w:rPr>
        <w:t>резистентності</w:t>
      </w:r>
      <w:proofErr w:type="spellEnd"/>
      <w:r w:rsidRPr="00840FC3">
        <w:rPr>
          <w:sz w:val="21"/>
          <w:lang w:val="ru-RU"/>
        </w:rPr>
        <w:t xml:space="preserve"> до </w:t>
      </w:r>
      <w:proofErr w:type="spellStart"/>
      <w:r w:rsidRPr="00840FC3">
        <w:rPr>
          <w:sz w:val="21"/>
          <w:lang w:val="ru-RU"/>
        </w:rPr>
        <w:t>рифампіцину</w:t>
      </w:r>
      <w:proofErr w:type="spellEnd"/>
      <w:r w:rsidRPr="00840FC3">
        <w:rPr>
          <w:sz w:val="21"/>
          <w:lang w:val="ru-RU"/>
        </w:rPr>
        <w:t xml:space="preserve"> у </w:t>
      </w:r>
      <w:proofErr w:type="spellStart"/>
      <w:r w:rsidRPr="00840FC3">
        <w:rPr>
          <w:sz w:val="21"/>
          <w:lang w:val="ru-RU"/>
        </w:rPr>
        <w:t>дорослих</w:t>
      </w:r>
      <w:proofErr w:type="spellEnd"/>
      <w:r w:rsidRPr="00840FC3">
        <w:rPr>
          <w:sz w:val="21"/>
          <w:lang w:val="ru-RU"/>
        </w:rPr>
        <w:t xml:space="preserve"> та </w:t>
      </w:r>
      <w:proofErr w:type="spellStart"/>
      <w:r w:rsidRPr="00840FC3">
        <w:rPr>
          <w:sz w:val="21"/>
          <w:lang w:val="ru-RU"/>
        </w:rPr>
        <w:t>дітей</w:t>
      </w:r>
      <w:proofErr w:type="spellEnd"/>
      <w:r w:rsidRPr="00840FC3">
        <w:rPr>
          <w:sz w:val="21"/>
          <w:lang w:val="ru-RU"/>
        </w:rPr>
        <w:t xml:space="preserve">: </w:t>
      </w:r>
      <w:proofErr w:type="spellStart"/>
      <w:r w:rsidRPr="00840FC3">
        <w:rPr>
          <w:sz w:val="21"/>
          <w:lang w:val="ru-RU"/>
        </w:rPr>
        <w:t>швидке</w:t>
      </w:r>
      <w:proofErr w:type="spellEnd"/>
      <w:r w:rsidRPr="00840FC3">
        <w:rPr>
          <w:sz w:val="21"/>
          <w:lang w:val="ru-RU"/>
        </w:rPr>
        <w:t xml:space="preserve"> </w:t>
      </w:r>
      <w:proofErr w:type="spellStart"/>
      <w:r w:rsidRPr="00840FC3">
        <w:rPr>
          <w:sz w:val="21"/>
          <w:lang w:val="ru-RU"/>
        </w:rPr>
        <w:t>спілкування</w:t>
      </w:r>
      <w:proofErr w:type="spellEnd"/>
      <w:r w:rsidRPr="00840FC3">
        <w:rPr>
          <w:sz w:val="21"/>
          <w:lang w:val="ru-RU"/>
        </w:rPr>
        <w:t xml:space="preserve">. </w:t>
      </w:r>
      <w:proofErr w:type="spellStart"/>
      <w:r w:rsidRPr="008E7A07">
        <w:rPr>
          <w:sz w:val="21"/>
          <w:lang w:val="ru-RU"/>
        </w:rPr>
        <w:t>Оновлення</w:t>
      </w:r>
      <w:proofErr w:type="spellEnd"/>
      <w:r w:rsidRPr="008E7A07">
        <w:rPr>
          <w:sz w:val="21"/>
          <w:lang w:val="ru-RU"/>
        </w:rPr>
        <w:t xml:space="preserve"> </w:t>
      </w:r>
      <w:proofErr w:type="spellStart"/>
      <w:r w:rsidRPr="008E7A07">
        <w:rPr>
          <w:sz w:val="21"/>
          <w:lang w:val="ru-RU"/>
        </w:rPr>
        <w:t>політики</w:t>
      </w:r>
      <w:proofErr w:type="spellEnd"/>
    </w:p>
    <w:p w14:paraId="01A6B47A" w14:textId="78DEB6A6" w:rsidR="002F6D72" w:rsidRPr="008E7A07" w:rsidRDefault="005D4B7B">
      <w:pPr>
        <w:spacing w:before="157"/>
        <w:ind w:left="100"/>
        <w:rPr>
          <w:sz w:val="21"/>
          <w:lang w:val="ru-RU"/>
        </w:rPr>
      </w:pPr>
      <w:r>
        <w:rPr>
          <w:sz w:val="21"/>
        </w:rPr>
        <w:t>ISBN</w:t>
      </w:r>
      <w:r w:rsidRPr="008E7A07">
        <w:rPr>
          <w:sz w:val="21"/>
          <w:lang w:val="ru-RU"/>
        </w:rPr>
        <w:t xml:space="preserve"> 978-92-4-000033-9</w:t>
      </w:r>
    </w:p>
    <w:p w14:paraId="73666C75" w14:textId="77777777" w:rsidR="002F6D72" w:rsidRPr="008E7A07" w:rsidRDefault="002F6D72">
      <w:pPr>
        <w:pStyle w:val="a3"/>
        <w:spacing w:before="5"/>
        <w:rPr>
          <w:sz w:val="8"/>
          <w:lang w:val="ru-RU"/>
        </w:rPr>
      </w:pPr>
    </w:p>
    <w:p w14:paraId="3B5BB0ED" w14:textId="539FCB41" w:rsidR="002F6D72" w:rsidRPr="008E7A07" w:rsidRDefault="005D4B7B">
      <w:pPr>
        <w:spacing w:before="58"/>
        <w:ind w:left="105" w:right="119"/>
        <w:jc w:val="center"/>
        <w:rPr>
          <w:b/>
          <w:sz w:val="21"/>
          <w:lang w:val="ru-RU"/>
        </w:rPr>
      </w:pPr>
      <w:r w:rsidRPr="008E7A07">
        <w:rPr>
          <w:b/>
          <w:sz w:val="21"/>
          <w:lang w:val="ru-RU"/>
        </w:rPr>
        <w:t xml:space="preserve">© </w:t>
      </w:r>
      <w:r w:rsidR="00840FC3">
        <w:rPr>
          <w:b/>
          <w:sz w:val="21"/>
          <w:lang w:val="uk-UA"/>
        </w:rPr>
        <w:t>Всесвітня організація охорони здоров’я</w:t>
      </w:r>
      <w:r w:rsidRPr="008E7A07">
        <w:rPr>
          <w:b/>
          <w:sz w:val="21"/>
          <w:lang w:val="ru-RU"/>
        </w:rPr>
        <w:t xml:space="preserve"> 2020</w:t>
      </w:r>
    </w:p>
    <w:p w14:paraId="479F532E" w14:textId="756DB0CC" w:rsidR="002F6D72" w:rsidRDefault="00306AEB" w:rsidP="004E0A89">
      <w:pPr>
        <w:tabs>
          <w:tab w:val="left" w:pos="9498"/>
        </w:tabs>
        <w:spacing w:before="162"/>
        <w:ind w:left="100" w:right="78"/>
        <w:jc w:val="both"/>
        <w:rPr>
          <w:sz w:val="21"/>
        </w:rPr>
      </w:pPr>
      <w:proofErr w:type="spellStart"/>
      <w:r w:rsidRPr="00306AEB">
        <w:rPr>
          <w:sz w:val="21"/>
          <w:lang w:val="ru-RU"/>
        </w:rPr>
        <w:t>Деякі</w:t>
      </w:r>
      <w:proofErr w:type="spellEnd"/>
      <w:r w:rsidRPr="00306AEB">
        <w:rPr>
          <w:sz w:val="21"/>
          <w:lang w:val="ru-RU"/>
        </w:rPr>
        <w:t xml:space="preserve"> права </w:t>
      </w:r>
      <w:proofErr w:type="spellStart"/>
      <w:r w:rsidRPr="00306AEB">
        <w:rPr>
          <w:sz w:val="21"/>
          <w:lang w:val="ru-RU"/>
        </w:rPr>
        <w:t>захищені</w:t>
      </w:r>
      <w:proofErr w:type="spellEnd"/>
      <w:r w:rsidRPr="00306AEB">
        <w:rPr>
          <w:sz w:val="21"/>
          <w:lang w:val="ru-RU"/>
        </w:rPr>
        <w:t xml:space="preserve">. </w:t>
      </w:r>
      <w:proofErr w:type="spellStart"/>
      <w:r w:rsidRPr="00306AEB">
        <w:rPr>
          <w:sz w:val="21"/>
          <w:lang w:val="ru-RU"/>
        </w:rPr>
        <w:t>Ця</w:t>
      </w:r>
      <w:proofErr w:type="spellEnd"/>
      <w:r w:rsidRPr="0009353B">
        <w:rPr>
          <w:sz w:val="21"/>
        </w:rPr>
        <w:t xml:space="preserve"> </w:t>
      </w:r>
      <w:r w:rsidRPr="00306AEB">
        <w:rPr>
          <w:sz w:val="21"/>
          <w:lang w:val="ru-RU"/>
        </w:rPr>
        <w:t>робота</w:t>
      </w:r>
      <w:r w:rsidRPr="0009353B">
        <w:rPr>
          <w:sz w:val="21"/>
        </w:rPr>
        <w:t xml:space="preserve"> </w:t>
      </w:r>
      <w:r w:rsidRPr="00306AEB">
        <w:rPr>
          <w:sz w:val="21"/>
          <w:lang w:val="ru-RU"/>
        </w:rPr>
        <w:t>доступна</w:t>
      </w:r>
      <w:r w:rsidRPr="0009353B">
        <w:rPr>
          <w:sz w:val="21"/>
        </w:rPr>
        <w:t xml:space="preserve"> </w:t>
      </w:r>
      <w:r w:rsidRPr="00306AEB">
        <w:rPr>
          <w:sz w:val="21"/>
          <w:lang w:val="ru-RU"/>
        </w:rPr>
        <w:t>в</w:t>
      </w:r>
      <w:r w:rsidRPr="0009353B">
        <w:rPr>
          <w:sz w:val="21"/>
        </w:rPr>
        <w:t xml:space="preserve"> </w:t>
      </w:r>
      <w:proofErr w:type="spellStart"/>
      <w:r w:rsidRPr="00306AEB">
        <w:rPr>
          <w:sz w:val="21"/>
          <w:lang w:val="ru-RU"/>
        </w:rPr>
        <w:t>розділі</w:t>
      </w:r>
      <w:proofErr w:type="spellEnd"/>
      <w:r w:rsidRPr="0009353B">
        <w:rPr>
          <w:sz w:val="21"/>
        </w:rPr>
        <w:t xml:space="preserve"> </w:t>
      </w:r>
      <w:r w:rsidRPr="00306AEB">
        <w:rPr>
          <w:sz w:val="21"/>
        </w:rPr>
        <w:t>Creative</w:t>
      </w:r>
      <w:r w:rsidRPr="0009353B">
        <w:rPr>
          <w:sz w:val="21"/>
        </w:rPr>
        <w:t xml:space="preserve"> </w:t>
      </w:r>
      <w:r w:rsidRPr="00306AEB">
        <w:rPr>
          <w:sz w:val="21"/>
        </w:rPr>
        <w:t>Commons</w:t>
      </w:r>
      <w:r w:rsidRPr="0009353B">
        <w:rPr>
          <w:sz w:val="21"/>
        </w:rPr>
        <w:t xml:space="preserve"> </w:t>
      </w:r>
      <w:r w:rsidRPr="00306AEB">
        <w:rPr>
          <w:sz w:val="21"/>
        </w:rPr>
        <w:t>Attribution</w:t>
      </w:r>
      <w:r w:rsidRPr="0009353B">
        <w:rPr>
          <w:sz w:val="21"/>
        </w:rPr>
        <w:t>-</w:t>
      </w:r>
      <w:proofErr w:type="spellStart"/>
      <w:r w:rsidRPr="00306AEB">
        <w:rPr>
          <w:sz w:val="21"/>
          <w:lang w:val="ru-RU"/>
        </w:rPr>
        <w:t>некомерційне</w:t>
      </w:r>
      <w:proofErr w:type="spellEnd"/>
      <w:r w:rsidRPr="0009353B">
        <w:rPr>
          <w:sz w:val="21"/>
        </w:rPr>
        <w:t xml:space="preserve"> </w:t>
      </w:r>
      <w:r w:rsidR="005D4B7B">
        <w:rPr>
          <w:sz w:val="21"/>
        </w:rPr>
        <w:t xml:space="preserve">- </w:t>
      </w:r>
      <w:proofErr w:type="spellStart"/>
      <w:r w:rsidR="005D4B7B">
        <w:rPr>
          <w:sz w:val="21"/>
        </w:rPr>
        <w:t>ShareAlike</w:t>
      </w:r>
      <w:proofErr w:type="spellEnd"/>
      <w:r w:rsidR="005D4B7B">
        <w:rPr>
          <w:sz w:val="21"/>
        </w:rPr>
        <w:t xml:space="preserve"> 3.0 IGO </w:t>
      </w:r>
      <w:proofErr w:type="spellStart"/>
      <w:r w:rsidR="005D4B7B">
        <w:rPr>
          <w:sz w:val="21"/>
        </w:rPr>
        <w:t>licence</w:t>
      </w:r>
      <w:proofErr w:type="spellEnd"/>
      <w:r w:rsidR="005D4B7B">
        <w:rPr>
          <w:sz w:val="21"/>
        </w:rPr>
        <w:t xml:space="preserve"> (CC BY-NC-SA 3.0 IGO; </w:t>
      </w:r>
      <w:hyperlink r:id="rId9">
        <w:r w:rsidR="005D4B7B">
          <w:rPr>
            <w:color w:val="0462C1"/>
            <w:sz w:val="21"/>
            <w:u w:val="single" w:color="0462C1"/>
          </w:rPr>
          <w:t>https://creativecommons.org/licenses/by-nc-sa/3.0/igo</w:t>
        </w:r>
      </w:hyperlink>
      <w:r w:rsidR="005D4B7B">
        <w:rPr>
          <w:sz w:val="21"/>
        </w:rPr>
        <w:t>).</w:t>
      </w:r>
    </w:p>
    <w:p w14:paraId="58ABA64D" w14:textId="77777777" w:rsidR="0009353B" w:rsidRPr="0009353B" w:rsidRDefault="0009353B" w:rsidP="004E0A89">
      <w:pPr>
        <w:tabs>
          <w:tab w:val="left" w:pos="9498"/>
        </w:tabs>
        <w:spacing w:before="159"/>
        <w:ind w:left="100" w:right="78"/>
        <w:jc w:val="both"/>
        <w:rPr>
          <w:sz w:val="21"/>
          <w:lang w:val="ru-RU"/>
        </w:rPr>
      </w:pPr>
      <w:proofErr w:type="spellStart"/>
      <w:r w:rsidRPr="0009353B">
        <w:rPr>
          <w:sz w:val="21"/>
        </w:rPr>
        <w:t>Згідно</w:t>
      </w:r>
      <w:proofErr w:type="spellEnd"/>
      <w:r w:rsidRPr="0009353B">
        <w:rPr>
          <w:sz w:val="21"/>
        </w:rPr>
        <w:t xml:space="preserve"> з </w:t>
      </w:r>
      <w:proofErr w:type="spellStart"/>
      <w:r w:rsidRPr="0009353B">
        <w:rPr>
          <w:sz w:val="21"/>
        </w:rPr>
        <w:t>умовами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цієї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ліцензії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ви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можете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копіювати</w:t>
      </w:r>
      <w:proofErr w:type="spellEnd"/>
      <w:r w:rsidRPr="0009353B">
        <w:rPr>
          <w:sz w:val="21"/>
        </w:rPr>
        <w:t xml:space="preserve">, </w:t>
      </w:r>
      <w:proofErr w:type="spellStart"/>
      <w:r w:rsidRPr="0009353B">
        <w:rPr>
          <w:sz w:val="21"/>
        </w:rPr>
        <w:t>перерозподіляти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та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адаптувати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роботу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для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некомерційних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цілей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за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умови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відповідного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цитування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твору</w:t>
      </w:r>
      <w:proofErr w:type="spellEnd"/>
      <w:r w:rsidRPr="0009353B">
        <w:rPr>
          <w:sz w:val="21"/>
        </w:rPr>
        <w:t xml:space="preserve">, </w:t>
      </w:r>
      <w:proofErr w:type="spellStart"/>
      <w:r w:rsidRPr="0009353B">
        <w:rPr>
          <w:sz w:val="21"/>
        </w:rPr>
        <w:t>як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зазначено</w:t>
      </w:r>
      <w:proofErr w:type="spellEnd"/>
      <w:r w:rsidRPr="0009353B">
        <w:rPr>
          <w:sz w:val="21"/>
        </w:rPr>
        <w:t xml:space="preserve"> </w:t>
      </w:r>
      <w:proofErr w:type="spellStart"/>
      <w:r w:rsidRPr="0009353B">
        <w:rPr>
          <w:sz w:val="21"/>
        </w:rPr>
        <w:t>нижче</w:t>
      </w:r>
      <w:proofErr w:type="spellEnd"/>
      <w:r w:rsidRPr="0009353B">
        <w:rPr>
          <w:sz w:val="21"/>
        </w:rPr>
        <w:t xml:space="preserve">. </w:t>
      </w:r>
      <w:r w:rsidRPr="0009353B">
        <w:rPr>
          <w:sz w:val="21"/>
          <w:lang w:val="ru-RU"/>
        </w:rPr>
        <w:t>У будь-</w:t>
      </w:r>
      <w:proofErr w:type="spellStart"/>
      <w:r w:rsidRPr="0009353B">
        <w:rPr>
          <w:sz w:val="21"/>
          <w:lang w:val="ru-RU"/>
        </w:rPr>
        <w:t>якому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використанні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цієї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роботи</w:t>
      </w:r>
      <w:proofErr w:type="spellEnd"/>
      <w:r w:rsidRPr="0009353B">
        <w:rPr>
          <w:sz w:val="21"/>
          <w:lang w:val="ru-RU"/>
        </w:rPr>
        <w:t xml:space="preserve"> не повинно бути </w:t>
      </w:r>
      <w:proofErr w:type="spellStart"/>
      <w:r w:rsidRPr="0009353B">
        <w:rPr>
          <w:sz w:val="21"/>
          <w:lang w:val="ru-RU"/>
        </w:rPr>
        <w:t>припущень</w:t>
      </w:r>
      <w:proofErr w:type="spellEnd"/>
      <w:r w:rsidRPr="0009353B">
        <w:rPr>
          <w:sz w:val="21"/>
          <w:lang w:val="ru-RU"/>
        </w:rPr>
        <w:t xml:space="preserve">, </w:t>
      </w:r>
      <w:proofErr w:type="spellStart"/>
      <w:r w:rsidRPr="0009353B">
        <w:rPr>
          <w:sz w:val="21"/>
          <w:lang w:val="ru-RU"/>
        </w:rPr>
        <w:t>що</w:t>
      </w:r>
      <w:proofErr w:type="spellEnd"/>
      <w:r w:rsidRPr="0009353B">
        <w:rPr>
          <w:sz w:val="21"/>
          <w:lang w:val="ru-RU"/>
        </w:rPr>
        <w:t xml:space="preserve"> ВООЗ </w:t>
      </w:r>
      <w:proofErr w:type="spellStart"/>
      <w:r w:rsidRPr="0009353B">
        <w:rPr>
          <w:sz w:val="21"/>
          <w:lang w:val="ru-RU"/>
        </w:rPr>
        <w:t>схвалює</w:t>
      </w:r>
      <w:proofErr w:type="spellEnd"/>
      <w:r w:rsidRPr="0009353B">
        <w:rPr>
          <w:sz w:val="21"/>
          <w:lang w:val="ru-RU"/>
        </w:rPr>
        <w:t xml:space="preserve"> будь-яку </w:t>
      </w:r>
      <w:proofErr w:type="spellStart"/>
      <w:r w:rsidRPr="0009353B">
        <w:rPr>
          <w:sz w:val="21"/>
          <w:lang w:val="ru-RU"/>
        </w:rPr>
        <w:t>конкретну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організацію</w:t>
      </w:r>
      <w:proofErr w:type="spellEnd"/>
      <w:r w:rsidRPr="0009353B">
        <w:rPr>
          <w:sz w:val="21"/>
          <w:lang w:val="ru-RU"/>
        </w:rPr>
        <w:t xml:space="preserve">, </w:t>
      </w:r>
      <w:proofErr w:type="spellStart"/>
      <w:r w:rsidRPr="0009353B">
        <w:rPr>
          <w:sz w:val="21"/>
          <w:lang w:val="ru-RU"/>
        </w:rPr>
        <w:t>продукцію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чи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послуги</w:t>
      </w:r>
      <w:proofErr w:type="spellEnd"/>
      <w:r w:rsidRPr="0009353B">
        <w:rPr>
          <w:sz w:val="21"/>
          <w:lang w:val="ru-RU"/>
        </w:rPr>
        <w:t xml:space="preserve">. </w:t>
      </w:r>
      <w:proofErr w:type="spellStart"/>
      <w:r w:rsidRPr="0009353B">
        <w:rPr>
          <w:sz w:val="21"/>
          <w:lang w:val="ru-RU"/>
        </w:rPr>
        <w:t>Використання</w:t>
      </w:r>
      <w:proofErr w:type="spellEnd"/>
      <w:r w:rsidRPr="0009353B">
        <w:rPr>
          <w:sz w:val="21"/>
          <w:lang w:val="ru-RU"/>
        </w:rPr>
        <w:t xml:space="preserve"> логотипу ВООЗ заборонено. </w:t>
      </w:r>
      <w:proofErr w:type="spellStart"/>
      <w:r w:rsidRPr="0009353B">
        <w:rPr>
          <w:sz w:val="21"/>
          <w:lang w:val="ru-RU"/>
        </w:rPr>
        <w:t>Якщо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адаптуєте</w:t>
      </w:r>
      <w:proofErr w:type="spellEnd"/>
      <w:r w:rsidRPr="0009353B">
        <w:rPr>
          <w:sz w:val="21"/>
          <w:lang w:val="ru-RU"/>
        </w:rPr>
        <w:t xml:space="preserve"> роботу, </w:t>
      </w:r>
      <w:proofErr w:type="spellStart"/>
      <w:r w:rsidRPr="0009353B">
        <w:rPr>
          <w:sz w:val="21"/>
          <w:lang w:val="ru-RU"/>
        </w:rPr>
        <w:t>ви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повинні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ліцензувати</w:t>
      </w:r>
      <w:proofErr w:type="spellEnd"/>
      <w:r w:rsidRPr="0009353B">
        <w:rPr>
          <w:sz w:val="21"/>
          <w:lang w:val="ru-RU"/>
        </w:rPr>
        <w:t xml:space="preserve"> свою роботу </w:t>
      </w:r>
      <w:proofErr w:type="spellStart"/>
      <w:r w:rsidRPr="0009353B">
        <w:rPr>
          <w:sz w:val="21"/>
          <w:lang w:val="ru-RU"/>
        </w:rPr>
        <w:t>відповідно</w:t>
      </w:r>
      <w:proofErr w:type="spellEnd"/>
      <w:r w:rsidRPr="0009353B">
        <w:rPr>
          <w:sz w:val="21"/>
          <w:lang w:val="ru-RU"/>
        </w:rPr>
        <w:t xml:space="preserve"> до </w:t>
      </w:r>
      <w:proofErr w:type="spellStart"/>
      <w:r w:rsidRPr="0009353B">
        <w:rPr>
          <w:sz w:val="21"/>
          <w:lang w:val="ru-RU"/>
        </w:rPr>
        <w:t>тієї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самої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або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еквівалентної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ліцензії</w:t>
      </w:r>
      <w:proofErr w:type="spellEnd"/>
      <w:r w:rsidRPr="0009353B">
        <w:rPr>
          <w:sz w:val="21"/>
          <w:lang w:val="ru-RU"/>
        </w:rPr>
        <w:t xml:space="preserve"> </w:t>
      </w:r>
      <w:r w:rsidRPr="0009353B">
        <w:rPr>
          <w:sz w:val="21"/>
        </w:rPr>
        <w:t>Creative</w:t>
      </w:r>
      <w:r w:rsidRPr="0009353B">
        <w:rPr>
          <w:sz w:val="21"/>
          <w:lang w:val="ru-RU"/>
        </w:rPr>
        <w:t xml:space="preserve"> </w:t>
      </w:r>
      <w:r w:rsidRPr="0009353B">
        <w:rPr>
          <w:sz w:val="21"/>
        </w:rPr>
        <w:t>Commons</w:t>
      </w:r>
      <w:r w:rsidRPr="0009353B">
        <w:rPr>
          <w:sz w:val="21"/>
          <w:lang w:val="ru-RU"/>
        </w:rPr>
        <w:t xml:space="preserve">. </w:t>
      </w:r>
      <w:proofErr w:type="spellStart"/>
      <w:r w:rsidRPr="0009353B">
        <w:rPr>
          <w:sz w:val="21"/>
          <w:lang w:val="ru-RU"/>
        </w:rPr>
        <w:t>Якщо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створюєте</w:t>
      </w:r>
      <w:proofErr w:type="spellEnd"/>
      <w:r w:rsidRPr="0009353B">
        <w:rPr>
          <w:sz w:val="21"/>
          <w:lang w:val="ru-RU"/>
        </w:rPr>
        <w:t xml:space="preserve"> переклад </w:t>
      </w:r>
      <w:proofErr w:type="spellStart"/>
      <w:r w:rsidRPr="0009353B">
        <w:rPr>
          <w:sz w:val="21"/>
          <w:lang w:val="ru-RU"/>
        </w:rPr>
        <w:t>цієї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роботи</w:t>
      </w:r>
      <w:proofErr w:type="spellEnd"/>
      <w:r w:rsidRPr="0009353B">
        <w:rPr>
          <w:sz w:val="21"/>
          <w:lang w:val="ru-RU"/>
        </w:rPr>
        <w:t xml:space="preserve">, вам </w:t>
      </w:r>
      <w:proofErr w:type="spellStart"/>
      <w:r w:rsidRPr="0009353B">
        <w:rPr>
          <w:sz w:val="21"/>
          <w:lang w:val="ru-RU"/>
        </w:rPr>
        <w:t>слід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додати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наступну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відмову</w:t>
      </w:r>
      <w:proofErr w:type="spellEnd"/>
      <w:r w:rsidRPr="0009353B">
        <w:rPr>
          <w:sz w:val="21"/>
          <w:lang w:val="ru-RU"/>
        </w:rPr>
        <w:t xml:space="preserve"> разом </w:t>
      </w:r>
      <w:proofErr w:type="spellStart"/>
      <w:r w:rsidRPr="0009353B">
        <w:rPr>
          <w:sz w:val="21"/>
          <w:lang w:val="ru-RU"/>
        </w:rPr>
        <w:t>із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запропонованим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цитуванням</w:t>
      </w:r>
      <w:proofErr w:type="spellEnd"/>
      <w:r w:rsidRPr="0009353B">
        <w:rPr>
          <w:sz w:val="21"/>
          <w:lang w:val="ru-RU"/>
        </w:rPr>
        <w:t>: «</w:t>
      </w:r>
      <w:proofErr w:type="spellStart"/>
      <w:r w:rsidRPr="0009353B">
        <w:rPr>
          <w:sz w:val="21"/>
          <w:lang w:val="ru-RU"/>
        </w:rPr>
        <w:t>Цей</w:t>
      </w:r>
      <w:proofErr w:type="spellEnd"/>
      <w:r w:rsidRPr="0009353B">
        <w:rPr>
          <w:sz w:val="21"/>
          <w:lang w:val="ru-RU"/>
        </w:rPr>
        <w:t xml:space="preserve"> переклад не </w:t>
      </w:r>
      <w:proofErr w:type="spellStart"/>
      <w:r w:rsidRPr="0009353B">
        <w:rPr>
          <w:sz w:val="21"/>
          <w:lang w:val="ru-RU"/>
        </w:rPr>
        <w:t>створений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Всесвітньою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організацією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охорони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здоров’я</w:t>
      </w:r>
      <w:proofErr w:type="spellEnd"/>
      <w:r w:rsidRPr="0009353B">
        <w:rPr>
          <w:sz w:val="21"/>
          <w:lang w:val="ru-RU"/>
        </w:rPr>
        <w:t xml:space="preserve"> (ВООЗ). ВООЗ не </w:t>
      </w:r>
      <w:proofErr w:type="spellStart"/>
      <w:r w:rsidRPr="0009353B">
        <w:rPr>
          <w:sz w:val="21"/>
          <w:lang w:val="ru-RU"/>
        </w:rPr>
        <w:t>несе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відповідальності</w:t>
      </w:r>
      <w:proofErr w:type="spellEnd"/>
      <w:r w:rsidRPr="0009353B">
        <w:rPr>
          <w:sz w:val="21"/>
          <w:lang w:val="ru-RU"/>
        </w:rPr>
        <w:t xml:space="preserve"> за </w:t>
      </w:r>
      <w:proofErr w:type="spellStart"/>
      <w:r w:rsidRPr="0009353B">
        <w:rPr>
          <w:sz w:val="21"/>
          <w:lang w:val="ru-RU"/>
        </w:rPr>
        <w:t>зміст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або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точність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цього</w:t>
      </w:r>
      <w:proofErr w:type="spellEnd"/>
      <w:r w:rsidRPr="0009353B">
        <w:rPr>
          <w:sz w:val="21"/>
          <w:lang w:val="ru-RU"/>
        </w:rPr>
        <w:t xml:space="preserve"> перекладу. </w:t>
      </w:r>
      <w:proofErr w:type="spellStart"/>
      <w:r w:rsidRPr="0009353B">
        <w:rPr>
          <w:sz w:val="21"/>
          <w:lang w:val="ru-RU"/>
        </w:rPr>
        <w:t>Оригінальне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англійське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видання</w:t>
      </w:r>
      <w:proofErr w:type="spellEnd"/>
      <w:r w:rsidRPr="0009353B">
        <w:rPr>
          <w:sz w:val="21"/>
          <w:lang w:val="ru-RU"/>
        </w:rPr>
        <w:t xml:space="preserve"> є </w:t>
      </w:r>
      <w:proofErr w:type="spellStart"/>
      <w:r w:rsidRPr="0009353B">
        <w:rPr>
          <w:sz w:val="21"/>
          <w:lang w:val="ru-RU"/>
        </w:rPr>
        <w:t>обов'язковим</w:t>
      </w:r>
      <w:proofErr w:type="spellEnd"/>
      <w:r w:rsidRPr="0009353B">
        <w:rPr>
          <w:sz w:val="21"/>
          <w:lang w:val="ru-RU"/>
        </w:rPr>
        <w:t xml:space="preserve"> і </w:t>
      </w:r>
      <w:proofErr w:type="spellStart"/>
      <w:r w:rsidRPr="0009353B">
        <w:rPr>
          <w:sz w:val="21"/>
          <w:lang w:val="ru-RU"/>
        </w:rPr>
        <w:t>автентичним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proofErr w:type="gramStart"/>
      <w:r w:rsidRPr="0009353B">
        <w:rPr>
          <w:sz w:val="21"/>
          <w:lang w:val="ru-RU"/>
        </w:rPr>
        <w:t>виданням</w:t>
      </w:r>
      <w:proofErr w:type="spellEnd"/>
      <w:r w:rsidRPr="0009353B">
        <w:rPr>
          <w:sz w:val="21"/>
          <w:lang w:val="ru-RU"/>
        </w:rPr>
        <w:t xml:space="preserve"> »</w:t>
      </w:r>
      <w:proofErr w:type="gramEnd"/>
      <w:r w:rsidRPr="0009353B">
        <w:rPr>
          <w:sz w:val="21"/>
          <w:lang w:val="ru-RU"/>
        </w:rPr>
        <w:t>.</w:t>
      </w:r>
    </w:p>
    <w:p w14:paraId="2BC3E2A9" w14:textId="06EE8026" w:rsidR="002F6D72" w:rsidRPr="0009353B" w:rsidRDefault="0009353B" w:rsidP="004E0A89">
      <w:pPr>
        <w:tabs>
          <w:tab w:val="left" w:pos="9498"/>
        </w:tabs>
        <w:spacing w:before="159"/>
        <w:ind w:left="100" w:right="78"/>
        <w:jc w:val="both"/>
        <w:rPr>
          <w:sz w:val="21"/>
          <w:lang w:val="ru-RU"/>
        </w:rPr>
      </w:pPr>
      <w:r w:rsidRPr="0009353B">
        <w:rPr>
          <w:sz w:val="21"/>
          <w:lang w:val="ru-RU"/>
        </w:rPr>
        <w:t xml:space="preserve">Будь-яке </w:t>
      </w:r>
      <w:proofErr w:type="spellStart"/>
      <w:r w:rsidRPr="0009353B">
        <w:rPr>
          <w:sz w:val="21"/>
          <w:lang w:val="ru-RU"/>
        </w:rPr>
        <w:t>посередництво</w:t>
      </w:r>
      <w:proofErr w:type="spellEnd"/>
      <w:r w:rsidRPr="0009353B">
        <w:rPr>
          <w:sz w:val="21"/>
          <w:lang w:val="ru-RU"/>
        </w:rPr>
        <w:t xml:space="preserve">, </w:t>
      </w:r>
      <w:proofErr w:type="spellStart"/>
      <w:r w:rsidRPr="0009353B">
        <w:rPr>
          <w:sz w:val="21"/>
          <w:lang w:val="ru-RU"/>
        </w:rPr>
        <w:t>що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стосується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спорів</w:t>
      </w:r>
      <w:proofErr w:type="spellEnd"/>
      <w:r w:rsidRPr="0009353B">
        <w:rPr>
          <w:sz w:val="21"/>
          <w:lang w:val="ru-RU"/>
        </w:rPr>
        <w:t xml:space="preserve">, </w:t>
      </w:r>
      <w:proofErr w:type="spellStart"/>
      <w:r w:rsidRPr="0009353B">
        <w:rPr>
          <w:sz w:val="21"/>
          <w:lang w:val="ru-RU"/>
        </w:rPr>
        <w:t>що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виникають</w:t>
      </w:r>
      <w:proofErr w:type="spellEnd"/>
      <w:r w:rsidRPr="0009353B">
        <w:rPr>
          <w:sz w:val="21"/>
          <w:lang w:val="ru-RU"/>
        </w:rPr>
        <w:t xml:space="preserve"> за </w:t>
      </w:r>
      <w:proofErr w:type="spellStart"/>
      <w:r w:rsidRPr="0009353B">
        <w:rPr>
          <w:sz w:val="21"/>
          <w:lang w:val="ru-RU"/>
        </w:rPr>
        <w:t>ліцензією</w:t>
      </w:r>
      <w:proofErr w:type="spellEnd"/>
      <w:r w:rsidRPr="0009353B">
        <w:rPr>
          <w:sz w:val="21"/>
          <w:lang w:val="ru-RU"/>
        </w:rPr>
        <w:t xml:space="preserve">, проводиться </w:t>
      </w:r>
      <w:proofErr w:type="spellStart"/>
      <w:r w:rsidRPr="0009353B">
        <w:rPr>
          <w:sz w:val="21"/>
          <w:lang w:val="ru-RU"/>
        </w:rPr>
        <w:t>відповідно</w:t>
      </w:r>
      <w:proofErr w:type="spellEnd"/>
      <w:r w:rsidRPr="0009353B">
        <w:rPr>
          <w:sz w:val="21"/>
          <w:lang w:val="ru-RU"/>
        </w:rPr>
        <w:t xml:space="preserve"> до правил </w:t>
      </w:r>
      <w:proofErr w:type="spellStart"/>
      <w:r w:rsidRPr="0009353B">
        <w:rPr>
          <w:sz w:val="21"/>
          <w:lang w:val="ru-RU"/>
        </w:rPr>
        <w:t>посередництва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Всесвітньої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організації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інтелектуальної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власності</w:t>
      </w:r>
      <w:proofErr w:type="spellEnd"/>
      <w:r w:rsidRPr="0009353B">
        <w:rPr>
          <w:sz w:val="21"/>
          <w:lang w:val="ru-RU"/>
        </w:rPr>
        <w:t>.</w:t>
      </w:r>
    </w:p>
    <w:p w14:paraId="14DB2F7C" w14:textId="0D616214" w:rsidR="002F6D72" w:rsidRPr="0009353B" w:rsidRDefault="0009353B" w:rsidP="004E0A89">
      <w:pPr>
        <w:tabs>
          <w:tab w:val="left" w:pos="9498"/>
        </w:tabs>
        <w:spacing w:before="160"/>
        <w:ind w:left="100" w:right="78"/>
        <w:jc w:val="both"/>
        <w:rPr>
          <w:sz w:val="21"/>
          <w:lang w:val="ru-RU"/>
        </w:rPr>
      </w:pPr>
      <w:proofErr w:type="spellStart"/>
      <w:r w:rsidRPr="0009353B">
        <w:rPr>
          <w:b/>
          <w:sz w:val="21"/>
          <w:lang w:val="ru-RU"/>
        </w:rPr>
        <w:t>Пропоноване</w:t>
      </w:r>
      <w:proofErr w:type="spellEnd"/>
      <w:r w:rsidRPr="0009353B">
        <w:rPr>
          <w:b/>
          <w:sz w:val="21"/>
          <w:lang w:val="ru-RU"/>
        </w:rPr>
        <w:t xml:space="preserve"> </w:t>
      </w:r>
      <w:proofErr w:type="spellStart"/>
      <w:r w:rsidRPr="0009353B">
        <w:rPr>
          <w:b/>
          <w:sz w:val="21"/>
          <w:lang w:val="ru-RU"/>
        </w:rPr>
        <w:t>цитування</w:t>
      </w:r>
      <w:proofErr w:type="spellEnd"/>
      <w:r w:rsidRPr="0009353B">
        <w:rPr>
          <w:b/>
          <w:sz w:val="21"/>
          <w:lang w:val="ru-RU"/>
        </w:rPr>
        <w:t xml:space="preserve">. </w:t>
      </w:r>
      <w:proofErr w:type="spellStart"/>
      <w:r w:rsidRPr="0009353B">
        <w:rPr>
          <w:bCs/>
          <w:sz w:val="21"/>
          <w:lang w:val="ru-RU"/>
        </w:rPr>
        <w:t>Молекулярні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аналізи</w:t>
      </w:r>
      <w:proofErr w:type="spellEnd"/>
      <w:r w:rsidRPr="0009353B">
        <w:rPr>
          <w:bCs/>
          <w:sz w:val="21"/>
          <w:lang w:val="ru-RU"/>
        </w:rPr>
        <w:t xml:space="preserve">, </w:t>
      </w:r>
      <w:proofErr w:type="spellStart"/>
      <w:r w:rsidRPr="0009353B">
        <w:rPr>
          <w:bCs/>
          <w:sz w:val="21"/>
          <w:lang w:val="ru-RU"/>
        </w:rPr>
        <w:t>призначені</w:t>
      </w:r>
      <w:proofErr w:type="spellEnd"/>
      <w:r w:rsidRPr="0009353B">
        <w:rPr>
          <w:bCs/>
          <w:sz w:val="21"/>
          <w:lang w:val="ru-RU"/>
        </w:rPr>
        <w:t xml:space="preserve"> в </w:t>
      </w:r>
      <w:proofErr w:type="spellStart"/>
      <w:r w:rsidRPr="0009353B">
        <w:rPr>
          <w:bCs/>
          <w:sz w:val="21"/>
          <w:lang w:val="ru-RU"/>
        </w:rPr>
        <w:t>якості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початкових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тестів</w:t>
      </w:r>
      <w:proofErr w:type="spellEnd"/>
      <w:r w:rsidRPr="0009353B">
        <w:rPr>
          <w:bCs/>
          <w:sz w:val="21"/>
          <w:lang w:val="ru-RU"/>
        </w:rPr>
        <w:t xml:space="preserve"> для </w:t>
      </w:r>
      <w:proofErr w:type="spellStart"/>
      <w:r w:rsidRPr="0009353B">
        <w:rPr>
          <w:bCs/>
          <w:sz w:val="21"/>
          <w:lang w:val="ru-RU"/>
        </w:rPr>
        <w:t>діагностики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легеневого</w:t>
      </w:r>
      <w:proofErr w:type="spellEnd"/>
      <w:r w:rsidRPr="0009353B">
        <w:rPr>
          <w:bCs/>
          <w:sz w:val="21"/>
          <w:lang w:val="ru-RU"/>
        </w:rPr>
        <w:t xml:space="preserve"> та </w:t>
      </w:r>
      <w:proofErr w:type="spellStart"/>
      <w:r w:rsidRPr="0009353B">
        <w:rPr>
          <w:bCs/>
          <w:sz w:val="21"/>
          <w:lang w:val="ru-RU"/>
        </w:rPr>
        <w:t>позалегеневого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туберкульозу</w:t>
      </w:r>
      <w:proofErr w:type="spellEnd"/>
      <w:r w:rsidRPr="0009353B">
        <w:rPr>
          <w:bCs/>
          <w:sz w:val="21"/>
          <w:lang w:val="ru-RU"/>
        </w:rPr>
        <w:t xml:space="preserve"> та </w:t>
      </w:r>
      <w:proofErr w:type="spellStart"/>
      <w:r w:rsidRPr="0009353B">
        <w:rPr>
          <w:bCs/>
          <w:sz w:val="21"/>
          <w:lang w:val="ru-RU"/>
        </w:rPr>
        <w:t>резистентності</w:t>
      </w:r>
      <w:proofErr w:type="spellEnd"/>
      <w:r w:rsidRPr="0009353B">
        <w:rPr>
          <w:bCs/>
          <w:sz w:val="21"/>
          <w:lang w:val="ru-RU"/>
        </w:rPr>
        <w:t xml:space="preserve"> до </w:t>
      </w:r>
      <w:proofErr w:type="spellStart"/>
      <w:r w:rsidRPr="0009353B">
        <w:rPr>
          <w:bCs/>
          <w:sz w:val="21"/>
          <w:lang w:val="ru-RU"/>
        </w:rPr>
        <w:t>рифампіцину</w:t>
      </w:r>
      <w:proofErr w:type="spellEnd"/>
      <w:r w:rsidRPr="0009353B">
        <w:rPr>
          <w:bCs/>
          <w:sz w:val="21"/>
          <w:lang w:val="ru-RU"/>
        </w:rPr>
        <w:t xml:space="preserve"> у </w:t>
      </w:r>
      <w:proofErr w:type="spellStart"/>
      <w:r w:rsidRPr="0009353B">
        <w:rPr>
          <w:bCs/>
          <w:sz w:val="21"/>
          <w:lang w:val="ru-RU"/>
        </w:rPr>
        <w:t>дорослих</w:t>
      </w:r>
      <w:proofErr w:type="spellEnd"/>
      <w:r w:rsidRPr="0009353B">
        <w:rPr>
          <w:bCs/>
          <w:sz w:val="21"/>
          <w:lang w:val="ru-RU"/>
        </w:rPr>
        <w:t xml:space="preserve"> та </w:t>
      </w:r>
      <w:proofErr w:type="spellStart"/>
      <w:r w:rsidRPr="0009353B">
        <w:rPr>
          <w:bCs/>
          <w:sz w:val="21"/>
          <w:lang w:val="ru-RU"/>
        </w:rPr>
        <w:t>дітей</w:t>
      </w:r>
      <w:proofErr w:type="spellEnd"/>
      <w:r w:rsidRPr="0009353B">
        <w:rPr>
          <w:bCs/>
          <w:sz w:val="21"/>
          <w:lang w:val="ru-RU"/>
        </w:rPr>
        <w:t xml:space="preserve">: </w:t>
      </w:r>
      <w:proofErr w:type="spellStart"/>
      <w:r w:rsidRPr="0009353B">
        <w:rPr>
          <w:bCs/>
          <w:sz w:val="21"/>
          <w:lang w:val="ru-RU"/>
        </w:rPr>
        <w:t>швидке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спілкування</w:t>
      </w:r>
      <w:proofErr w:type="spellEnd"/>
      <w:r w:rsidRPr="0009353B">
        <w:rPr>
          <w:bCs/>
          <w:sz w:val="21"/>
          <w:lang w:val="ru-RU"/>
        </w:rPr>
        <w:t xml:space="preserve">. </w:t>
      </w:r>
      <w:proofErr w:type="spellStart"/>
      <w:r w:rsidRPr="0009353B">
        <w:rPr>
          <w:bCs/>
          <w:sz w:val="21"/>
          <w:lang w:val="ru-RU"/>
        </w:rPr>
        <w:t>Оновлення</w:t>
      </w:r>
      <w:proofErr w:type="spellEnd"/>
      <w:r w:rsidRPr="0009353B">
        <w:rPr>
          <w:bCs/>
          <w:sz w:val="21"/>
          <w:lang w:val="ru-RU"/>
        </w:rPr>
        <w:t xml:space="preserve"> </w:t>
      </w:r>
      <w:proofErr w:type="spellStart"/>
      <w:r w:rsidRPr="0009353B">
        <w:rPr>
          <w:bCs/>
          <w:sz w:val="21"/>
          <w:lang w:val="ru-RU"/>
        </w:rPr>
        <w:t>політики</w:t>
      </w:r>
      <w:proofErr w:type="spellEnd"/>
      <w:r w:rsidRPr="0009353B">
        <w:rPr>
          <w:bCs/>
          <w:sz w:val="21"/>
          <w:lang w:val="ru-RU"/>
        </w:rPr>
        <w:t>.</w:t>
      </w:r>
      <w:r w:rsidR="005D4B7B" w:rsidRPr="0009353B">
        <w:rPr>
          <w:sz w:val="21"/>
          <w:lang w:val="ru-RU"/>
        </w:rPr>
        <w:t xml:space="preserve"> </w:t>
      </w:r>
      <w:r>
        <w:rPr>
          <w:sz w:val="21"/>
          <w:lang w:val="uk-UA"/>
        </w:rPr>
        <w:t>Женева</w:t>
      </w:r>
      <w:r w:rsidR="005D4B7B" w:rsidRPr="0009353B">
        <w:rPr>
          <w:sz w:val="21"/>
          <w:lang w:val="ru-RU"/>
        </w:rPr>
        <w:t xml:space="preserve">: </w:t>
      </w:r>
      <w:r>
        <w:rPr>
          <w:sz w:val="21"/>
          <w:lang w:val="uk-UA"/>
        </w:rPr>
        <w:t>ВООЗ</w:t>
      </w:r>
      <w:r w:rsidR="005D4B7B" w:rsidRPr="0009353B">
        <w:rPr>
          <w:sz w:val="21"/>
          <w:lang w:val="ru-RU"/>
        </w:rPr>
        <w:t xml:space="preserve">; 2020. </w:t>
      </w:r>
      <w:r>
        <w:rPr>
          <w:sz w:val="21"/>
          <w:lang w:val="uk-UA"/>
        </w:rPr>
        <w:t>Ліцензія</w:t>
      </w:r>
      <w:r w:rsidR="005D4B7B" w:rsidRPr="0009353B">
        <w:rPr>
          <w:sz w:val="21"/>
          <w:lang w:val="ru-RU"/>
        </w:rPr>
        <w:t xml:space="preserve">: </w:t>
      </w:r>
      <w:hyperlink r:id="rId10">
        <w:r w:rsidR="005D4B7B">
          <w:rPr>
            <w:color w:val="0462C1"/>
            <w:sz w:val="21"/>
            <w:u w:val="single" w:color="0462C1"/>
          </w:rPr>
          <w:t>CC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 xml:space="preserve"> </w:t>
        </w:r>
        <w:r w:rsidR="005D4B7B">
          <w:rPr>
            <w:color w:val="0462C1"/>
            <w:sz w:val="21"/>
            <w:u w:val="single" w:color="0462C1"/>
          </w:rPr>
          <w:t>BY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-</w:t>
        </w:r>
        <w:r w:rsidR="005D4B7B">
          <w:rPr>
            <w:color w:val="0462C1"/>
            <w:sz w:val="21"/>
            <w:u w:val="single" w:color="0462C1"/>
          </w:rPr>
          <w:t>NC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-</w:t>
        </w:r>
        <w:r w:rsidR="005D4B7B">
          <w:rPr>
            <w:color w:val="0462C1"/>
            <w:sz w:val="21"/>
            <w:u w:val="single" w:color="0462C1"/>
          </w:rPr>
          <w:t>SA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 xml:space="preserve"> 3.0 </w:t>
        </w:r>
        <w:r w:rsidR="005D4B7B">
          <w:rPr>
            <w:color w:val="0462C1"/>
            <w:sz w:val="21"/>
            <w:u w:val="single" w:color="0462C1"/>
          </w:rPr>
          <w:t>IGO</w:t>
        </w:r>
        <w:r w:rsidR="005D4B7B" w:rsidRPr="0009353B">
          <w:rPr>
            <w:sz w:val="21"/>
            <w:lang w:val="ru-RU"/>
          </w:rPr>
          <w:t>.</w:t>
        </w:r>
      </w:hyperlink>
    </w:p>
    <w:p w14:paraId="37B96377" w14:textId="441B3B84" w:rsidR="002F6D72" w:rsidRPr="0009353B" w:rsidRDefault="0009353B" w:rsidP="004E0A89">
      <w:pPr>
        <w:tabs>
          <w:tab w:val="left" w:pos="9498"/>
        </w:tabs>
        <w:spacing w:before="157"/>
        <w:ind w:left="100" w:right="78"/>
        <w:jc w:val="both"/>
        <w:rPr>
          <w:sz w:val="21"/>
          <w:lang w:val="ru-RU"/>
        </w:rPr>
      </w:pPr>
      <w:proofErr w:type="spellStart"/>
      <w:r w:rsidRPr="0009353B">
        <w:rPr>
          <w:b/>
          <w:sz w:val="21"/>
          <w:lang w:val="ru-RU"/>
        </w:rPr>
        <w:t>Дані</w:t>
      </w:r>
      <w:proofErr w:type="spellEnd"/>
      <w:r w:rsidRPr="0009353B">
        <w:rPr>
          <w:b/>
          <w:sz w:val="21"/>
          <w:lang w:val="ru-RU"/>
        </w:rPr>
        <w:t xml:space="preserve"> </w:t>
      </w:r>
      <w:proofErr w:type="spellStart"/>
      <w:r w:rsidRPr="0009353B">
        <w:rPr>
          <w:b/>
          <w:sz w:val="21"/>
          <w:lang w:val="ru-RU"/>
        </w:rPr>
        <w:t>каталогізації</w:t>
      </w:r>
      <w:proofErr w:type="spellEnd"/>
      <w:r w:rsidRPr="0009353B">
        <w:rPr>
          <w:b/>
          <w:sz w:val="21"/>
          <w:lang w:val="ru-RU"/>
        </w:rPr>
        <w:t xml:space="preserve"> в </w:t>
      </w:r>
      <w:proofErr w:type="spellStart"/>
      <w:r w:rsidRPr="0009353B">
        <w:rPr>
          <w:b/>
          <w:sz w:val="21"/>
          <w:lang w:val="ru-RU"/>
        </w:rPr>
        <w:t>публікації</w:t>
      </w:r>
      <w:proofErr w:type="spellEnd"/>
      <w:r w:rsidRPr="0009353B">
        <w:rPr>
          <w:b/>
          <w:sz w:val="21"/>
          <w:lang w:val="ru-RU"/>
        </w:rPr>
        <w:t xml:space="preserve"> </w:t>
      </w:r>
      <w:r w:rsidR="005D4B7B" w:rsidRPr="0009353B">
        <w:rPr>
          <w:b/>
          <w:sz w:val="21"/>
          <w:lang w:val="ru-RU"/>
        </w:rPr>
        <w:t>(</w:t>
      </w:r>
      <w:r w:rsidR="005D4B7B">
        <w:rPr>
          <w:b/>
          <w:sz w:val="21"/>
        </w:rPr>
        <w:t>CIP</w:t>
      </w:r>
      <w:r w:rsidR="005D4B7B" w:rsidRPr="0009353B">
        <w:rPr>
          <w:b/>
          <w:sz w:val="21"/>
          <w:lang w:val="ru-RU"/>
        </w:rPr>
        <w:t xml:space="preserve">). </w:t>
      </w:r>
      <w:r w:rsidR="005D4B7B">
        <w:rPr>
          <w:sz w:val="21"/>
        </w:rPr>
        <w:t>CIP</w:t>
      </w:r>
      <w:r w:rsidR="005D4B7B" w:rsidRPr="0009353B">
        <w:rPr>
          <w:sz w:val="21"/>
          <w:lang w:val="ru-RU"/>
        </w:rPr>
        <w:t xml:space="preserve"> </w:t>
      </w:r>
      <w:r>
        <w:rPr>
          <w:sz w:val="21"/>
          <w:lang w:val="uk-UA"/>
        </w:rPr>
        <w:t>дані доступні за посиланням</w:t>
      </w:r>
      <w:r w:rsidR="005D4B7B" w:rsidRPr="0009353B">
        <w:rPr>
          <w:sz w:val="21"/>
          <w:lang w:val="ru-RU"/>
        </w:rPr>
        <w:t xml:space="preserve"> </w:t>
      </w:r>
      <w:hyperlink r:id="rId11">
        <w:r w:rsidR="005D4B7B">
          <w:rPr>
            <w:color w:val="0462C1"/>
            <w:sz w:val="21"/>
            <w:u w:val="single" w:color="0462C1"/>
          </w:rPr>
          <w:t>http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://</w:t>
        </w:r>
        <w:r w:rsidR="005D4B7B">
          <w:rPr>
            <w:color w:val="0462C1"/>
            <w:sz w:val="21"/>
            <w:u w:val="single" w:color="0462C1"/>
          </w:rPr>
          <w:t>apps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.</w:t>
        </w:r>
        <w:r w:rsidR="005D4B7B">
          <w:rPr>
            <w:color w:val="0462C1"/>
            <w:sz w:val="21"/>
            <w:u w:val="single" w:color="0462C1"/>
          </w:rPr>
          <w:t>who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.</w:t>
        </w:r>
        <w:r w:rsidR="005D4B7B">
          <w:rPr>
            <w:color w:val="0462C1"/>
            <w:sz w:val="21"/>
            <w:u w:val="single" w:color="0462C1"/>
          </w:rPr>
          <w:t>int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/</w:t>
        </w:r>
        <w:r w:rsidR="005D4B7B">
          <w:rPr>
            <w:color w:val="0462C1"/>
            <w:sz w:val="21"/>
            <w:u w:val="single" w:color="0462C1"/>
          </w:rPr>
          <w:t>iris</w:t>
        </w:r>
        <w:r w:rsidR="005D4B7B" w:rsidRPr="0009353B">
          <w:rPr>
            <w:sz w:val="21"/>
            <w:lang w:val="ru-RU"/>
          </w:rPr>
          <w:t>.</w:t>
        </w:r>
      </w:hyperlink>
    </w:p>
    <w:p w14:paraId="5E29A7A4" w14:textId="67DCCA49" w:rsidR="002F6D72" w:rsidRPr="0009353B" w:rsidRDefault="0009353B" w:rsidP="004E0A89">
      <w:pPr>
        <w:tabs>
          <w:tab w:val="left" w:pos="9498"/>
        </w:tabs>
        <w:spacing w:before="162"/>
        <w:ind w:left="100" w:right="78"/>
        <w:jc w:val="both"/>
        <w:rPr>
          <w:sz w:val="21"/>
          <w:lang w:val="ru-RU"/>
        </w:rPr>
      </w:pPr>
      <w:proofErr w:type="spellStart"/>
      <w:r w:rsidRPr="0009353B">
        <w:rPr>
          <w:b/>
          <w:sz w:val="21"/>
          <w:lang w:val="ru-RU"/>
        </w:rPr>
        <w:t>Продажі</w:t>
      </w:r>
      <w:proofErr w:type="spellEnd"/>
      <w:r w:rsidRPr="0009353B">
        <w:rPr>
          <w:b/>
          <w:sz w:val="21"/>
          <w:lang w:val="ru-RU"/>
        </w:rPr>
        <w:t xml:space="preserve">, права та </w:t>
      </w:r>
      <w:proofErr w:type="spellStart"/>
      <w:r w:rsidRPr="0009353B">
        <w:rPr>
          <w:b/>
          <w:sz w:val="21"/>
          <w:lang w:val="ru-RU"/>
        </w:rPr>
        <w:t>ліцензування</w:t>
      </w:r>
      <w:proofErr w:type="spellEnd"/>
      <w:r w:rsidRPr="0009353B">
        <w:rPr>
          <w:b/>
          <w:sz w:val="21"/>
          <w:lang w:val="ru-RU"/>
        </w:rPr>
        <w:t xml:space="preserve">. </w:t>
      </w:r>
      <w:proofErr w:type="spellStart"/>
      <w:r w:rsidRPr="0009353B">
        <w:rPr>
          <w:b/>
          <w:sz w:val="21"/>
          <w:lang w:val="ru-RU"/>
        </w:rPr>
        <w:t>Щоб</w:t>
      </w:r>
      <w:proofErr w:type="spellEnd"/>
      <w:r w:rsidRPr="0009353B">
        <w:rPr>
          <w:b/>
          <w:sz w:val="21"/>
          <w:lang w:val="ru-RU"/>
        </w:rPr>
        <w:t xml:space="preserve"> </w:t>
      </w:r>
      <w:proofErr w:type="spellStart"/>
      <w:r w:rsidRPr="0009353B">
        <w:rPr>
          <w:b/>
          <w:sz w:val="21"/>
          <w:lang w:val="ru-RU"/>
        </w:rPr>
        <w:t>придбати</w:t>
      </w:r>
      <w:proofErr w:type="spellEnd"/>
      <w:r w:rsidRPr="0009353B">
        <w:rPr>
          <w:b/>
          <w:sz w:val="21"/>
          <w:lang w:val="ru-RU"/>
        </w:rPr>
        <w:t xml:space="preserve"> </w:t>
      </w:r>
      <w:proofErr w:type="spellStart"/>
      <w:r w:rsidRPr="0009353B">
        <w:rPr>
          <w:b/>
          <w:sz w:val="21"/>
          <w:lang w:val="ru-RU"/>
        </w:rPr>
        <w:t>публікації</w:t>
      </w:r>
      <w:proofErr w:type="spellEnd"/>
      <w:r w:rsidRPr="0009353B">
        <w:rPr>
          <w:b/>
          <w:sz w:val="21"/>
          <w:lang w:val="ru-RU"/>
        </w:rPr>
        <w:t xml:space="preserve"> ВООЗ, див</w:t>
      </w:r>
      <w:r w:rsidRPr="0009353B">
        <w:rPr>
          <w:b/>
          <w:sz w:val="21"/>
          <w:lang w:val="ru-RU"/>
        </w:rPr>
        <w:t xml:space="preserve"> </w:t>
      </w:r>
      <w:hyperlink r:id="rId12">
        <w:r w:rsidR="005D4B7B">
          <w:rPr>
            <w:color w:val="0462C1"/>
            <w:sz w:val="21"/>
            <w:u w:val="single" w:color="0462C1"/>
          </w:rPr>
          <w:t>http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://</w:t>
        </w:r>
        <w:r w:rsidR="005D4B7B">
          <w:rPr>
            <w:color w:val="0462C1"/>
            <w:sz w:val="21"/>
            <w:u w:val="single" w:color="0462C1"/>
          </w:rPr>
          <w:t>apps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.</w:t>
        </w:r>
        <w:r w:rsidR="005D4B7B">
          <w:rPr>
            <w:color w:val="0462C1"/>
            <w:sz w:val="21"/>
            <w:u w:val="single" w:color="0462C1"/>
          </w:rPr>
          <w:t>who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.</w:t>
        </w:r>
        <w:r w:rsidR="005D4B7B">
          <w:rPr>
            <w:color w:val="0462C1"/>
            <w:sz w:val="21"/>
            <w:u w:val="single" w:color="0462C1"/>
          </w:rPr>
          <w:t>int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/</w:t>
        </w:r>
        <w:r w:rsidR="005D4B7B">
          <w:rPr>
            <w:color w:val="0462C1"/>
            <w:sz w:val="21"/>
            <w:u w:val="single" w:color="0462C1"/>
          </w:rPr>
          <w:t>bookorders</w:t>
        </w:r>
      </w:hyperlink>
      <w:r w:rsidR="005D4B7B" w:rsidRPr="0009353B">
        <w:rPr>
          <w:sz w:val="21"/>
          <w:lang w:val="ru-RU"/>
        </w:rPr>
        <w:t xml:space="preserve">. </w:t>
      </w:r>
      <w:proofErr w:type="spellStart"/>
      <w:r w:rsidRPr="0009353B">
        <w:rPr>
          <w:sz w:val="21"/>
          <w:lang w:val="ru-RU"/>
        </w:rPr>
        <w:t>Щоб</w:t>
      </w:r>
      <w:proofErr w:type="spellEnd"/>
      <w:r w:rsidRPr="0009353B">
        <w:rPr>
          <w:sz w:val="21"/>
          <w:lang w:val="ru-RU"/>
        </w:rPr>
        <w:t xml:space="preserve"> подати </w:t>
      </w:r>
      <w:proofErr w:type="spellStart"/>
      <w:r w:rsidRPr="0009353B">
        <w:rPr>
          <w:sz w:val="21"/>
          <w:lang w:val="ru-RU"/>
        </w:rPr>
        <w:t>запити</w:t>
      </w:r>
      <w:proofErr w:type="spellEnd"/>
      <w:r w:rsidRPr="0009353B">
        <w:rPr>
          <w:sz w:val="21"/>
          <w:lang w:val="ru-RU"/>
        </w:rPr>
        <w:t xml:space="preserve"> на </w:t>
      </w:r>
      <w:proofErr w:type="spellStart"/>
      <w:r w:rsidRPr="0009353B">
        <w:rPr>
          <w:sz w:val="21"/>
          <w:lang w:val="ru-RU"/>
        </w:rPr>
        <w:t>комерційне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використання</w:t>
      </w:r>
      <w:proofErr w:type="spellEnd"/>
      <w:r w:rsidRPr="0009353B">
        <w:rPr>
          <w:sz w:val="21"/>
          <w:lang w:val="ru-RU"/>
        </w:rPr>
        <w:t xml:space="preserve"> та </w:t>
      </w:r>
      <w:proofErr w:type="spellStart"/>
      <w:r w:rsidRPr="0009353B">
        <w:rPr>
          <w:sz w:val="21"/>
          <w:lang w:val="ru-RU"/>
        </w:rPr>
        <w:t>запити</w:t>
      </w:r>
      <w:proofErr w:type="spellEnd"/>
      <w:r w:rsidRPr="0009353B">
        <w:rPr>
          <w:sz w:val="21"/>
          <w:lang w:val="ru-RU"/>
        </w:rPr>
        <w:t xml:space="preserve"> </w:t>
      </w:r>
      <w:proofErr w:type="spellStart"/>
      <w:r w:rsidRPr="0009353B">
        <w:rPr>
          <w:sz w:val="21"/>
          <w:lang w:val="ru-RU"/>
        </w:rPr>
        <w:t>щодо</w:t>
      </w:r>
      <w:proofErr w:type="spellEnd"/>
      <w:r w:rsidRPr="0009353B">
        <w:rPr>
          <w:sz w:val="21"/>
          <w:lang w:val="ru-RU"/>
        </w:rPr>
        <w:t xml:space="preserve"> прав та </w:t>
      </w:r>
      <w:proofErr w:type="spellStart"/>
      <w:r w:rsidRPr="0009353B">
        <w:rPr>
          <w:sz w:val="21"/>
          <w:lang w:val="ru-RU"/>
        </w:rPr>
        <w:t>ліцензування</w:t>
      </w:r>
      <w:proofErr w:type="spellEnd"/>
      <w:r w:rsidRPr="0009353B">
        <w:rPr>
          <w:sz w:val="21"/>
          <w:lang w:val="ru-RU"/>
        </w:rPr>
        <w:t>, див</w:t>
      </w:r>
      <w:r w:rsidRPr="0009353B">
        <w:rPr>
          <w:sz w:val="21"/>
          <w:lang w:val="ru-RU"/>
        </w:rPr>
        <w:t xml:space="preserve"> </w:t>
      </w:r>
      <w:hyperlink r:id="rId13">
        <w:r w:rsidR="005D4B7B">
          <w:rPr>
            <w:color w:val="0462C1"/>
            <w:sz w:val="21"/>
            <w:u w:val="single" w:color="0462C1"/>
          </w:rPr>
          <w:t>http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://</w:t>
        </w:r>
        <w:r w:rsidR="005D4B7B">
          <w:rPr>
            <w:color w:val="0462C1"/>
            <w:sz w:val="21"/>
            <w:u w:val="single" w:color="0462C1"/>
          </w:rPr>
          <w:t>www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.</w:t>
        </w:r>
        <w:r w:rsidR="005D4B7B">
          <w:rPr>
            <w:color w:val="0462C1"/>
            <w:sz w:val="21"/>
            <w:u w:val="single" w:color="0462C1"/>
          </w:rPr>
          <w:t>who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.</w:t>
        </w:r>
        <w:r w:rsidR="005D4B7B">
          <w:rPr>
            <w:color w:val="0462C1"/>
            <w:sz w:val="21"/>
            <w:u w:val="single" w:color="0462C1"/>
          </w:rPr>
          <w:t>int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/</w:t>
        </w:r>
        <w:r w:rsidR="005D4B7B">
          <w:rPr>
            <w:color w:val="0462C1"/>
            <w:sz w:val="21"/>
            <w:u w:val="single" w:color="0462C1"/>
          </w:rPr>
          <w:t>about</w:t>
        </w:r>
        <w:r w:rsidR="005D4B7B" w:rsidRPr="0009353B">
          <w:rPr>
            <w:color w:val="0462C1"/>
            <w:sz w:val="21"/>
            <w:u w:val="single" w:color="0462C1"/>
            <w:lang w:val="ru-RU"/>
          </w:rPr>
          <w:t>/</w:t>
        </w:r>
        <w:r w:rsidR="005D4B7B">
          <w:rPr>
            <w:color w:val="0462C1"/>
            <w:sz w:val="21"/>
            <w:u w:val="single" w:color="0462C1"/>
          </w:rPr>
          <w:t>licensing</w:t>
        </w:r>
        <w:r w:rsidR="005D4B7B" w:rsidRPr="0009353B">
          <w:rPr>
            <w:sz w:val="21"/>
            <w:lang w:val="ru-RU"/>
          </w:rPr>
          <w:t>.</w:t>
        </w:r>
      </w:hyperlink>
    </w:p>
    <w:p w14:paraId="14E3CE67" w14:textId="77777777" w:rsidR="0095469D" w:rsidRPr="0095469D" w:rsidRDefault="0095469D" w:rsidP="004E0A89">
      <w:pPr>
        <w:tabs>
          <w:tab w:val="left" w:pos="9498"/>
        </w:tabs>
        <w:spacing w:before="161"/>
        <w:ind w:left="100" w:right="78"/>
        <w:jc w:val="both"/>
        <w:rPr>
          <w:bCs/>
          <w:sz w:val="21"/>
          <w:lang w:val="ru-RU"/>
        </w:rPr>
      </w:pPr>
      <w:proofErr w:type="spellStart"/>
      <w:r w:rsidRPr="0095469D">
        <w:rPr>
          <w:b/>
          <w:sz w:val="21"/>
          <w:lang w:val="ru-RU"/>
        </w:rPr>
        <w:t>Сторонні</w:t>
      </w:r>
      <w:proofErr w:type="spellEnd"/>
      <w:r w:rsidRPr="0095469D">
        <w:rPr>
          <w:b/>
          <w:sz w:val="21"/>
          <w:lang w:val="ru-RU"/>
        </w:rPr>
        <w:t xml:space="preserve"> </w:t>
      </w:r>
      <w:proofErr w:type="spellStart"/>
      <w:r w:rsidRPr="0095469D">
        <w:rPr>
          <w:b/>
          <w:sz w:val="21"/>
          <w:lang w:val="ru-RU"/>
        </w:rPr>
        <w:t>матеріали</w:t>
      </w:r>
      <w:proofErr w:type="spellEnd"/>
      <w:r w:rsidRPr="0095469D">
        <w:rPr>
          <w:b/>
          <w:sz w:val="21"/>
          <w:lang w:val="ru-RU"/>
        </w:rPr>
        <w:t xml:space="preserve">. </w:t>
      </w:r>
      <w:proofErr w:type="spellStart"/>
      <w:r w:rsidRPr="0095469D">
        <w:rPr>
          <w:bCs/>
          <w:sz w:val="21"/>
          <w:lang w:val="ru-RU"/>
        </w:rPr>
        <w:t>Якщо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хочете</w:t>
      </w:r>
      <w:proofErr w:type="spellEnd"/>
      <w:r w:rsidRPr="0095469D">
        <w:rPr>
          <w:bCs/>
          <w:sz w:val="21"/>
          <w:lang w:val="ru-RU"/>
        </w:rPr>
        <w:t xml:space="preserve"> повторно </w:t>
      </w:r>
      <w:proofErr w:type="spellStart"/>
      <w:r w:rsidRPr="0095469D">
        <w:rPr>
          <w:bCs/>
          <w:sz w:val="21"/>
          <w:lang w:val="ru-RU"/>
        </w:rPr>
        <w:t>використовувати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матеріали</w:t>
      </w:r>
      <w:proofErr w:type="spellEnd"/>
      <w:r w:rsidRPr="0095469D">
        <w:rPr>
          <w:bCs/>
          <w:sz w:val="21"/>
          <w:lang w:val="ru-RU"/>
        </w:rPr>
        <w:t xml:space="preserve"> з </w:t>
      </w:r>
      <w:proofErr w:type="spellStart"/>
      <w:r w:rsidRPr="0095469D">
        <w:rPr>
          <w:bCs/>
          <w:sz w:val="21"/>
          <w:lang w:val="ru-RU"/>
        </w:rPr>
        <w:t>цього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твору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які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віднесені</w:t>
      </w:r>
      <w:proofErr w:type="spellEnd"/>
      <w:r w:rsidRPr="0095469D">
        <w:rPr>
          <w:bCs/>
          <w:sz w:val="21"/>
          <w:lang w:val="ru-RU"/>
        </w:rPr>
        <w:t xml:space="preserve"> до </w:t>
      </w:r>
      <w:proofErr w:type="spellStart"/>
      <w:r w:rsidRPr="0095469D">
        <w:rPr>
          <w:bCs/>
          <w:sz w:val="21"/>
          <w:lang w:val="ru-RU"/>
        </w:rPr>
        <w:t>третьої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сторони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такі</w:t>
      </w:r>
      <w:proofErr w:type="spellEnd"/>
      <w:r w:rsidRPr="0095469D">
        <w:rPr>
          <w:bCs/>
          <w:sz w:val="21"/>
          <w:lang w:val="ru-RU"/>
        </w:rPr>
        <w:t xml:space="preserve"> як </w:t>
      </w:r>
      <w:proofErr w:type="spellStart"/>
      <w:r w:rsidRPr="0095469D">
        <w:rPr>
          <w:bCs/>
          <w:sz w:val="21"/>
          <w:lang w:val="ru-RU"/>
        </w:rPr>
        <w:t>таблиці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фігури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чи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зображення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ви</w:t>
      </w:r>
      <w:proofErr w:type="spellEnd"/>
      <w:r w:rsidRPr="0095469D">
        <w:rPr>
          <w:bCs/>
          <w:sz w:val="21"/>
          <w:lang w:val="ru-RU"/>
        </w:rPr>
        <w:t xml:space="preserve"> несете </w:t>
      </w:r>
      <w:proofErr w:type="spellStart"/>
      <w:r w:rsidRPr="0095469D">
        <w:rPr>
          <w:bCs/>
          <w:sz w:val="21"/>
          <w:lang w:val="ru-RU"/>
        </w:rPr>
        <w:t>відповідальність</w:t>
      </w:r>
      <w:proofErr w:type="spellEnd"/>
      <w:r w:rsidRPr="0095469D">
        <w:rPr>
          <w:bCs/>
          <w:sz w:val="21"/>
          <w:lang w:val="ru-RU"/>
        </w:rPr>
        <w:t xml:space="preserve"> за </w:t>
      </w:r>
      <w:proofErr w:type="spellStart"/>
      <w:r w:rsidRPr="0095469D">
        <w:rPr>
          <w:bCs/>
          <w:sz w:val="21"/>
          <w:lang w:val="ru-RU"/>
        </w:rPr>
        <w:t>визначення</w:t>
      </w:r>
      <w:proofErr w:type="spellEnd"/>
      <w:r w:rsidRPr="0095469D">
        <w:rPr>
          <w:bCs/>
          <w:sz w:val="21"/>
          <w:lang w:val="ru-RU"/>
        </w:rPr>
        <w:t xml:space="preserve"> того, </w:t>
      </w:r>
      <w:proofErr w:type="spellStart"/>
      <w:r w:rsidRPr="0095469D">
        <w:rPr>
          <w:bCs/>
          <w:sz w:val="21"/>
          <w:lang w:val="ru-RU"/>
        </w:rPr>
        <w:t>чи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потрібен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дозвіл</w:t>
      </w:r>
      <w:proofErr w:type="spellEnd"/>
      <w:r w:rsidRPr="0095469D">
        <w:rPr>
          <w:bCs/>
          <w:sz w:val="21"/>
          <w:lang w:val="ru-RU"/>
        </w:rPr>
        <w:t xml:space="preserve"> для </w:t>
      </w:r>
      <w:proofErr w:type="spellStart"/>
      <w:r w:rsidRPr="0095469D">
        <w:rPr>
          <w:bCs/>
          <w:sz w:val="21"/>
          <w:lang w:val="ru-RU"/>
        </w:rPr>
        <w:t>цього</w:t>
      </w:r>
      <w:proofErr w:type="spellEnd"/>
      <w:r w:rsidRPr="0095469D">
        <w:rPr>
          <w:bCs/>
          <w:sz w:val="21"/>
          <w:lang w:val="ru-RU"/>
        </w:rPr>
        <w:t xml:space="preserve"> повторного </w:t>
      </w:r>
      <w:proofErr w:type="spellStart"/>
      <w:r w:rsidRPr="0095469D">
        <w:rPr>
          <w:bCs/>
          <w:sz w:val="21"/>
          <w:lang w:val="ru-RU"/>
        </w:rPr>
        <w:t>використання</w:t>
      </w:r>
      <w:proofErr w:type="spellEnd"/>
      <w:r w:rsidRPr="0095469D">
        <w:rPr>
          <w:bCs/>
          <w:sz w:val="21"/>
          <w:lang w:val="ru-RU"/>
        </w:rPr>
        <w:t xml:space="preserve"> та </w:t>
      </w:r>
      <w:proofErr w:type="spellStart"/>
      <w:r w:rsidRPr="0095469D">
        <w:rPr>
          <w:bCs/>
          <w:sz w:val="21"/>
          <w:lang w:val="ru-RU"/>
        </w:rPr>
        <w:t>отримання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дозволу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від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власника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авторських</w:t>
      </w:r>
      <w:proofErr w:type="spellEnd"/>
      <w:r w:rsidRPr="0095469D">
        <w:rPr>
          <w:bCs/>
          <w:sz w:val="21"/>
          <w:lang w:val="ru-RU"/>
        </w:rPr>
        <w:t xml:space="preserve"> прав. </w:t>
      </w:r>
      <w:proofErr w:type="spellStart"/>
      <w:r w:rsidRPr="0095469D">
        <w:rPr>
          <w:bCs/>
          <w:sz w:val="21"/>
          <w:lang w:val="ru-RU"/>
        </w:rPr>
        <w:t>Ризик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претензій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внаслідок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порушення</w:t>
      </w:r>
      <w:proofErr w:type="spellEnd"/>
      <w:r w:rsidRPr="0095469D">
        <w:rPr>
          <w:bCs/>
          <w:sz w:val="21"/>
          <w:lang w:val="ru-RU"/>
        </w:rPr>
        <w:t xml:space="preserve"> будь-</w:t>
      </w:r>
      <w:proofErr w:type="spellStart"/>
      <w:r w:rsidRPr="0095469D">
        <w:rPr>
          <w:bCs/>
          <w:sz w:val="21"/>
          <w:lang w:val="ru-RU"/>
        </w:rPr>
        <w:t>якого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сторонніх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компонентів</w:t>
      </w:r>
      <w:proofErr w:type="spellEnd"/>
      <w:r w:rsidRPr="0095469D">
        <w:rPr>
          <w:bCs/>
          <w:sz w:val="21"/>
          <w:lang w:val="ru-RU"/>
        </w:rPr>
        <w:t xml:space="preserve"> у </w:t>
      </w:r>
      <w:proofErr w:type="spellStart"/>
      <w:r w:rsidRPr="0095469D">
        <w:rPr>
          <w:bCs/>
          <w:sz w:val="21"/>
          <w:lang w:val="ru-RU"/>
        </w:rPr>
        <w:t>роботі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покладається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виключно</w:t>
      </w:r>
      <w:proofErr w:type="spellEnd"/>
      <w:r w:rsidRPr="0095469D">
        <w:rPr>
          <w:bCs/>
          <w:sz w:val="21"/>
          <w:lang w:val="ru-RU"/>
        </w:rPr>
        <w:t xml:space="preserve"> на </w:t>
      </w:r>
      <w:proofErr w:type="spellStart"/>
      <w:r w:rsidRPr="0095469D">
        <w:rPr>
          <w:bCs/>
          <w:sz w:val="21"/>
          <w:lang w:val="ru-RU"/>
        </w:rPr>
        <w:t>користувача</w:t>
      </w:r>
      <w:proofErr w:type="spellEnd"/>
      <w:r w:rsidRPr="0095469D">
        <w:rPr>
          <w:bCs/>
          <w:sz w:val="21"/>
          <w:lang w:val="ru-RU"/>
        </w:rPr>
        <w:t>.</w:t>
      </w:r>
    </w:p>
    <w:p w14:paraId="68EAA06C" w14:textId="77777777" w:rsidR="0095469D" w:rsidRPr="0095469D" w:rsidRDefault="0095469D" w:rsidP="004E0A89">
      <w:pPr>
        <w:tabs>
          <w:tab w:val="left" w:pos="9498"/>
        </w:tabs>
        <w:spacing w:before="161"/>
        <w:ind w:left="100" w:right="78"/>
        <w:jc w:val="both"/>
        <w:rPr>
          <w:bCs/>
          <w:sz w:val="21"/>
          <w:lang w:val="ru-RU"/>
        </w:rPr>
      </w:pPr>
      <w:proofErr w:type="spellStart"/>
      <w:r w:rsidRPr="0095469D">
        <w:rPr>
          <w:b/>
          <w:sz w:val="21"/>
          <w:lang w:val="ru-RU"/>
        </w:rPr>
        <w:t>Загальні</w:t>
      </w:r>
      <w:proofErr w:type="spellEnd"/>
      <w:r w:rsidRPr="0095469D">
        <w:rPr>
          <w:b/>
          <w:sz w:val="21"/>
          <w:lang w:val="ru-RU"/>
        </w:rPr>
        <w:t xml:space="preserve"> </w:t>
      </w:r>
      <w:proofErr w:type="spellStart"/>
      <w:r w:rsidRPr="0095469D">
        <w:rPr>
          <w:b/>
          <w:sz w:val="21"/>
          <w:lang w:val="ru-RU"/>
        </w:rPr>
        <w:t>відмови</w:t>
      </w:r>
      <w:proofErr w:type="spellEnd"/>
      <w:r w:rsidRPr="0095469D">
        <w:rPr>
          <w:b/>
          <w:sz w:val="21"/>
          <w:lang w:val="ru-RU"/>
        </w:rPr>
        <w:t xml:space="preserve"> </w:t>
      </w:r>
      <w:proofErr w:type="spellStart"/>
      <w:r w:rsidRPr="0095469D">
        <w:rPr>
          <w:b/>
          <w:sz w:val="21"/>
          <w:lang w:val="ru-RU"/>
        </w:rPr>
        <w:t>від</w:t>
      </w:r>
      <w:proofErr w:type="spellEnd"/>
      <w:r w:rsidRPr="0095469D">
        <w:rPr>
          <w:b/>
          <w:sz w:val="21"/>
          <w:lang w:val="ru-RU"/>
        </w:rPr>
        <w:t xml:space="preserve"> </w:t>
      </w:r>
      <w:proofErr w:type="spellStart"/>
      <w:r w:rsidRPr="0095469D">
        <w:rPr>
          <w:b/>
          <w:sz w:val="21"/>
          <w:lang w:val="ru-RU"/>
        </w:rPr>
        <w:t>відповідальності</w:t>
      </w:r>
      <w:proofErr w:type="spellEnd"/>
      <w:r w:rsidRPr="0095469D">
        <w:rPr>
          <w:b/>
          <w:sz w:val="21"/>
          <w:lang w:val="ru-RU"/>
        </w:rPr>
        <w:t xml:space="preserve">. </w:t>
      </w:r>
      <w:proofErr w:type="spellStart"/>
      <w:r w:rsidRPr="0095469D">
        <w:rPr>
          <w:bCs/>
          <w:sz w:val="21"/>
          <w:lang w:val="ru-RU"/>
        </w:rPr>
        <w:t>Зазначені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позначення</w:t>
      </w:r>
      <w:proofErr w:type="spellEnd"/>
      <w:r w:rsidRPr="0095469D">
        <w:rPr>
          <w:bCs/>
          <w:sz w:val="21"/>
          <w:lang w:val="ru-RU"/>
        </w:rPr>
        <w:t xml:space="preserve"> та </w:t>
      </w:r>
      <w:proofErr w:type="spellStart"/>
      <w:r w:rsidRPr="0095469D">
        <w:rPr>
          <w:bCs/>
          <w:sz w:val="21"/>
          <w:lang w:val="ru-RU"/>
        </w:rPr>
        <w:t>подання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матеріалів</w:t>
      </w:r>
      <w:proofErr w:type="spellEnd"/>
      <w:r w:rsidRPr="0095469D">
        <w:rPr>
          <w:bCs/>
          <w:sz w:val="21"/>
          <w:lang w:val="ru-RU"/>
        </w:rPr>
        <w:t xml:space="preserve"> у </w:t>
      </w:r>
      <w:proofErr w:type="spellStart"/>
      <w:r w:rsidRPr="0095469D">
        <w:rPr>
          <w:bCs/>
          <w:sz w:val="21"/>
          <w:lang w:val="ru-RU"/>
        </w:rPr>
        <w:t>цій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публікації</w:t>
      </w:r>
      <w:proofErr w:type="spellEnd"/>
      <w:r w:rsidRPr="0095469D">
        <w:rPr>
          <w:bCs/>
          <w:sz w:val="21"/>
          <w:lang w:val="ru-RU"/>
        </w:rPr>
        <w:t xml:space="preserve"> не </w:t>
      </w:r>
      <w:proofErr w:type="spellStart"/>
      <w:r w:rsidRPr="0095469D">
        <w:rPr>
          <w:bCs/>
          <w:sz w:val="21"/>
          <w:lang w:val="ru-RU"/>
        </w:rPr>
        <w:t>передбачають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висловлення</w:t>
      </w:r>
      <w:proofErr w:type="spellEnd"/>
      <w:r w:rsidRPr="0095469D">
        <w:rPr>
          <w:bCs/>
          <w:sz w:val="21"/>
          <w:lang w:val="ru-RU"/>
        </w:rPr>
        <w:t xml:space="preserve"> будь-</w:t>
      </w:r>
      <w:proofErr w:type="spellStart"/>
      <w:r w:rsidRPr="0095469D">
        <w:rPr>
          <w:bCs/>
          <w:sz w:val="21"/>
          <w:lang w:val="ru-RU"/>
        </w:rPr>
        <w:t>якої</w:t>
      </w:r>
      <w:proofErr w:type="spellEnd"/>
      <w:r w:rsidRPr="0095469D">
        <w:rPr>
          <w:bCs/>
          <w:sz w:val="21"/>
          <w:lang w:val="ru-RU"/>
        </w:rPr>
        <w:t xml:space="preserve"> думки з боку ВООЗ </w:t>
      </w:r>
      <w:proofErr w:type="spellStart"/>
      <w:r w:rsidRPr="0095469D">
        <w:rPr>
          <w:bCs/>
          <w:sz w:val="21"/>
          <w:lang w:val="ru-RU"/>
        </w:rPr>
        <w:t>щодо</w:t>
      </w:r>
      <w:proofErr w:type="spellEnd"/>
      <w:r w:rsidRPr="0095469D">
        <w:rPr>
          <w:bCs/>
          <w:sz w:val="21"/>
          <w:lang w:val="ru-RU"/>
        </w:rPr>
        <w:t xml:space="preserve"> правового статусу будь-</w:t>
      </w:r>
      <w:proofErr w:type="spellStart"/>
      <w:r w:rsidRPr="0095469D">
        <w:rPr>
          <w:bCs/>
          <w:sz w:val="21"/>
          <w:lang w:val="ru-RU"/>
        </w:rPr>
        <w:t>якої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країни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території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міста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чи</w:t>
      </w:r>
      <w:proofErr w:type="spellEnd"/>
      <w:r w:rsidRPr="0095469D">
        <w:rPr>
          <w:bCs/>
          <w:sz w:val="21"/>
          <w:lang w:val="ru-RU"/>
        </w:rPr>
        <w:t xml:space="preserve"> району </w:t>
      </w:r>
      <w:proofErr w:type="spellStart"/>
      <w:r w:rsidRPr="0095469D">
        <w:rPr>
          <w:bCs/>
          <w:sz w:val="21"/>
          <w:lang w:val="ru-RU"/>
        </w:rPr>
        <w:t>чи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її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органів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влади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або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щодо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розмежування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її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межі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або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межі</w:t>
      </w:r>
      <w:proofErr w:type="spellEnd"/>
      <w:r w:rsidRPr="0095469D">
        <w:rPr>
          <w:bCs/>
          <w:sz w:val="21"/>
          <w:lang w:val="ru-RU"/>
        </w:rPr>
        <w:t xml:space="preserve">. </w:t>
      </w:r>
      <w:proofErr w:type="spellStart"/>
      <w:r w:rsidRPr="0095469D">
        <w:rPr>
          <w:bCs/>
          <w:sz w:val="21"/>
          <w:lang w:val="ru-RU"/>
        </w:rPr>
        <w:t>Пунктирні</w:t>
      </w:r>
      <w:proofErr w:type="spellEnd"/>
      <w:r w:rsidRPr="0095469D">
        <w:rPr>
          <w:bCs/>
          <w:sz w:val="21"/>
          <w:lang w:val="ru-RU"/>
        </w:rPr>
        <w:t xml:space="preserve"> та </w:t>
      </w:r>
      <w:proofErr w:type="spellStart"/>
      <w:r w:rsidRPr="0095469D">
        <w:rPr>
          <w:bCs/>
          <w:sz w:val="21"/>
          <w:lang w:val="ru-RU"/>
        </w:rPr>
        <w:t>пунктирні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лінії</w:t>
      </w:r>
      <w:proofErr w:type="spellEnd"/>
      <w:r w:rsidRPr="0095469D">
        <w:rPr>
          <w:bCs/>
          <w:sz w:val="21"/>
          <w:lang w:val="ru-RU"/>
        </w:rPr>
        <w:t xml:space="preserve"> на картах </w:t>
      </w:r>
      <w:proofErr w:type="spellStart"/>
      <w:r w:rsidRPr="0095469D">
        <w:rPr>
          <w:bCs/>
          <w:sz w:val="21"/>
          <w:lang w:val="ru-RU"/>
        </w:rPr>
        <w:t>представляють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приблизні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межі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щодо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яких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можливо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ще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немає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повної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згоди</w:t>
      </w:r>
      <w:proofErr w:type="spellEnd"/>
      <w:r w:rsidRPr="0095469D">
        <w:rPr>
          <w:bCs/>
          <w:sz w:val="21"/>
          <w:lang w:val="ru-RU"/>
        </w:rPr>
        <w:t>.</w:t>
      </w:r>
    </w:p>
    <w:p w14:paraId="3FC79E5B" w14:textId="77777777" w:rsidR="0095469D" w:rsidRPr="0095469D" w:rsidRDefault="0095469D" w:rsidP="004E0A89">
      <w:pPr>
        <w:tabs>
          <w:tab w:val="left" w:pos="9498"/>
        </w:tabs>
        <w:spacing w:before="161"/>
        <w:ind w:left="100" w:right="78"/>
        <w:jc w:val="both"/>
        <w:rPr>
          <w:bCs/>
          <w:sz w:val="21"/>
          <w:lang w:val="ru-RU"/>
        </w:rPr>
      </w:pPr>
      <w:proofErr w:type="spellStart"/>
      <w:r w:rsidRPr="0095469D">
        <w:rPr>
          <w:bCs/>
          <w:sz w:val="21"/>
          <w:lang w:val="ru-RU"/>
        </w:rPr>
        <w:t>Згадка</w:t>
      </w:r>
      <w:proofErr w:type="spellEnd"/>
      <w:r w:rsidRPr="0095469D">
        <w:rPr>
          <w:bCs/>
          <w:sz w:val="21"/>
          <w:lang w:val="ru-RU"/>
        </w:rPr>
        <w:t xml:space="preserve"> про </w:t>
      </w:r>
      <w:proofErr w:type="spellStart"/>
      <w:r w:rsidRPr="0095469D">
        <w:rPr>
          <w:bCs/>
          <w:sz w:val="21"/>
          <w:lang w:val="ru-RU"/>
        </w:rPr>
        <w:t>конкретні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компанії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чи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продукцію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певних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виробників</w:t>
      </w:r>
      <w:proofErr w:type="spellEnd"/>
      <w:r w:rsidRPr="0095469D">
        <w:rPr>
          <w:bCs/>
          <w:sz w:val="21"/>
          <w:lang w:val="ru-RU"/>
        </w:rPr>
        <w:t xml:space="preserve"> не </w:t>
      </w:r>
      <w:proofErr w:type="spellStart"/>
      <w:r w:rsidRPr="0095469D">
        <w:rPr>
          <w:bCs/>
          <w:sz w:val="21"/>
          <w:lang w:val="ru-RU"/>
        </w:rPr>
        <w:t>означає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що</w:t>
      </w:r>
      <w:proofErr w:type="spellEnd"/>
      <w:r w:rsidRPr="0095469D">
        <w:rPr>
          <w:bCs/>
          <w:sz w:val="21"/>
          <w:lang w:val="ru-RU"/>
        </w:rPr>
        <w:t xml:space="preserve"> вони </w:t>
      </w:r>
      <w:proofErr w:type="spellStart"/>
      <w:r w:rsidRPr="0095469D">
        <w:rPr>
          <w:bCs/>
          <w:sz w:val="21"/>
          <w:lang w:val="ru-RU"/>
        </w:rPr>
        <w:t>затверджуються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або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рекомендуються</w:t>
      </w:r>
      <w:proofErr w:type="spellEnd"/>
      <w:r w:rsidRPr="0095469D">
        <w:rPr>
          <w:bCs/>
          <w:sz w:val="21"/>
          <w:lang w:val="ru-RU"/>
        </w:rPr>
        <w:t xml:space="preserve"> ВООЗ, </w:t>
      </w:r>
      <w:proofErr w:type="spellStart"/>
      <w:r w:rsidRPr="0095469D">
        <w:rPr>
          <w:bCs/>
          <w:sz w:val="21"/>
          <w:lang w:val="ru-RU"/>
        </w:rPr>
        <w:t>надаючи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перевагу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іншим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аналогічного</w:t>
      </w:r>
      <w:proofErr w:type="spellEnd"/>
      <w:r w:rsidRPr="0095469D">
        <w:rPr>
          <w:bCs/>
          <w:sz w:val="21"/>
          <w:lang w:val="ru-RU"/>
        </w:rPr>
        <w:t xml:space="preserve"> характеру, про </w:t>
      </w:r>
      <w:proofErr w:type="spellStart"/>
      <w:r w:rsidRPr="0095469D">
        <w:rPr>
          <w:bCs/>
          <w:sz w:val="21"/>
          <w:lang w:val="ru-RU"/>
        </w:rPr>
        <w:t>які</w:t>
      </w:r>
      <w:proofErr w:type="spellEnd"/>
      <w:r w:rsidRPr="0095469D">
        <w:rPr>
          <w:bCs/>
          <w:sz w:val="21"/>
          <w:lang w:val="ru-RU"/>
        </w:rPr>
        <w:t xml:space="preserve"> не </w:t>
      </w:r>
      <w:proofErr w:type="spellStart"/>
      <w:r w:rsidRPr="0095469D">
        <w:rPr>
          <w:bCs/>
          <w:sz w:val="21"/>
          <w:lang w:val="ru-RU"/>
        </w:rPr>
        <w:t>йдеться</w:t>
      </w:r>
      <w:proofErr w:type="spellEnd"/>
      <w:r w:rsidRPr="0095469D">
        <w:rPr>
          <w:bCs/>
          <w:sz w:val="21"/>
          <w:lang w:val="ru-RU"/>
        </w:rPr>
        <w:t xml:space="preserve">. </w:t>
      </w:r>
      <w:proofErr w:type="spellStart"/>
      <w:r w:rsidRPr="0095469D">
        <w:rPr>
          <w:bCs/>
          <w:sz w:val="21"/>
          <w:lang w:val="ru-RU"/>
        </w:rPr>
        <w:t>Виключені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помилки</w:t>
      </w:r>
      <w:proofErr w:type="spellEnd"/>
      <w:r w:rsidRPr="0095469D">
        <w:rPr>
          <w:bCs/>
          <w:sz w:val="21"/>
          <w:lang w:val="ru-RU"/>
        </w:rPr>
        <w:t xml:space="preserve"> та </w:t>
      </w:r>
      <w:proofErr w:type="spellStart"/>
      <w:r w:rsidRPr="0095469D">
        <w:rPr>
          <w:bCs/>
          <w:sz w:val="21"/>
          <w:lang w:val="ru-RU"/>
        </w:rPr>
        <w:t>упущення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назви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фірмових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товарів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відрізняються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початковими</w:t>
      </w:r>
      <w:proofErr w:type="spellEnd"/>
      <w:r w:rsidRPr="0095469D">
        <w:rPr>
          <w:bCs/>
          <w:sz w:val="21"/>
          <w:lang w:val="ru-RU"/>
        </w:rPr>
        <w:t xml:space="preserve"> великими </w:t>
      </w:r>
      <w:proofErr w:type="spellStart"/>
      <w:r w:rsidRPr="0095469D">
        <w:rPr>
          <w:bCs/>
          <w:sz w:val="21"/>
          <w:lang w:val="ru-RU"/>
        </w:rPr>
        <w:t>літерами</w:t>
      </w:r>
      <w:proofErr w:type="spellEnd"/>
      <w:r w:rsidRPr="0095469D">
        <w:rPr>
          <w:bCs/>
          <w:sz w:val="21"/>
          <w:lang w:val="ru-RU"/>
        </w:rPr>
        <w:t>.</w:t>
      </w:r>
    </w:p>
    <w:p w14:paraId="7F112F7E" w14:textId="1F5E276B" w:rsidR="0095469D" w:rsidRDefault="0095469D" w:rsidP="004E0A89">
      <w:pPr>
        <w:tabs>
          <w:tab w:val="left" w:pos="9498"/>
        </w:tabs>
        <w:spacing w:before="161"/>
        <w:ind w:left="100" w:right="78"/>
        <w:jc w:val="both"/>
        <w:rPr>
          <w:sz w:val="21"/>
        </w:rPr>
      </w:pPr>
      <w:r w:rsidRPr="0095469D">
        <w:rPr>
          <w:bCs/>
          <w:sz w:val="21"/>
          <w:lang w:val="ru-RU"/>
        </w:rPr>
        <w:t xml:space="preserve">ВООЗ </w:t>
      </w:r>
      <w:proofErr w:type="spellStart"/>
      <w:r w:rsidRPr="0095469D">
        <w:rPr>
          <w:bCs/>
          <w:sz w:val="21"/>
          <w:lang w:val="ru-RU"/>
        </w:rPr>
        <w:t>вжила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всіх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розумних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запобіжних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заходів</w:t>
      </w:r>
      <w:proofErr w:type="spellEnd"/>
      <w:r w:rsidRPr="0095469D">
        <w:rPr>
          <w:bCs/>
          <w:sz w:val="21"/>
          <w:lang w:val="ru-RU"/>
        </w:rPr>
        <w:t xml:space="preserve"> для </w:t>
      </w:r>
      <w:proofErr w:type="spellStart"/>
      <w:r w:rsidRPr="0095469D">
        <w:rPr>
          <w:bCs/>
          <w:sz w:val="21"/>
          <w:lang w:val="ru-RU"/>
        </w:rPr>
        <w:t>перевірки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інформації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що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міститься</w:t>
      </w:r>
      <w:proofErr w:type="spellEnd"/>
      <w:r w:rsidRPr="0095469D">
        <w:rPr>
          <w:bCs/>
          <w:sz w:val="21"/>
          <w:lang w:val="ru-RU"/>
        </w:rPr>
        <w:t xml:space="preserve"> в </w:t>
      </w:r>
      <w:proofErr w:type="spellStart"/>
      <w:r w:rsidRPr="0095469D">
        <w:rPr>
          <w:bCs/>
          <w:sz w:val="21"/>
          <w:lang w:val="ru-RU"/>
        </w:rPr>
        <w:t>цій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публікації</w:t>
      </w:r>
      <w:proofErr w:type="spellEnd"/>
      <w:r w:rsidRPr="0095469D">
        <w:rPr>
          <w:bCs/>
          <w:sz w:val="21"/>
          <w:lang w:val="ru-RU"/>
        </w:rPr>
        <w:t xml:space="preserve">. </w:t>
      </w:r>
      <w:proofErr w:type="spellStart"/>
      <w:r w:rsidRPr="0095469D">
        <w:rPr>
          <w:bCs/>
          <w:sz w:val="21"/>
          <w:lang w:val="ru-RU"/>
        </w:rPr>
        <w:t>Однак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опублікований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матеріал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поширюється</w:t>
      </w:r>
      <w:proofErr w:type="spellEnd"/>
      <w:r w:rsidRPr="0095469D">
        <w:rPr>
          <w:bCs/>
          <w:sz w:val="21"/>
          <w:lang w:val="ru-RU"/>
        </w:rPr>
        <w:t xml:space="preserve"> без </w:t>
      </w:r>
      <w:proofErr w:type="spellStart"/>
      <w:r w:rsidRPr="0095469D">
        <w:rPr>
          <w:bCs/>
          <w:sz w:val="21"/>
          <w:lang w:val="ru-RU"/>
        </w:rPr>
        <w:t>жодних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гарантій</w:t>
      </w:r>
      <w:proofErr w:type="spellEnd"/>
      <w:r w:rsidRPr="0095469D">
        <w:rPr>
          <w:bCs/>
          <w:sz w:val="21"/>
          <w:lang w:val="ru-RU"/>
        </w:rPr>
        <w:t xml:space="preserve">, будь то </w:t>
      </w:r>
      <w:proofErr w:type="spellStart"/>
      <w:r w:rsidRPr="0095469D">
        <w:rPr>
          <w:bCs/>
          <w:sz w:val="21"/>
          <w:lang w:val="ru-RU"/>
        </w:rPr>
        <w:t>виражених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чи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побічних</w:t>
      </w:r>
      <w:proofErr w:type="spellEnd"/>
      <w:r w:rsidRPr="0095469D">
        <w:rPr>
          <w:bCs/>
          <w:sz w:val="21"/>
          <w:lang w:val="ru-RU"/>
        </w:rPr>
        <w:t xml:space="preserve">. </w:t>
      </w:r>
      <w:proofErr w:type="spellStart"/>
      <w:r w:rsidRPr="0095469D">
        <w:rPr>
          <w:bCs/>
          <w:sz w:val="21"/>
          <w:lang w:val="ru-RU"/>
        </w:rPr>
        <w:t>Відповідальність</w:t>
      </w:r>
      <w:proofErr w:type="spellEnd"/>
      <w:r w:rsidRPr="0095469D">
        <w:rPr>
          <w:bCs/>
          <w:sz w:val="21"/>
          <w:lang w:val="ru-RU"/>
        </w:rPr>
        <w:t xml:space="preserve"> за </w:t>
      </w:r>
      <w:proofErr w:type="spellStart"/>
      <w:r w:rsidRPr="0095469D">
        <w:rPr>
          <w:bCs/>
          <w:sz w:val="21"/>
          <w:lang w:val="ru-RU"/>
        </w:rPr>
        <w:t>інтерпретацію</w:t>
      </w:r>
      <w:proofErr w:type="spellEnd"/>
      <w:r w:rsidRPr="0095469D">
        <w:rPr>
          <w:bCs/>
          <w:sz w:val="21"/>
          <w:lang w:val="ru-RU"/>
        </w:rPr>
        <w:t xml:space="preserve"> та </w:t>
      </w:r>
      <w:proofErr w:type="spellStart"/>
      <w:r w:rsidRPr="0095469D">
        <w:rPr>
          <w:bCs/>
          <w:sz w:val="21"/>
          <w:lang w:val="ru-RU"/>
        </w:rPr>
        <w:t>використання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матеріалу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покладається</w:t>
      </w:r>
      <w:proofErr w:type="spellEnd"/>
      <w:r w:rsidRPr="0095469D">
        <w:rPr>
          <w:bCs/>
          <w:sz w:val="21"/>
          <w:lang w:val="ru-RU"/>
        </w:rPr>
        <w:t xml:space="preserve"> на </w:t>
      </w:r>
      <w:proofErr w:type="spellStart"/>
      <w:r w:rsidRPr="0095469D">
        <w:rPr>
          <w:bCs/>
          <w:sz w:val="21"/>
          <w:lang w:val="ru-RU"/>
        </w:rPr>
        <w:t>читача</w:t>
      </w:r>
      <w:proofErr w:type="spellEnd"/>
      <w:r w:rsidRPr="0095469D">
        <w:rPr>
          <w:bCs/>
          <w:sz w:val="21"/>
          <w:lang w:val="ru-RU"/>
        </w:rPr>
        <w:t xml:space="preserve">. В </w:t>
      </w:r>
      <w:proofErr w:type="spellStart"/>
      <w:r w:rsidRPr="0095469D">
        <w:rPr>
          <w:bCs/>
          <w:sz w:val="21"/>
          <w:lang w:val="ru-RU"/>
        </w:rPr>
        <w:t>жодному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разі</w:t>
      </w:r>
      <w:proofErr w:type="spellEnd"/>
      <w:r w:rsidRPr="0095469D">
        <w:rPr>
          <w:bCs/>
          <w:sz w:val="21"/>
          <w:lang w:val="ru-RU"/>
        </w:rPr>
        <w:t xml:space="preserve"> ВОЗ не </w:t>
      </w:r>
      <w:proofErr w:type="spellStart"/>
      <w:r w:rsidRPr="0095469D">
        <w:rPr>
          <w:bCs/>
          <w:sz w:val="21"/>
          <w:lang w:val="ru-RU"/>
        </w:rPr>
        <w:t>несе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відповідальності</w:t>
      </w:r>
      <w:proofErr w:type="spellEnd"/>
      <w:r w:rsidRPr="0095469D">
        <w:rPr>
          <w:bCs/>
          <w:sz w:val="21"/>
          <w:lang w:val="ru-RU"/>
        </w:rPr>
        <w:t xml:space="preserve"> за </w:t>
      </w:r>
      <w:proofErr w:type="spellStart"/>
      <w:r w:rsidRPr="0095469D">
        <w:rPr>
          <w:bCs/>
          <w:sz w:val="21"/>
          <w:lang w:val="ru-RU"/>
        </w:rPr>
        <w:t>збитки</w:t>
      </w:r>
      <w:proofErr w:type="spellEnd"/>
      <w:r w:rsidRPr="0095469D">
        <w:rPr>
          <w:bCs/>
          <w:sz w:val="21"/>
          <w:lang w:val="ru-RU"/>
        </w:rPr>
        <w:t xml:space="preserve">, </w:t>
      </w:r>
      <w:proofErr w:type="spellStart"/>
      <w:r w:rsidRPr="0095469D">
        <w:rPr>
          <w:bCs/>
          <w:sz w:val="21"/>
          <w:lang w:val="ru-RU"/>
        </w:rPr>
        <w:t>що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виникли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внаслідок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її</w:t>
      </w:r>
      <w:proofErr w:type="spellEnd"/>
      <w:r w:rsidRPr="0095469D">
        <w:rPr>
          <w:bCs/>
          <w:sz w:val="21"/>
          <w:lang w:val="ru-RU"/>
        </w:rPr>
        <w:t xml:space="preserve"> </w:t>
      </w:r>
      <w:proofErr w:type="spellStart"/>
      <w:r w:rsidRPr="0095469D">
        <w:rPr>
          <w:bCs/>
          <w:sz w:val="21"/>
          <w:lang w:val="ru-RU"/>
        </w:rPr>
        <w:t>використання</w:t>
      </w:r>
      <w:proofErr w:type="spellEnd"/>
      <w:r w:rsidRPr="0095469D">
        <w:rPr>
          <w:b/>
          <w:sz w:val="21"/>
          <w:lang w:val="ru-RU"/>
        </w:rPr>
        <w:t>.</w:t>
      </w:r>
      <w:r>
        <w:rPr>
          <w:b/>
          <w:sz w:val="21"/>
          <w:lang w:val="ru-RU"/>
        </w:rPr>
        <w:t xml:space="preserve"> </w:t>
      </w:r>
    </w:p>
    <w:p w14:paraId="0E253902" w14:textId="77777777" w:rsidR="002F6D72" w:rsidRDefault="002F6D72">
      <w:pPr>
        <w:rPr>
          <w:sz w:val="21"/>
        </w:rPr>
        <w:sectPr w:rsidR="002F6D72" w:rsidSect="004E0A89">
          <w:pgSz w:w="12240" w:h="15840"/>
          <w:pgMar w:top="1400" w:right="900" w:bottom="1200" w:left="1340" w:header="0" w:footer="932" w:gutter="0"/>
          <w:cols w:space="720"/>
        </w:sectPr>
      </w:pPr>
    </w:p>
    <w:p w14:paraId="4508C563" w14:textId="36C4D97A" w:rsidR="002F6D72" w:rsidRDefault="001A103E">
      <w:pPr>
        <w:pStyle w:val="2"/>
        <w:spacing w:before="79"/>
      </w:pPr>
      <w:r>
        <w:rPr>
          <w:color w:val="4F81BA"/>
          <w:lang w:val="uk-UA"/>
        </w:rPr>
        <w:lastRenderedPageBreak/>
        <w:t>Передумови</w:t>
      </w:r>
    </w:p>
    <w:p w14:paraId="5344C170" w14:textId="77777777" w:rsidR="002F6D72" w:rsidRPr="001A103E" w:rsidRDefault="002F6D72">
      <w:pPr>
        <w:pStyle w:val="a3"/>
        <w:rPr>
          <w:lang w:val="uk-UA"/>
        </w:rPr>
      </w:pPr>
    </w:p>
    <w:p w14:paraId="17D70810" w14:textId="68B91E86" w:rsidR="00840FC3" w:rsidRPr="008E7A07" w:rsidRDefault="00840FC3" w:rsidP="00840FC3">
      <w:pPr>
        <w:pStyle w:val="a3"/>
        <w:spacing w:before="1"/>
        <w:jc w:val="both"/>
        <w:rPr>
          <w:lang w:val="ru-RU"/>
        </w:rPr>
      </w:pPr>
      <w:proofErr w:type="spellStart"/>
      <w:r w:rsidRPr="008E7A07">
        <w:rPr>
          <w:lang w:val="ru-RU"/>
        </w:rPr>
        <w:t>Туберкульоз</w:t>
      </w:r>
      <w:proofErr w:type="spellEnd"/>
      <w:r w:rsidRPr="001A103E">
        <w:t xml:space="preserve"> (</w:t>
      </w:r>
      <w:r w:rsidR="008E7A07">
        <w:rPr>
          <w:lang w:val="ru-RU"/>
        </w:rPr>
        <w:t>ТБ</w:t>
      </w:r>
      <w:r w:rsidRPr="001A103E">
        <w:t xml:space="preserve">) </w:t>
      </w:r>
      <w:proofErr w:type="spellStart"/>
      <w:r w:rsidRPr="008E7A07">
        <w:rPr>
          <w:lang w:val="ru-RU"/>
        </w:rPr>
        <w:t>залишається</w:t>
      </w:r>
      <w:proofErr w:type="spellEnd"/>
      <w:r w:rsidRPr="001A103E">
        <w:t xml:space="preserve"> </w:t>
      </w:r>
      <w:proofErr w:type="spellStart"/>
      <w:r w:rsidRPr="008E7A07">
        <w:rPr>
          <w:lang w:val="ru-RU"/>
        </w:rPr>
        <w:t>загрозою</w:t>
      </w:r>
      <w:proofErr w:type="spellEnd"/>
      <w:r w:rsidRPr="001A103E">
        <w:t xml:space="preserve"> </w:t>
      </w:r>
      <w:r w:rsidRPr="008E7A07">
        <w:rPr>
          <w:lang w:val="ru-RU"/>
        </w:rPr>
        <w:t>для</w:t>
      </w:r>
      <w:r w:rsidRPr="001A103E">
        <w:t xml:space="preserve"> </w:t>
      </w:r>
      <w:r w:rsidRPr="008E7A07">
        <w:rPr>
          <w:lang w:val="ru-RU"/>
        </w:rPr>
        <w:t>глобального</w:t>
      </w:r>
      <w:r w:rsidRPr="001A103E">
        <w:t xml:space="preserve"> </w:t>
      </w:r>
      <w:proofErr w:type="spellStart"/>
      <w:r w:rsidRPr="008E7A07">
        <w:rPr>
          <w:lang w:val="ru-RU"/>
        </w:rPr>
        <w:t>громадського</w:t>
      </w:r>
      <w:proofErr w:type="spellEnd"/>
      <w:r w:rsidRPr="001A103E">
        <w:t xml:space="preserve"> </w:t>
      </w:r>
      <w:r w:rsidRPr="008E7A07">
        <w:rPr>
          <w:lang w:val="ru-RU"/>
        </w:rPr>
        <w:t>здоров</w:t>
      </w:r>
      <w:r w:rsidRPr="001A103E">
        <w:t>’</w:t>
      </w:r>
      <w:r w:rsidRPr="008E7A07">
        <w:rPr>
          <w:lang w:val="ru-RU"/>
        </w:rPr>
        <w:t>я</w:t>
      </w:r>
      <w:r w:rsidRPr="001A103E">
        <w:t xml:space="preserve"> </w:t>
      </w:r>
      <w:r w:rsidRPr="008E7A07">
        <w:rPr>
          <w:lang w:val="ru-RU"/>
        </w:rPr>
        <w:t>і</w:t>
      </w:r>
      <w:r w:rsidRPr="001A103E">
        <w:t xml:space="preserve"> </w:t>
      </w:r>
      <w:r w:rsidRPr="008E7A07">
        <w:rPr>
          <w:lang w:val="ru-RU"/>
        </w:rPr>
        <w:t>є</w:t>
      </w:r>
      <w:r w:rsidRPr="001A103E">
        <w:t xml:space="preserve"> </w:t>
      </w:r>
      <w:r w:rsidRPr="008E7A07">
        <w:rPr>
          <w:lang w:val="ru-RU"/>
        </w:rPr>
        <w:t>головною</w:t>
      </w:r>
      <w:r w:rsidRPr="001A103E">
        <w:t xml:space="preserve"> </w:t>
      </w:r>
      <w:proofErr w:type="spellStart"/>
      <w:r w:rsidRPr="008E7A07">
        <w:rPr>
          <w:lang w:val="ru-RU"/>
        </w:rPr>
        <w:t>інфекційною</w:t>
      </w:r>
      <w:proofErr w:type="spellEnd"/>
      <w:r w:rsidRPr="001A103E">
        <w:t xml:space="preserve"> </w:t>
      </w:r>
      <w:r w:rsidRPr="008E7A07">
        <w:rPr>
          <w:lang w:val="ru-RU"/>
        </w:rPr>
        <w:t>причиною</w:t>
      </w:r>
      <w:r w:rsidRPr="001A103E">
        <w:t xml:space="preserve"> </w:t>
      </w:r>
      <w:proofErr w:type="spellStart"/>
      <w:r w:rsidRPr="008E7A07">
        <w:rPr>
          <w:lang w:val="ru-RU"/>
        </w:rPr>
        <w:t>смерті</w:t>
      </w:r>
      <w:proofErr w:type="spellEnd"/>
      <w:r w:rsidRPr="001A103E">
        <w:t xml:space="preserve"> </w:t>
      </w:r>
      <w:r w:rsidRPr="008E7A07">
        <w:rPr>
          <w:lang w:val="ru-RU"/>
        </w:rPr>
        <w:t>в</w:t>
      </w:r>
      <w:r w:rsidRPr="001A103E">
        <w:t xml:space="preserve"> </w:t>
      </w:r>
      <w:proofErr w:type="spellStart"/>
      <w:r w:rsidRPr="008E7A07">
        <w:rPr>
          <w:lang w:val="ru-RU"/>
        </w:rPr>
        <w:t>усьому</w:t>
      </w:r>
      <w:proofErr w:type="spellEnd"/>
      <w:r w:rsidRPr="001A103E">
        <w:t xml:space="preserve"> </w:t>
      </w:r>
      <w:proofErr w:type="spellStart"/>
      <w:r w:rsidRPr="008E7A07">
        <w:rPr>
          <w:lang w:val="ru-RU"/>
        </w:rPr>
        <w:t>світі</w:t>
      </w:r>
      <w:proofErr w:type="spellEnd"/>
      <w:r w:rsidRPr="001A103E">
        <w:t xml:space="preserve">. </w:t>
      </w:r>
      <w:r w:rsidRPr="008E7A07">
        <w:rPr>
          <w:lang w:val="ru-RU"/>
        </w:rPr>
        <w:t xml:space="preserve">У 2018 </w:t>
      </w:r>
      <w:proofErr w:type="spellStart"/>
      <w:r w:rsidRPr="008E7A07">
        <w:rPr>
          <w:lang w:val="ru-RU"/>
        </w:rPr>
        <w:t>році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приблизно</w:t>
      </w:r>
      <w:proofErr w:type="spellEnd"/>
      <w:r w:rsidRPr="008E7A07">
        <w:rPr>
          <w:lang w:val="ru-RU"/>
        </w:rPr>
        <w:t xml:space="preserve"> 10 </w:t>
      </w:r>
      <w:proofErr w:type="spellStart"/>
      <w:r w:rsidRPr="008E7A07">
        <w:rPr>
          <w:lang w:val="ru-RU"/>
        </w:rPr>
        <w:t>мільйонів</w:t>
      </w:r>
      <w:proofErr w:type="spellEnd"/>
      <w:r w:rsidRPr="008E7A07">
        <w:rPr>
          <w:lang w:val="ru-RU"/>
        </w:rPr>
        <w:t xml:space="preserve"> людей </w:t>
      </w:r>
      <w:proofErr w:type="spellStart"/>
      <w:r w:rsidRPr="008E7A07">
        <w:rPr>
          <w:lang w:val="ru-RU"/>
        </w:rPr>
        <w:t>захворіли</w:t>
      </w:r>
      <w:proofErr w:type="spellEnd"/>
      <w:r w:rsidRPr="008E7A07">
        <w:rPr>
          <w:lang w:val="ru-RU"/>
        </w:rPr>
        <w:t xml:space="preserve"> на </w:t>
      </w:r>
      <w:proofErr w:type="spellStart"/>
      <w:r w:rsidRPr="008E7A07">
        <w:rPr>
          <w:lang w:val="ru-RU"/>
        </w:rPr>
        <w:t>туберкульоз</w:t>
      </w:r>
      <w:proofErr w:type="spellEnd"/>
      <w:r w:rsidRPr="008E7A07">
        <w:rPr>
          <w:lang w:val="ru-RU"/>
        </w:rPr>
        <w:t xml:space="preserve">, а 1,5 </w:t>
      </w:r>
      <w:proofErr w:type="spellStart"/>
      <w:r w:rsidRPr="008E7A07">
        <w:rPr>
          <w:lang w:val="ru-RU"/>
        </w:rPr>
        <w:t>мільйони</w:t>
      </w:r>
      <w:proofErr w:type="spellEnd"/>
      <w:r w:rsidRPr="008E7A07">
        <w:rPr>
          <w:lang w:val="ru-RU"/>
        </w:rPr>
        <w:t xml:space="preserve"> померли </w:t>
      </w:r>
      <w:proofErr w:type="spellStart"/>
      <w:r w:rsidRPr="008E7A07">
        <w:rPr>
          <w:lang w:val="ru-RU"/>
        </w:rPr>
        <w:t>від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цієї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хвороби</w:t>
      </w:r>
      <w:proofErr w:type="spellEnd"/>
      <w:r w:rsidRPr="008E7A07">
        <w:rPr>
          <w:lang w:val="ru-RU"/>
        </w:rPr>
        <w:t xml:space="preserve"> </w:t>
      </w:r>
      <w:r w:rsidR="008E7A07" w:rsidRPr="008E7A07">
        <w:rPr>
          <w:position w:val="7"/>
          <w:sz w:val="13"/>
          <w:lang w:val="ru-RU"/>
        </w:rPr>
        <w:t>1</w:t>
      </w:r>
      <w:r w:rsidR="008E7A07">
        <w:rPr>
          <w:position w:val="7"/>
          <w:sz w:val="13"/>
          <w:lang w:val="ru-RU"/>
        </w:rPr>
        <w:t xml:space="preserve">. </w:t>
      </w:r>
      <w:proofErr w:type="spellStart"/>
      <w:r w:rsidRPr="008E7A07">
        <w:rPr>
          <w:lang w:val="ru-RU"/>
        </w:rPr>
        <w:t>Щонайменше</w:t>
      </w:r>
      <w:proofErr w:type="spellEnd"/>
      <w:r w:rsidRPr="008E7A07">
        <w:rPr>
          <w:lang w:val="ru-RU"/>
        </w:rPr>
        <w:t xml:space="preserve"> 1 </w:t>
      </w:r>
      <w:proofErr w:type="spellStart"/>
      <w:r w:rsidRPr="008E7A07">
        <w:rPr>
          <w:lang w:val="ru-RU"/>
        </w:rPr>
        <w:t>мільйон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дітей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хворіють</w:t>
      </w:r>
      <w:proofErr w:type="spellEnd"/>
      <w:r w:rsidRPr="008E7A07">
        <w:rPr>
          <w:lang w:val="ru-RU"/>
        </w:rPr>
        <w:t xml:space="preserve"> на </w:t>
      </w:r>
      <w:proofErr w:type="spellStart"/>
      <w:r w:rsidRPr="008E7A07">
        <w:rPr>
          <w:lang w:val="ru-RU"/>
        </w:rPr>
        <w:t>туберкульоз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щороку</w:t>
      </w:r>
      <w:proofErr w:type="spellEnd"/>
      <w:r w:rsidRPr="008E7A07">
        <w:rPr>
          <w:lang w:val="ru-RU"/>
        </w:rPr>
        <w:t xml:space="preserve">. У 2018 </w:t>
      </w:r>
      <w:proofErr w:type="spellStart"/>
      <w:r w:rsidRPr="008E7A07">
        <w:rPr>
          <w:lang w:val="ru-RU"/>
        </w:rPr>
        <w:t>році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від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туберкульозу</w:t>
      </w:r>
      <w:proofErr w:type="spellEnd"/>
      <w:r w:rsidRPr="008E7A07">
        <w:rPr>
          <w:lang w:val="ru-RU"/>
        </w:rPr>
        <w:t xml:space="preserve"> померло </w:t>
      </w:r>
      <w:proofErr w:type="spellStart"/>
      <w:r w:rsidRPr="008E7A07">
        <w:rPr>
          <w:lang w:val="ru-RU"/>
        </w:rPr>
        <w:t>близько</w:t>
      </w:r>
      <w:proofErr w:type="spellEnd"/>
      <w:r w:rsidRPr="008E7A07">
        <w:rPr>
          <w:lang w:val="ru-RU"/>
        </w:rPr>
        <w:t xml:space="preserve"> 205 000 </w:t>
      </w:r>
      <w:proofErr w:type="spellStart"/>
      <w:r w:rsidRPr="008E7A07">
        <w:rPr>
          <w:lang w:val="ru-RU"/>
        </w:rPr>
        <w:t>дітей</w:t>
      </w:r>
      <w:proofErr w:type="spellEnd"/>
      <w:r w:rsidRPr="008E7A07">
        <w:rPr>
          <w:lang w:val="ru-RU"/>
        </w:rPr>
        <w:t xml:space="preserve">. За </w:t>
      </w:r>
      <w:proofErr w:type="spellStart"/>
      <w:r w:rsidRPr="008E7A07">
        <w:rPr>
          <w:lang w:val="ru-RU"/>
        </w:rPr>
        <w:t>оцінками</w:t>
      </w:r>
      <w:proofErr w:type="spellEnd"/>
      <w:r w:rsidRPr="008E7A07">
        <w:rPr>
          <w:lang w:val="ru-RU"/>
        </w:rPr>
        <w:t xml:space="preserve">, </w:t>
      </w:r>
      <w:proofErr w:type="spellStart"/>
      <w:r w:rsidRPr="008E7A07">
        <w:rPr>
          <w:lang w:val="ru-RU"/>
        </w:rPr>
        <w:t>близько</w:t>
      </w:r>
      <w:proofErr w:type="spellEnd"/>
      <w:r w:rsidRPr="008E7A07">
        <w:rPr>
          <w:lang w:val="ru-RU"/>
        </w:rPr>
        <w:t xml:space="preserve"> 500 000 </w:t>
      </w:r>
      <w:proofErr w:type="spellStart"/>
      <w:r w:rsidRPr="008E7A07">
        <w:rPr>
          <w:lang w:val="ru-RU"/>
        </w:rPr>
        <w:t>нових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випадків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туберкульозу</w:t>
      </w:r>
      <w:proofErr w:type="spellEnd"/>
      <w:r w:rsidRPr="008E7A07">
        <w:rPr>
          <w:lang w:val="ru-RU"/>
        </w:rPr>
        <w:t xml:space="preserve"> з </w:t>
      </w:r>
      <w:proofErr w:type="spellStart"/>
      <w:r w:rsidRPr="008E7A07">
        <w:rPr>
          <w:lang w:val="ru-RU"/>
        </w:rPr>
        <w:t>мульти</w:t>
      </w:r>
      <w:r w:rsidR="008E7A07">
        <w:rPr>
          <w:lang w:val="ru-RU"/>
        </w:rPr>
        <w:t>резистентністю</w:t>
      </w:r>
      <w:proofErr w:type="spellEnd"/>
      <w:proofErr w:type="gramStart"/>
      <w:r w:rsidR="008E7A07" w:rsidRPr="008E7A07">
        <w:rPr>
          <w:position w:val="7"/>
          <w:sz w:val="13"/>
          <w:lang w:val="ru-RU"/>
        </w:rPr>
        <w:t xml:space="preserve">2 </w:t>
      </w:r>
      <w:r w:rsidRPr="008E7A07">
        <w:rPr>
          <w:lang w:val="ru-RU"/>
        </w:rPr>
        <w:t xml:space="preserve"> та</w:t>
      </w:r>
      <w:proofErr w:type="gram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резистентним</w:t>
      </w:r>
      <w:proofErr w:type="spellEnd"/>
      <w:r w:rsidRPr="008E7A07">
        <w:rPr>
          <w:lang w:val="ru-RU"/>
        </w:rPr>
        <w:t xml:space="preserve"> до </w:t>
      </w:r>
      <w:proofErr w:type="spellStart"/>
      <w:r w:rsidRPr="008E7A07">
        <w:rPr>
          <w:lang w:val="ru-RU"/>
        </w:rPr>
        <w:t>рифампіцину</w:t>
      </w:r>
      <w:proofErr w:type="spellEnd"/>
      <w:r w:rsidRPr="008E7A07">
        <w:rPr>
          <w:lang w:val="ru-RU"/>
        </w:rPr>
        <w:t xml:space="preserve"> (</w:t>
      </w:r>
      <w:r w:rsidRPr="00840FC3">
        <w:t>MDR</w:t>
      </w:r>
      <w:r w:rsidRPr="008E7A07">
        <w:rPr>
          <w:lang w:val="ru-RU"/>
        </w:rPr>
        <w:t xml:space="preserve"> / </w:t>
      </w:r>
      <w:r w:rsidRPr="00840FC3">
        <w:t>RR</w:t>
      </w:r>
      <w:r w:rsidRPr="008E7A07">
        <w:rPr>
          <w:lang w:val="ru-RU"/>
        </w:rPr>
        <w:t>-</w:t>
      </w:r>
      <w:r w:rsidRPr="00840FC3">
        <w:t>TB</w:t>
      </w:r>
      <w:r w:rsidRPr="008E7A07">
        <w:rPr>
          <w:lang w:val="ru-RU"/>
        </w:rPr>
        <w:t xml:space="preserve">) </w:t>
      </w:r>
      <w:proofErr w:type="spellStart"/>
      <w:r w:rsidRPr="008E7A07">
        <w:rPr>
          <w:lang w:val="ru-RU"/>
        </w:rPr>
        <w:t>виникають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щороку</w:t>
      </w:r>
      <w:proofErr w:type="spellEnd"/>
      <w:r w:rsidRPr="008E7A07">
        <w:rPr>
          <w:lang w:val="ru-RU"/>
        </w:rPr>
        <w:t xml:space="preserve">, але </w:t>
      </w:r>
      <w:proofErr w:type="spellStart"/>
      <w:r w:rsidRPr="008E7A07">
        <w:rPr>
          <w:lang w:val="ru-RU"/>
        </w:rPr>
        <w:t>лише</w:t>
      </w:r>
      <w:proofErr w:type="spellEnd"/>
      <w:r w:rsidRPr="008E7A07">
        <w:rPr>
          <w:lang w:val="ru-RU"/>
        </w:rPr>
        <w:t xml:space="preserve"> один </w:t>
      </w:r>
      <w:proofErr w:type="spellStart"/>
      <w:r w:rsidRPr="008E7A07">
        <w:rPr>
          <w:lang w:val="ru-RU"/>
        </w:rPr>
        <w:t>із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трьох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випадків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було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зареєстровано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країнами</w:t>
      </w:r>
      <w:proofErr w:type="spellEnd"/>
      <w:r w:rsidRPr="008E7A07">
        <w:rPr>
          <w:lang w:val="ru-RU"/>
        </w:rPr>
        <w:t xml:space="preserve">, </w:t>
      </w:r>
      <w:proofErr w:type="spellStart"/>
      <w:r w:rsidRPr="008E7A07">
        <w:rPr>
          <w:lang w:val="ru-RU"/>
        </w:rPr>
        <w:t>які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мали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діагностувати</w:t>
      </w:r>
      <w:proofErr w:type="spellEnd"/>
      <w:r w:rsidRPr="008E7A07">
        <w:rPr>
          <w:lang w:val="ru-RU"/>
        </w:rPr>
        <w:t xml:space="preserve"> та </w:t>
      </w:r>
      <w:proofErr w:type="spellStart"/>
      <w:r w:rsidRPr="008E7A07">
        <w:rPr>
          <w:lang w:val="ru-RU"/>
        </w:rPr>
        <w:t>лікувати</w:t>
      </w:r>
      <w:proofErr w:type="spellEnd"/>
      <w:r w:rsidRPr="008E7A07">
        <w:rPr>
          <w:lang w:val="ru-RU"/>
        </w:rPr>
        <w:t xml:space="preserve"> у 2018 </w:t>
      </w:r>
      <w:proofErr w:type="spellStart"/>
      <w:r w:rsidRPr="008E7A07">
        <w:rPr>
          <w:lang w:val="ru-RU"/>
        </w:rPr>
        <w:t>році</w:t>
      </w:r>
      <w:proofErr w:type="spellEnd"/>
      <w:r w:rsidRPr="008E7A07">
        <w:rPr>
          <w:lang w:val="ru-RU"/>
        </w:rPr>
        <w:t>.</w:t>
      </w:r>
    </w:p>
    <w:p w14:paraId="2F5D1093" w14:textId="77777777" w:rsidR="00840FC3" w:rsidRPr="008E7A07" w:rsidRDefault="00840FC3" w:rsidP="00840FC3">
      <w:pPr>
        <w:pStyle w:val="a3"/>
        <w:spacing w:before="1"/>
        <w:jc w:val="both"/>
        <w:rPr>
          <w:lang w:val="ru-RU"/>
        </w:rPr>
      </w:pPr>
    </w:p>
    <w:p w14:paraId="2051AB2D" w14:textId="6E13E365" w:rsidR="00840FC3" w:rsidRPr="008E7A07" w:rsidRDefault="00840FC3" w:rsidP="00840FC3">
      <w:pPr>
        <w:pStyle w:val="a3"/>
        <w:spacing w:before="1"/>
        <w:jc w:val="both"/>
        <w:rPr>
          <w:lang w:val="ru-RU"/>
        </w:rPr>
      </w:pPr>
      <w:proofErr w:type="spellStart"/>
      <w:r w:rsidRPr="008E7A07">
        <w:rPr>
          <w:lang w:val="ru-RU"/>
        </w:rPr>
        <w:t>Закінчення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глобальної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епідемії</w:t>
      </w:r>
      <w:proofErr w:type="spellEnd"/>
      <w:r w:rsidRPr="008E7A07">
        <w:rPr>
          <w:lang w:val="ru-RU"/>
        </w:rPr>
        <w:t xml:space="preserve"> </w:t>
      </w:r>
      <w:proofErr w:type="spellStart"/>
      <w:r w:rsidR="008E7A07">
        <w:rPr>
          <w:lang w:val="ru-RU"/>
        </w:rPr>
        <w:t>туберкульозу</w:t>
      </w:r>
      <w:proofErr w:type="spellEnd"/>
      <w:r w:rsidR="008E7A07">
        <w:rPr>
          <w:lang w:val="ru-RU"/>
        </w:rPr>
        <w:t xml:space="preserve"> </w:t>
      </w:r>
      <w:r w:rsidRPr="008E7A07">
        <w:rPr>
          <w:lang w:val="ru-RU"/>
        </w:rPr>
        <w:t xml:space="preserve">буде </w:t>
      </w:r>
      <w:proofErr w:type="spellStart"/>
      <w:r w:rsidRPr="008E7A07">
        <w:rPr>
          <w:lang w:val="ru-RU"/>
        </w:rPr>
        <w:t>досяжним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лише</w:t>
      </w:r>
      <w:proofErr w:type="spellEnd"/>
      <w:r w:rsidRPr="008E7A07">
        <w:rPr>
          <w:lang w:val="ru-RU"/>
        </w:rPr>
        <w:t xml:space="preserve"> за </w:t>
      </w:r>
      <w:proofErr w:type="spellStart"/>
      <w:r w:rsidRPr="008E7A07">
        <w:rPr>
          <w:lang w:val="ru-RU"/>
        </w:rPr>
        <w:t>умови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інтенсивних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дій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усіх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країн</w:t>
      </w:r>
      <w:proofErr w:type="spellEnd"/>
      <w:r w:rsidRPr="008E7A07">
        <w:rPr>
          <w:lang w:val="ru-RU"/>
        </w:rPr>
        <w:t xml:space="preserve">, </w:t>
      </w:r>
      <w:proofErr w:type="spellStart"/>
      <w:r w:rsidRPr="008E7A07">
        <w:rPr>
          <w:lang w:val="ru-RU"/>
        </w:rPr>
        <w:t>які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схвалили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Стратегію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боротьби</w:t>
      </w:r>
      <w:proofErr w:type="spellEnd"/>
      <w:r w:rsidRPr="008E7A07">
        <w:rPr>
          <w:lang w:val="ru-RU"/>
        </w:rPr>
        <w:t xml:space="preserve"> з </w:t>
      </w:r>
      <w:proofErr w:type="spellStart"/>
      <w:r w:rsidR="008E7A07">
        <w:rPr>
          <w:lang w:val="ru-RU"/>
        </w:rPr>
        <w:t>туберкульозом</w:t>
      </w:r>
      <w:proofErr w:type="spellEnd"/>
      <w:r w:rsidR="008E7A07">
        <w:rPr>
          <w:lang w:val="ru-RU"/>
        </w:rPr>
        <w:t xml:space="preserve"> </w:t>
      </w:r>
      <w:r w:rsidRPr="008E7A07">
        <w:rPr>
          <w:lang w:val="ru-RU"/>
        </w:rPr>
        <w:t xml:space="preserve">та </w:t>
      </w:r>
      <w:proofErr w:type="spellStart"/>
      <w:r w:rsidRPr="008E7A07">
        <w:rPr>
          <w:lang w:val="ru-RU"/>
        </w:rPr>
        <w:t>її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амбітні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цілі</w:t>
      </w:r>
      <w:proofErr w:type="spellEnd"/>
      <w:r w:rsidR="008E7A07" w:rsidRPr="008E7A07">
        <w:rPr>
          <w:position w:val="5"/>
          <w:sz w:val="12"/>
          <w:lang w:val="ru-RU"/>
        </w:rPr>
        <w:t>3</w:t>
      </w:r>
      <w:r w:rsidRPr="008E7A07">
        <w:rPr>
          <w:lang w:val="ru-RU"/>
        </w:rPr>
        <w:t xml:space="preserve">. </w:t>
      </w:r>
      <w:proofErr w:type="spellStart"/>
      <w:r w:rsidRPr="008E7A07">
        <w:rPr>
          <w:lang w:val="ru-RU"/>
        </w:rPr>
        <w:t>Це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вимагає</w:t>
      </w:r>
      <w:proofErr w:type="spellEnd"/>
      <w:r w:rsidRPr="008E7A07">
        <w:rPr>
          <w:lang w:val="ru-RU"/>
        </w:rPr>
        <w:t xml:space="preserve"> переходу </w:t>
      </w:r>
      <w:proofErr w:type="spellStart"/>
      <w:r w:rsidRPr="008E7A07">
        <w:rPr>
          <w:lang w:val="ru-RU"/>
        </w:rPr>
        <w:t>парадигми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від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традиційних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підходів</w:t>
      </w:r>
      <w:proofErr w:type="spellEnd"/>
      <w:r w:rsidRPr="008E7A07">
        <w:rPr>
          <w:lang w:val="ru-RU"/>
        </w:rPr>
        <w:t xml:space="preserve"> до </w:t>
      </w:r>
      <w:proofErr w:type="spellStart"/>
      <w:r w:rsidRPr="008E7A07">
        <w:rPr>
          <w:lang w:val="ru-RU"/>
        </w:rPr>
        <w:t>боротьби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із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захворюваннями</w:t>
      </w:r>
      <w:proofErr w:type="spellEnd"/>
      <w:r w:rsidRPr="008E7A07">
        <w:rPr>
          <w:lang w:val="ru-RU"/>
        </w:rPr>
        <w:t xml:space="preserve">, </w:t>
      </w:r>
      <w:proofErr w:type="spellStart"/>
      <w:r w:rsidRPr="008E7A07">
        <w:rPr>
          <w:lang w:val="ru-RU"/>
        </w:rPr>
        <w:t>що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застосовувалися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раніше</w:t>
      </w:r>
      <w:proofErr w:type="spellEnd"/>
      <w:r w:rsidRPr="008E7A07">
        <w:rPr>
          <w:lang w:val="ru-RU"/>
        </w:rPr>
        <w:t xml:space="preserve">. </w:t>
      </w:r>
      <w:proofErr w:type="spellStart"/>
      <w:r w:rsidRPr="008E7A07">
        <w:rPr>
          <w:lang w:val="ru-RU"/>
        </w:rPr>
        <w:t>Рання</w:t>
      </w:r>
      <w:proofErr w:type="spellEnd"/>
      <w:r w:rsidRPr="008E7A07">
        <w:rPr>
          <w:lang w:val="ru-RU"/>
        </w:rPr>
        <w:t xml:space="preserve"> та точна </w:t>
      </w:r>
      <w:proofErr w:type="spellStart"/>
      <w:r w:rsidRPr="008E7A07">
        <w:rPr>
          <w:lang w:val="ru-RU"/>
        </w:rPr>
        <w:t>діагностика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всіх</w:t>
      </w:r>
      <w:proofErr w:type="spellEnd"/>
      <w:r w:rsidRPr="008E7A07">
        <w:rPr>
          <w:lang w:val="ru-RU"/>
        </w:rPr>
        <w:t xml:space="preserve"> форм </w:t>
      </w:r>
      <w:proofErr w:type="spellStart"/>
      <w:r w:rsidRPr="008E7A07">
        <w:rPr>
          <w:lang w:val="ru-RU"/>
        </w:rPr>
        <w:t>туберкульозу</w:t>
      </w:r>
      <w:proofErr w:type="spellEnd"/>
      <w:r w:rsidRPr="008E7A07">
        <w:rPr>
          <w:lang w:val="ru-RU"/>
        </w:rPr>
        <w:t xml:space="preserve"> та </w:t>
      </w:r>
      <w:proofErr w:type="spellStart"/>
      <w:r w:rsidRPr="008E7A07">
        <w:rPr>
          <w:lang w:val="ru-RU"/>
        </w:rPr>
        <w:t>швидке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виявлення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стійкості</w:t>
      </w:r>
      <w:proofErr w:type="spellEnd"/>
      <w:r w:rsidRPr="008E7A07">
        <w:rPr>
          <w:lang w:val="ru-RU"/>
        </w:rPr>
        <w:t xml:space="preserve"> до </w:t>
      </w:r>
      <w:proofErr w:type="spellStart"/>
      <w:r w:rsidRPr="008E7A07">
        <w:rPr>
          <w:lang w:val="ru-RU"/>
        </w:rPr>
        <w:t>лікарських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засобів</w:t>
      </w:r>
      <w:proofErr w:type="spellEnd"/>
      <w:r w:rsidRPr="008E7A07">
        <w:rPr>
          <w:lang w:val="ru-RU"/>
        </w:rPr>
        <w:t xml:space="preserve"> є </w:t>
      </w:r>
      <w:proofErr w:type="spellStart"/>
      <w:r w:rsidRPr="008E7A07">
        <w:rPr>
          <w:lang w:val="ru-RU"/>
        </w:rPr>
        <w:t>основоположними</w:t>
      </w:r>
      <w:proofErr w:type="spellEnd"/>
      <w:r w:rsidRPr="008E7A07">
        <w:rPr>
          <w:lang w:val="ru-RU"/>
        </w:rPr>
        <w:t xml:space="preserve"> для </w:t>
      </w:r>
      <w:proofErr w:type="spellStart"/>
      <w:r w:rsidRPr="008E7A07">
        <w:rPr>
          <w:lang w:val="ru-RU"/>
        </w:rPr>
        <w:t>цього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зрушення</w:t>
      </w:r>
      <w:proofErr w:type="spellEnd"/>
      <w:r w:rsidRPr="008E7A07">
        <w:rPr>
          <w:lang w:val="ru-RU"/>
        </w:rPr>
        <w:t>.</w:t>
      </w:r>
    </w:p>
    <w:p w14:paraId="782093AB" w14:textId="54C8FE32" w:rsidR="00840FC3" w:rsidRDefault="00840FC3" w:rsidP="00840FC3">
      <w:pPr>
        <w:pStyle w:val="a3"/>
        <w:spacing w:before="1"/>
        <w:jc w:val="both"/>
      </w:pPr>
      <w:r w:rsidRPr="00840FC3">
        <w:t xml:space="preserve">З </w:t>
      </w:r>
      <w:proofErr w:type="spellStart"/>
      <w:r w:rsidRPr="00840FC3">
        <w:t>моменту</w:t>
      </w:r>
      <w:proofErr w:type="spellEnd"/>
      <w:r w:rsidRPr="00840FC3">
        <w:t xml:space="preserve"> </w:t>
      </w:r>
      <w:proofErr w:type="spellStart"/>
      <w:r w:rsidRPr="00840FC3">
        <w:t>затвердження</w:t>
      </w:r>
      <w:proofErr w:type="spellEnd"/>
      <w:r w:rsidRPr="00840FC3">
        <w:t xml:space="preserve"> ВООЗ </w:t>
      </w:r>
      <w:proofErr w:type="spellStart"/>
      <w:r w:rsidRPr="00840FC3">
        <w:t>Xpert</w:t>
      </w:r>
      <w:proofErr w:type="spellEnd"/>
      <w:r w:rsidRPr="00840FC3">
        <w:t xml:space="preserve">® MTB / RIF (Cepheid, </w:t>
      </w:r>
      <w:proofErr w:type="spellStart"/>
      <w:r w:rsidRPr="00840FC3">
        <w:t>Саннівейл</w:t>
      </w:r>
      <w:proofErr w:type="spellEnd"/>
      <w:r w:rsidRPr="00840FC3">
        <w:t xml:space="preserve">, США, </w:t>
      </w:r>
      <w:proofErr w:type="spellStart"/>
      <w:r w:rsidRPr="00840FC3">
        <w:t>далі</w:t>
      </w:r>
      <w:proofErr w:type="spellEnd"/>
      <w:r w:rsidRPr="00840FC3">
        <w:t xml:space="preserve"> - </w:t>
      </w:r>
      <w:proofErr w:type="spellStart"/>
      <w:r w:rsidRPr="00840FC3">
        <w:t>Xpert</w:t>
      </w:r>
      <w:proofErr w:type="spellEnd"/>
      <w:r w:rsidRPr="00840FC3">
        <w:t xml:space="preserve"> MTB / RIF) у 2010 </w:t>
      </w:r>
      <w:proofErr w:type="spellStart"/>
      <w:r w:rsidRPr="00840FC3">
        <w:t>році</w:t>
      </w:r>
      <w:proofErr w:type="spellEnd"/>
      <w:r w:rsidRPr="00840FC3">
        <w:t xml:space="preserve">, </w:t>
      </w:r>
      <w:proofErr w:type="spellStart"/>
      <w:r w:rsidRPr="00840FC3">
        <w:t>було</w:t>
      </w:r>
      <w:proofErr w:type="spellEnd"/>
      <w:r w:rsidRPr="00840FC3">
        <w:t xml:space="preserve"> </w:t>
      </w:r>
      <w:proofErr w:type="spellStart"/>
      <w:r w:rsidRPr="00840FC3">
        <w:t>отримано</w:t>
      </w:r>
      <w:proofErr w:type="spellEnd"/>
      <w:r w:rsidRPr="00840FC3">
        <w:t xml:space="preserve"> </w:t>
      </w:r>
      <w:proofErr w:type="spellStart"/>
      <w:r w:rsidRPr="00840FC3">
        <w:t>значні</w:t>
      </w:r>
      <w:proofErr w:type="spellEnd"/>
      <w:r w:rsidRPr="00840FC3">
        <w:t xml:space="preserve"> </w:t>
      </w:r>
      <w:proofErr w:type="spellStart"/>
      <w:r w:rsidRPr="00840FC3">
        <w:t>додаткові</w:t>
      </w:r>
      <w:proofErr w:type="spellEnd"/>
      <w:r w:rsidRPr="00840FC3">
        <w:t xml:space="preserve"> </w:t>
      </w:r>
      <w:proofErr w:type="spellStart"/>
      <w:r w:rsidRPr="00840FC3">
        <w:t>докази</w:t>
      </w:r>
      <w:proofErr w:type="spellEnd"/>
      <w:r w:rsidRPr="00840FC3">
        <w:t xml:space="preserve"> </w:t>
      </w:r>
      <w:proofErr w:type="spellStart"/>
      <w:r w:rsidRPr="00840FC3">
        <w:t>щодо</w:t>
      </w:r>
      <w:proofErr w:type="spellEnd"/>
      <w:r w:rsidRPr="00840FC3">
        <w:t xml:space="preserve"> </w:t>
      </w:r>
      <w:proofErr w:type="spellStart"/>
      <w:r w:rsidRPr="00840FC3">
        <w:t>його</w:t>
      </w:r>
      <w:proofErr w:type="spellEnd"/>
      <w:r w:rsidRPr="00840FC3">
        <w:t xml:space="preserve"> </w:t>
      </w:r>
      <w:proofErr w:type="spellStart"/>
      <w:r w:rsidRPr="00840FC3">
        <w:t>використання</w:t>
      </w:r>
      <w:proofErr w:type="spellEnd"/>
      <w:r w:rsidRPr="00840FC3">
        <w:t xml:space="preserve"> </w:t>
      </w:r>
      <w:proofErr w:type="spellStart"/>
      <w:r w:rsidRPr="00840FC3">
        <w:t>як</w:t>
      </w:r>
      <w:proofErr w:type="spellEnd"/>
      <w:r w:rsidRPr="00840FC3">
        <w:t xml:space="preserve"> </w:t>
      </w:r>
      <w:proofErr w:type="spellStart"/>
      <w:r w:rsidRPr="00840FC3">
        <w:t>початкового</w:t>
      </w:r>
      <w:proofErr w:type="spellEnd"/>
      <w:r w:rsidRPr="00840FC3">
        <w:t xml:space="preserve"> </w:t>
      </w:r>
      <w:proofErr w:type="spellStart"/>
      <w:r w:rsidRPr="00840FC3">
        <w:t>тесту</w:t>
      </w:r>
      <w:proofErr w:type="spellEnd"/>
      <w:r w:rsidRPr="00840FC3">
        <w:t xml:space="preserve"> </w:t>
      </w:r>
      <w:proofErr w:type="spellStart"/>
      <w:r w:rsidRPr="00840FC3">
        <w:t>для</w:t>
      </w:r>
      <w:proofErr w:type="spellEnd"/>
      <w:r w:rsidRPr="00840FC3">
        <w:t xml:space="preserve"> </w:t>
      </w:r>
      <w:proofErr w:type="spellStart"/>
      <w:r w:rsidRPr="00840FC3">
        <w:t>діагностики</w:t>
      </w:r>
      <w:proofErr w:type="spellEnd"/>
      <w:r w:rsidRPr="00840FC3">
        <w:t xml:space="preserve"> </w:t>
      </w:r>
      <w:proofErr w:type="spellStart"/>
      <w:r w:rsidRPr="00840FC3">
        <w:t>туберкульозу</w:t>
      </w:r>
      <w:proofErr w:type="spellEnd"/>
      <w:r w:rsidRPr="00840FC3">
        <w:t xml:space="preserve"> </w:t>
      </w:r>
      <w:proofErr w:type="spellStart"/>
      <w:r w:rsidRPr="00840FC3">
        <w:t>та</w:t>
      </w:r>
      <w:proofErr w:type="spellEnd"/>
      <w:r w:rsidRPr="00840FC3">
        <w:t xml:space="preserve"> </w:t>
      </w:r>
      <w:proofErr w:type="spellStart"/>
      <w:r w:rsidRPr="00840FC3">
        <w:t>рифампіцин-стійкий</w:t>
      </w:r>
      <w:proofErr w:type="spellEnd"/>
      <w:r w:rsidRPr="00840FC3">
        <w:t xml:space="preserve"> </w:t>
      </w:r>
      <w:proofErr w:type="spellStart"/>
      <w:r w:rsidRPr="00840FC3">
        <w:t>туберкульоз</w:t>
      </w:r>
      <w:proofErr w:type="spellEnd"/>
      <w:r w:rsidRPr="00840FC3">
        <w:t xml:space="preserve">. В </w:t>
      </w:r>
      <w:proofErr w:type="spellStart"/>
      <w:r w:rsidRPr="00840FC3">
        <w:t>останні</w:t>
      </w:r>
      <w:proofErr w:type="spellEnd"/>
      <w:r w:rsidRPr="00840FC3">
        <w:t xml:space="preserve"> </w:t>
      </w:r>
      <w:proofErr w:type="spellStart"/>
      <w:r w:rsidRPr="00840FC3">
        <w:t>місяці</w:t>
      </w:r>
      <w:proofErr w:type="spellEnd"/>
      <w:r w:rsidRPr="00840FC3">
        <w:t xml:space="preserve"> </w:t>
      </w:r>
      <w:proofErr w:type="spellStart"/>
      <w:r w:rsidRPr="00840FC3">
        <w:t>з'явилися</w:t>
      </w:r>
      <w:proofErr w:type="spellEnd"/>
      <w:r w:rsidRPr="00840FC3">
        <w:t xml:space="preserve"> </w:t>
      </w:r>
      <w:proofErr w:type="spellStart"/>
      <w:r w:rsidRPr="00840FC3">
        <w:t>нові</w:t>
      </w:r>
      <w:proofErr w:type="spellEnd"/>
      <w:r w:rsidRPr="00840FC3">
        <w:t xml:space="preserve"> </w:t>
      </w:r>
      <w:proofErr w:type="spellStart"/>
      <w:r w:rsidRPr="00840FC3">
        <w:t>дані</w:t>
      </w:r>
      <w:proofErr w:type="spellEnd"/>
      <w:r w:rsidRPr="00840FC3">
        <w:t xml:space="preserve"> </w:t>
      </w:r>
      <w:proofErr w:type="spellStart"/>
      <w:r w:rsidRPr="00840FC3">
        <w:t>щодо</w:t>
      </w:r>
      <w:proofErr w:type="spellEnd"/>
      <w:r w:rsidRPr="00840FC3">
        <w:t xml:space="preserve"> </w:t>
      </w:r>
      <w:proofErr w:type="spellStart"/>
      <w:r w:rsidRPr="00840FC3">
        <w:t>використання</w:t>
      </w:r>
      <w:proofErr w:type="spellEnd"/>
      <w:r w:rsidRPr="00840FC3">
        <w:t xml:space="preserve"> </w:t>
      </w:r>
      <w:proofErr w:type="spellStart"/>
      <w:r w:rsidRPr="00840FC3">
        <w:t>Xpert</w:t>
      </w:r>
      <w:proofErr w:type="spellEnd"/>
      <w:r w:rsidRPr="00840FC3">
        <w:t xml:space="preserve">® MTB / RIF Ultra (Cepheid, Sunnyvale, США, </w:t>
      </w:r>
      <w:proofErr w:type="spellStart"/>
      <w:r w:rsidRPr="00840FC3">
        <w:t>далі</w:t>
      </w:r>
      <w:proofErr w:type="spellEnd"/>
      <w:r w:rsidRPr="00840FC3">
        <w:t xml:space="preserve"> - </w:t>
      </w:r>
      <w:proofErr w:type="spellStart"/>
      <w:r w:rsidRPr="00840FC3">
        <w:t>Xpert</w:t>
      </w:r>
      <w:proofErr w:type="spellEnd"/>
      <w:r w:rsidRPr="00840FC3">
        <w:t xml:space="preserve"> Ultra), а </w:t>
      </w:r>
      <w:proofErr w:type="spellStart"/>
      <w:r w:rsidRPr="00840FC3">
        <w:t>також</w:t>
      </w:r>
      <w:proofErr w:type="spellEnd"/>
      <w:r w:rsidRPr="00840FC3">
        <w:t xml:space="preserve"> </w:t>
      </w:r>
      <w:proofErr w:type="spellStart"/>
      <w:r w:rsidRPr="00840FC3">
        <w:t>про</w:t>
      </w:r>
      <w:proofErr w:type="spellEnd"/>
      <w:r w:rsidRPr="00840FC3">
        <w:t xml:space="preserve"> </w:t>
      </w:r>
      <w:proofErr w:type="spellStart"/>
      <w:r w:rsidRPr="00840FC3">
        <w:t>останню</w:t>
      </w:r>
      <w:proofErr w:type="spellEnd"/>
      <w:r w:rsidRPr="00840FC3">
        <w:t xml:space="preserve"> </w:t>
      </w:r>
      <w:proofErr w:type="spellStart"/>
      <w:r w:rsidRPr="00840FC3">
        <w:t>версію</w:t>
      </w:r>
      <w:proofErr w:type="spellEnd"/>
      <w:r w:rsidRPr="00840FC3">
        <w:t xml:space="preserve"> </w:t>
      </w:r>
      <w:proofErr w:type="spellStart"/>
      <w:r w:rsidRPr="00840FC3">
        <w:t>системи</w:t>
      </w:r>
      <w:proofErr w:type="spellEnd"/>
      <w:r w:rsidRPr="00840FC3">
        <w:t xml:space="preserve"> </w:t>
      </w:r>
      <w:proofErr w:type="spellStart"/>
      <w:r w:rsidRPr="00840FC3">
        <w:t>Truenat</w:t>
      </w:r>
      <w:proofErr w:type="spellEnd"/>
      <w:r w:rsidRPr="00840FC3">
        <w:t xml:space="preserve">® MTB </w:t>
      </w:r>
      <w:proofErr w:type="spellStart"/>
      <w:r w:rsidRPr="00840FC3">
        <w:t>та</w:t>
      </w:r>
      <w:proofErr w:type="spellEnd"/>
      <w:r w:rsidRPr="00840FC3">
        <w:t xml:space="preserve"> MTB Plus (</w:t>
      </w:r>
      <w:proofErr w:type="spellStart"/>
      <w:r w:rsidRPr="00840FC3">
        <w:t>Molbio</w:t>
      </w:r>
      <w:proofErr w:type="spellEnd"/>
      <w:r w:rsidRPr="00840FC3">
        <w:t xml:space="preserve"> Diagnostics, Goa, India</w:t>
      </w:r>
      <w:proofErr w:type="gramStart"/>
      <w:r w:rsidRPr="00840FC3">
        <w:t>) ,</w:t>
      </w:r>
      <w:proofErr w:type="gramEnd"/>
      <w:r w:rsidRPr="00840FC3">
        <w:t xml:space="preserve"> </w:t>
      </w:r>
      <w:proofErr w:type="spellStart"/>
      <w:r w:rsidRPr="00840FC3">
        <w:t>надалі</w:t>
      </w:r>
      <w:proofErr w:type="spellEnd"/>
      <w:r w:rsidRPr="00840FC3">
        <w:t xml:space="preserve"> "</w:t>
      </w:r>
      <w:proofErr w:type="spellStart"/>
      <w:r w:rsidRPr="00840FC3">
        <w:t>Truenat</w:t>
      </w:r>
      <w:proofErr w:type="spellEnd"/>
      <w:r w:rsidRPr="00840FC3">
        <w:t xml:space="preserve">") </w:t>
      </w:r>
      <w:proofErr w:type="spellStart"/>
      <w:r w:rsidRPr="00840FC3">
        <w:t>також</w:t>
      </w:r>
      <w:proofErr w:type="spellEnd"/>
      <w:r w:rsidRPr="00840FC3">
        <w:t xml:space="preserve"> </w:t>
      </w:r>
      <w:proofErr w:type="spellStart"/>
      <w:r w:rsidRPr="00840FC3">
        <w:t>стали</w:t>
      </w:r>
      <w:proofErr w:type="spellEnd"/>
      <w:r w:rsidRPr="00840FC3">
        <w:t xml:space="preserve"> </w:t>
      </w:r>
      <w:proofErr w:type="spellStart"/>
      <w:r w:rsidRPr="00840FC3">
        <w:t>доступними</w:t>
      </w:r>
      <w:proofErr w:type="spellEnd"/>
      <w:r w:rsidRPr="00840FC3">
        <w:t>.</w:t>
      </w:r>
    </w:p>
    <w:p w14:paraId="3DCCAC2A" w14:textId="77777777" w:rsidR="001A103E" w:rsidRPr="00840FC3" w:rsidRDefault="001A103E" w:rsidP="00840FC3">
      <w:pPr>
        <w:pStyle w:val="a3"/>
        <w:spacing w:before="1"/>
        <w:jc w:val="both"/>
      </w:pPr>
    </w:p>
    <w:p w14:paraId="14CDFB6A" w14:textId="6FF5A597" w:rsidR="00840FC3" w:rsidRDefault="00840FC3" w:rsidP="00840FC3">
      <w:pPr>
        <w:pStyle w:val="a3"/>
        <w:spacing w:before="1"/>
        <w:jc w:val="both"/>
        <w:rPr>
          <w:lang w:val="ru-RU"/>
        </w:rPr>
      </w:pPr>
      <w:r w:rsidRPr="008E7A07">
        <w:rPr>
          <w:lang w:val="ru-RU"/>
        </w:rPr>
        <w:t xml:space="preserve">ВООЗ </w:t>
      </w:r>
      <w:proofErr w:type="spellStart"/>
      <w:r w:rsidRPr="008E7A07">
        <w:rPr>
          <w:lang w:val="ru-RU"/>
        </w:rPr>
        <w:t>доручила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систематичний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огляд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усіх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наявних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даних</w:t>
      </w:r>
      <w:proofErr w:type="spellEnd"/>
      <w:r w:rsidRPr="008E7A07">
        <w:rPr>
          <w:lang w:val="ru-RU"/>
        </w:rPr>
        <w:t xml:space="preserve"> у 2019 </w:t>
      </w:r>
      <w:proofErr w:type="spellStart"/>
      <w:r w:rsidRPr="008E7A07">
        <w:rPr>
          <w:lang w:val="ru-RU"/>
        </w:rPr>
        <w:t>році</w:t>
      </w:r>
      <w:proofErr w:type="spellEnd"/>
      <w:r w:rsidRPr="008E7A07">
        <w:rPr>
          <w:lang w:val="ru-RU"/>
        </w:rPr>
        <w:t xml:space="preserve">. </w:t>
      </w:r>
      <w:proofErr w:type="spellStart"/>
      <w:r w:rsidRPr="008E7A07">
        <w:rPr>
          <w:lang w:val="ru-RU"/>
        </w:rPr>
        <w:t>Результати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були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оцінені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під</w:t>
      </w:r>
      <w:proofErr w:type="spellEnd"/>
      <w:r w:rsidRPr="008E7A07">
        <w:rPr>
          <w:lang w:val="ru-RU"/>
        </w:rPr>
        <w:t xml:space="preserve"> час </w:t>
      </w:r>
      <w:proofErr w:type="spellStart"/>
      <w:r w:rsidRPr="008E7A07">
        <w:rPr>
          <w:lang w:val="ru-RU"/>
        </w:rPr>
        <w:t>засідання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незалежної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Групи</w:t>
      </w:r>
      <w:proofErr w:type="spellEnd"/>
      <w:r w:rsidRPr="008E7A07">
        <w:rPr>
          <w:lang w:val="ru-RU"/>
        </w:rPr>
        <w:t xml:space="preserve"> з </w:t>
      </w:r>
      <w:proofErr w:type="spellStart"/>
      <w:r w:rsidRPr="008E7A07">
        <w:rPr>
          <w:lang w:val="ru-RU"/>
        </w:rPr>
        <w:t>розробки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керівних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принципів</w:t>
      </w:r>
      <w:proofErr w:type="spellEnd"/>
      <w:r w:rsidRPr="008E7A07">
        <w:rPr>
          <w:lang w:val="ru-RU"/>
        </w:rPr>
        <w:t xml:space="preserve"> ВОЗ 3-6 </w:t>
      </w:r>
      <w:proofErr w:type="spellStart"/>
      <w:r w:rsidRPr="008E7A07">
        <w:rPr>
          <w:lang w:val="ru-RU"/>
        </w:rPr>
        <w:t>грудня</w:t>
      </w:r>
      <w:proofErr w:type="spellEnd"/>
      <w:r w:rsidRPr="008E7A07">
        <w:rPr>
          <w:lang w:val="ru-RU"/>
        </w:rPr>
        <w:t xml:space="preserve"> 2019 року. </w:t>
      </w:r>
      <w:proofErr w:type="spellStart"/>
      <w:r w:rsidRPr="008E7A07">
        <w:rPr>
          <w:lang w:val="ru-RU"/>
        </w:rPr>
        <w:t>Детальні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рекомендації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будуть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опубліковані</w:t>
      </w:r>
      <w:proofErr w:type="spellEnd"/>
      <w:r w:rsidRPr="008E7A07">
        <w:rPr>
          <w:lang w:val="ru-RU"/>
        </w:rPr>
        <w:t xml:space="preserve"> як </w:t>
      </w:r>
      <w:proofErr w:type="spellStart"/>
      <w:r w:rsidRPr="008E7A07">
        <w:rPr>
          <w:lang w:val="ru-RU"/>
        </w:rPr>
        <w:t>частина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оновленої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Консолідованої</w:t>
      </w:r>
      <w:proofErr w:type="spellEnd"/>
      <w:r w:rsidRPr="008E7A07">
        <w:rPr>
          <w:lang w:val="ru-RU"/>
        </w:rPr>
        <w:t xml:space="preserve"> ВООЗ. </w:t>
      </w:r>
      <w:proofErr w:type="spellStart"/>
      <w:r w:rsidRPr="008E7A07">
        <w:rPr>
          <w:lang w:val="ru-RU"/>
        </w:rPr>
        <w:t>Вказівки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щодо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діагностики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туберкульозу</w:t>
      </w:r>
      <w:proofErr w:type="spellEnd"/>
      <w:r w:rsidRPr="008E7A07">
        <w:rPr>
          <w:lang w:val="ru-RU"/>
        </w:rPr>
        <w:t xml:space="preserve"> в 2020 </w:t>
      </w:r>
      <w:proofErr w:type="spellStart"/>
      <w:r w:rsidRPr="008E7A07">
        <w:rPr>
          <w:lang w:val="ru-RU"/>
        </w:rPr>
        <w:t>році</w:t>
      </w:r>
      <w:proofErr w:type="spellEnd"/>
      <w:r w:rsidRPr="008E7A07">
        <w:rPr>
          <w:lang w:val="ru-RU"/>
        </w:rPr>
        <w:t>.</w:t>
      </w:r>
    </w:p>
    <w:p w14:paraId="3DDE85FF" w14:textId="77777777" w:rsidR="001A103E" w:rsidRPr="008E7A07" w:rsidRDefault="001A103E" w:rsidP="00840FC3">
      <w:pPr>
        <w:pStyle w:val="a3"/>
        <w:spacing w:before="1"/>
        <w:jc w:val="both"/>
        <w:rPr>
          <w:lang w:val="ru-RU"/>
        </w:rPr>
      </w:pPr>
    </w:p>
    <w:p w14:paraId="3D32C163" w14:textId="1CC75018" w:rsidR="00840FC3" w:rsidRDefault="00840FC3" w:rsidP="00840FC3">
      <w:pPr>
        <w:pStyle w:val="a3"/>
        <w:spacing w:before="1"/>
        <w:jc w:val="both"/>
        <w:rPr>
          <w:lang w:val="ru-RU"/>
        </w:rPr>
      </w:pPr>
      <w:proofErr w:type="spellStart"/>
      <w:r w:rsidRPr="008E7A07">
        <w:rPr>
          <w:lang w:val="ru-RU"/>
        </w:rPr>
        <w:t>Ця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швидка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комунікація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спрямована</w:t>
      </w:r>
      <w:proofErr w:type="spellEnd"/>
      <w:r w:rsidRPr="008E7A07">
        <w:rPr>
          <w:lang w:val="ru-RU"/>
        </w:rPr>
        <w:t xml:space="preserve"> на </w:t>
      </w:r>
      <w:proofErr w:type="spellStart"/>
      <w:r w:rsidRPr="008E7A07">
        <w:rPr>
          <w:lang w:val="ru-RU"/>
        </w:rPr>
        <w:t>інформування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національних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програм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протитуберкульозних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захворювань</w:t>
      </w:r>
      <w:proofErr w:type="spellEnd"/>
      <w:r w:rsidRPr="008E7A07">
        <w:rPr>
          <w:lang w:val="ru-RU"/>
        </w:rPr>
        <w:t xml:space="preserve"> та </w:t>
      </w:r>
      <w:proofErr w:type="spellStart"/>
      <w:r w:rsidRPr="008E7A07">
        <w:rPr>
          <w:lang w:val="ru-RU"/>
        </w:rPr>
        <w:t>інших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зацікавлених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сторін</w:t>
      </w:r>
      <w:proofErr w:type="spellEnd"/>
      <w:r w:rsidRPr="008E7A07">
        <w:rPr>
          <w:lang w:val="ru-RU"/>
        </w:rPr>
        <w:t xml:space="preserve"> про </w:t>
      </w:r>
      <w:proofErr w:type="spellStart"/>
      <w:r w:rsidRPr="008E7A07">
        <w:rPr>
          <w:lang w:val="ru-RU"/>
        </w:rPr>
        <w:t>ключові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наслідки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останніх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доказів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щодо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використання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конкретних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молекулярних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аналізів</w:t>
      </w:r>
      <w:proofErr w:type="spellEnd"/>
      <w:r w:rsidRPr="008E7A07">
        <w:rPr>
          <w:lang w:val="ru-RU"/>
        </w:rPr>
        <w:t xml:space="preserve"> у </w:t>
      </w:r>
      <w:proofErr w:type="spellStart"/>
      <w:r w:rsidRPr="008E7A07">
        <w:rPr>
          <w:lang w:val="ru-RU"/>
        </w:rPr>
        <w:t>якості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початкових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діагностичних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тестів</w:t>
      </w:r>
      <w:proofErr w:type="spellEnd"/>
      <w:r w:rsidRPr="008E7A07">
        <w:rPr>
          <w:lang w:val="ru-RU"/>
        </w:rPr>
        <w:t xml:space="preserve"> на </w:t>
      </w:r>
      <w:proofErr w:type="spellStart"/>
      <w:r w:rsidRPr="008E7A07">
        <w:rPr>
          <w:lang w:val="ru-RU"/>
        </w:rPr>
        <w:t>легеневий</w:t>
      </w:r>
      <w:proofErr w:type="spellEnd"/>
      <w:r w:rsidRPr="008E7A07">
        <w:rPr>
          <w:lang w:val="ru-RU"/>
        </w:rPr>
        <w:t xml:space="preserve"> та </w:t>
      </w:r>
      <w:proofErr w:type="spellStart"/>
      <w:r w:rsidRPr="008E7A07">
        <w:rPr>
          <w:lang w:val="ru-RU"/>
        </w:rPr>
        <w:t>позалегеневий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туберкульоз</w:t>
      </w:r>
      <w:proofErr w:type="spellEnd"/>
      <w:r w:rsidRPr="008E7A07">
        <w:rPr>
          <w:lang w:val="ru-RU"/>
        </w:rPr>
        <w:t xml:space="preserve"> та РР-ТБ у </w:t>
      </w:r>
      <w:proofErr w:type="spellStart"/>
      <w:r w:rsidRPr="008E7A07">
        <w:rPr>
          <w:lang w:val="ru-RU"/>
        </w:rPr>
        <w:t>дорослих</w:t>
      </w:r>
      <w:proofErr w:type="spellEnd"/>
      <w:r w:rsidRPr="008E7A07">
        <w:rPr>
          <w:lang w:val="ru-RU"/>
        </w:rPr>
        <w:t xml:space="preserve"> та </w:t>
      </w:r>
      <w:proofErr w:type="spellStart"/>
      <w:r w:rsidRPr="008E7A07">
        <w:rPr>
          <w:lang w:val="ru-RU"/>
        </w:rPr>
        <w:t>дітей</w:t>
      </w:r>
      <w:proofErr w:type="spellEnd"/>
      <w:r w:rsidRPr="008E7A07">
        <w:rPr>
          <w:lang w:val="ru-RU"/>
        </w:rPr>
        <w:t>.</w:t>
      </w:r>
    </w:p>
    <w:p w14:paraId="255874FF" w14:textId="77777777" w:rsidR="001A103E" w:rsidRPr="008E7A07" w:rsidRDefault="001A103E" w:rsidP="00840FC3">
      <w:pPr>
        <w:pStyle w:val="a3"/>
        <w:spacing w:before="1"/>
        <w:jc w:val="both"/>
        <w:rPr>
          <w:lang w:val="ru-RU"/>
        </w:rPr>
      </w:pPr>
    </w:p>
    <w:p w14:paraId="0FBDD5DC" w14:textId="4D8D3107" w:rsidR="002F6D72" w:rsidRDefault="00840FC3" w:rsidP="00840FC3">
      <w:pPr>
        <w:pStyle w:val="a3"/>
        <w:spacing w:before="1"/>
        <w:jc w:val="both"/>
        <w:rPr>
          <w:lang w:val="ru-RU"/>
        </w:rPr>
      </w:pPr>
      <w:proofErr w:type="spellStart"/>
      <w:r w:rsidRPr="008E7A07">
        <w:rPr>
          <w:lang w:val="ru-RU"/>
        </w:rPr>
        <w:t>Оновлені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Консолідовані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керівні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принципи</w:t>
      </w:r>
      <w:proofErr w:type="spellEnd"/>
      <w:r w:rsidRPr="008E7A07">
        <w:rPr>
          <w:lang w:val="ru-RU"/>
        </w:rPr>
        <w:t xml:space="preserve"> ВООЗ 2020 року </w:t>
      </w:r>
      <w:proofErr w:type="spellStart"/>
      <w:r w:rsidRPr="008E7A07">
        <w:rPr>
          <w:lang w:val="ru-RU"/>
        </w:rPr>
        <w:t>також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включатимуть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останні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рекомендації</w:t>
      </w:r>
      <w:proofErr w:type="spellEnd"/>
      <w:r w:rsidRPr="008E7A07">
        <w:rPr>
          <w:lang w:val="ru-RU"/>
        </w:rPr>
        <w:t xml:space="preserve"> ВООЗ </w:t>
      </w:r>
      <w:proofErr w:type="spellStart"/>
      <w:r w:rsidRPr="008E7A07">
        <w:rPr>
          <w:lang w:val="ru-RU"/>
        </w:rPr>
        <w:t>щодо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інших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швидких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тестів</w:t>
      </w:r>
      <w:proofErr w:type="spellEnd"/>
      <w:r w:rsidRPr="008E7A07">
        <w:rPr>
          <w:lang w:val="ru-RU"/>
        </w:rPr>
        <w:t xml:space="preserve">, </w:t>
      </w:r>
      <w:proofErr w:type="spellStart"/>
      <w:r w:rsidRPr="008E7A07">
        <w:rPr>
          <w:lang w:val="ru-RU"/>
        </w:rPr>
        <w:t>включаючи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аналіз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лінійних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зондів</w:t>
      </w:r>
      <w:proofErr w:type="spellEnd"/>
      <w:r w:rsidRPr="008E7A07">
        <w:rPr>
          <w:lang w:val="ru-RU"/>
        </w:rPr>
        <w:t xml:space="preserve">, </w:t>
      </w:r>
      <w:proofErr w:type="spellStart"/>
      <w:r w:rsidRPr="008E7A07">
        <w:rPr>
          <w:lang w:val="ru-RU"/>
        </w:rPr>
        <w:t>аналізи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бічного</w:t>
      </w:r>
      <w:proofErr w:type="spellEnd"/>
      <w:r w:rsidRPr="008E7A07">
        <w:rPr>
          <w:lang w:val="ru-RU"/>
        </w:rPr>
        <w:t xml:space="preserve"> потоку </w:t>
      </w:r>
      <w:proofErr w:type="spellStart"/>
      <w:r w:rsidRPr="008E7A07">
        <w:rPr>
          <w:lang w:val="ru-RU"/>
        </w:rPr>
        <w:t>ліпоарабіноманна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сечі</w:t>
      </w:r>
      <w:proofErr w:type="spellEnd"/>
      <w:r w:rsidRPr="008E7A07">
        <w:rPr>
          <w:lang w:val="ru-RU"/>
        </w:rPr>
        <w:t xml:space="preserve"> та </w:t>
      </w:r>
      <w:proofErr w:type="spellStart"/>
      <w:r w:rsidRPr="008E7A07">
        <w:rPr>
          <w:lang w:val="ru-RU"/>
        </w:rPr>
        <w:t>ізотермічні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аналізи</w:t>
      </w:r>
      <w:proofErr w:type="spellEnd"/>
      <w:r w:rsidRPr="008E7A07">
        <w:rPr>
          <w:lang w:val="ru-RU"/>
        </w:rPr>
        <w:t xml:space="preserve"> на </w:t>
      </w:r>
      <w:proofErr w:type="spellStart"/>
      <w:r w:rsidRPr="008E7A07">
        <w:rPr>
          <w:lang w:val="ru-RU"/>
        </w:rPr>
        <w:t>посилення</w:t>
      </w:r>
      <w:proofErr w:type="spellEnd"/>
      <w:r w:rsidRPr="008E7A07">
        <w:rPr>
          <w:lang w:val="ru-RU"/>
        </w:rPr>
        <w:t xml:space="preserve"> </w:t>
      </w:r>
      <w:proofErr w:type="spellStart"/>
      <w:r w:rsidRPr="008E7A07">
        <w:rPr>
          <w:lang w:val="ru-RU"/>
        </w:rPr>
        <w:t>опосередкованої</w:t>
      </w:r>
      <w:proofErr w:type="spellEnd"/>
      <w:r w:rsidRPr="008E7A07">
        <w:rPr>
          <w:lang w:val="ru-RU"/>
        </w:rPr>
        <w:t xml:space="preserve"> молекулярною петлею.</w:t>
      </w:r>
    </w:p>
    <w:p w14:paraId="3C9EC3F1" w14:textId="77777777" w:rsidR="001A103E" w:rsidRPr="008E7A07" w:rsidRDefault="001A103E" w:rsidP="00840FC3">
      <w:pPr>
        <w:pStyle w:val="a3"/>
        <w:spacing w:before="1"/>
        <w:jc w:val="both"/>
        <w:rPr>
          <w:lang w:val="ru-RU"/>
        </w:rPr>
      </w:pPr>
    </w:p>
    <w:p w14:paraId="00C2092E" w14:textId="0D5E67FD" w:rsidR="002F6D72" w:rsidRDefault="00BB6580">
      <w:pPr>
        <w:pStyle w:val="2"/>
      </w:pPr>
      <w:proofErr w:type="spellStart"/>
      <w:r w:rsidRPr="00BB6580">
        <w:rPr>
          <w:color w:val="4F81BA"/>
        </w:rPr>
        <w:t>Ключові</w:t>
      </w:r>
      <w:proofErr w:type="spellEnd"/>
      <w:r w:rsidRPr="00BB6580">
        <w:rPr>
          <w:color w:val="4F81BA"/>
        </w:rPr>
        <w:t xml:space="preserve"> </w:t>
      </w:r>
      <w:proofErr w:type="spellStart"/>
      <w:r w:rsidRPr="00BB6580">
        <w:rPr>
          <w:color w:val="4F81BA"/>
        </w:rPr>
        <w:t>висновки</w:t>
      </w:r>
      <w:proofErr w:type="spellEnd"/>
    </w:p>
    <w:p w14:paraId="2EE6DC4A" w14:textId="77777777" w:rsidR="002F6D72" w:rsidRDefault="002F6D72">
      <w:pPr>
        <w:pStyle w:val="a3"/>
        <w:spacing w:before="7"/>
        <w:rPr>
          <w:rFonts w:ascii="Arial"/>
          <w:b/>
          <w:sz w:val="27"/>
        </w:rPr>
      </w:pPr>
    </w:p>
    <w:p w14:paraId="699DCDA9" w14:textId="18CB2BC6" w:rsidR="002F6D72" w:rsidRDefault="00BB6580" w:rsidP="00BA7ADE">
      <w:pPr>
        <w:pStyle w:val="3"/>
        <w:numPr>
          <w:ilvl w:val="0"/>
          <w:numId w:val="1"/>
        </w:numPr>
        <w:tabs>
          <w:tab w:val="left" w:pos="460"/>
          <w:tab w:val="left" w:pos="461"/>
        </w:tabs>
        <w:ind w:right="438"/>
        <w:jc w:val="both"/>
      </w:pPr>
      <w:proofErr w:type="spellStart"/>
      <w:r w:rsidRPr="00BB6580">
        <w:rPr>
          <w:color w:val="4F81BB"/>
        </w:rPr>
        <w:t>Висока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діагностична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точність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та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покращені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результати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пацієнтів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підтверджені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для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Xpert</w:t>
      </w:r>
      <w:proofErr w:type="spellEnd"/>
      <w:r w:rsidRPr="00BB6580">
        <w:rPr>
          <w:color w:val="4F81BB"/>
        </w:rPr>
        <w:t xml:space="preserve"> MTB / RIF </w:t>
      </w:r>
      <w:proofErr w:type="spellStart"/>
      <w:r w:rsidRPr="00BB6580">
        <w:rPr>
          <w:color w:val="4F81BB"/>
        </w:rPr>
        <w:t>як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первинний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тест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для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діагностики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туберкульозу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легень</w:t>
      </w:r>
      <w:proofErr w:type="spellEnd"/>
      <w:r w:rsidRPr="00BB6580">
        <w:rPr>
          <w:color w:val="4F81BB"/>
        </w:rPr>
        <w:t xml:space="preserve"> (</w:t>
      </w:r>
      <w:proofErr w:type="spellStart"/>
      <w:r w:rsidRPr="00BB6580">
        <w:rPr>
          <w:color w:val="4F81BB"/>
        </w:rPr>
        <w:t>тобто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заміщення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мікроскопії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мазка</w:t>
      </w:r>
      <w:proofErr w:type="spellEnd"/>
      <w:r w:rsidRPr="00BB6580">
        <w:rPr>
          <w:color w:val="4F81BB"/>
        </w:rPr>
        <w:t xml:space="preserve">) </w:t>
      </w:r>
      <w:proofErr w:type="spellStart"/>
      <w:r w:rsidRPr="00BB6580">
        <w:rPr>
          <w:color w:val="4F81BB"/>
        </w:rPr>
        <w:t>та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одночасного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виявлення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резистентності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до</w:t>
      </w:r>
      <w:proofErr w:type="spellEnd"/>
      <w:r w:rsidRPr="00BB6580">
        <w:rPr>
          <w:color w:val="4F81BB"/>
        </w:rPr>
        <w:t xml:space="preserve"> </w:t>
      </w:r>
      <w:proofErr w:type="spellStart"/>
      <w:r w:rsidRPr="00BB6580">
        <w:rPr>
          <w:color w:val="4F81BB"/>
        </w:rPr>
        <w:t>рифампіцину</w:t>
      </w:r>
      <w:proofErr w:type="spellEnd"/>
    </w:p>
    <w:p w14:paraId="65E7BC5F" w14:textId="77777777" w:rsidR="002F6D72" w:rsidRDefault="002F6D72" w:rsidP="00BA7ADE">
      <w:pPr>
        <w:pStyle w:val="a3"/>
        <w:jc w:val="both"/>
        <w:rPr>
          <w:sz w:val="20"/>
        </w:rPr>
      </w:pPr>
    </w:p>
    <w:p w14:paraId="0632874B" w14:textId="77777777" w:rsidR="002F6D72" w:rsidRDefault="002F6D72">
      <w:pPr>
        <w:pStyle w:val="a3"/>
        <w:rPr>
          <w:sz w:val="20"/>
        </w:rPr>
      </w:pPr>
    </w:p>
    <w:p w14:paraId="5B7D089C" w14:textId="0ECF84DB" w:rsidR="002F6D72" w:rsidRDefault="00362779">
      <w:pPr>
        <w:pStyle w:val="a3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DD03D2" wp14:editId="7E333D9C">
                <wp:simplePos x="0" y="0"/>
                <wp:positionH relativeFrom="page">
                  <wp:posOffset>914400</wp:posOffset>
                </wp:positionH>
                <wp:positionV relativeFrom="paragraph">
                  <wp:posOffset>208915</wp:posOffset>
                </wp:positionV>
                <wp:extent cx="182943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5C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45pt" to="21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" strokeweight=".72pt">
                <w10:wrap type="topAndBottom" anchorx="page"/>
              </v:line>
            </w:pict>
          </mc:Fallback>
        </mc:AlternateContent>
      </w:r>
    </w:p>
    <w:p w14:paraId="66C023A2" w14:textId="77777777" w:rsidR="002F6D72" w:rsidRDefault="005D4B7B">
      <w:pPr>
        <w:spacing w:before="69" w:line="246" w:lineRule="exact"/>
        <w:ind w:left="10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18"/>
        </w:rPr>
        <w:t xml:space="preserve">Global Tuberculosis Report 2019 </w:t>
      </w:r>
      <w:hyperlink r:id="rId14">
        <w:r>
          <w:rPr>
            <w:color w:val="0462C1"/>
            <w:sz w:val="20"/>
            <w:u w:val="single" w:color="0462C1"/>
          </w:rPr>
          <w:t>https://www.who.int/tb/publications/global_report/en/</w:t>
        </w:r>
      </w:hyperlink>
    </w:p>
    <w:p w14:paraId="7423EB52" w14:textId="77777777" w:rsidR="002F6D72" w:rsidRDefault="005D4B7B">
      <w:pPr>
        <w:spacing w:line="241" w:lineRule="exact"/>
        <w:ind w:left="100"/>
        <w:rPr>
          <w:sz w:val="18"/>
        </w:rPr>
      </w:pPr>
      <w:bookmarkStart w:id="0" w:name="_Hlk29896348"/>
      <w:r>
        <w:rPr>
          <w:position w:val="7"/>
          <w:sz w:val="13"/>
        </w:rPr>
        <w:t xml:space="preserve">2 </w:t>
      </w:r>
      <w:bookmarkEnd w:id="0"/>
      <w:r>
        <w:rPr>
          <w:sz w:val="18"/>
        </w:rPr>
        <w:t>Defined as combined resistance to rifampicin and isoniazid, the two most important anti-TB medicines.</w:t>
      </w:r>
    </w:p>
    <w:p w14:paraId="21079117" w14:textId="77777777" w:rsidR="002F6D72" w:rsidRDefault="005D4B7B">
      <w:pPr>
        <w:spacing w:before="3"/>
        <w:ind w:left="100"/>
        <w:rPr>
          <w:sz w:val="18"/>
        </w:rPr>
      </w:pPr>
      <w:bookmarkStart w:id="1" w:name="_Hlk29896371"/>
      <w:r>
        <w:rPr>
          <w:position w:val="5"/>
          <w:sz w:val="12"/>
        </w:rPr>
        <w:t>3</w:t>
      </w:r>
      <w:bookmarkEnd w:id="1"/>
      <w:r>
        <w:rPr>
          <w:position w:val="5"/>
          <w:sz w:val="12"/>
        </w:rPr>
        <w:t xml:space="preserve"> </w:t>
      </w:r>
      <w:r>
        <w:rPr>
          <w:sz w:val="18"/>
        </w:rPr>
        <w:t xml:space="preserve">Implementing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End TB Strategy: the essentials. Geneva: World Health Organization; 2015 (WHO/HTM/TB/2015.31; </w:t>
      </w:r>
      <w:hyperlink r:id="rId15">
        <w:r>
          <w:rPr>
            <w:color w:val="0462C1"/>
            <w:sz w:val="18"/>
            <w:u w:val="single" w:color="0462C1"/>
          </w:rPr>
          <w:t>http://www.who.int/tb/publications/2015/end_tb_essential.pdf?ua=1</w:t>
        </w:r>
      </w:hyperlink>
    </w:p>
    <w:p w14:paraId="3A55F333" w14:textId="77777777" w:rsidR="002F6D72" w:rsidRDefault="002F6D72">
      <w:pPr>
        <w:rPr>
          <w:sz w:val="18"/>
        </w:rPr>
        <w:sectPr w:rsidR="002F6D72" w:rsidSect="005E3534">
          <w:pgSz w:w="12240" w:h="15840"/>
          <w:pgMar w:top="1134" w:right="900" w:bottom="1200" w:left="1340" w:header="0" w:footer="932" w:gutter="0"/>
          <w:cols w:space="720"/>
        </w:sectPr>
      </w:pPr>
    </w:p>
    <w:p w14:paraId="0C9C07E2" w14:textId="77564F10" w:rsidR="002F6D72" w:rsidRPr="00FF5821" w:rsidRDefault="00FF5821" w:rsidP="00BA7ADE">
      <w:pPr>
        <w:tabs>
          <w:tab w:val="left" w:pos="9072"/>
        </w:tabs>
        <w:spacing w:before="39"/>
        <w:ind w:left="100" w:right="78"/>
        <w:jc w:val="both"/>
        <w:rPr>
          <w:i/>
          <w:lang w:val="uk-UA"/>
        </w:rPr>
      </w:pPr>
      <w:r w:rsidRPr="00FF5821">
        <w:rPr>
          <w:iCs/>
          <w:u w:val="single"/>
          <w:lang w:val="uk-UA"/>
        </w:rPr>
        <w:lastRenderedPageBreak/>
        <w:t xml:space="preserve">Втручання: </w:t>
      </w:r>
      <w:proofErr w:type="spellStart"/>
      <w:r w:rsidRPr="00FF5821">
        <w:rPr>
          <w:i/>
          <w:color w:val="4471C4"/>
        </w:rPr>
        <w:t>Xpert</w:t>
      </w:r>
      <w:proofErr w:type="spellEnd"/>
      <w:r w:rsidRPr="00FF5821">
        <w:rPr>
          <w:i/>
          <w:color w:val="4471C4"/>
        </w:rPr>
        <w:t xml:space="preserve"> MTB / RIF як заміна мікроскопії мазка мокротиння</w:t>
      </w:r>
      <w:r w:rsidRPr="00FF5821">
        <w:rPr>
          <w:i/>
          <w:lang w:val="uk-UA"/>
        </w:rPr>
        <w:t xml:space="preserve"> (бактеріологічна культура як еталонний стандарт)</w:t>
      </w:r>
    </w:p>
    <w:p w14:paraId="25CE4AB1" w14:textId="77777777" w:rsidR="00FF5821" w:rsidRDefault="00FF5821" w:rsidP="00BA7ADE">
      <w:pPr>
        <w:pStyle w:val="a3"/>
        <w:tabs>
          <w:tab w:val="left" w:pos="9072"/>
        </w:tabs>
        <w:ind w:left="100" w:right="78"/>
        <w:jc w:val="both"/>
      </w:pPr>
    </w:p>
    <w:p w14:paraId="0E27BDC9" w14:textId="2524E2D0" w:rsidR="00FF5821" w:rsidRDefault="00FF5821" w:rsidP="00BA7ADE">
      <w:pPr>
        <w:pStyle w:val="a3"/>
        <w:tabs>
          <w:tab w:val="left" w:pos="9072"/>
        </w:tabs>
        <w:ind w:left="100" w:right="78"/>
        <w:jc w:val="both"/>
        <w:rPr>
          <w:sz w:val="21"/>
          <w:lang w:val="ru-RU"/>
        </w:rPr>
      </w:pPr>
      <w:proofErr w:type="spellStart"/>
      <w:r w:rsidRPr="00FF5821">
        <w:rPr>
          <w:sz w:val="21"/>
          <w:u w:val="single"/>
          <w:lang w:val="ru-RU"/>
        </w:rPr>
        <w:t>Оцінено</w:t>
      </w:r>
      <w:proofErr w:type="spellEnd"/>
      <w:r w:rsidRPr="00FF5821">
        <w:rPr>
          <w:sz w:val="21"/>
          <w:u w:val="single"/>
          <w:lang w:val="ru-RU"/>
        </w:rPr>
        <w:t xml:space="preserve"> </w:t>
      </w:r>
      <w:proofErr w:type="spellStart"/>
      <w:r w:rsidRPr="00FF5821">
        <w:rPr>
          <w:sz w:val="21"/>
          <w:u w:val="single"/>
          <w:lang w:val="ru-RU"/>
        </w:rPr>
        <w:t>даними</w:t>
      </w:r>
      <w:proofErr w:type="spellEnd"/>
      <w:r w:rsidRPr="00FF5821">
        <w:rPr>
          <w:sz w:val="21"/>
          <w:u w:val="single"/>
          <w:lang w:val="ru-RU"/>
        </w:rPr>
        <w:t>:</w:t>
      </w:r>
      <w:r w:rsidRPr="00FF5821">
        <w:rPr>
          <w:sz w:val="21"/>
          <w:lang w:val="ru-RU"/>
        </w:rPr>
        <w:t xml:space="preserve"> 70 </w:t>
      </w:r>
      <w:proofErr w:type="spellStart"/>
      <w:r w:rsidRPr="00FF5821">
        <w:rPr>
          <w:sz w:val="21"/>
          <w:lang w:val="ru-RU"/>
        </w:rPr>
        <w:t>досліджень</w:t>
      </w:r>
      <w:proofErr w:type="spellEnd"/>
      <w:r w:rsidRPr="00FF5821">
        <w:rPr>
          <w:sz w:val="21"/>
          <w:lang w:val="ru-RU"/>
        </w:rPr>
        <w:t xml:space="preserve"> (</w:t>
      </w:r>
      <w:proofErr w:type="spellStart"/>
      <w:r w:rsidRPr="00FF5821">
        <w:rPr>
          <w:sz w:val="21"/>
          <w:lang w:val="ru-RU"/>
        </w:rPr>
        <w:t>включаючи</w:t>
      </w:r>
      <w:proofErr w:type="spellEnd"/>
      <w:r w:rsidRPr="00FF5821">
        <w:rPr>
          <w:sz w:val="21"/>
          <w:lang w:val="ru-RU"/>
        </w:rPr>
        <w:t xml:space="preserve"> 5 </w:t>
      </w:r>
      <w:proofErr w:type="spellStart"/>
      <w:r w:rsidRPr="00FF5821">
        <w:rPr>
          <w:sz w:val="21"/>
          <w:lang w:val="ru-RU"/>
        </w:rPr>
        <w:t>рандомізованих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контрольованих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випробувань</w:t>
      </w:r>
      <w:proofErr w:type="spellEnd"/>
      <w:r w:rsidRPr="00FF5821">
        <w:rPr>
          <w:sz w:val="21"/>
          <w:lang w:val="ru-RU"/>
        </w:rPr>
        <w:t xml:space="preserve">), в </w:t>
      </w:r>
      <w:proofErr w:type="spellStart"/>
      <w:r w:rsidRPr="00FF5821">
        <w:rPr>
          <w:sz w:val="21"/>
          <w:lang w:val="ru-RU"/>
        </w:rPr>
        <w:t>яких</w:t>
      </w:r>
      <w:proofErr w:type="spellEnd"/>
      <w:r w:rsidRPr="00FF5821">
        <w:rPr>
          <w:sz w:val="21"/>
          <w:lang w:val="ru-RU"/>
        </w:rPr>
        <w:t xml:space="preserve"> брали участь </w:t>
      </w:r>
      <w:proofErr w:type="spellStart"/>
      <w:r w:rsidRPr="00FF5821">
        <w:rPr>
          <w:sz w:val="21"/>
          <w:lang w:val="ru-RU"/>
        </w:rPr>
        <w:t>понад</w:t>
      </w:r>
      <w:proofErr w:type="spellEnd"/>
      <w:r w:rsidRPr="00FF5821">
        <w:rPr>
          <w:sz w:val="21"/>
          <w:lang w:val="ru-RU"/>
        </w:rPr>
        <w:t xml:space="preserve"> 30 000 </w:t>
      </w:r>
      <w:proofErr w:type="spellStart"/>
      <w:r w:rsidRPr="00FF5821">
        <w:rPr>
          <w:sz w:val="21"/>
          <w:lang w:val="ru-RU"/>
        </w:rPr>
        <w:t>учасників</w:t>
      </w:r>
      <w:proofErr w:type="spellEnd"/>
      <w:r w:rsidRPr="00FF5821">
        <w:rPr>
          <w:sz w:val="21"/>
          <w:lang w:val="ru-RU"/>
        </w:rPr>
        <w:t xml:space="preserve"> з 37 </w:t>
      </w:r>
      <w:proofErr w:type="spellStart"/>
      <w:r w:rsidRPr="00FF5821">
        <w:rPr>
          <w:sz w:val="21"/>
          <w:lang w:val="ru-RU"/>
        </w:rPr>
        <w:t>країн</w:t>
      </w:r>
      <w:proofErr w:type="spellEnd"/>
      <w:r w:rsidRPr="00FF5821">
        <w:rPr>
          <w:sz w:val="21"/>
          <w:lang w:val="ru-RU"/>
        </w:rPr>
        <w:t xml:space="preserve"> (у тому </w:t>
      </w:r>
      <w:proofErr w:type="spellStart"/>
      <w:r w:rsidRPr="00FF5821">
        <w:rPr>
          <w:sz w:val="21"/>
          <w:lang w:val="ru-RU"/>
        </w:rPr>
        <w:t>числі</w:t>
      </w:r>
      <w:proofErr w:type="spellEnd"/>
      <w:r w:rsidRPr="00FF5821">
        <w:rPr>
          <w:sz w:val="21"/>
          <w:lang w:val="ru-RU"/>
        </w:rPr>
        <w:t xml:space="preserve"> 14 </w:t>
      </w:r>
      <w:proofErr w:type="spellStart"/>
      <w:r w:rsidRPr="00FF5821">
        <w:rPr>
          <w:sz w:val="21"/>
          <w:lang w:val="ru-RU"/>
        </w:rPr>
        <w:t>країн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із</w:t>
      </w:r>
      <w:proofErr w:type="spellEnd"/>
      <w:r w:rsidRPr="00FF5821">
        <w:rPr>
          <w:sz w:val="21"/>
          <w:lang w:val="ru-RU"/>
        </w:rPr>
        <w:t xml:space="preserve"> великим </w:t>
      </w:r>
      <w:proofErr w:type="spellStart"/>
      <w:r w:rsidRPr="00FF5821">
        <w:rPr>
          <w:sz w:val="21"/>
          <w:lang w:val="ru-RU"/>
        </w:rPr>
        <w:t>навантаженням</w:t>
      </w:r>
      <w:proofErr w:type="spellEnd"/>
      <w:r w:rsidRPr="00FF5821">
        <w:rPr>
          <w:sz w:val="21"/>
          <w:lang w:val="ru-RU"/>
        </w:rPr>
        <w:t xml:space="preserve"> на</w:t>
      </w:r>
      <w:r w:rsidR="00BF3AAE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туберкульоз</w:t>
      </w:r>
      <w:proofErr w:type="spellEnd"/>
      <w:r w:rsidRPr="00FF5821">
        <w:rPr>
          <w:sz w:val="21"/>
          <w:lang w:val="ru-RU"/>
        </w:rPr>
        <w:t>).</w:t>
      </w:r>
    </w:p>
    <w:p w14:paraId="2E0F3F00" w14:textId="77777777" w:rsidR="00FF5821" w:rsidRDefault="00FF5821" w:rsidP="00BA7ADE">
      <w:pPr>
        <w:pStyle w:val="a3"/>
        <w:tabs>
          <w:tab w:val="left" w:pos="9072"/>
        </w:tabs>
        <w:ind w:left="100" w:right="78"/>
        <w:jc w:val="both"/>
        <w:rPr>
          <w:lang w:val="ru-RU"/>
        </w:rPr>
      </w:pPr>
    </w:p>
    <w:p w14:paraId="49A41CB6" w14:textId="77777777" w:rsidR="00FF5821" w:rsidRDefault="00FF5821" w:rsidP="00BA7ADE">
      <w:pPr>
        <w:pStyle w:val="a3"/>
        <w:tabs>
          <w:tab w:val="left" w:pos="9072"/>
        </w:tabs>
        <w:ind w:left="100" w:right="78"/>
        <w:jc w:val="both"/>
        <w:rPr>
          <w:lang w:val="ru-RU"/>
        </w:rPr>
      </w:pPr>
      <w:proofErr w:type="spellStart"/>
      <w:r w:rsidRPr="00FF5821">
        <w:rPr>
          <w:sz w:val="21"/>
          <w:u w:val="single"/>
          <w:lang w:val="ru-RU"/>
        </w:rPr>
        <w:t>Результати</w:t>
      </w:r>
      <w:proofErr w:type="spellEnd"/>
      <w:r w:rsidRPr="00FF5821">
        <w:rPr>
          <w:sz w:val="21"/>
          <w:u w:val="single"/>
          <w:lang w:val="ru-RU"/>
        </w:rPr>
        <w:t>:</w:t>
      </w:r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Висока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діагностична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точність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</w:rPr>
        <w:t>Xpert</w:t>
      </w:r>
      <w:proofErr w:type="spellEnd"/>
      <w:r w:rsidRPr="00FF5821">
        <w:rPr>
          <w:sz w:val="21"/>
          <w:lang w:val="ru-RU"/>
        </w:rPr>
        <w:t xml:space="preserve"> </w:t>
      </w:r>
      <w:r w:rsidRPr="00FF5821">
        <w:rPr>
          <w:sz w:val="21"/>
        </w:rPr>
        <w:t>MTB</w:t>
      </w:r>
      <w:r w:rsidRPr="00FF5821">
        <w:rPr>
          <w:sz w:val="21"/>
          <w:lang w:val="ru-RU"/>
        </w:rPr>
        <w:t xml:space="preserve"> / </w:t>
      </w:r>
      <w:r w:rsidRPr="00FF5821">
        <w:rPr>
          <w:sz w:val="21"/>
        </w:rPr>
        <w:t>RIF</w:t>
      </w:r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підтверджена</w:t>
      </w:r>
      <w:proofErr w:type="spellEnd"/>
      <w:r w:rsidRPr="00FF5821">
        <w:rPr>
          <w:sz w:val="21"/>
          <w:lang w:val="ru-RU"/>
        </w:rPr>
        <w:t xml:space="preserve"> у </w:t>
      </w:r>
      <w:proofErr w:type="spellStart"/>
      <w:r w:rsidRPr="00FF5821">
        <w:rPr>
          <w:sz w:val="21"/>
          <w:lang w:val="ru-RU"/>
        </w:rPr>
        <w:t>дорослих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із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туберкульозом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легень</w:t>
      </w:r>
      <w:proofErr w:type="spellEnd"/>
      <w:r w:rsidRPr="00FF5821">
        <w:rPr>
          <w:sz w:val="21"/>
          <w:lang w:val="ru-RU"/>
        </w:rPr>
        <w:t xml:space="preserve">: </w:t>
      </w:r>
      <w:proofErr w:type="spellStart"/>
      <w:r w:rsidRPr="00FF5821">
        <w:rPr>
          <w:sz w:val="21"/>
          <w:lang w:val="ru-RU"/>
        </w:rPr>
        <w:t>Загальна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чутливість</w:t>
      </w:r>
      <w:proofErr w:type="spellEnd"/>
      <w:r w:rsidRPr="00FF5821">
        <w:rPr>
          <w:sz w:val="21"/>
          <w:lang w:val="ru-RU"/>
        </w:rPr>
        <w:t xml:space="preserve"> у </w:t>
      </w:r>
      <w:proofErr w:type="spellStart"/>
      <w:r w:rsidRPr="00FF5821">
        <w:rPr>
          <w:sz w:val="21"/>
          <w:lang w:val="ru-RU"/>
        </w:rPr>
        <w:t>всіх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зразках</w:t>
      </w:r>
      <w:proofErr w:type="spellEnd"/>
      <w:r w:rsidRPr="00FF5821">
        <w:rPr>
          <w:sz w:val="21"/>
          <w:lang w:val="ru-RU"/>
        </w:rPr>
        <w:t xml:space="preserve"> становила 85% (мазка-позитивна та мазка-негативна). </w:t>
      </w:r>
      <w:proofErr w:type="spellStart"/>
      <w:r w:rsidRPr="00FF5821">
        <w:rPr>
          <w:sz w:val="21"/>
          <w:lang w:val="ru-RU"/>
        </w:rPr>
        <w:t>Загальна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специфічність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склала</w:t>
      </w:r>
      <w:proofErr w:type="spellEnd"/>
      <w:r w:rsidRPr="00FF5821">
        <w:rPr>
          <w:sz w:val="21"/>
          <w:lang w:val="ru-RU"/>
        </w:rPr>
        <w:t xml:space="preserve"> 98% у </w:t>
      </w:r>
      <w:proofErr w:type="spellStart"/>
      <w:r w:rsidRPr="00FF5821">
        <w:rPr>
          <w:sz w:val="21"/>
          <w:lang w:val="ru-RU"/>
        </w:rPr>
        <w:t>всіх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зразках</w:t>
      </w:r>
      <w:proofErr w:type="spellEnd"/>
      <w:r w:rsidRPr="00FF5821">
        <w:rPr>
          <w:sz w:val="21"/>
          <w:lang w:val="ru-RU"/>
        </w:rPr>
        <w:t xml:space="preserve"> (мазок-</w:t>
      </w:r>
      <w:proofErr w:type="spellStart"/>
      <w:r w:rsidRPr="00FF5821">
        <w:rPr>
          <w:sz w:val="21"/>
          <w:lang w:val="ru-RU"/>
        </w:rPr>
        <w:t>позитивний</w:t>
      </w:r>
      <w:proofErr w:type="spellEnd"/>
      <w:r w:rsidRPr="00FF5821">
        <w:rPr>
          <w:sz w:val="21"/>
          <w:lang w:val="ru-RU"/>
        </w:rPr>
        <w:t xml:space="preserve"> та мазок-</w:t>
      </w:r>
      <w:proofErr w:type="spellStart"/>
      <w:r w:rsidRPr="00FF5821">
        <w:rPr>
          <w:sz w:val="21"/>
          <w:lang w:val="ru-RU"/>
        </w:rPr>
        <w:t>негативний</w:t>
      </w:r>
      <w:proofErr w:type="spellEnd"/>
      <w:r w:rsidRPr="00FF5821">
        <w:rPr>
          <w:sz w:val="21"/>
          <w:lang w:val="ru-RU"/>
        </w:rPr>
        <w:t xml:space="preserve">). </w:t>
      </w:r>
      <w:proofErr w:type="spellStart"/>
      <w:r w:rsidRPr="00FF5821">
        <w:rPr>
          <w:sz w:val="21"/>
          <w:lang w:val="ru-RU"/>
        </w:rPr>
        <w:t>Чутливість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зразків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мокротиння</w:t>
      </w:r>
      <w:proofErr w:type="spellEnd"/>
      <w:r w:rsidRPr="00FF5821">
        <w:rPr>
          <w:sz w:val="21"/>
          <w:lang w:val="ru-RU"/>
        </w:rPr>
        <w:t xml:space="preserve"> у </w:t>
      </w:r>
      <w:proofErr w:type="spellStart"/>
      <w:r w:rsidRPr="00FF5821">
        <w:rPr>
          <w:sz w:val="21"/>
          <w:lang w:val="ru-RU"/>
        </w:rPr>
        <w:t>учасників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коінфікованих</w:t>
      </w:r>
      <w:proofErr w:type="spellEnd"/>
      <w:r w:rsidRPr="00FF5821">
        <w:rPr>
          <w:sz w:val="21"/>
          <w:lang w:val="ru-RU"/>
        </w:rPr>
        <w:t xml:space="preserve"> ВІЛ становила 81%, а </w:t>
      </w:r>
      <w:proofErr w:type="spellStart"/>
      <w:r w:rsidRPr="00FF5821">
        <w:rPr>
          <w:sz w:val="21"/>
          <w:lang w:val="ru-RU"/>
        </w:rPr>
        <w:t>специфічність</w:t>
      </w:r>
      <w:proofErr w:type="spellEnd"/>
      <w:r w:rsidRPr="00FF5821">
        <w:rPr>
          <w:sz w:val="21"/>
          <w:lang w:val="ru-RU"/>
        </w:rPr>
        <w:t xml:space="preserve"> - 98%.</w:t>
      </w:r>
    </w:p>
    <w:p w14:paraId="4CC21DB8" w14:textId="77777777" w:rsidR="00FF5821" w:rsidRDefault="00FF5821" w:rsidP="00BA7ADE">
      <w:pPr>
        <w:pStyle w:val="a3"/>
        <w:tabs>
          <w:tab w:val="left" w:pos="9072"/>
        </w:tabs>
        <w:ind w:left="100" w:right="78"/>
        <w:jc w:val="both"/>
        <w:rPr>
          <w:lang w:val="ru-RU"/>
        </w:rPr>
      </w:pPr>
    </w:p>
    <w:p w14:paraId="3BBBBCEA" w14:textId="19F0AC22" w:rsidR="002F6D72" w:rsidRDefault="00FF5821" w:rsidP="00BA7ADE">
      <w:pPr>
        <w:pStyle w:val="a3"/>
        <w:tabs>
          <w:tab w:val="left" w:pos="9072"/>
        </w:tabs>
        <w:ind w:left="100" w:right="78"/>
        <w:jc w:val="both"/>
        <w:rPr>
          <w:sz w:val="21"/>
          <w:lang w:val="ru-RU"/>
        </w:rPr>
      </w:pPr>
      <w:proofErr w:type="spellStart"/>
      <w:r w:rsidRPr="00FF5821">
        <w:rPr>
          <w:sz w:val="21"/>
          <w:lang w:val="ru-RU"/>
        </w:rPr>
        <w:t>Результати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також</w:t>
      </w:r>
      <w:proofErr w:type="spellEnd"/>
      <w:r w:rsidRPr="00FF5821">
        <w:rPr>
          <w:sz w:val="21"/>
          <w:lang w:val="ru-RU"/>
        </w:rPr>
        <w:t xml:space="preserve"> показали </w:t>
      </w:r>
      <w:proofErr w:type="spellStart"/>
      <w:r w:rsidRPr="00FF5821">
        <w:rPr>
          <w:sz w:val="21"/>
          <w:lang w:val="ru-RU"/>
        </w:rPr>
        <w:t>покращені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важливі</w:t>
      </w:r>
      <w:proofErr w:type="spellEnd"/>
      <w:r w:rsidRPr="00FF5821">
        <w:rPr>
          <w:sz w:val="21"/>
          <w:lang w:val="ru-RU"/>
        </w:rPr>
        <w:t xml:space="preserve"> для </w:t>
      </w:r>
      <w:proofErr w:type="spellStart"/>
      <w:r w:rsidRPr="00FF5821">
        <w:rPr>
          <w:sz w:val="21"/>
          <w:lang w:val="ru-RU"/>
        </w:rPr>
        <w:t>пацієнта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результати</w:t>
      </w:r>
      <w:proofErr w:type="spellEnd"/>
      <w:r w:rsidRPr="00FF5821">
        <w:rPr>
          <w:sz w:val="21"/>
          <w:lang w:val="ru-RU"/>
        </w:rPr>
        <w:t xml:space="preserve"> (</w:t>
      </w:r>
      <w:proofErr w:type="spellStart"/>
      <w:r w:rsidRPr="00FF5821">
        <w:rPr>
          <w:sz w:val="21"/>
          <w:lang w:val="ru-RU"/>
        </w:rPr>
        <w:t>рівень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вилікування</w:t>
      </w:r>
      <w:proofErr w:type="spellEnd"/>
      <w:r w:rsidRPr="00FF5821">
        <w:rPr>
          <w:sz w:val="21"/>
          <w:lang w:val="ru-RU"/>
        </w:rPr>
        <w:t xml:space="preserve">, </w:t>
      </w:r>
      <w:proofErr w:type="spellStart"/>
      <w:r w:rsidRPr="00FF5821">
        <w:rPr>
          <w:sz w:val="21"/>
          <w:lang w:val="ru-RU"/>
        </w:rPr>
        <w:t>знижена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летальність</w:t>
      </w:r>
      <w:proofErr w:type="spellEnd"/>
      <w:r w:rsidRPr="00FF5821">
        <w:rPr>
          <w:sz w:val="21"/>
          <w:lang w:val="ru-RU"/>
        </w:rPr>
        <w:t xml:space="preserve"> та </w:t>
      </w:r>
      <w:proofErr w:type="spellStart"/>
      <w:r w:rsidRPr="00FF5821">
        <w:rPr>
          <w:sz w:val="21"/>
          <w:lang w:val="ru-RU"/>
        </w:rPr>
        <w:t>зменшені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втрати</w:t>
      </w:r>
      <w:proofErr w:type="spellEnd"/>
      <w:r w:rsidRPr="00FF5821">
        <w:rPr>
          <w:sz w:val="21"/>
          <w:lang w:val="ru-RU"/>
        </w:rPr>
        <w:t xml:space="preserve"> до </w:t>
      </w:r>
      <w:proofErr w:type="spellStart"/>
      <w:r w:rsidRPr="00FF5821">
        <w:rPr>
          <w:sz w:val="21"/>
          <w:lang w:val="ru-RU"/>
        </w:rPr>
        <w:t>лікування</w:t>
      </w:r>
      <w:proofErr w:type="spellEnd"/>
      <w:r w:rsidRPr="00FF5821">
        <w:rPr>
          <w:sz w:val="21"/>
          <w:lang w:val="ru-RU"/>
        </w:rPr>
        <w:t xml:space="preserve">), коли </w:t>
      </w:r>
      <w:proofErr w:type="spellStart"/>
      <w:r w:rsidRPr="00FF5821">
        <w:rPr>
          <w:sz w:val="21"/>
        </w:rPr>
        <w:t>Xpert</w:t>
      </w:r>
      <w:proofErr w:type="spellEnd"/>
      <w:r w:rsidRPr="00FF5821">
        <w:rPr>
          <w:sz w:val="21"/>
          <w:lang w:val="ru-RU"/>
        </w:rPr>
        <w:t xml:space="preserve"> </w:t>
      </w:r>
      <w:r w:rsidRPr="00FF5821">
        <w:rPr>
          <w:sz w:val="21"/>
        </w:rPr>
        <w:t>MTB</w:t>
      </w:r>
      <w:r w:rsidRPr="00FF5821">
        <w:rPr>
          <w:sz w:val="21"/>
          <w:lang w:val="ru-RU"/>
        </w:rPr>
        <w:t xml:space="preserve"> / </w:t>
      </w:r>
      <w:r w:rsidRPr="00FF5821">
        <w:rPr>
          <w:sz w:val="21"/>
        </w:rPr>
        <w:t>RIF</w:t>
      </w:r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замінив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мікроскопію</w:t>
      </w:r>
      <w:proofErr w:type="spellEnd"/>
      <w:r w:rsidRPr="00FF5821">
        <w:rPr>
          <w:sz w:val="21"/>
          <w:lang w:val="ru-RU"/>
        </w:rPr>
        <w:t xml:space="preserve"> як </w:t>
      </w:r>
      <w:proofErr w:type="spellStart"/>
      <w:r w:rsidRPr="00FF5821">
        <w:rPr>
          <w:sz w:val="21"/>
          <w:lang w:val="ru-RU"/>
        </w:rPr>
        <w:t>початковий</w:t>
      </w:r>
      <w:proofErr w:type="spellEnd"/>
      <w:r w:rsidRPr="00FF5821">
        <w:rPr>
          <w:sz w:val="21"/>
          <w:lang w:val="ru-RU"/>
        </w:rPr>
        <w:t xml:space="preserve"> </w:t>
      </w:r>
      <w:proofErr w:type="spellStart"/>
      <w:r w:rsidRPr="00FF5821">
        <w:rPr>
          <w:sz w:val="21"/>
          <w:lang w:val="ru-RU"/>
        </w:rPr>
        <w:t>діагностичний</w:t>
      </w:r>
      <w:proofErr w:type="spellEnd"/>
      <w:r w:rsidRPr="00FF5821">
        <w:rPr>
          <w:sz w:val="21"/>
          <w:lang w:val="ru-RU"/>
        </w:rPr>
        <w:t xml:space="preserve"> тест.</w:t>
      </w:r>
    </w:p>
    <w:p w14:paraId="13BC61C6" w14:textId="77777777" w:rsidR="00BF3AAE" w:rsidRDefault="00BF3AAE" w:rsidP="00BA7ADE">
      <w:pPr>
        <w:pStyle w:val="a3"/>
        <w:tabs>
          <w:tab w:val="left" w:pos="9072"/>
        </w:tabs>
        <w:ind w:right="78"/>
        <w:jc w:val="both"/>
        <w:rPr>
          <w:lang w:val="uk-UA"/>
        </w:rPr>
      </w:pPr>
    </w:p>
    <w:p w14:paraId="19B6FB73" w14:textId="5F9289C6" w:rsidR="00BF3AAE" w:rsidRPr="00BF3AAE" w:rsidRDefault="00BF3AAE" w:rsidP="00BA7ADE">
      <w:pPr>
        <w:pStyle w:val="a3"/>
        <w:tabs>
          <w:tab w:val="left" w:pos="9072"/>
        </w:tabs>
        <w:ind w:left="100" w:right="78"/>
        <w:jc w:val="both"/>
        <w:rPr>
          <w:lang w:val="uk-UA"/>
        </w:rPr>
      </w:pPr>
      <w:r w:rsidRPr="00BF3AAE">
        <w:rPr>
          <w:u w:val="single"/>
          <w:lang w:val="uk-UA"/>
        </w:rPr>
        <w:t>Втручання:</w:t>
      </w:r>
      <w:r w:rsidRPr="00BF3AAE">
        <w:rPr>
          <w:lang w:val="uk-UA"/>
        </w:rPr>
        <w:t xml:space="preserve"> </w:t>
      </w:r>
      <w:proofErr w:type="spellStart"/>
      <w:r w:rsidRPr="00BF3AAE">
        <w:rPr>
          <w:i/>
          <w:color w:val="4471C4"/>
        </w:rPr>
        <w:t>Xpert</w:t>
      </w:r>
      <w:proofErr w:type="spellEnd"/>
      <w:r w:rsidRPr="00BF3AAE">
        <w:rPr>
          <w:i/>
          <w:color w:val="4471C4"/>
          <w:lang w:val="uk-UA"/>
        </w:rPr>
        <w:t xml:space="preserve"> </w:t>
      </w:r>
      <w:r w:rsidRPr="00BF3AAE">
        <w:rPr>
          <w:i/>
          <w:color w:val="4471C4"/>
        </w:rPr>
        <w:t>MTB</w:t>
      </w:r>
      <w:r w:rsidRPr="00BF3AAE">
        <w:rPr>
          <w:i/>
          <w:color w:val="4471C4"/>
          <w:lang w:val="uk-UA"/>
        </w:rPr>
        <w:t xml:space="preserve"> / </w:t>
      </w:r>
      <w:r w:rsidRPr="00BF3AAE">
        <w:rPr>
          <w:i/>
          <w:color w:val="4471C4"/>
        </w:rPr>
        <w:t>RIF</w:t>
      </w:r>
      <w:r w:rsidRPr="00BF3AAE">
        <w:rPr>
          <w:i/>
          <w:color w:val="4471C4"/>
          <w:lang w:val="uk-UA"/>
        </w:rPr>
        <w:t xml:space="preserve"> для одночасного виявлення резистентності до </w:t>
      </w:r>
      <w:proofErr w:type="spellStart"/>
      <w:r w:rsidRPr="00BF3AAE">
        <w:rPr>
          <w:i/>
          <w:color w:val="4471C4"/>
          <w:lang w:val="uk-UA"/>
        </w:rPr>
        <w:t>рифампіцину</w:t>
      </w:r>
      <w:proofErr w:type="spellEnd"/>
      <w:r w:rsidRPr="00BF3AAE">
        <w:rPr>
          <w:lang w:val="uk-UA"/>
        </w:rPr>
        <w:t xml:space="preserve"> (тест на фенотипічну сприйнятливість до лікарських засобів як еталонний стандарт)</w:t>
      </w:r>
    </w:p>
    <w:p w14:paraId="1BD91FC1" w14:textId="77777777" w:rsidR="00BF3AAE" w:rsidRPr="00BF3AAE" w:rsidRDefault="00BF3AAE" w:rsidP="00BA7ADE">
      <w:pPr>
        <w:pStyle w:val="a3"/>
        <w:tabs>
          <w:tab w:val="left" w:pos="9072"/>
        </w:tabs>
        <w:ind w:left="100" w:right="78"/>
        <w:jc w:val="both"/>
        <w:rPr>
          <w:lang w:val="uk-UA"/>
        </w:rPr>
      </w:pPr>
    </w:p>
    <w:p w14:paraId="73A3F2B2" w14:textId="77777777" w:rsidR="00BF3AAE" w:rsidRPr="00BF3AAE" w:rsidRDefault="00BF3AAE" w:rsidP="00BA7ADE">
      <w:pPr>
        <w:pStyle w:val="a3"/>
        <w:tabs>
          <w:tab w:val="left" w:pos="9072"/>
        </w:tabs>
        <w:ind w:left="100" w:right="78"/>
        <w:jc w:val="both"/>
        <w:rPr>
          <w:lang w:val="uk-UA"/>
        </w:rPr>
      </w:pPr>
      <w:r w:rsidRPr="00BF3AAE">
        <w:rPr>
          <w:u w:val="single"/>
          <w:lang w:val="uk-UA"/>
        </w:rPr>
        <w:t>Оцінено даними:</w:t>
      </w:r>
      <w:r w:rsidRPr="00BF3AAE">
        <w:rPr>
          <w:lang w:val="uk-UA"/>
        </w:rPr>
        <w:t xml:space="preserve"> 48 досліджень, в яких брали участь понад 8000 учасників із 33 країн (у тому числі 9 країн із великим навантаженням на туберкульоз).</w:t>
      </w:r>
    </w:p>
    <w:p w14:paraId="73A290B8" w14:textId="77777777" w:rsidR="00BF3AAE" w:rsidRPr="00BF3AAE" w:rsidRDefault="00BF3AAE" w:rsidP="00BA7ADE">
      <w:pPr>
        <w:pStyle w:val="a3"/>
        <w:tabs>
          <w:tab w:val="left" w:pos="9072"/>
        </w:tabs>
        <w:ind w:left="100" w:right="78"/>
        <w:jc w:val="both"/>
        <w:rPr>
          <w:lang w:val="uk-UA"/>
        </w:rPr>
      </w:pPr>
    </w:p>
    <w:p w14:paraId="5CE34C6E" w14:textId="2DC9C49B" w:rsidR="002F6D72" w:rsidRPr="00BF3AAE" w:rsidRDefault="00BF3AAE" w:rsidP="00BA7ADE">
      <w:pPr>
        <w:pStyle w:val="a3"/>
        <w:tabs>
          <w:tab w:val="left" w:pos="9072"/>
        </w:tabs>
        <w:ind w:left="100" w:right="78"/>
        <w:jc w:val="both"/>
        <w:rPr>
          <w:lang w:val="uk-UA"/>
        </w:rPr>
      </w:pPr>
      <w:r w:rsidRPr="00BF3AAE">
        <w:rPr>
          <w:u w:val="single"/>
          <w:lang w:val="uk-UA"/>
        </w:rPr>
        <w:t>Результати:</w:t>
      </w:r>
      <w:r w:rsidRPr="00BF3AAE">
        <w:rPr>
          <w:lang w:val="uk-UA"/>
        </w:rPr>
        <w:t xml:space="preserve"> висока загальна чутливість (96%) та специфічність (98%) у порівнянні з</w:t>
      </w:r>
      <w:r w:rsidR="00AD2EFE">
        <w:rPr>
          <w:lang w:val="uk-UA"/>
        </w:rPr>
        <w:t xml:space="preserve"> </w:t>
      </w:r>
      <w:r w:rsidRPr="00BF3AAE">
        <w:rPr>
          <w:lang w:val="uk-UA"/>
        </w:rPr>
        <w:t>тестуванням на фенотипічну чутливість до лікарських засобів.</w:t>
      </w:r>
    </w:p>
    <w:p w14:paraId="16F7F506" w14:textId="77777777" w:rsidR="002F6D72" w:rsidRPr="00BF3AAE" w:rsidRDefault="002F6D72" w:rsidP="00BA7ADE">
      <w:pPr>
        <w:pStyle w:val="a3"/>
        <w:tabs>
          <w:tab w:val="left" w:pos="9072"/>
        </w:tabs>
        <w:ind w:right="78"/>
        <w:jc w:val="both"/>
        <w:rPr>
          <w:lang w:val="ru-RU"/>
        </w:rPr>
      </w:pPr>
    </w:p>
    <w:p w14:paraId="417FB195" w14:textId="77777777" w:rsidR="002F6D72" w:rsidRPr="00BF3AAE" w:rsidRDefault="002F6D72" w:rsidP="00BA7ADE">
      <w:pPr>
        <w:pStyle w:val="a3"/>
        <w:tabs>
          <w:tab w:val="left" w:pos="9072"/>
        </w:tabs>
        <w:spacing w:before="9"/>
        <w:ind w:right="78"/>
        <w:jc w:val="both"/>
        <w:rPr>
          <w:sz w:val="20"/>
          <w:lang w:val="ru-RU"/>
        </w:rPr>
      </w:pPr>
    </w:p>
    <w:p w14:paraId="5ACC8921" w14:textId="3EAFC92C" w:rsidR="002F6D72" w:rsidRPr="00AD2EFE" w:rsidRDefault="00AD2EFE" w:rsidP="00BA7ADE">
      <w:pPr>
        <w:pStyle w:val="3"/>
        <w:numPr>
          <w:ilvl w:val="0"/>
          <w:numId w:val="1"/>
        </w:numPr>
        <w:tabs>
          <w:tab w:val="left" w:pos="460"/>
          <w:tab w:val="left" w:pos="461"/>
          <w:tab w:val="left" w:pos="9072"/>
        </w:tabs>
        <w:spacing w:before="1"/>
        <w:ind w:right="78"/>
        <w:jc w:val="both"/>
        <w:rPr>
          <w:lang w:val="ru-RU"/>
        </w:rPr>
      </w:pPr>
      <w:proofErr w:type="spellStart"/>
      <w:r w:rsidRPr="00AD2EFE">
        <w:rPr>
          <w:color w:val="4F81BB"/>
          <w:lang w:val="ru-RU"/>
        </w:rPr>
        <w:t>Висока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діагностична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точність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</w:rPr>
        <w:t>Xpert</w:t>
      </w:r>
      <w:proofErr w:type="spellEnd"/>
      <w:r w:rsidRPr="00AD2EFE">
        <w:rPr>
          <w:color w:val="4F81BB"/>
          <w:lang w:val="ru-RU"/>
        </w:rPr>
        <w:t xml:space="preserve"> </w:t>
      </w:r>
      <w:r w:rsidRPr="00AD2EFE">
        <w:rPr>
          <w:color w:val="4F81BB"/>
        </w:rPr>
        <w:t>Ultra</w:t>
      </w:r>
      <w:r w:rsidRPr="00AD2EFE">
        <w:rPr>
          <w:color w:val="4F81BB"/>
          <w:lang w:val="ru-RU"/>
        </w:rPr>
        <w:t xml:space="preserve"> як початкового тесту для </w:t>
      </w:r>
      <w:proofErr w:type="spellStart"/>
      <w:r w:rsidRPr="00AD2EFE">
        <w:rPr>
          <w:color w:val="4F81BB"/>
          <w:lang w:val="ru-RU"/>
        </w:rPr>
        <w:t>діагностики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туберкульозу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легень</w:t>
      </w:r>
      <w:proofErr w:type="spellEnd"/>
      <w:r w:rsidRPr="00AD2EFE">
        <w:rPr>
          <w:color w:val="4F81BB"/>
          <w:lang w:val="ru-RU"/>
        </w:rPr>
        <w:t xml:space="preserve"> (</w:t>
      </w:r>
      <w:proofErr w:type="spellStart"/>
      <w:r w:rsidRPr="00AD2EFE">
        <w:rPr>
          <w:color w:val="4F81BB"/>
          <w:lang w:val="ru-RU"/>
        </w:rPr>
        <w:t>тобто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заміщення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мікроскопії</w:t>
      </w:r>
      <w:proofErr w:type="spellEnd"/>
      <w:r w:rsidRPr="00AD2EFE">
        <w:rPr>
          <w:color w:val="4F81BB"/>
          <w:lang w:val="ru-RU"/>
        </w:rPr>
        <w:t xml:space="preserve"> мазка) та </w:t>
      </w:r>
      <w:proofErr w:type="spellStart"/>
      <w:r w:rsidRPr="00AD2EFE">
        <w:rPr>
          <w:color w:val="4F81BB"/>
          <w:lang w:val="ru-RU"/>
        </w:rPr>
        <w:t>одночасного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виявлення</w:t>
      </w:r>
      <w:proofErr w:type="spellEnd"/>
      <w:r w:rsidRPr="00AD2EFE">
        <w:rPr>
          <w:color w:val="4F81BB"/>
          <w:lang w:val="ru-RU"/>
        </w:rPr>
        <w:t xml:space="preserve"> </w:t>
      </w:r>
      <w:proofErr w:type="spellStart"/>
      <w:r w:rsidRPr="00AD2EFE">
        <w:rPr>
          <w:color w:val="4F81BB"/>
          <w:lang w:val="ru-RU"/>
        </w:rPr>
        <w:t>резистентності</w:t>
      </w:r>
      <w:proofErr w:type="spellEnd"/>
      <w:r w:rsidRPr="00AD2EFE">
        <w:rPr>
          <w:color w:val="4F81BB"/>
          <w:lang w:val="ru-RU"/>
        </w:rPr>
        <w:t xml:space="preserve"> до </w:t>
      </w:r>
      <w:proofErr w:type="spellStart"/>
      <w:r w:rsidRPr="00AD2EFE">
        <w:rPr>
          <w:color w:val="4F81BB"/>
          <w:lang w:val="ru-RU"/>
        </w:rPr>
        <w:t>рифампіцину</w:t>
      </w:r>
      <w:proofErr w:type="spellEnd"/>
    </w:p>
    <w:p w14:paraId="73B59552" w14:textId="77777777" w:rsidR="002F6D72" w:rsidRPr="00AD2EFE" w:rsidRDefault="002F6D72" w:rsidP="00670052">
      <w:pPr>
        <w:pStyle w:val="a3"/>
        <w:tabs>
          <w:tab w:val="left" w:pos="9072"/>
        </w:tabs>
        <w:spacing w:before="10"/>
        <w:ind w:right="78"/>
        <w:rPr>
          <w:sz w:val="25"/>
          <w:lang w:val="ru-RU"/>
        </w:rPr>
      </w:pPr>
    </w:p>
    <w:p w14:paraId="2FADDF5A" w14:textId="4D36A540" w:rsidR="00AD2EFE" w:rsidRPr="00D71BEA" w:rsidRDefault="00AD2EFE" w:rsidP="00BA7ADE">
      <w:pPr>
        <w:pStyle w:val="a3"/>
        <w:tabs>
          <w:tab w:val="left" w:pos="9072"/>
        </w:tabs>
        <w:ind w:left="100" w:right="77"/>
        <w:jc w:val="both"/>
        <w:rPr>
          <w:i/>
          <w:color w:val="4471C4"/>
          <w:lang w:val="ru-RU"/>
        </w:rPr>
      </w:pPr>
      <w:proofErr w:type="spellStart"/>
      <w:r w:rsidRPr="00D71BEA">
        <w:rPr>
          <w:sz w:val="21"/>
          <w:u w:val="single"/>
          <w:lang w:val="ru-RU"/>
        </w:rPr>
        <w:t>Втручання</w:t>
      </w:r>
      <w:proofErr w:type="spellEnd"/>
      <w:r w:rsidRPr="00D71BEA">
        <w:rPr>
          <w:sz w:val="21"/>
          <w:u w:val="single"/>
          <w:lang w:val="ru-RU"/>
        </w:rPr>
        <w:t>:</w:t>
      </w:r>
      <w:r w:rsidRPr="00D71BEA">
        <w:rPr>
          <w:sz w:val="21"/>
          <w:lang w:val="ru-RU"/>
        </w:rPr>
        <w:t xml:space="preserve"> </w:t>
      </w:r>
      <w:proofErr w:type="spellStart"/>
      <w:r w:rsidRPr="00AD2EFE">
        <w:rPr>
          <w:i/>
          <w:color w:val="4471C4"/>
        </w:rPr>
        <w:t>Xpert</w:t>
      </w:r>
      <w:proofErr w:type="spellEnd"/>
      <w:r w:rsidRPr="00D71BEA">
        <w:rPr>
          <w:i/>
          <w:color w:val="4471C4"/>
          <w:lang w:val="ru-RU"/>
        </w:rPr>
        <w:t xml:space="preserve"> </w:t>
      </w:r>
      <w:r w:rsidRPr="00AD2EFE">
        <w:rPr>
          <w:i/>
          <w:color w:val="4471C4"/>
        </w:rPr>
        <w:t>Ultra</w:t>
      </w:r>
      <w:r w:rsidRPr="00D71BEA">
        <w:rPr>
          <w:i/>
          <w:color w:val="4471C4"/>
          <w:lang w:val="ru-RU"/>
        </w:rPr>
        <w:t xml:space="preserve"> як </w:t>
      </w:r>
      <w:proofErr w:type="spellStart"/>
      <w:r w:rsidRPr="00D71BEA">
        <w:rPr>
          <w:i/>
          <w:color w:val="4471C4"/>
          <w:lang w:val="ru-RU"/>
        </w:rPr>
        <w:t>заміна</w:t>
      </w:r>
      <w:proofErr w:type="spellEnd"/>
      <w:r w:rsidRPr="00D71BEA">
        <w:rPr>
          <w:i/>
          <w:color w:val="4471C4"/>
          <w:lang w:val="ru-RU"/>
        </w:rPr>
        <w:t xml:space="preserve"> </w:t>
      </w:r>
      <w:proofErr w:type="spellStart"/>
      <w:r w:rsidRPr="00D71BEA">
        <w:rPr>
          <w:i/>
          <w:color w:val="4471C4"/>
          <w:lang w:val="ru-RU"/>
        </w:rPr>
        <w:t>мікроскопії</w:t>
      </w:r>
      <w:proofErr w:type="spellEnd"/>
      <w:r w:rsidRPr="00D71BEA">
        <w:rPr>
          <w:i/>
          <w:color w:val="4471C4"/>
          <w:lang w:val="ru-RU"/>
        </w:rPr>
        <w:t xml:space="preserve"> мазка </w:t>
      </w:r>
      <w:proofErr w:type="spellStart"/>
      <w:r w:rsidRPr="00D71BEA">
        <w:rPr>
          <w:i/>
          <w:color w:val="4471C4"/>
          <w:lang w:val="ru-RU"/>
        </w:rPr>
        <w:t>мокротиння</w:t>
      </w:r>
      <w:proofErr w:type="spellEnd"/>
      <w:r w:rsidRPr="00D71BEA">
        <w:rPr>
          <w:i/>
          <w:color w:val="4471C4"/>
          <w:lang w:val="ru-RU"/>
        </w:rPr>
        <w:t xml:space="preserve"> (</w:t>
      </w:r>
      <w:proofErr w:type="spellStart"/>
      <w:r w:rsidRPr="00D71BEA">
        <w:rPr>
          <w:i/>
          <w:color w:val="4471C4"/>
          <w:lang w:val="ru-RU"/>
        </w:rPr>
        <w:t>бактеріологічна</w:t>
      </w:r>
      <w:proofErr w:type="spellEnd"/>
      <w:r w:rsidRPr="00D71BEA">
        <w:rPr>
          <w:i/>
          <w:color w:val="4471C4"/>
          <w:lang w:val="ru-RU"/>
        </w:rPr>
        <w:t xml:space="preserve"> культура як </w:t>
      </w:r>
      <w:proofErr w:type="spellStart"/>
      <w:r w:rsidRPr="00D71BEA">
        <w:rPr>
          <w:i/>
          <w:color w:val="4471C4"/>
          <w:lang w:val="ru-RU"/>
        </w:rPr>
        <w:t>еталонний</w:t>
      </w:r>
      <w:proofErr w:type="spellEnd"/>
      <w:r w:rsidRPr="00D71BEA">
        <w:rPr>
          <w:i/>
          <w:color w:val="4471C4"/>
          <w:lang w:val="ru-RU"/>
        </w:rPr>
        <w:t xml:space="preserve"> стандарт)</w:t>
      </w:r>
    </w:p>
    <w:p w14:paraId="1005E534" w14:textId="77777777" w:rsidR="00AD2EFE" w:rsidRPr="00D71BEA" w:rsidRDefault="00AD2EFE" w:rsidP="00BA7ADE">
      <w:pPr>
        <w:pStyle w:val="a3"/>
        <w:tabs>
          <w:tab w:val="left" w:pos="9072"/>
        </w:tabs>
        <w:ind w:left="100" w:right="77"/>
        <w:jc w:val="both"/>
        <w:rPr>
          <w:sz w:val="21"/>
          <w:lang w:val="ru-RU"/>
        </w:rPr>
      </w:pPr>
    </w:p>
    <w:p w14:paraId="0635A16F" w14:textId="2BC269D5" w:rsidR="00AD2EFE" w:rsidRDefault="00AD2EFE" w:rsidP="00BA7ADE">
      <w:pPr>
        <w:pStyle w:val="a3"/>
        <w:tabs>
          <w:tab w:val="left" w:pos="9072"/>
        </w:tabs>
        <w:ind w:left="100" w:right="77"/>
        <w:jc w:val="both"/>
        <w:rPr>
          <w:lang w:val="ru-RU"/>
        </w:rPr>
      </w:pPr>
      <w:proofErr w:type="spellStart"/>
      <w:r w:rsidRPr="003870E1">
        <w:rPr>
          <w:sz w:val="21"/>
          <w:u w:val="single"/>
          <w:lang w:val="ru-RU"/>
        </w:rPr>
        <w:t>Оцінено</w:t>
      </w:r>
      <w:proofErr w:type="spellEnd"/>
      <w:r w:rsidRPr="003870E1">
        <w:rPr>
          <w:sz w:val="21"/>
          <w:u w:val="single"/>
          <w:lang w:val="ru-RU"/>
        </w:rPr>
        <w:t xml:space="preserve"> </w:t>
      </w:r>
      <w:proofErr w:type="spellStart"/>
      <w:r w:rsidRPr="003870E1">
        <w:rPr>
          <w:sz w:val="21"/>
          <w:u w:val="single"/>
          <w:lang w:val="ru-RU"/>
        </w:rPr>
        <w:t>даними</w:t>
      </w:r>
      <w:proofErr w:type="spellEnd"/>
      <w:r w:rsidRPr="003870E1">
        <w:rPr>
          <w:sz w:val="21"/>
          <w:u w:val="single"/>
          <w:lang w:val="ru-RU"/>
        </w:rPr>
        <w:t>:</w:t>
      </w:r>
      <w:r w:rsidRPr="00AD2EFE">
        <w:rPr>
          <w:sz w:val="21"/>
          <w:lang w:val="ru-RU"/>
        </w:rPr>
        <w:t xml:space="preserve"> 6 </w:t>
      </w:r>
      <w:proofErr w:type="spellStart"/>
      <w:r w:rsidRPr="00AD2EFE">
        <w:rPr>
          <w:sz w:val="21"/>
          <w:lang w:val="ru-RU"/>
        </w:rPr>
        <w:t>досліджень</w:t>
      </w:r>
      <w:proofErr w:type="spellEnd"/>
      <w:r w:rsidRPr="00AD2EFE">
        <w:rPr>
          <w:sz w:val="21"/>
          <w:lang w:val="ru-RU"/>
        </w:rPr>
        <w:t xml:space="preserve">, в </w:t>
      </w:r>
      <w:proofErr w:type="spellStart"/>
      <w:r w:rsidRPr="00AD2EFE">
        <w:rPr>
          <w:sz w:val="21"/>
          <w:lang w:val="ru-RU"/>
        </w:rPr>
        <w:t>яких</w:t>
      </w:r>
      <w:proofErr w:type="spellEnd"/>
      <w:r w:rsidRPr="00AD2EFE">
        <w:rPr>
          <w:sz w:val="21"/>
          <w:lang w:val="ru-RU"/>
        </w:rPr>
        <w:t xml:space="preserve"> брали участь </w:t>
      </w:r>
      <w:proofErr w:type="spellStart"/>
      <w:r w:rsidRPr="00AD2EFE">
        <w:rPr>
          <w:sz w:val="21"/>
          <w:lang w:val="ru-RU"/>
        </w:rPr>
        <w:t>понад</w:t>
      </w:r>
      <w:proofErr w:type="spellEnd"/>
      <w:r w:rsidRPr="00AD2EFE">
        <w:rPr>
          <w:sz w:val="21"/>
          <w:lang w:val="ru-RU"/>
        </w:rPr>
        <w:t xml:space="preserve"> 2000 </w:t>
      </w:r>
      <w:proofErr w:type="spellStart"/>
      <w:r w:rsidRPr="00AD2EFE">
        <w:rPr>
          <w:sz w:val="21"/>
          <w:lang w:val="ru-RU"/>
        </w:rPr>
        <w:t>учасників</w:t>
      </w:r>
      <w:proofErr w:type="spellEnd"/>
      <w:r w:rsidRPr="00AD2EFE">
        <w:rPr>
          <w:sz w:val="21"/>
          <w:lang w:val="ru-RU"/>
        </w:rPr>
        <w:t xml:space="preserve"> з 14 </w:t>
      </w:r>
      <w:proofErr w:type="spellStart"/>
      <w:r w:rsidRPr="00AD2EFE">
        <w:rPr>
          <w:sz w:val="21"/>
          <w:lang w:val="ru-RU"/>
        </w:rPr>
        <w:t>країн</w:t>
      </w:r>
      <w:proofErr w:type="spellEnd"/>
      <w:r w:rsidRPr="00AD2EFE">
        <w:rPr>
          <w:sz w:val="21"/>
          <w:lang w:val="ru-RU"/>
        </w:rPr>
        <w:t xml:space="preserve"> (</w:t>
      </w:r>
      <w:proofErr w:type="spellStart"/>
      <w:r w:rsidRPr="00AD2EFE">
        <w:rPr>
          <w:sz w:val="21"/>
          <w:lang w:val="ru-RU"/>
        </w:rPr>
        <w:t>включаючи</w:t>
      </w:r>
      <w:proofErr w:type="spellEnd"/>
      <w:r w:rsidRPr="00AD2EFE">
        <w:rPr>
          <w:sz w:val="21"/>
          <w:lang w:val="ru-RU"/>
        </w:rPr>
        <w:t xml:space="preserve"> 8 </w:t>
      </w:r>
      <w:proofErr w:type="spellStart"/>
      <w:r w:rsidRPr="00AD2EFE">
        <w:rPr>
          <w:sz w:val="21"/>
          <w:lang w:val="ru-RU"/>
        </w:rPr>
        <w:t>країн</w:t>
      </w:r>
      <w:proofErr w:type="spellEnd"/>
      <w:r w:rsidRPr="00AD2EFE">
        <w:rPr>
          <w:sz w:val="21"/>
          <w:lang w:val="ru-RU"/>
        </w:rPr>
        <w:t xml:space="preserve"> з </w:t>
      </w:r>
      <w:proofErr w:type="spellStart"/>
      <w:r w:rsidRPr="00AD2EFE">
        <w:rPr>
          <w:sz w:val="21"/>
          <w:lang w:val="ru-RU"/>
        </w:rPr>
        <w:t>високим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навантаженням</w:t>
      </w:r>
      <w:proofErr w:type="spellEnd"/>
      <w:r w:rsidRPr="00AD2EFE">
        <w:rPr>
          <w:sz w:val="21"/>
          <w:lang w:val="ru-RU"/>
        </w:rPr>
        <w:t xml:space="preserve">). </w:t>
      </w:r>
      <w:proofErr w:type="spellStart"/>
      <w:r w:rsidRPr="00AD2EFE">
        <w:rPr>
          <w:sz w:val="21"/>
          <w:lang w:val="ru-RU"/>
        </w:rPr>
        <w:t>Потрібно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більше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даних</w:t>
      </w:r>
      <w:proofErr w:type="spellEnd"/>
      <w:r w:rsidRPr="00AD2EFE">
        <w:rPr>
          <w:sz w:val="21"/>
          <w:lang w:val="ru-RU"/>
        </w:rPr>
        <w:t xml:space="preserve"> про </w:t>
      </w:r>
      <w:proofErr w:type="spellStart"/>
      <w:r w:rsidRPr="00AD2EFE">
        <w:rPr>
          <w:sz w:val="21"/>
          <w:lang w:val="ru-RU"/>
        </w:rPr>
        <w:t>релевантність</w:t>
      </w:r>
      <w:proofErr w:type="spellEnd"/>
      <w:r w:rsidRPr="00AD2EFE">
        <w:rPr>
          <w:sz w:val="21"/>
          <w:lang w:val="ru-RU"/>
        </w:rPr>
        <w:t xml:space="preserve"> "</w:t>
      </w:r>
      <w:proofErr w:type="spellStart"/>
      <w:r w:rsidR="00D71BEA">
        <w:rPr>
          <w:sz w:val="21"/>
          <w:lang w:val="ru-RU"/>
        </w:rPr>
        <w:t>слідів</w:t>
      </w:r>
      <w:proofErr w:type="spellEnd"/>
      <w:r w:rsidRPr="00AD2EFE">
        <w:rPr>
          <w:sz w:val="21"/>
          <w:lang w:val="ru-RU"/>
        </w:rPr>
        <w:t xml:space="preserve">" та про </w:t>
      </w:r>
      <w:proofErr w:type="spellStart"/>
      <w:r w:rsidRPr="00AD2EFE">
        <w:rPr>
          <w:sz w:val="21"/>
          <w:lang w:val="ru-RU"/>
        </w:rPr>
        <w:t>результати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пацієнтів</w:t>
      </w:r>
      <w:proofErr w:type="spellEnd"/>
      <w:r w:rsidRPr="00AD2EFE">
        <w:rPr>
          <w:sz w:val="21"/>
          <w:lang w:val="ru-RU"/>
        </w:rPr>
        <w:t>.</w:t>
      </w:r>
    </w:p>
    <w:p w14:paraId="63F45077" w14:textId="77777777" w:rsidR="00AD2EFE" w:rsidRDefault="00AD2EFE" w:rsidP="00BA7ADE">
      <w:pPr>
        <w:pStyle w:val="a3"/>
        <w:tabs>
          <w:tab w:val="left" w:pos="9072"/>
        </w:tabs>
        <w:ind w:left="100" w:right="77"/>
        <w:jc w:val="both"/>
        <w:rPr>
          <w:lang w:val="ru-RU"/>
        </w:rPr>
      </w:pPr>
    </w:p>
    <w:p w14:paraId="65FF87FE" w14:textId="3EAF9CC0" w:rsidR="002F6D72" w:rsidRDefault="00AD2EFE" w:rsidP="00BA7ADE">
      <w:pPr>
        <w:pStyle w:val="a3"/>
        <w:tabs>
          <w:tab w:val="left" w:pos="9072"/>
        </w:tabs>
        <w:ind w:left="100" w:right="77"/>
        <w:jc w:val="both"/>
        <w:rPr>
          <w:sz w:val="21"/>
          <w:lang w:val="ru-RU"/>
        </w:rPr>
      </w:pPr>
      <w:proofErr w:type="spellStart"/>
      <w:r w:rsidRPr="003870E1">
        <w:rPr>
          <w:sz w:val="21"/>
          <w:lang w:val="ru-RU"/>
        </w:rPr>
        <w:t>Результати</w:t>
      </w:r>
      <w:proofErr w:type="spellEnd"/>
      <w:r w:rsidRPr="003870E1">
        <w:rPr>
          <w:sz w:val="21"/>
          <w:lang w:val="ru-RU"/>
        </w:rPr>
        <w:t>:</w:t>
      </w:r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Висока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діагностична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точність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</w:rPr>
        <w:t>Xpert</w:t>
      </w:r>
      <w:proofErr w:type="spellEnd"/>
      <w:r w:rsidRPr="00AD2EFE">
        <w:rPr>
          <w:sz w:val="21"/>
          <w:lang w:val="ru-RU"/>
        </w:rPr>
        <w:t xml:space="preserve"> </w:t>
      </w:r>
      <w:r w:rsidRPr="00AD2EFE">
        <w:rPr>
          <w:sz w:val="21"/>
        </w:rPr>
        <w:t>Ultra</w:t>
      </w:r>
      <w:r w:rsidRPr="00AD2EFE">
        <w:rPr>
          <w:sz w:val="21"/>
          <w:lang w:val="ru-RU"/>
        </w:rPr>
        <w:t xml:space="preserve"> у </w:t>
      </w:r>
      <w:proofErr w:type="spellStart"/>
      <w:r w:rsidRPr="00AD2EFE">
        <w:rPr>
          <w:sz w:val="21"/>
          <w:lang w:val="ru-RU"/>
        </w:rPr>
        <w:t>дорослих</w:t>
      </w:r>
      <w:proofErr w:type="spellEnd"/>
      <w:r w:rsidRPr="00AD2EFE">
        <w:rPr>
          <w:sz w:val="21"/>
          <w:lang w:val="ru-RU"/>
        </w:rPr>
        <w:t xml:space="preserve"> з </w:t>
      </w:r>
      <w:proofErr w:type="spellStart"/>
      <w:r w:rsidRPr="00AD2EFE">
        <w:rPr>
          <w:sz w:val="21"/>
          <w:lang w:val="ru-RU"/>
        </w:rPr>
        <w:t>легеневим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туберкульозом</w:t>
      </w:r>
      <w:proofErr w:type="spellEnd"/>
      <w:r w:rsidRPr="00AD2EFE">
        <w:rPr>
          <w:sz w:val="21"/>
          <w:lang w:val="ru-RU"/>
        </w:rPr>
        <w:t xml:space="preserve">: </w:t>
      </w:r>
      <w:proofErr w:type="spellStart"/>
      <w:r w:rsidRPr="00AD2EFE">
        <w:rPr>
          <w:sz w:val="21"/>
          <w:lang w:val="ru-RU"/>
        </w:rPr>
        <w:t>загальна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чутливість</w:t>
      </w:r>
      <w:proofErr w:type="spellEnd"/>
      <w:r w:rsidR="00D71BEA">
        <w:rPr>
          <w:lang w:val="ru-RU"/>
        </w:rPr>
        <w:t xml:space="preserve"> </w:t>
      </w:r>
      <w:r w:rsidRPr="00AD2EFE">
        <w:rPr>
          <w:sz w:val="21"/>
          <w:lang w:val="ru-RU"/>
        </w:rPr>
        <w:t>(</w:t>
      </w:r>
      <w:proofErr w:type="spellStart"/>
      <w:r w:rsidRPr="00AD2EFE">
        <w:rPr>
          <w:sz w:val="21"/>
          <w:lang w:val="ru-RU"/>
        </w:rPr>
        <w:t>включаючи</w:t>
      </w:r>
      <w:proofErr w:type="spellEnd"/>
      <w:r w:rsidRPr="00AD2EFE">
        <w:rPr>
          <w:sz w:val="21"/>
          <w:lang w:val="ru-RU"/>
        </w:rPr>
        <w:t xml:space="preserve"> «</w:t>
      </w:r>
      <w:proofErr w:type="spellStart"/>
      <w:r w:rsidR="00D71BEA">
        <w:rPr>
          <w:sz w:val="21"/>
          <w:lang w:val="ru-RU"/>
        </w:rPr>
        <w:t>сліди</w:t>
      </w:r>
      <w:proofErr w:type="spellEnd"/>
      <w:r w:rsidRPr="00AD2EFE">
        <w:rPr>
          <w:sz w:val="21"/>
          <w:lang w:val="ru-RU"/>
        </w:rPr>
        <w:t xml:space="preserve">» як </w:t>
      </w:r>
      <w:proofErr w:type="spellStart"/>
      <w:r w:rsidRPr="00AD2EFE">
        <w:rPr>
          <w:sz w:val="21"/>
          <w:lang w:val="ru-RU"/>
        </w:rPr>
        <w:t>позитивні</w:t>
      </w:r>
      <w:proofErr w:type="spellEnd"/>
      <w:r w:rsidRPr="00AD2EFE">
        <w:rPr>
          <w:sz w:val="21"/>
          <w:lang w:val="ru-RU"/>
        </w:rPr>
        <w:t xml:space="preserve">) становила 90% у </w:t>
      </w:r>
      <w:proofErr w:type="spellStart"/>
      <w:r w:rsidRPr="00AD2EFE">
        <w:rPr>
          <w:sz w:val="21"/>
          <w:lang w:val="ru-RU"/>
        </w:rPr>
        <w:t>всіх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зразках</w:t>
      </w:r>
      <w:proofErr w:type="spellEnd"/>
      <w:r w:rsidRPr="00AD2EFE">
        <w:rPr>
          <w:sz w:val="21"/>
          <w:lang w:val="ru-RU"/>
        </w:rPr>
        <w:t xml:space="preserve"> (мазок-</w:t>
      </w:r>
      <w:proofErr w:type="spellStart"/>
      <w:r w:rsidRPr="00AD2EFE">
        <w:rPr>
          <w:sz w:val="21"/>
          <w:lang w:val="ru-RU"/>
        </w:rPr>
        <w:t>позитивний</w:t>
      </w:r>
      <w:proofErr w:type="spellEnd"/>
      <w:r w:rsidRPr="00AD2EFE">
        <w:rPr>
          <w:sz w:val="21"/>
          <w:lang w:val="ru-RU"/>
        </w:rPr>
        <w:t xml:space="preserve"> та мазок-</w:t>
      </w:r>
      <w:proofErr w:type="spellStart"/>
      <w:r w:rsidRPr="00AD2EFE">
        <w:rPr>
          <w:sz w:val="21"/>
          <w:lang w:val="ru-RU"/>
        </w:rPr>
        <w:t>негативний</w:t>
      </w:r>
      <w:proofErr w:type="spellEnd"/>
      <w:r w:rsidRPr="00AD2EFE">
        <w:rPr>
          <w:sz w:val="21"/>
          <w:lang w:val="ru-RU"/>
        </w:rPr>
        <w:t xml:space="preserve">). Коли </w:t>
      </w:r>
      <w:proofErr w:type="spellStart"/>
      <w:r w:rsidRPr="00AD2EFE">
        <w:rPr>
          <w:sz w:val="21"/>
          <w:lang w:val="ru-RU"/>
        </w:rPr>
        <w:t>виключені</w:t>
      </w:r>
      <w:proofErr w:type="spellEnd"/>
      <w:r w:rsidRPr="00AD2EFE">
        <w:rPr>
          <w:sz w:val="21"/>
          <w:lang w:val="ru-RU"/>
        </w:rPr>
        <w:t xml:space="preserve"> "</w:t>
      </w:r>
      <w:proofErr w:type="spellStart"/>
      <w:r w:rsidR="00D71BEA">
        <w:rPr>
          <w:sz w:val="21"/>
          <w:lang w:val="ru-RU"/>
        </w:rPr>
        <w:t>сліди</w:t>
      </w:r>
      <w:proofErr w:type="spellEnd"/>
      <w:r w:rsidRPr="00AD2EFE">
        <w:rPr>
          <w:sz w:val="21"/>
          <w:lang w:val="ru-RU"/>
        </w:rPr>
        <w:t xml:space="preserve">", </w:t>
      </w:r>
      <w:proofErr w:type="spellStart"/>
      <w:r w:rsidRPr="00AD2EFE">
        <w:rPr>
          <w:sz w:val="21"/>
          <w:lang w:val="ru-RU"/>
        </w:rPr>
        <w:t>загальна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чутливість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знизилася</w:t>
      </w:r>
      <w:proofErr w:type="spellEnd"/>
      <w:r w:rsidRPr="00AD2EFE">
        <w:rPr>
          <w:sz w:val="21"/>
          <w:lang w:val="ru-RU"/>
        </w:rPr>
        <w:t xml:space="preserve"> до 86%. </w:t>
      </w:r>
      <w:proofErr w:type="spellStart"/>
      <w:r w:rsidRPr="00AD2EFE">
        <w:rPr>
          <w:sz w:val="21"/>
          <w:lang w:val="ru-RU"/>
        </w:rPr>
        <w:t>Загальна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специфічність</w:t>
      </w:r>
      <w:proofErr w:type="spellEnd"/>
      <w:r w:rsidRPr="00AD2EFE">
        <w:rPr>
          <w:sz w:val="21"/>
          <w:lang w:val="ru-RU"/>
        </w:rPr>
        <w:t xml:space="preserve"> (</w:t>
      </w:r>
      <w:proofErr w:type="spellStart"/>
      <w:r w:rsidRPr="00AD2EFE">
        <w:rPr>
          <w:sz w:val="21"/>
          <w:lang w:val="ru-RU"/>
        </w:rPr>
        <w:t>включаючи</w:t>
      </w:r>
      <w:proofErr w:type="spellEnd"/>
      <w:r w:rsidRPr="00AD2EFE">
        <w:rPr>
          <w:sz w:val="21"/>
          <w:lang w:val="ru-RU"/>
        </w:rPr>
        <w:t xml:space="preserve"> "</w:t>
      </w:r>
      <w:proofErr w:type="spellStart"/>
      <w:r w:rsidRPr="00AD2EFE">
        <w:rPr>
          <w:sz w:val="21"/>
          <w:lang w:val="ru-RU"/>
        </w:rPr>
        <w:t>сліди</w:t>
      </w:r>
      <w:proofErr w:type="spellEnd"/>
      <w:r w:rsidRPr="00AD2EFE">
        <w:rPr>
          <w:sz w:val="21"/>
          <w:lang w:val="ru-RU"/>
        </w:rPr>
        <w:t xml:space="preserve">") становила 96% у </w:t>
      </w:r>
      <w:proofErr w:type="spellStart"/>
      <w:r w:rsidRPr="00AD2EFE">
        <w:rPr>
          <w:sz w:val="21"/>
          <w:lang w:val="ru-RU"/>
        </w:rPr>
        <w:t>всіх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зразках</w:t>
      </w:r>
      <w:proofErr w:type="spellEnd"/>
      <w:r w:rsidRPr="00AD2EFE">
        <w:rPr>
          <w:sz w:val="21"/>
          <w:lang w:val="ru-RU"/>
        </w:rPr>
        <w:t xml:space="preserve"> (мазок-</w:t>
      </w:r>
      <w:proofErr w:type="spellStart"/>
      <w:r w:rsidRPr="00AD2EFE">
        <w:rPr>
          <w:sz w:val="21"/>
          <w:lang w:val="ru-RU"/>
        </w:rPr>
        <w:t>позитивний</w:t>
      </w:r>
      <w:proofErr w:type="spellEnd"/>
      <w:r w:rsidRPr="00AD2EFE">
        <w:rPr>
          <w:sz w:val="21"/>
          <w:lang w:val="ru-RU"/>
        </w:rPr>
        <w:t xml:space="preserve"> та мазок-</w:t>
      </w:r>
      <w:proofErr w:type="spellStart"/>
      <w:r w:rsidRPr="00AD2EFE">
        <w:rPr>
          <w:sz w:val="21"/>
          <w:lang w:val="ru-RU"/>
        </w:rPr>
        <w:t>негативний</w:t>
      </w:r>
      <w:proofErr w:type="spellEnd"/>
      <w:r w:rsidRPr="00AD2EFE">
        <w:rPr>
          <w:sz w:val="21"/>
          <w:lang w:val="ru-RU"/>
        </w:rPr>
        <w:t xml:space="preserve">). </w:t>
      </w:r>
      <w:proofErr w:type="spellStart"/>
      <w:proofErr w:type="gramStart"/>
      <w:r w:rsidRPr="00AD2EFE">
        <w:rPr>
          <w:sz w:val="21"/>
          <w:lang w:val="ru-RU"/>
        </w:rPr>
        <w:t>Виключення</w:t>
      </w:r>
      <w:proofErr w:type="spellEnd"/>
      <w:r w:rsidRPr="00AD2EFE">
        <w:rPr>
          <w:sz w:val="21"/>
          <w:lang w:val="ru-RU"/>
        </w:rPr>
        <w:t xml:space="preserve">  "</w:t>
      </w:r>
      <w:proofErr w:type="spellStart"/>
      <w:proofErr w:type="gramEnd"/>
      <w:r w:rsidR="00D71BEA">
        <w:rPr>
          <w:sz w:val="21"/>
          <w:lang w:val="ru-RU"/>
        </w:rPr>
        <w:t>слідів</w:t>
      </w:r>
      <w:proofErr w:type="spellEnd"/>
      <w:r w:rsidRPr="00AD2EFE">
        <w:rPr>
          <w:sz w:val="21"/>
          <w:lang w:val="ru-RU"/>
        </w:rPr>
        <w:t xml:space="preserve">" </w:t>
      </w:r>
      <w:proofErr w:type="spellStart"/>
      <w:r w:rsidRPr="00AD2EFE">
        <w:rPr>
          <w:sz w:val="21"/>
          <w:lang w:val="ru-RU"/>
        </w:rPr>
        <w:t>призвело</w:t>
      </w:r>
      <w:proofErr w:type="spellEnd"/>
      <w:r w:rsidRPr="00AD2EFE">
        <w:rPr>
          <w:sz w:val="21"/>
          <w:lang w:val="ru-RU"/>
        </w:rPr>
        <w:t xml:space="preserve"> до </w:t>
      </w:r>
      <w:proofErr w:type="spellStart"/>
      <w:r w:rsidRPr="00AD2EFE">
        <w:rPr>
          <w:sz w:val="21"/>
          <w:lang w:val="ru-RU"/>
        </w:rPr>
        <w:t>незначного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збільшення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специфічності</w:t>
      </w:r>
      <w:proofErr w:type="spellEnd"/>
      <w:r w:rsidRPr="00AD2EFE">
        <w:rPr>
          <w:sz w:val="21"/>
          <w:lang w:val="ru-RU"/>
        </w:rPr>
        <w:t xml:space="preserve"> до 98%. </w:t>
      </w:r>
      <w:proofErr w:type="spellStart"/>
      <w:r w:rsidRPr="00AD2EFE">
        <w:rPr>
          <w:sz w:val="21"/>
          <w:lang w:val="ru-RU"/>
        </w:rPr>
        <w:t>Чутливість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зразків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мокротиння</w:t>
      </w:r>
      <w:proofErr w:type="spellEnd"/>
      <w:r w:rsidRPr="00AD2EFE">
        <w:rPr>
          <w:sz w:val="21"/>
          <w:lang w:val="ru-RU"/>
        </w:rPr>
        <w:t xml:space="preserve"> у </w:t>
      </w:r>
      <w:proofErr w:type="spellStart"/>
      <w:r w:rsidRPr="00AD2EFE">
        <w:rPr>
          <w:sz w:val="21"/>
          <w:lang w:val="ru-RU"/>
        </w:rPr>
        <w:t>учасників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коінфікованих</w:t>
      </w:r>
      <w:proofErr w:type="spellEnd"/>
      <w:r w:rsidRPr="00AD2EFE">
        <w:rPr>
          <w:sz w:val="21"/>
          <w:lang w:val="ru-RU"/>
        </w:rPr>
        <w:t xml:space="preserve"> ВІЛ становила 88%, а </w:t>
      </w:r>
      <w:proofErr w:type="spellStart"/>
      <w:r w:rsidRPr="00AD2EFE">
        <w:rPr>
          <w:sz w:val="21"/>
          <w:lang w:val="ru-RU"/>
        </w:rPr>
        <w:t>специфічність</w:t>
      </w:r>
      <w:proofErr w:type="spellEnd"/>
      <w:r w:rsidRPr="00AD2EFE">
        <w:rPr>
          <w:sz w:val="21"/>
          <w:lang w:val="ru-RU"/>
        </w:rPr>
        <w:t xml:space="preserve"> </w:t>
      </w:r>
      <w:proofErr w:type="spellStart"/>
      <w:r w:rsidRPr="00AD2EFE">
        <w:rPr>
          <w:sz w:val="21"/>
          <w:lang w:val="ru-RU"/>
        </w:rPr>
        <w:t>зберігалася</w:t>
      </w:r>
      <w:proofErr w:type="spellEnd"/>
      <w:r w:rsidRPr="00AD2EFE">
        <w:rPr>
          <w:sz w:val="21"/>
          <w:lang w:val="ru-RU"/>
        </w:rPr>
        <w:t xml:space="preserve"> на </w:t>
      </w:r>
      <w:proofErr w:type="spellStart"/>
      <w:r w:rsidRPr="00AD2EFE">
        <w:rPr>
          <w:sz w:val="21"/>
          <w:lang w:val="ru-RU"/>
        </w:rPr>
        <w:t>рівні</w:t>
      </w:r>
      <w:proofErr w:type="spellEnd"/>
      <w:r w:rsidRPr="00AD2EFE">
        <w:rPr>
          <w:sz w:val="21"/>
          <w:lang w:val="ru-RU"/>
        </w:rPr>
        <w:t xml:space="preserve"> 95%.</w:t>
      </w:r>
    </w:p>
    <w:p w14:paraId="6E224424" w14:textId="77777777" w:rsidR="00F04718" w:rsidRDefault="00F04718" w:rsidP="00BA7ADE">
      <w:pPr>
        <w:pStyle w:val="a3"/>
        <w:tabs>
          <w:tab w:val="left" w:pos="9072"/>
        </w:tabs>
        <w:spacing w:before="39"/>
        <w:ind w:right="77"/>
        <w:jc w:val="both"/>
        <w:rPr>
          <w:lang w:val="uk-UA"/>
        </w:rPr>
      </w:pPr>
    </w:p>
    <w:p w14:paraId="23E9BB3D" w14:textId="339D1769" w:rsidR="00F04718" w:rsidRPr="00F04718" w:rsidRDefault="00F04718" w:rsidP="00BA7ADE">
      <w:pPr>
        <w:pStyle w:val="a3"/>
        <w:tabs>
          <w:tab w:val="left" w:pos="9072"/>
        </w:tabs>
        <w:spacing w:before="39"/>
        <w:ind w:left="100" w:right="77"/>
        <w:jc w:val="both"/>
        <w:rPr>
          <w:lang w:val="uk-UA"/>
        </w:rPr>
      </w:pPr>
      <w:r w:rsidRPr="00F04718">
        <w:rPr>
          <w:u w:val="single"/>
          <w:lang w:val="uk-UA"/>
        </w:rPr>
        <w:t>Втручання:</w:t>
      </w:r>
      <w:r w:rsidRPr="00F04718">
        <w:rPr>
          <w:lang w:val="uk-UA"/>
        </w:rPr>
        <w:t xml:space="preserve"> </w:t>
      </w:r>
      <w:proofErr w:type="spellStart"/>
      <w:r w:rsidRPr="00F04718">
        <w:rPr>
          <w:i/>
          <w:color w:val="4471C4"/>
        </w:rPr>
        <w:t>Xpert</w:t>
      </w:r>
      <w:proofErr w:type="spellEnd"/>
      <w:r w:rsidRPr="00F04718">
        <w:rPr>
          <w:i/>
          <w:color w:val="4471C4"/>
          <w:lang w:val="uk-UA"/>
        </w:rPr>
        <w:t xml:space="preserve"> </w:t>
      </w:r>
      <w:r w:rsidRPr="00F04718">
        <w:rPr>
          <w:i/>
          <w:color w:val="4471C4"/>
        </w:rPr>
        <w:t>Ultra</w:t>
      </w:r>
      <w:r w:rsidRPr="00F04718">
        <w:rPr>
          <w:i/>
          <w:color w:val="4471C4"/>
          <w:lang w:val="uk-UA"/>
        </w:rPr>
        <w:t xml:space="preserve"> для одночасного виявлення стійкості до </w:t>
      </w:r>
      <w:proofErr w:type="spellStart"/>
      <w:r w:rsidRPr="00F04718">
        <w:rPr>
          <w:i/>
          <w:color w:val="4471C4"/>
          <w:lang w:val="uk-UA"/>
        </w:rPr>
        <w:t>рифампіцину</w:t>
      </w:r>
      <w:proofErr w:type="spellEnd"/>
      <w:r w:rsidRPr="00F04718">
        <w:rPr>
          <w:i/>
          <w:color w:val="4471C4"/>
          <w:lang w:val="uk-UA"/>
        </w:rPr>
        <w:t xml:space="preserve"> (</w:t>
      </w:r>
      <w:r w:rsidRPr="00F04718">
        <w:rPr>
          <w:lang w:val="uk-UA"/>
        </w:rPr>
        <w:t>тестування на фенотипічну сприйнятливість до препаратів як еталонний стандарт)</w:t>
      </w:r>
    </w:p>
    <w:p w14:paraId="58C0D77E" w14:textId="77777777" w:rsidR="00F04718" w:rsidRPr="00F04718" w:rsidRDefault="00F04718" w:rsidP="00BA7ADE">
      <w:pPr>
        <w:pStyle w:val="a3"/>
        <w:tabs>
          <w:tab w:val="left" w:pos="9072"/>
        </w:tabs>
        <w:spacing w:before="39"/>
        <w:ind w:left="100" w:right="77"/>
        <w:jc w:val="both"/>
        <w:rPr>
          <w:lang w:val="uk-UA"/>
        </w:rPr>
      </w:pPr>
    </w:p>
    <w:p w14:paraId="7917EFC9" w14:textId="77777777" w:rsidR="00F04718" w:rsidRPr="00F04718" w:rsidRDefault="00F04718" w:rsidP="00BA7ADE">
      <w:pPr>
        <w:pStyle w:val="a3"/>
        <w:spacing w:before="39"/>
        <w:ind w:left="100" w:right="77"/>
        <w:jc w:val="both"/>
        <w:rPr>
          <w:lang w:val="uk-UA"/>
        </w:rPr>
      </w:pPr>
      <w:r w:rsidRPr="00F04718">
        <w:rPr>
          <w:u w:val="single"/>
          <w:lang w:val="uk-UA"/>
        </w:rPr>
        <w:t>Оцінено даними:</w:t>
      </w:r>
      <w:r w:rsidRPr="00F04718">
        <w:rPr>
          <w:lang w:val="uk-UA"/>
        </w:rPr>
        <w:t xml:space="preserve"> 5 досліджень, в яких брали участь близько 1000 учасників з 12 країн (включаючи 7 країн з великим навантаженням на туберкульоз).</w:t>
      </w:r>
    </w:p>
    <w:p w14:paraId="2656EB41" w14:textId="77777777" w:rsidR="00F04718" w:rsidRPr="00F04718" w:rsidRDefault="00F04718" w:rsidP="00BA7ADE">
      <w:pPr>
        <w:pStyle w:val="a3"/>
        <w:spacing w:before="39"/>
        <w:ind w:right="77"/>
        <w:jc w:val="both"/>
        <w:rPr>
          <w:lang w:val="uk-UA"/>
        </w:rPr>
      </w:pPr>
      <w:r w:rsidRPr="00F04718">
        <w:rPr>
          <w:lang w:val="uk-UA"/>
        </w:rPr>
        <w:t> </w:t>
      </w:r>
    </w:p>
    <w:p w14:paraId="091B91FF" w14:textId="6F8BF28E" w:rsidR="002F6D72" w:rsidRPr="00F04718" w:rsidRDefault="00F04718" w:rsidP="00BA7ADE">
      <w:pPr>
        <w:pStyle w:val="a3"/>
        <w:spacing w:before="39"/>
        <w:ind w:left="100" w:right="989"/>
        <w:jc w:val="both"/>
        <w:rPr>
          <w:lang w:val="uk-UA"/>
        </w:rPr>
      </w:pPr>
      <w:r w:rsidRPr="00F04718">
        <w:rPr>
          <w:u w:val="single"/>
          <w:lang w:val="uk-UA"/>
        </w:rPr>
        <w:t>Результати:</w:t>
      </w:r>
      <w:r w:rsidRPr="00F04718">
        <w:rPr>
          <w:lang w:val="uk-UA"/>
        </w:rPr>
        <w:t xml:space="preserve"> висока загальна чутливість (94%) та специфічність (99%) у порівнянні з тестуванням на фенотипічну чутливість до лікарських засобів.</w:t>
      </w:r>
    </w:p>
    <w:p w14:paraId="1A4A181C" w14:textId="736857E3" w:rsidR="002F6D72" w:rsidRPr="00500EB9" w:rsidRDefault="001124BF" w:rsidP="00BA7ADE">
      <w:pPr>
        <w:pStyle w:val="3"/>
        <w:numPr>
          <w:ilvl w:val="0"/>
          <w:numId w:val="1"/>
        </w:numPr>
        <w:tabs>
          <w:tab w:val="left" w:pos="460"/>
          <w:tab w:val="left" w:pos="461"/>
        </w:tabs>
        <w:ind w:right="610"/>
        <w:jc w:val="both"/>
        <w:rPr>
          <w:lang w:val="uk-UA"/>
        </w:rPr>
      </w:pPr>
      <w:r w:rsidRPr="00500EB9">
        <w:rPr>
          <w:color w:val="4F81BB"/>
          <w:lang w:val="uk-UA"/>
        </w:rPr>
        <w:lastRenderedPageBreak/>
        <w:t xml:space="preserve">Використання </w:t>
      </w:r>
      <w:proofErr w:type="spellStart"/>
      <w:r w:rsidRPr="001124BF">
        <w:rPr>
          <w:color w:val="4F81BB"/>
        </w:rPr>
        <w:t>Xpert</w:t>
      </w:r>
      <w:proofErr w:type="spellEnd"/>
      <w:r w:rsidRPr="00500EB9">
        <w:rPr>
          <w:color w:val="4F81BB"/>
          <w:lang w:val="uk-UA"/>
        </w:rPr>
        <w:t xml:space="preserve"> </w:t>
      </w:r>
      <w:r w:rsidRPr="001124BF">
        <w:rPr>
          <w:color w:val="4F81BB"/>
        </w:rPr>
        <w:t>MTB</w:t>
      </w:r>
      <w:r w:rsidRPr="00500EB9">
        <w:rPr>
          <w:color w:val="4F81BB"/>
          <w:lang w:val="uk-UA"/>
        </w:rPr>
        <w:t xml:space="preserve"> / </w:t>
      </w:r>
      <w:r w:rsidRPr="001124BF">
        <w:rPr>
          <w:color w:val="4F81BB"/>
        </w:rPr>
        <w:t>RIF</w:t>
      </w:r>
      <w:r w:rsidRPr="00500EB9">
        <w:rPr>
          <w:color w:val="4F81BB"/>
          <w:lang w:val="uk-UA"/>
        </w:rPr>
        <w:t xml:space="preserve"> та </w:t>
      </w:r>
      <w:proofErr w:type="spellStart"/>
      <w:r w:rsidRPr="001124BF">
        <w:rPr>
          <w:color w:val="4F81BB"/>
        </w:rPr>
        <w:t>Xpert</w:t>
      </w:r>
      <w:proofErr w:type="spellEnd"/>
      <w:r w:rsidRPr="00500EB9">
        <w:rPr>
          <w:color w:val="4F81BB"/>
          <w:lang w:val="uk-UA"/>
        </w:rPr>
        <w:t xml:space="preserve"> </w:t>
      </w:r>
      <w:r w:rsidRPr="001124BF">
        <w:rPr>
          <w:color w:val="4F81BB"/>
        </w:rPr>
        <w:t>Ultra</w:t>
      </w:r>
      <w:r w:rsidRPr="00500EB9">
        <w:rPr>
          <w:color w:val="4F81BB"/>
          <w:lang w:val="uk-UA"/>
        </w:rPr>
        <w:t xml:space="preserve"> для діагностики туберкульозу та виявлення резистентності до </w:t>
      </w:r>
      <w:proofErr w:type="spellStart"/>
      <w:r w:rsidRPr="00500EB9">
        <w:rPr>
          <w:color w:val="4F81BB"/>
          <w:lang w:val="uk-UA"/>
        </w:rPr>
        <w:t>рифампіцину</w:t>
      </w:r>
      <w:proofErr w:type="spellEnd"/>
      <w:r w:rsidRPr="00500EB9">
        <w:rPr>
          <w:color w:val="4F81BB"/>
          <w:lang w:val="uk-UA"/>
        </w:rPr>
        <w:t xml:space="preserve"> у дітей з мокротиння, стільця, носоглоткового та шлункового зразків</w:t>
      </w:r>
    </w:p>
    <w:p w14:paraId="43887B30" w14:textId="24A18995" w:rsidR="001124BF" w:rsidRPr="005919DA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5919DA">
        <w:rPr>
          <w:lang w:val="ru-RU"/>
        </w:rPr>
        <w:t>Враховуючи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труднощі</w:t>
      </w:r>
      <w:proofErr w:type="spellEnd"/>
      <w:r w:rsidRPr="005919DA">
        <w:rPr>
          <w:lang w:val="ru-RU"/>
        </w:rPr>
        <w:t xml:space="preserve"> в </w:t>
      </w:r>
      <w:proofErr w:type="spellStart"/>
      <w:r w:rsidRPr="005919DA">
        <w:rPr>
          <w:lang w:val="ru-RU"/>
        </w:rPr>
        <w:t>отриманні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зразків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мокротиння</w:t>
      </w:r>
      <w:proofErr w:type="spellEnd"/>
      <w:r w:rsidRPr="005919DA">
        <w:rPr>
          <w:lang w:val="ru-RU"/>
        </w:rPr>
        <w:t xml:space="preserve"> у </w:t>
      </w:r>
      <w:proofErr w:type="spellStart"/>
      <w:r w:rsidRPr="005919DA">
        <w:rPr>
          <w:lang w:val="ru-RU"/>
        </w:rPr>
        <w:t>дітей</w:t>
      </w:r>
      <w:proofErr w:type="spellEnd"/>
      <w:r w:rsidRPr="005919DA">
        <w:rPr>
          <w:lang w:val="ru-RU"/>
        </w:rPr>
        <w:t xml:space="preserve"> та </w:t>
      </w:r>
      <w:proofErr w:type="spellStart"/>
      <w:r w:rsidRPr="005919DA">
        <w:rPr>
          <w:lang w:val="ru-RU"/>
        </w:rPr>
        <w:t>технічні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обмеження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традиційних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бактеріологічних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методів</w:t>
      </w:r>
      <w:proofErr w:type="spellEnd"/>
      <w:r w:rsidRPr="005919DA">
        <w:rPr>
          <w:lang w:val="ru-RU"/>
        </w:rPr>
        <w:t xml:space="preserve"> для </w:t>
      </w:r>
      <w:proofErr w:type="spellStart"/>
      <w:r w:rsidRPr="005919DA">
        <w:rPr>
          <w:lang w:val="ru-RU"/>
        </w:rPr>
        <w:t>діагностики</w:t>
      </w:r>
      <w:proofErr w:type="spellEnd"/>
      <w:r w:rsidRPr="005919DA">
        <w:rPr>
          <w:lang w:val="ru-RU"/>
        </w:rPr>
        <w:t xml:space="preserve">, </w:t>
      </w:r>
      <w:proofErr w:type="spellStart"/>
      <w:r w:rsidRPr="005919DA">
        <w:rPr>
          <w:lang w:val="ru-RU"/>
        </w:rPr>
        <w:t>різні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нелегеневі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зразки</w:t>
      </w:r>
      <w:proofErr w:type="spellEnd"/>
      <w:r w:rsidRPr="005919DA">
        <w:rPr>
          <w:lang w:val="ru-RU"/>
        </w:rPr>
        <w:t xml:space="preserve"> та </w:t>
      </w:r>
      <w:proofErr w:type="spellStart"/>
      <w:r w:rsidRPr="005919DA">
        <w:rPr>
          <w:lang w:val="ru-RU"/>
        </w:rPr>
        <w:t>скла</w:t>
      </w:r>
      <w:proofErr w:type="spellEnd"/>
      <w:r>
        <w:rPr>
          <w:lang w:val="uk-UA"/>
        </w:rPr>
        <w:t>дні</w:t>
      </w:r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стандарти</w:t>
      </w:r>
      <w:proofErr w:type="spellEnd"/>
      <w:r w:rsidRPr="005919DA">
        <w:rPr>
          <w:lang w:val="ru-RU"/>
        </w:rPr>
        <w:t xml:space="preserve"> часто </w:t>
      </w:r>
      <w:proofErr w:type="spellStart"/>
      <w:r w:rsidRPr="005919DA">
        <w:rPr>
          <w:lang w:val="ru-RU"/>
        </w:rPr>
        <w:t>використовуються</w:t>
      </w:r>
      <w:proofErr w:type="spellEnd"/>
      <w:r w:rsidRPr="005919DA">
        <w:rPr>
          <w:lang w:val="ru-RU"/>
        </w:rPr>
        <w:t xml:space="preserve"> при </w:t>
      </w:r>
      <w:proofErr w:type="spellStart"/>
      <w:r w:rsidRPr="005919DA">
        <w:rPr>
          <w:lang w:val="ru-RU"/>
        </w:rPr>
        <w:t>оцінці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ефективності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нових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діагностичних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технологій</w:t>
      </w:r>
      <w:proofErr w:type="spellEnd"/>
      <w:r w:rsidRPr="005919DA">
        <w:rPr>
          <w:lang w:val="ru-RU"/>
        </w:rPr>
        <w:t xml:space="preserve"> у </w:t>
      </w:r>
      <w:proofErr w:type="spellStart"/>
      <w:r w:rsidRPr="005919DA">
        <w:rPr>
          <w:lang w:val="ru-RU"/>
        </w:rPr>
        <w:t>дитячому</w:t>
      </w:r>
      <w:proofErr w:type="spellEnd"/>
      <w:r w:rsidRPr="005919DA">
        <w:rPr>
          <w:lang w:val="ru-RU"/>
        </w:rPr>
        <w:t xml:space="preserve"> </w:t>
      </w:r>
      <w:proofErr w:type="spellStart"/>
      <w:r w:rsidRPr="005919DA">
        <w:rPr>
          <w:lang w:val="ru-RU"/>
        </w:rPr>
        <w:t>туберкульозі</w:t>
      </w:r>
      <w:proofErr w:type="spellEnd"/>
      <w:r w:rsidRPr="005919DA">
        <w:rPr>
          <w:lang w:val="ru-RU"/>
        </w:rPr>
        <w:t>.</w:t>
      </w:r>
    </w:p>
    <w:p w14:paraId="65EAA884" w14:textId="77777777" w:rsidR="001124BF" w:rsidRPr="005919DA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</w:p>
    <w:p w14:paraId="764FC61D" w14:textId="77777777" w:rsidR="001124BF" w:rsidRDefault="001124BF" w:rsidP="00BA7ADE">
      <w:pPr>
        <w:pStyle w:val="a3"/>
        <w:spacing w:before="56"/>
        <w:ind w:left="100" w:right="-201"/>
        <w:jc w:val="both"/>
      </w:pPr>
      <w:proofErr w:type="spellStart"/>
      <w:r w:rsidRPr="001124BF">
        <w:rPr>
          <w:u w:val="single"/>
        </w:rPr>
        <w:t>Втручання</w:t>
      </w:r>
      <w:proofErr w:type="spellEnd"/>
      <w:r w:rsidRPr="001124BF">
        <w:rPr>
          <w:u w:val="single"/>
        </w:rPr>
        <w:t>:</w:t>
      </w:r>
      <w:r>
        <w:t xml:space="preserve"> </w:t>
      </w:r>
      <w:proofErr w:type="spellStart"/>
      <w:r w:rsidRPr="001124BF">
        <w:rPr>
          <w:i/>
          <w:color w:val="4471C4"/>
        </w:rPr>
        <w:t>Xpert</w:t>
      </w:r>
      <w:proofErr w:type="spellEnd"/>
      <w:r w:rsidRPr="001124BF">
        <w:rPr>
          <w:i/>
          <w:color w:val="4471C4"/>
        </w:rPr>
        <w:t xml:space="preserve"> MTB / RIF </w:t>
      </w:r>
      <w:proofErr w:type="spellStart"/>
      <w:r w:rsidRPr="001124BF">
        <w:rPr>
          <w:i/>
          <w:color w:val="4471C4"/>
        </w:rPr>
        <w:t>або</w:t>
      </w:r>
      <w:proofErr w:type="spellEnd"/>
      <w:r w:rsidRPr="001124BF">
        <w:rPr>
          <w:i/>
          <w:color w:val="4471C4"/>
        </w:rPr>
        <w:t xml:space="preserve"> </w:t>
      </w:r>
      <w:proofErr w:type="spellStart"/>
      <w:r w:rsidRPr="001124BF">
        <w:rPr>
          <w:i/>
          <w:color w:val="4471C4"/>
        </w:rPr>
        <w:t>Xpert</w:t>
      </w:r>
      <w:proofErr w:type="spellEnd"/>
      <w:r w:rsidRPr="001124BF">
        <w:rPr>
          <w:i/>
          <w:color w:val="4471C4"/>
        </w:rPr>
        <w:t xml:space="preserve"> Ultra</w:t>
      </w:r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початковий</w:t>
      </w:r>
      <w:proofErr w:type="spellEnd"/>
      <w:r>
        <w:t xml:space="preserve"> </w:t>
      </w:r>
      <w:proofErr w:type="spellStart"/>
      <w:r>
        <w:t>діагностичний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туберкульоз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(</w:t>
      </w:r>
      <w:proofErr w:type="spellStart"/>
      <w:r>
        <w:t>бактеріологічна</w:t>
      </w:r>
      <w:proofErr w:type="spellEnd"/>
      <w:r>
        <w:t xml:space="preserve"> </w:t>
      </w:r>
      <w:proofErr w:type="spellStart"/>
      <w:r>
        <w:t>культура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еталонний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>)</w:t>
      </w:r>
    </w:p>
    <w:p w14:paraId="6D703188" w14:textId="77777777" w:rsidR="001124BF" w:rsidRDefault="001124BF" w:rsidP="00BA7ADE">
      <w:pPr>
        <w:pStyle w:val="a3"/>
        <w:spacing w:before="56"/>
        <w:ind w:left="100" w:right="-201"/>
        <w:jc w:val="both"/>
      </w:pPr>
    </w:p>
    <w:p w14:paraId="042916EF" w14:textId="77777777" w:rsidR="001124BF" w:rsidRDefault="001124BF" w:rsidP="00BA7ADE">
      <w:pPr>
        <w:pStyle w:val="a3"/>
        <w:spacing w:before="56"/>
        <w:ind w:left="100" w:right="-201"/>
        <w:jc w:val="both"/>
      </w:pPr>
      <w:proofErr w:type="spellStart"/>
      <w:r w:rsidRPr="001124BF">
        <w:rPr>
          <w:u w:val="single"/>
        </w:rPr>
        <w:t>Дані</w:t>
      </w:r>
      <w:proofErr w:type="spellEnd"/>
      <w:r w:rsidRPr="001124BF">
        <w:rPr>
          <w:u w:val="single"/>
        </w:rPr>
        <w:t xml:space="preserve">, </w:t>
      </w:r>
      <w:proofErr w:type="spellStart"/>
      <w:r w:rsidRPr="001124BF">
        <w:rPr>
          <w:u w:val="single"/>
        </w:rPr>
        <w:t>оцінені</w:t>
      </w:r>
      <w:proofErr w:type="spellEnd"/>
      <w:r w:rsidRPr="001124BF">
        <w:rPr>
          <w:u w:val="single"/>
        </w:rPr>
        <w:t xml:space="preserve"> </w:t>
      </w:r>
      <w:proofErr w:type="spellStart"/>
      <w:r w:rsidRPr="001124BF">
        <w:rPr>
          <w:u w:val="single"/>
        </w:rPr>
        <w:t>для</w:t>
      </w:r>
      <w:proofErr w:type="spellEnd"/>
      <w:r w:rsidRPr="001124BF">
        <w:rPr>
          <w:u w:val="single"/>
        </w:rPr>
        <w:t xml:space="preserve"> </w:t>
      </w:r>
      <w:proofErr w:type="spellStart"/>
      <w:r w:rsidRPr="001124BF">
        <w:rPr>
          <w:u w:val="single"/>
        </w:rPr>
        <w:t>Xpert</w:t>
      </w:r>
      <w:proofErr w:type="spellEnd"/>
      <w:r w:rsidRPr="001124BF">
        <w:rPr>
          <w:u w:val="single"/>
        </w:rPr>
        <w:t xml:space="preserve"> MTB / RIF:</w:t>
      </w:r>
      <w:r>
        <w:t xml:space="preserve"> 43 </w:t>
      </w:r>
      <w:proofErr w:type="spellStart"/>
      <w:r>
        <w:t>дослідження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брали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6 000 </w:t>
      </w:r>
      <w:proofErr w:type="spellStart"/>
      <w:r>
        <w:t>учасників</w:t>
      </w:r>
      <w:proofErr w:type="spellEnd"/>
      <w:r>
        <w:t xml:space="preserve"> з 21 </w:t>
      </w:r>
      <w:proofErr w:type="spellStart"/>
      <w:r>
        <w:t>країни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14 </w:t>
      </w:r>
      <w:proofErr w:type="spellStart"/>
      <w:r>
        <w:t>країн</w:t>
      </w:r>
      <w:proofErr w:type="spellEnd"/>
      <w:r>
        <w:t xml:space="preserve"> з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оцінювали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мокротиння</w:t>
      </w:r>
      <w:proofErr w:type="spellEnd"/>
      <w:r>
        <w:t xml:space="preserve">, </w:t>
      </w:r>
      <w:proofErr w:type="spellStart"/>
      <w:r>
        <w:t>шлункові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, </w:t>
      </w:r>
      <w:proofErr w:type="spellStart"/>
      <w:r>
        <w:t>носоглоткові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</w:t>
      </w:r>
      <w:proofErr w:type="spellStart"/>
      <w:r>
        <w:t>калу</w:t>
      </w:r>
      <w:proofErr w:type="spellEnd"/>
      <w:r>
        <w:t>).</w:t>
      </w:r>
    </w:p>
    <w:p w14:paraId="37619149" w14:textId="77777777" w:rsidR="001124BF" w:rsidRDefault="001124BF" w:rsidP="00BA7ADE">
      <w:pPr>
        <w:pStyle w:val="a3"/>
        <w:spacing w:before="56"/>
        <w:ind w:left="100" w:right="-201"/>
        <w:jc w:val="both"/>
      </w:pPr>
    </w:p>
    <w:p w14:paraId="350F7BC8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1124BF">
        <w:rPr>
          <w:u w:val="single"/>
          <w:lang w:val="ru-RU"/>
        </w:rPr>
        <w:t>Результати</w:t>
      </w:r>
      <w:proofErr w:type="spellEnd"/>
      <w:r w:rsidRPr="001124BF">
        <w:rPr>
          <w:u w:val="single"/>
          <w:lang w:val="ru-RU"/>
        </w:rPr>
        <w:t>:</w:t>
      </w:r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Чутливість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змінюється</w:t>
      </w:r>
      <w:proofErr w:type="spellEnd"/>
      <w:r w:rsidRPr="001124BF">
        <w:rPr>
          <w:lang w:val="ru-RU"/>
        </w:rPr>
        <w:t xml:space="preserve"> за типом </w:t>
      </w:r>
      <w:proofErr w:type="spellStart"/>
      <w:r w:rsidRPr="001124BF">
        <w:rPr>
          <w:lang w:val="ru-RU"/>
        </w:rPr>
        <w:t>зразка</w:t>
      </w:r>
      <w:proofErr w:type="spellEnd"/>
      <w:r w:rsidRPr="001124BF">
        <w:rPr>
          <w:lang w:val="ru-RU"/>
        </w:rPr>
        <w:t xml:space="preserve"> (46% для </w:t>
      </w:r>
      <w:proofErr w:type="spellStart"/>
      <w:r w:rsidRPr="001124BF">
        <w:rPr>
          <w:lang w:val="ru-RU"/>
        </w:rPr>
        <w:t>носоглоткових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зразків</w:t>
      </w:r>
      <w:proofErr w:type="spellEnd"/>
      <w:r w:rsidRPr="001124BF">
        <w:rPr>
          <w:lang w:val="ru-RU"/>
        </w:rPr>
        <w:t xml:space="preserve">; 61% для </w:t>
      </w:r>
      <w:proofErr w:type="spellStart"/>
      <w:r w:rsidRPr="001124BF">
        <w:rPr>
          <w:lang w:val="ru-RU"/>
        </w:rPr>
        <w:t>стільця</w:t>
      </w:r>
      <w:proofErr w:type="spellEnd"/>
      <w:r w:rsidRPr="001124BF">
        <w:rPr>
          <w:lang w:val="ru-RU"/>
        </w:rPr>
        <w:t xml:space="preserve">; 65% для </w:t>
      </w:r>
      <w:proofErr w:type="spellStart"/>
      <w:r w:rsidRPr="001124BF">
        <w:rPr>
          <w:lang w:val="ru-RU"/>
        </w:rPr>
        <w:t>мокротиння</w:t>
      </w:r>
      <w:proofErr w:type="spellEnd"/>
      <w:r w:rsidRPr="001124BF">
        <w:rPr>
          <w:lang w:val="ru-RU"/>
        </w:rPr>
        <w:t xml:space="preserve">; 73% для </w:t>
      </w:r>
      <w:proofErr w:type="spellStart"/>
      <w:r w:rsidRPr="001124BF">
        <w:rPr>
          <w:lang w:val="ru-RU"/>
        </w:rPr>
        <w:t>шлункових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зразків</w:t>
      </w:r>
      <w:proofErr w:type="spellEnd"/>
      <w:r w:rsidRPr="001124BF">
        <w:rPr>
          <w:lang w:val="ru-RU"/>
        </w:rPr>
        <w:t xml:space="preserve">). </w:t>
      </w:r>
      <w:proofErr w:type="spellStart"/>
      <w:r w:rsidRPr="001124BF">
        <w:rPr>
          <w:lang w:val="ru-RU"/>
        </w:rPr>
        <w:t>Специфічність</w:t>
      </w:r>
      <w:proofErr w:type="spellEnd"/>
      <w:r w:rsidRPr="001124BF">
        <w:rPr>
          <w:lang w:val="ru-RU"/>
        </w:rPr>
        <w:t xml:space="preserve"> для </w:t>
      </w:r>
      <w:proofErr w:type="spellStart"/>
      <w:r w:rsidRPr="001124BF">
        <w:rPr>
          <w:lang w:val="ru-RU"/>
        </w:rPr>
        <w:t>всіх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зразків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коливалася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від</w:t>
      </w:r>
      <w:proofErr w:type="spellEnd"/>
      <w:r w:rsidRPr="001124BF">
        <w:rPr>
          <w:lang w:val="ru-RU"/>
        </w:rPr>
        <w:t xml:space="preserve"> 98% до 100%.</w:t>
      </w:r>
    </w:p>
    <w:p w14:paraId="2E0C6E77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</w:p>
    <w:p w14:paraId="2DF697A9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1124BF">
        <w:rPr>
          <w:u w:val="single"/>
          <w:lang w:val="ru-RU"/>
        </w:rPr>
        <w:t>Дані</w:t>
      </w:r>
      <w:proofErr w:type="spellEnd"/>
      <w:r w:rsidRPr="001124BF">
        <w:rPr>
          <w:u w:val="single"/>
          <w:lang w:val="ru-RU"/>
        </w:rPr>
        <w:t xml:space="preserve">, </w:t>
      </w:r>
      <w:proofErr w:type="spellStart"/>
      <w:r w:rsidRPr="001124BF">
        <w:rPr>
          <w:u w:val="single"/>
          <w:lang w:val="ru-RU"/>
        </w:rPr>
        <w:t>оцінені</w:t>
      </w:r>
      <w:proofErr w:type="spellEnd"/>
      <w:r w:rsidRPr="001124BF">
        <w:rPr>
          <w:u w:val="single"/>
          <w:lang w:val="ru-RU"/>
        </w:rPr>
        <w:t xml:space="preserve"> для </w:t>
      </w:r>
      <w:proofErr w:type="spellStart"/>
      <w:r w:rsidRPr="001124BF">
        <w:rPr>
          <w:u w:val="single"/>
        </w:rPr>
        <w:t>Xpert</w:t>
      </w:r>
      <w:proofErr w:type="spellEnd"/>
      <w:r w:rsidRPr="001124BF">
        <w:rPr>
          <w:u w:val="single"/>
          <w:lang w:val="ru-RU"/>
        </w:rPr>
        <w:t xml:space="preserve"> </w:t>
      </w:r>
      <w:r w:rsidRPr="001124BF">
        <w:rPr>
          <w:u w:val="single"/>
        </w:rPr>
        <w:t>Ultra</w:t>
      </w:r>
      <w:r w:rsidRPr="001124BF">
        <w:rPr>
          <w:u w:val="single"/>
          <w:lang w:val="ru-RU"/>
        </w:rPr>
        <w:t xml:space="preserve">: </w:t>
      </w:r>
      <w:r w:rsidRPr="001124BF">
        <w:rPr>
          <w:lang w:val="ru-RU"/>
        </w:rPr>
        <w:t xml:space="preserve">Три </w:t>
      </w:r>
      <w:proofErr w:type="spellStart"/>
      <w:r w:rsidRPr="001124BF">
        <w:rPr>
          <w:lang w:val="ru-RU"/>
        </w:rPr>
        <w:t>дослідження</w:t>
      </w:r>
      <w:proofErr w:type="spellEnd"/>
      <w:r w:rsidRPr="001124BF">
        <w:rPr>
          <w:lang w:val="ru-RU"/>
        </w:rPr>
        <w:t xml:space="preserve">, в </w:t>
      </w:r>
      <w:proofErr w:type="spellStart"/>
      <w:r w:rsidRPr="001124BF">
        <w:rPr>
          <w:lang w:val="ru-RU"/>
        </w:rPr>
        <w:t>яких</w:t>
      </w:r>
      <w:proofErr w:type="spellEnd"/>
      <w:r w:rsidRPr="001124BF">
        <w:rPr>
          <w:lang w:val="ru-RU"/>
        </w:rPr>
        <w:t xml:space="preserve"> брали участь </w:t>
      </w:r>
      <w:proofErr w:type="spellStart"/>
      <w:r w:rsidRPr="001124BF">
        <w:rPr>
          <w:lang w:val="ru-RU"/>
        </w:rPr>
        <w:t>близько</w:t>
      </w:r>
      <w:proofErr w:type="spellEnd"/>
      <w:r w:rsidRPr="001124BF">
        <w:rPr>
          <w:lang w:val="ru-RU"/>
        </w:rPr>
        <w:t xml:space="preserve"> 700 </w:t>
      </w:r>
      <w:proofErr w:type="spellStart"/>
      <w:r w:rsidRPr="001124BF">
        <w:rPr>
          <w:lang w:val="ru-RU"/>
        </w:rPr>
        <w:t>учасників</w:t>
      </w:r>
      <w:proofErr w:type="spellEnd"/>
      <w:r w:rsidRPr="001124BF">
        <w:rPr>
          <w:lang w:val="ru-RU"/>
        </w:rPr>
        <w:t xml:space="preserve"> у </w:t>
      </w:r>
      <w:proofErr w:type="spellStart"/>
      <w:r w:rsidRPr="001124BF">
        <w:rPr>
          <w:lang w:val="ru-RU"/>
        </w:rPr>
        <w:t>трьох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країнах</w:t>
      </w:r>
      <w:proofErr w:type="spellEnd"/>
      <w:r w:rsidRPr="001124BF">
        <w:rPr>
          <w:lang w:val="ru-RU"/>
        </w:rPr>
        <w:t xml:space="preserve"> з </w:t>
      </w:r>
      <w:proofErr w:type="spellStart"/>
      <w:r w:rsidRPr="001124BF">
        <w:rPr>
          <w:lang w:val="ru-RU"/>
        </w:rPr>
        <w:t>високим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навантаженням</w:t>
      </w:r>
      <w:proofErr w:type="spellEnd"/>
      <w:r w:rsidRPr="001124BF">
        <w:rPr>
          <w:lang w:val="ru-RU"/>
        </w:rPr>
        <w:t xml:space="preserve">. </w:t>
      </w:r>
      <w:proofErr w:type="spellStart"/>
      <w:r w:rsidRPr="001124BF">
        <w:rPr>
          <w:lang w:val="ru-RU"/>
        </w:rPr>
        <w:t>Всі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ці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дослідження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оцінювали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зразки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мокротиння</w:t>
      </w:r>
      <w:proofErr w:type="spellEnd"/>
      <w:r w:rsidRPr="001124BF">
        <w:rPr>
          <w:lang w:val="ru-RU"/>
        </w:rPr>
        <w:t xml:space="preserve">, в той час як в одному </w:t>
      </w:r>
      <w:proofErr w:type="spellStart"/>
      <w:r w:rsidRPr="001124BF">
        <w:rPr>
          <w:lang w:val="ru-RU"/>
        </w:rPr>
        <w:t>дослідженні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також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проводилися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оцінки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назофарингеальних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зразків</w:t>
      </w:r>
      <w:proofErr w:type="spellEnd"/>
      <w:r w:rsidRPr="001124BF">
        <w:rPr>
          <w:lang w:val="ru-RU"/>
        </w:rPr>
        <w:t>.</w:t>
      </w:r>
    </w:p>
    <w:p w14:paraId="6824EC5C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</w:p>
    <w:p w14:paraId="6B8C6793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1124BF">
        <w:rPr>
          <w:u w:val="single"/>
          <w:lang w:val="ru-RU"/>
        </w:rPr>
        <w:t>Результати</w:t>
      </w:r>
      <w:proofErr w:type="spellEnd"/>
      <w:r w:rsidRPr="001124BF">
        <w:rPr>
          <w:u w:val="single"/>
          <w:lang w:val="ru-RU"/>
        </w:rPr>
        <w:t>:</w:t>
      </w:r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Чутливість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змінюється</w:t>
      </w:r>
      <w:proofErr w:type="spellEnd"/>
      <w:r w:rsidRPr="001124BF">
        <w:rPr>
          <w:lang w:val="ru-RU"/>
        </w:rPr>
        <w:t xml:space="preserve"> за типом </w:t>
      </w:r>
      <w:proofErr w:type="spellStart"/>
      <w:r w:rsidRPr="001124BF">
        <w:rPr>
          <w:lang w:val="ru-RU"/>
        </w:rPr>
        <w:t>зразка</w:t>
      </w:r>
      <w:proofErr w:type="spellEnd"/>
      <w:r w:rsidRPr="001124BF">
        <w:rPr>
          <w:lang w:val="ru-RU"/>
        </w:rPr>
        <w:t xml:space="preserve"> (46% для </w:t>
      </w:r>
      <w:proofErr w:type="spellStart"/>
      <w:r w:rsidRPr="001124BF">
        <w:rPr>
          <w:lang w:val="ru-RU"/>
        </w:rPr>
        <w:t>носоглоткових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зразків</w:t>
      </w:r>
      <w:proofErr w:type="spellEnd"/>
      <w:r w:rsidRPr="001124BF">
        <w:rPr>
          <w:lang w:val="ru-RU"/>
        </w:rPr>
        <w:t xml:space="preserve">; 73% для </w:t>
      </w:r>
      <w:proofErr w:type="spellStart"/>
      <w:r w:rsidRPr="001124BF">
        <w:rPr>
          <w:lang w:val="ru-RU"/>
        </w:rPr>
        <w:t>мокротиння</w:t>
      </w:r>
      <w:proofErr w:type="spellEnd"/>
      <w:r w:rsidRPr="001124BF">
        <w:rPr>
          <w:lang w:val="ru-RU"/>
        </w:rPr>
        <w:t xml:space="preserve">). </w:t>
      </w:r>
      <w:proofErr w:type="spellStart"/>
      <w:r w:rsidRPr="001124BF">
        <w:rPr>
          <w:lang w:val="ru-RU"/>
        </w:rPr>
        <w:t>Специфічність</w:t>
      </w:r>
      <w:proofErr w:type="spellEnd"/>
      <w:r w:rsidRPr="001124BF">
        <w:rPr>
          <w:lang w:val="ru-RU"/>
        </w:rPr>
        <w:t xml:space="preserve"> для </w:t>
      </w:r>
      <w:proofErr w:type="spellStart"/>
      <w:r w:rsidRPr="001124BF">
        <w:rPr>
          <w:lang w:val="ru-RU"/>
        </w:rPr>
        <w:t>всіх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особин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коливалася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від</w:t>
      </w:r>
      <w:proofErr w:type="spellEnd"/>
      <w:r w:rsidRPr="001124BF">
        <w:rPr>
          <w:lang w:val="ru-RU"/>
        </w:rPr>
        <w:t xml:space="preserve"> 97% до 98%.</w:t>
      </w:r>
    </w:p>
    <w:p w14:paraId="046E70A9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</w:p>
    <w:p w14:paraId="1BE4B96C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1124BF">
        <w:rPr>
          <w:u w:val="single"/>
          <w:lang w:val="ru-RU"/>
        </w:rPr>
        <w:t>Втручання</w:t>
      </w:r>
      <w:proofErr w:type="spellEnd"/>
      <w:r w:rsidRPr="001124BF">
        <w:rPr>
          <w:u w:val="single"/>
          <w:lang w:val="ru-RU"/>
        </w:rPr>
        <w:t>:</w:t>
      </w:r>
      <w:r w:rsidRPr="001124BF">
        <w:rPr>
          <w:lang w:val="ru-RU"/>
        </w:rPr>
        <w:t xml:space="preserve"> </w:t>
      </w:r>
      <w:proofErr w:type="spellStart"/>
      <w:r>
        <w:t>Xpert</w:t>
      </w:r>
      <w:proofErr w:type="spellEnd"/>
      <w:r w:rsidRPr="001124BF">
        <w:rPr>
          <w:lang w:val="ru-RU"/>
        </w:rPr>
        <w:t xml:space="preserve"> </w:t>
      </w:r>
      <w:r>
        <w:t>MTB</w:t>
      </w:r>
      <w:r w:rsidRPr="001124BF">
        <w:rPr>
          <w:lang w:val="ru-RU"/>
        </w:rPr>
        <w:t xml:space="preserve"> / </w:t>
      </w:r>
      <w:r>
        <w:t>RIF</w:t>
      </w:r>
      <w:r w:rsidRPr="001124BF">
        <w:rPr>
          <w:lang w:val="ru-RU"/>
        </w:rPr>
        <w:t xml:space="preserve"> для </w:t>
      </w:r>
      <w:proofErr w:type="spellStart"/>
      <w:r w:rsidRPr="001124BF">
        <w:rPr>
          <w:lang w:val="ru-RU"/>
        </w:rPr>
        <w:t>виявлення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резистентності</w:t>
      </w:r>
      <w:proofErr w:type="spellEnd"/>
      <w:r w:rsidRPr="001124BF">
        <w:rPr>
          <w:lang w:val="ru-RU"/>
        </w:rPr>
        <w:t xml:space="preserve"> до </w:t>
      </w:r>
      <w:proofErr w:type="spellStart"/>
      <w:r w:rsidRPr="001124BF">
        <w:rPr>
          <w:lang w:val="ru-RU"/>
        </w:rPr>
        <w:t>рифампіцину</w:t>
      </w:r>
      <w:proofErr w:type="spellEnd"/>
      <w:r w:rsidRPr="001124BF">
        <w:rPr>
          <w:lang w:val="ru-RU"/>
        </w:rPr>
        <w:t xml:space="preserve"> у </w:t>
      </w:r>
      <w:proofErr w:type="spellStart"/>
      <w:r w:rsidRPr="001124BF">
        <w:rPr>
          <w:lang w:val="ru-RU"/>
        </w:rPr>
        <w:t>дітей</w:t>
      </w:r>
      <w:proofErr w:type="spellEnd"/>
      <w:r w:rsidRPr="001124BF">
        <w:rPr>
          <w:lang w:val="ru-RU"/>
        </w:rPr>
        <w:t xml:space="preserve"> (</w:t>
      </w:r>
      <w:proofErr w:type="spellStart"/>
      <w:r w:rsidRPr="001124BF">
        <w:rPr>
          <w:lang w:val="ru-RU"/>
        </w:rPr>
        <w:t>чутливість</w:t>
      </w:r>
      <w:proofErr w:type="spellEnd"/>
      <w:r w:rsidRPr="001124BF">
        <w:rPr>
          <w:lang w:val="ru-RU"/>
        </w:rPr>
        <w:t xml:space="preserve"> до </w:t>
      </w:r>
      <w:proofErr w:type="spellStart"/>
      <w:r w:rsidRPr="001124BF">
        <w:rPr>
          <w:lang w:val="ru-RU"/>
        </w:rPr>
        <w:t>фенотипічних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препаратів</w:t>
      </w:r>
      <w:proofErr w:type="spellEnd"/>
      <w:r w:rsidRPr="001124BF">
        <w:rPr>
          <w:lang w:val="ru-RU"/>
        </w:rPr>
        <w:t xml:space="preserve"> як </w:t>
      </w:r>
      <w:proofErr w:type="spellStart"/>
      <w:r w:rsidRPr="001124BF">
        <w:rPr>
          <w:lang w:val="ru-RU"/>
        </w:rPr>
        <w:t>еталонний</w:t>
      </w:r>
      <w:proofErr w:type="spellEnd"/>
      <w:r w:rsidRPr="001124BF">
        <w:rPr>
          <w:lang w:val="ru-RU"/>
        </w:rPr>
        <w:t xml:space="preserve"> стандарт)</w:t>
      </w:r>
    </w:p>
    <w:p w14:paraId="30AA164A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</w:p>
    <w:p w14:paraId="0825D540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1124BF">
        <w:rPr>
          <w:u w:val="single"/>
          <w:lang w:val="ru-RU"/>
        </w:rPr>
        <w:t>Оцінено</w:t>
      </w:r>
      <w:proofErr w:type="spellEnd"/>
      <w:r w:rsidRPr="001124BF">
        <w:rPr>
          <w:u w:val="single"/>
          <w:lang w:val="ru-RU"/>
        </w:rPr>
        <w:t xml:space="preserve"> </w:t>
      </w:r>
      <w:proofErr w:type="spellStart"/>
      <w:r w:rsidRPr="001124BF">
        <w:rPr>
          <w:u w:val="single"/>
          <w:lang w:val="ru-RU"/>
        </w:rPr>
        <w:t>даними</w:t>
      </w:r>
      <w:proofErr w:type="spellEnd"/>
      <w:r w:rsidRPr="001124BF">
        <w:rPr>
          <w:u w:val="single"/>
          <w:lang w:val="ru-RU"/>
        </w:rPr>
        <w:t>:</w:t>
      </w:r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Шість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досліджень</w:t>
      </w:r>
      <w:proofErr w:type="spellEnd"/>
      <w:r w:rsidRPr="001124BF">
        <w:rPr>
          <w:lang w:val="ru-RU"/>
        </w:rPr>
        <w:t xml:space="preserve">, в </w:t>
      </w:r>
      <w:proofErr w:type="spellStart"/>
      <w:r w:rsidRPr="001124BF">
        <w:rPr>
          <w:lang w:val="ru-RU"/>
        </w:rPr>
        <w:t>яких</w:t>
      </w:r>
      <w:proofErr w:type="spellEnd"/>
      <w:r w:rsidRPr="001124BF">
        <w:rPr>
          <w:lang w:val="ru-RU"/>
        </w:rPr>
        <w:t xml:space="preserve"> брали участь </w:t>
      </w:r>
      <w:proofErr w:type="spellStart"/>
      <w:r w:rsidRPr="001124BF">
        <w:rPr>
          <w:lang w:val="ru-RU"/>
        </w:rPr>
        <w:t>понад</w:t>
      </w:r>
      <w:proofErr w:type="spellEnd"/>
      <w:r w:rsidRPr="001124BF">
        <w:rPr>
          <w:lang w:val="ru-RU"/>
        </w:rPr>
        <w:t xml:space="preserve"> 200 </w:t>
      </w:r>
      <w:proofErr w:type="spellStart"/>
      <w:r w:rsidRPr="001124BF">
        <w:rPr>
          <w:lang w:val="ru-RU"/>
        </w:rPr>
        <w:t>учасників</w:t>
      </w:r>
      <w:proofErr w:type="spellEnd"/>
      <w:r w:rsidRPr="001124BF">
        <w:rPr>
          <w:lang w:val="ru-RU"/>
        </w:rPr>
        <w:t xml:space="preserve"> з </w:t>
      </w:r>
      <w:proofErr w:type="spellStart"/>
      <w:r w:rsidRPr="001124BF">
        <w:rPr>
          <w:lang w:val="ru-RU"/>
        </w:rPr>
        <w:t>чотирьох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країн</w:t>
      </w:r>
      <w:proofErr w:type="spellEnd"/>
      <w:r w:rsidRPr="001124BF">
        <w:rPr>
          <w:lang w:val="ru-RU"/>
        </w:rPr>
        <w:t xml:space="preserve"> з </w:t>
      </w:r>
      <w:proofErr w:type="spellStart"/>
      <w:r w:rsidRPr="001124BF">
        <w:rPr>
          <w:lang w:val="ru-RU"/>
        </w:rPr>
        <w:t>високим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навантаженням</w:t>
      </w:r>
      <w:proofErr w:type="spellEnd"/>
      <w:r w:rsidRPr="001124BF">
        <w:rPr>
          <w:lang w:val="ru-RU"/>
        </w:rPr>
        <w:t>.</w:t>
      </w:r>
    </w:p>
    <w:p w14:paraId="2E72ACDA" w14:textId="77777777" w:rsidR="001124BF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</w:p>
    <w:p w14:paraId="747BB0D2" w14:textId="005DEE4E" w:rsidR="002F6D72" w:rsidRPr="001124BF" w:rsidRDefault="001124BF" w:rsidP="00BA7ADE">
      <w:pPr>
        <w:pStyle w:val="a3"/>
        <w:spacing w:before="56"/>
        <w:ind w:left="100" w:right="-201"/>
        <w:jc w:val="both"/>
        <w:rPr>
          <w:lang w:val="ru-RU"/>
        </w:rPr>
      </w:pPr>
      <w:proofErr w:type="spellStart"/>
      <w:r w:rsidRPr="001124BF">
        <w:rPr>
          <w:u w:val="single"/>
          <w:lang w:val="ru-RU"/>
        </w:rPr>
        <w:t>Результати</w:t>
      </w:r>
      <w:proofErr w:type="spellEnd"/>
      <w:r w:rsidRPr="001124BF">
        <w:rPr>
          <w:u w:val="single"/>
          <w:lang w:val="ru-RU"/>
        </w:rPr>
        <w:t>:</w:t>
      </w:r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висока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загальна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чутливість</w:t>
      </w:r>
      <w:proofErr w:type="spellEnd"/>
      <w:r w:rsidRPr="001124BF">
        <w:rPr>
          <w:lang w:val="ru-RU"/>
        </w:rPr>
        <w:t xml:space="preserve"> (90%) та </w:t>
      </w:r>
      <w:proofErr w:type="spellStart"/>
      <w:r w:rsidRPr="001124BF">
        <w:rPr>
          <w:lang w:val="ru-RU"/>
        </w:rPr>
        <w:t>специфічність</w:t>
      </w:r>
      <w:proofErr w:type="spellEnd"/>
      <w:r w:rsidRPr="001124BF">
        <w:rPr>
          <w:lang w:val="ru-RU"/>
        </w:rPr>
        <w:t xml:space="preserve"> (98%) у </w:t>
      </w:r>
      <w:proofErr w:type="spellStart"/>
      <w:r w:rsidRPr="001124BF">
        <w:rPr>
          <w:lang w:val="ru-RU"/>
        </w:rPr>
        <w:t>порівнянні</w:t>
      </w:r>
      <w:proofErr w:type="spellEnd"/>
      <w:r w:rsidRPr="001124BF">
        <w:rPr>
          <w:lang w:val="ru-RU"/>
        </w:rPr>
        <w:t xml:space="preserve"> з </w:t>
      </w:r>
      <w:proofErr w:type="spellStart"/>
      <w:r w:rsidRPr="001124BF">
        <w:rPr>
          <w:lang w:val="ru-RU"/>
        </w:rPr>
        <w:t>тестуванням</w:t>
      </w:r>
      <w:proofErr w:type="spellEnd"/>
      <w:r w:rsidRPr="001124BF">
        <w:rPr>
          <w:lang w:val="ru-RU"/>
        </w:rPr>
        <w:t xml:space="preserve"> на </w:t>
      </w:r>
      <w:proofErr w:type="spellStart"/>
      <w:r w:rsidRPr="001124BF">
        <w:rPr>
          <w:lang w:val="ru-RU"/>
        </w:rPr>
        <w:t>фенотипічну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чутливість</w:t>
      </w:r>
      <w:proofErr w:type="spellEnd"/>
      <w:r w:rsidRPr="001124BF">
        <w:rPr>
          <w:lang w:val="ru-RU"/>
        </w:rPr>
        <w:t xml:space="preserve"> до </w:t>
      </w:r>
      <w:proofErr w:type="spellStart"/>
      <w:r w:rsidRPr="001124BF">
        <w:rPr>
          <w:lang w:val="ru-RU"/>
        </w:rPr>
        <w:t>лікарських</w:t>
      </w:r>
      <w:proofErr w:type="spellEnd"/>
      <w:r w:rsidRPr="001124BF">
        <w:rPr>
          <w:lang w:val="ru-RU"/>
        </w:rPr>
        <w:t xml:space="preserve"> </w:t>
      </w:r>
      <w:proofErr w:type="spellStart"/>
      <w:r w:rsidRPr="001124BF">
        <w:rPr>
          <w:lang w:val="ru-RU"/>
        </w:rPr>
        <w:t>засобів</w:t>
      </w:r>
      <w:proofErr w:type="spellEnd"/>
      <w:r w:rsidRPr="001124BF">
        <w:rPr>
          <w:lang w:val="ru-RU"/>
        </w:rPr>
        <w:t>.</w:t>
      </w:r>
    </w:p>
    <w:p w14:paraId="26BD82A2" w14:textId="77777777" w:rsidR="002F6D72" w:rsidRPr="001124BF" w:rsidRDefault="002F6D72" w:rsidP="00BA7ADE">
      <w:pPr>
        <w:pStyle w:val="a3"/>
        <w:spacing w:before="2"/>
        <w:jc w:val="both"/>
        <w:rPr>
          <w:lang w:val="ru-RU"/>
        </w:rPr>
      </w:pPr>
    </w:p>
    <w:p w14:paraId="497FC89F" w14:textId="77FF995D" w:rsidR="002F6D72" w:rsidRPr="00194EF8" w:rsidRDefault="00194EF8" w:rsidP="00BA7ADE">
      <w:pPr>
        <w:pStyle w:val="3"/>
        <w:numPr>
          <w:ilvl w:val="0"/>
          <w:numId w:val="1"/>
        </w:numPr>
        <w:tabs>
          <w:tab w:val="left" w:pos="460"/>
          <w:tab w:val="left" w:pos="461"/>
        </w:tabs>
        <w:spacing w:before="10"/>
        <w:ind w:right="1221"/>
        <w:jc w:val="both"/>
        <w:rPr>
          <w:sz w:val="25"/>
          <w:lang w:val="ru-RU"/>
        </w:rPr>
      </w:pPr>
      <w:r w:rsidRPr="00194EF8">
        <w:rPr>
          <w:color w:val="4F81BB"/>
          <w:lang w:val="ru-RU"/>
        </w:rPr>
        <w:t xml:space="preserve">• </w:t>
      </w:r>
      <w:proofErr w:type="spellStart"/>
      <w:r w:rsidRPr="00194EF8">
        <w:rPr>
          <w:color w:val="4F81BB"/>
          <w:lang w:val="ru-RU"/>
        </w:rPr>
        <w:t>Використання</w:t>
      </w:r>
      <w:proofErr w:type="spellEnd"/>
      <w:r w:rsidRPr="00194EF8">
        <w:rPr>
          <w:color w:val="4F81BB"/>
          <w:lang w:val="ru-RU"/>
        </w:rPr>
        <w:t xml:space="preserve"> </w:t>
      </w:r>
      <w:proofErr w:type="spellStart"/>
      <w:r w:rsidRPr="00194EF8">
        <w:rPr>
          <w:color w:val="4F81BB"/>
        </w:rPr>
        <w:t>Xpert</w:t>
      </w:r>
      <w:proofErr w:type="spellEnd"/>
      <w:r w:rsidRPr="00194EF8">
        <w:rPr>
          <w:color w:val="4F81BB"/>
          <w:lang w:val="ru-RU"/>
        </w:rPr>
        <w:t xml:space="preserve"> </w:t>
      </w:r>
      <w:r w:rsidRPr="00194EF8">
        <w:rPr>
          <w:color w:val="4F81BB"/>
        </w:rPr>
        <w:t>MTB</w:t>
      </w:r>
      <w:r w:rsidRPr="00194EF8">
        <w:rPr>
          <w:color w:val="4F81BB"/>
          <w:lang w:val="ru-RU"/>
        </w:rPr>
        <w:t xml:space="preserve"> / </w:t>
      </w:r>
      <w:r w:rsidRPr="00194EF8">
        <w:rPr>
          <w:color w:val="4F81BB"/>
        </w:rPr>
        <w:t>RIF</w:t>
      </w:r>
      <w:r w:rsidRPr="00194EF8">
        <w:rPr>
          <w:color w:val="4F81BB"/>
          <w:lang w:val="ru-RU"/>
        </w:rPr>
        <w:t xml:space="preserve"> та </w:t>
      </w:r>
      <w:proofErr w:type="spellStart"/>
      <w:r w:rsidRPr="00194EF8">
        <w:rPr>
          <w:color w:val="4F81BB"/>
        </w:rPr>
        <w:t>Xpert</w:t>
      </w:r>
      <w:proofErr w:type="spellEnd"/>
      <w:r w:rsidRPr="00194EF8">
        <w:rPr>
          <w:color w:val="4F81BB"/>
          <w:lang w:val="ru-RU"/>
        </w:rPr>
        <w:t xml:space="preserve"> </w:t>
      </w:r>
      <w:r w:rsidRPr="00194EF8">
        <w:rPr>
          <w:color w:val="4F81BB"/>
        </w:rPr>
        <w:t>Ultra</w:t>
      </w:r>
      <w:r w:rsidRPr="00194EF8">
        <w:rPr>
          <w:color w:val="4F81BB"/>
          <w:lang w:val="ru-RU"/>
        </w:rPr>
        <w:t xml:space="preserve"> для </w:t>
      </w:r>
      <w:proofErr w:type="spellStart"/>
      <w:r w:rsidRPr="00194EF8">
        <w:rPr>
          <w:color w:val="4F81BB"/>
          <w:lang w:val="ru-RU"/>
        </w:rPr>
        <w:t>діагностики</w:t>
      </w:r>
      <w:proofErr w:type="spellEnd"/>
      <w:r w:rsidRPr="00194EF8">
        <w:rPr>
          <w:color w:val="4F81BB"/>
          <w:lang w:val="ru-RU"/>
        </w:rPr>
        <w:t xml:space="preserve"> </w:t>
      </w:r>
      <w:proofErr w:type="spellStart"/>
      <w:r w:rsidRPr="00194EF8">
        <w:rPr>
          <w:color w:val="4F81BB"/>
          <w:lang w:val="ru-RU"/>
        </w:rPr>
        <w:t>туберкульозу</w:t>
      </w:r>
      <w:proofErr w:type="spellEnd"/>
      <w:r w:rsidRPr="00194EF8">
        <w:rPr>
          <w:color w:val="4F81BB"/>
          <w:lang w:val="ru-RU"/>
        </w:rPr>
        <w:t xml:space="preserve"> та </w:t>
      </w:r>
      <w:proofErr w:type="spellStart"/>
      <w:r w:rsidRPr="00194EF8">
        <w:rPr>
          <w:color w:val="4F81BB"/>
          <w:lang w:val="ru-RU"/>
        </w:rPr>
        <w:t>виявлення</w:t>
      </w:r>
      <w:proofErr w:type="spellEnd"/>
      <w:r w:rsidRPr="00194EF8">
        <w:rPr>
          <w:color w:val="4F81BB"/>
          <w:lang w:val="ru-RU"/>
        </w:rPr>
        <w:t xml:space="preserve"> </w:t>
      </w:r>
      <w:proofErr w:type="spellStart"/>
      <w:r w:rsidRPr="00194EF8">
        <w:rPr>
          <w:color w:val="4F81BB"/>
          <w:lang w:val="ru-RU"/>
        </w:rPr>
        <w:t>резистентності</w:t>
      </w:r>
      <w:proofErr w:type="spellEnd"/>
      <w:r w:rsidRPr="00194EF8">
        <w:rPr>
          <w:color w:val="4F81BB"/>
          <w:lang w:val="ru-RU"/>
        </w:rPr>
        <w:t xml:space="preserve"> до </w:t>
      </w:r>
      <w:proofErr w:type="spellStart"/>
      <w:r w:rsidRPr="00194EF8">
        <w:rPr>
          <w:color w:val="4F81BB"/>
          <w:lang w:val="ru-RU"/>
        </w:rPr>
        <w:t>рифампіцину</w:t>
      </w:r>
      <w:proofErr w:type="spellEnd"/>
      <w:r w:rsidRPr="00194EF8">
        <w:rPr>
          <w:color w:val="4F81BB"/>
          <w:lang w:val="ru-RU"/>
        </w:rPr>
        <w:t xml:space="preserve"> у </w:t>
      </w:r>
      <w:proofErr w:type="spellStart"/>
      <w:r w:rsidRPr="00194EF8">
        <w:rPr>
          <w:color w:val="4F81BB"/>
          <w:lang w:val="ru-RU"/>
        </w:rPr>
        <w:t>дорослих</w:t>
      </w:r>
      <w:proofErr w:type="spellEnd"/>
      <w:r w:rsidRPr="00194EF8">
        <w:rPr>
          <w:color w:val="4F81BB"/>
          <w:lang w:val="ru-RU"/>
        </w:rPr>
        <w:t xml:space="preserve"> </w:t>
      </w:r>
      <w:proofErr w:type="spellStart"/>
      <w:r w:rsidRPr="00194EF8">
        <w:rPr>
          <w:color w:val="4F81BB"/>
          <w:lang w:val="ru-RU"/>
        </w:rPr>
        <w:t>із</w:t>
      </w:r>
      <w:proofErr w:type="spellEnd"/>
      <w:r w:rsidRPr="00194EF8">
        <w:rPr>
          <w:color w:val="4F81BB"/>
          <w:lang w:val="ru-RU"/>
        </w:rPr>
        <w:t xml:space="preserve"> </w:t>
      </w:r>
      <w:proofErr w:type="spellStart"/>
      <w:r w:rsidRPr="00194EF8">
        <w:rPr>
          <w:color w:val="4F81BB"/>
          <w:lang w:val="ru-RU"/>
        </w:rPr>
        <w:t>позалегеневим</w:t>
      </w:r>
      <w:proofErr w:type="spellEnd"/>
      <w:r w:rsidRPr="00194EF8">
        <w:rPr>
          <w:color w:val="4F81BB"/>
          <w:lang w:val="ru-RU"/>
        </w:rPr>
        <w:t xml:space="preserve"> </w:t>
      </w:r>
      <w:proofErr w:type="spellStart"/>
      <w:r w:rsidRPr="00194EF8">
        <w:rPr>
          <w:color w:val="4F81BB"/>
          <w:lang w:val="ru-RU"/>
        </w:rPr>
        <w:t>туберкульозом</w:t>
      </w:r>
      <w:proofErr w:type="spellEnd"/>
      <w:r w:rsidRPr="00194EF8">
        <w:rPr>
          <w:color w:val="4F81BB"/>
          <w:lang w:val="ru-RU"/>
        </w:rPr>
        <w:t xml:space="preserve"> </w:t>
      </w:r>
    </w:p>
    <w:p w14:paraId="7DFC6C95" w14:textId="0869303D" w:rsidR="002F6D72" w:rsidRDefault="00AE692C" w:rsidP="00BA7ADE">
      <w:pPr>
        <w:pStyle w:val="a3"/>
        <w:ind w:left="100" w:right="119"/>
        <w:jc w:val="both"/>
        <w:rPr>
          <w:lang w:val="ru-RU"/>
        </w:rPr>
      </w:pPr>
      <w:proofErr w:type="spellStart"/>
      <w:r w:rsidRPr="00853447">
        <w:rPr>
          <w:lang w:val="ru-RU"/>
        </w:rPr>
        <w:t>Зважаючи</w:t>
      </w:r>
      <w:proofErr w:type="spellEnd"/>
      <w:r w:rsidRPr="00853447">
        <w:rPr>
          <w:lang w:val="ru-RU"/>
        </w:rPr>
        <w:t xml:space="preserve"> на </w:t>
      </w:r>
      <w:proofErr w:type="spellStart"/>
      <w:r w:rsidRPr="00853447">
        <w:rPr>
          <w:lang w:val="ru-RU"/>
        </w:rPr>
        <w:t>труднощі</w:t>
      </w:r>
      <w:proofErr w:type="spellEnd"/>
      <w:r w:rsidRPr="00853447">
        <w:rPr>
          <w:lang w:val="ru-RU"/>
        </w:rPr>
        <w:t xml:space="preserve"> з </w:t>
      </w:r>
      <w:proofErr w:type="spellStart"/>
      <w:r w:rsidRPr="00853447">
        <w:rPr>
          <w:lang w:val="ru-RU"/>
        </w:rPr>
        <w:t>отриманням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позалегеневих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зразків</w:t>
      </w:r>
      <w:proofErr w:type="spellEnd"/>
      <w:r w:rsidRPr="00853447">
        <w:rPr>
          <w:lang w:val="ru-RU"/>
        </w:rPr>
        <w:t xml:space="preserve"> та </w:t>
      </w:r>
      <w:proofErr w:type="spellStart"/>
      <w:r w:rsidRPr="00853447">
        <w:rPr>
          <w:lang w:val="ru-RU"/>
        </w:rPr>
        <w:t>технічні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обмеження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звичайних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бактеріологічних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методів</w:t>
      </w:r>
      <w:proofErr w:type="spellEnd"/>
      <w:r w:rsidRPr="00853447">
        <w:rPr>
          <w:lang w:val="ru-RU"/>
        </w:rPr>
        <w:t xml:space="preserve"> для </w:t>
      </w:r>
      <w:proofErr w:type="spellStart"/>
      <w:r w:rsidRPr="00853447">
        <w:rPr>
          <w:lang w:val="ru-RU"/>
        </w:rPr>
        <w:t>діагностики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різні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нелегеневі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зразки</w:t>
      </w:r>
      <w:proofErr w:type="spellEnd"/>
      <w:r w:rsidRPr="00853447">
        <w:rPr>
          <w:lang w:val="ru-RU"/>
        </w:rPr>
        <w:t xml:space="preserve"> та склад</w:t>
      </w:r>
      <w:r>
        <w:rPr>
          <w:lang w:val="uk-UA"/>
        </w:rPr>
        <w:t>ні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стандарти</w:t>
      </w:r>
      <w:proofErr w:type="spellEnd"/>
      <w:r w:rsidRPr="00853447">
        <w:rPr>
          <w:lang w:val="ru-RU"/>
        </w:rPr>
        <w:t xml:space="preserve"> часто </w:t>
      </w:r>
      <w:proofErr w:type="spellStart"/>
      <w:r w:rsidRPr="00853447">
        <w:rPr>
          <w:lang w:val="ru-RU"/>
        </w:rPr>
        <w:t>використовуються</w:t>
      </w:r>
      <w:proofErr w:type="spellEnd"/>
      <w:r w:rsidRPr="00853447">
        <w:rPr>
          <w:lang w:val="ru-RU"/>
        </w:rPr>
        <w:t xml:space="preserve"> при </w:t>
      </w:r>
      <w:proofErr w:type="spellStart"/>
      <w:r w:rsidRPr="00853447">
        <w:rPr>
          <w:lang w:val="ru-RU"/>
        </w:rPr>
        <w:t>оцінці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ефективності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нових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діагностичних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технологій</w:t>
      </w:r>
      <w:proofErr w:type="spellEnd"/>
      <w:r w:rsidRPr="00853447">
        <w:rPr>
          <w:lang w:val="ru-RU"/>
        </w:rPr>
        <w:t xml:space="preserve"> при </w:t>
      </w:r>
      <w:proofErr w:type="spellStart"/>
      <w:r w:rsidRPr="00853447">
        <w:rPr>
          <w:lang w:val="ru-RU"/>
        </w:rPr>
        <w:t>позалегеневому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туберкульозі</w:t>
      </w:r>
      <w:proofErr w:type="spellEnd"/>
      <w:r w:rsidRPr="00853447">
        <w:rPr>
          <w:lang w:val="ru-RU"/>
        </w:rPr>
        <w:t>.</w:t>
      </w:r>
    </w:p>
    <w:p w14:paraId="466C4D08" w14:textId="43D40093" w:rsidR="00BA7ADE" w:rsidRDefault="00BA7ADE" w:rsidP="00BA7ADE">
      <w:pPr>
        <w:pStyle w:val="a3"/>
        <w:ind w:left="100" w:right="119"/>
        <w:jc w:val="both"/>
        <w:rPr>
          <w:lang w:val="ru-RU"/>
        </w:rPr>
      </w:pPr>
    </w:p>
    <w:p w14:paraId="113970DF" w14:textId="77777777" w:rsidR="00BA7ADE" w:rsidRPr="00670052" w:rsidRDefault="00BA7ADE" w:rsidP="00BA7ADE">
      <w:pPr>
        <w:pStyle w:val="a3"/>
        <w:ind w:left="100" w:right="82"/>
        <w:rPr>
          <w:lang w:val="ru-RU"/>
        </w:rPr>
      </w:pPr>
      <w:proofErr w:type="spellStart"/>
      <w:r w:rsidRPr="00670052">
        <w:rPr>
          <w:u w:val="single"/>
          <w:lang w:val="ru-RU"/>
        </w:rPr>
        <w:t>Втручання</w:t>
      </w:r>
      <w:proofErr w:type="spellEnd"/>
      <w:r w:rsidRPr="00670052">
        <w:rPr>
          <w:u w:val="single"/>
          <w:lang w:val="ru-RU"/>
        </w:rPr>
        <w:t>:</w:t>
      </w:r>
      <w:r w:rsidRPr="00670052">
        <w:rPr>
          <w:lang w:val="ru-RU"/>
        </w:rPr>
        <w:t xml:space="preserve"> </w:t>
      </w:r>
      <w:proofErr w:type="spellStart"/>
      <w:r w:rsidRPr="00853447">
        <w:rPr>
          <w:i/>
          <w:color w:val="4471C4"/>
        </w:rPr>
        <w:t>Xpert</w:t>
      </w:r>
      <w:proofErr w:type="spellEnd"/>
      <w:r w:rsidRPr="00670052">
        <w:rPr>
          <w:i/>
          <w:color w:val="4471C4"/>
          <w:lang w:val="ru-RU"/>
        </w:rPr>
        <w:t xml:space="preserve"> </w:t>
      </w:r>
      <w:r w:rsidRPr="00853447">
        <w:rPr>
          <w:i/>
          <w:color w:val="4471C4"/>
        </w:rPr>
        <w:t>MTB</w:t>
      </w:r>
      <w:r w:rsidRPr="00670052">
        <w:rPr>
          <w:i/>
          <w:color w:val="4471C4"/>
          <w:lang w:val="ru-RU"/>
        </w:rPr>
        <w:t xml:space="preserve"> / </w:t>
      </w:r>
      <w:r w:rsidRPr="00853447">
        <w:rPr>
          <w:i/>
          <w:color w:val="4471C4"/>
        </w:rPr>
        <w:t>RIF</w:t>
      </w:r>
      <w:r w:rsidRPr="00670052">
        <w:rPr>
          <w:i/>
          <w:color w:val="4471C4"/>
          <w:lang w:val="ru-RU"/>
        </w:rPr>
        <w:t xml:space="preserve"> як </w:t>
      </w:r>
      <w:proofErr w:type="spellStart"/>
      <w:r w:rsidRPr="00670052">
        <w:rPr>
          <w:i/>
          <w:color w:val="4471C4"/>
          <w:lang w:val="ru-RU"/>
        </w:rPr>
        <w:t>початковий</w:t>
      </w:r>
      <w:proofErr w:type="spellEnd"/>
      <w:r w:rsidRPr="00670052">
        <w:rPr>
          <w:i/>
          <w:color w:val="4471C4"/>
          <w:lang w:val="ru-RU"/>
        </w:rPr>
        <w:t xml:space="preserve"> </w:t>
      </w:r>
      <w:proofErr w:type="spellStart"/>
      <w:r w:rsidRPr="00670052">
        <w:rPr>
          <w:i/>
          <w:color w:val="4471C4"/>
          <w:lang w:val="ru-RU"/>
        </w:rPr>
        <w:t>діагностичний</w:t>
      </w:r>
      <w:proofErr w:type="spellEnd"/>
      <w:r w:rsidRPr="00670052">
        <w:rPr>
          <w:i/>
          <w:color w:val="4471C4"/>
          <w:lang w:val="ru-RU"/>
        </w:rPr>
        <w:t xml:space="preserve"> тест у </w:t>
      </w:r>
      <w:proofErr w:type="spellStart"/>
      <w:r w:rsidRPr="00670052">
        <w:rPr>
          <w:i/>
          <w:color w:val="4471C4"/>
          <w:lang w:val="ru-RU"/>
        </w:rPr>
        <w:t>дорослих</w:t>
      </w:r>
      <w:proofErr w:type="spellEnd"/>
      <w:r w:rsidRPr="00670052">
        <w:rPr>
          <w:i/>
          <w:color w:val="4471C4"/>
          <w:lang w:val="ru-RU"/>
        </w:rPr>
        <w:t xml:space="preserve"> </w:t>
      </w:r>
      <w:proofErr w:type="spellStart"/>
      <w:r w:rsidRPr="00670052">
        <w:rPr>
          <w:i/>
          <w:color w:val="4471C4"/>
          <w:lang w:val="ru-RU"/>
        </w:rPr>
        <w:t>із</w:t>
      </w:r>
      <w:proofErr w:type="spellEnd"/>
      <w:r w:rsidRPr="00670052">
        <w:rPr>
          <w:i/>
          <w:color w:val="4471C4"/>
          <w:lang w:val="ru-RU"/>
        </w:rPr>
        <w:t xml:space="preserve"> </w:t>
      </w:r>
      <w:proofErr w:type="spellStart"/>
      <w:r w:rsidRPr="00670052">
        <w:rPr>
          <w:i/>
          <w:color w:val="4471C4"/>
          <w:lang w:val="ru-RU"/>
        </w:rPr>
        <w:t>позалегеневим</w:t>
      </w:r>
      <w:proofErr w:type="spellEnd"/>
      <w:r w:rsidRPr="00670052">
        <w:rPr>
          <w:i/>
          <w:color w:val="4471C4"/>
          <w:lang w:val="ru-RU"/>
        </w:rPr>
        <w:t xml:space="preserve"> </w:t>
      </w:r>
      <w:proofErr w:type="spellStart"/>
      <w:r w:rsidRPr="00670052">
        <w:rPr>
          <w:i/>
          <w:color w:val="4471C4"/>
          <w:lang w:val="ru-RU"/>
        </w:rPr>
        <w:t>туберкульозом</w:t>
      </w:r>
      <w:proofErr w:type="spellEnd"/>
      <w:r w:rsidRPr="00670052">
        <w:rPr>
          <w:lang w:val="ru-RU"/>
        </w:rPr>
        <w:t xml:space="preserve"> (</w:t>
      </w:r>
      <w:proofErr w:type="spellStart"/>
      <w:r w:rsidRPr="00670052">
        <w:rPr>
          <w:lang w:val="ru-RU"/>
        </w:rPr>
        <w:t>бактеріологічна</w:t>
      </w:r>
      <w:proofErr w:type="spellEnd"/>
      <w:r w:rsidRPr="00670052">
        <w:rPr>
          <w:lang w:val="ru-RU"/>
        </w:rPr>
        <w:t xml:space="preserve"> культура як </w:t>
      </w:r>
      <w:proofErr w:type="spellStart"/>
      <w:r w:rsidRPr="00670052">
        <w:rPr>
          <w:lang w:val="ru-RU"/>
        </w:rPr>
        <w:t>еталонний</w:t>
      </w:r>
      <w:proofErr w:type="spellEnd"/>
      <w:r w:rsidRPr="00670052">
        <w:rPr>
          <w:lang w:val="ru-RU"/>
        </w:rPr>
        <w:t xml:space="preserve"> стандарт)</w:t>
      </w:r>
    </w:p>
    <w:p w14:paraId="2FB30901" w14:textId="501620E8" w:rsidR="005426A9" w:rsidRPr="00853447" w:rsidRDefault="005426A9">
      <w:pPr>
        <w:rPr>
          <w:lang w:val="ru-RU"/>
        </w:rPr>
        <w:sectPr w:rsidR="005426A9" w:rsidRPr="00853447" w:rsidSect="005426A9">
          <w:pgSz w:w="12240" w:h="15840"/>
          <w:pgMar w:top="1134" w:right="758" w:bottom="851" w:left="1340" w:header="0" w:footer="932" w:gutter="0"/>
          <w:cols w:space="720"/>
        </w:sectPr>
      </w:pPr>
    </w:p>
    <w:p w14:paraId="69E58CA3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  <w:proofErr w:type="spellStart"/>
      <w:r w:rsidRPr="00853447">
        <w:rPr>
          <w:u w:val="single"/>
          <w:lang w:val="ru-RU"/>
        </w:rPr>
        <w:lastRenderedPageBreak/>
        <w:t>Оцінено</w:t>
      </w:r>
      <w:proofErr w:type="spellEnd"/>
      <w:r w:rsidRPr="00853447">
        <w:rPr>
          <w:u w:val="single"/>
          <w:lang w:val="ru-RU"/>
        </w:rPr>
        <w:t xml:space="preserve"> </w:t>
      </w:r>
      <w:proofErr w:type="spellStart"/>
      <w:r w:rsidRPr="00853447">
        <w:rPr>
          <w:u w:val="single"/>
          <w:lang w:val="ru-RU"/>
        </w:rPr>
        <w:t>даними</w:t>
      </w:r>
      <w:proofErr w:type="spellEnd"/>
      <w:r w:rsidRPr="00853447">
        <w:rPr>
          <w:u w:val="single"/>
          <w:lang w:val="ru-RU"/>
        </w:rPr>
        <w:t>:</w:t>
      </w:r>
      <w:r w:rsidRPr="00853447">
        <w:rPr>
          <w:lang w:val="ru-RU"/>
        </w:rPr>
        <w:t xml:space="preserve"> 59 </w:t>
      </w:r>
      <w:proofErr w:type="spellStart"/>
      <w:r w:rsidRPr="00853447">
        <w:rPr>
          <w:lang w:val="ru-RU"/>
        </w:rPr>
        <w:t>досліджень</w:t>
      </w:r>
      <w:proofErr w:type="spellEnd"/>
      <w:r w:rsidRPr="00853447">
        <w:rPr>
          <w:lang w:val="ru-RU"/>
        </w:rPr>
        <w:t xml:space="preserve"> з 26 </w:t>
      </w:r>
      <w:proofErr w:type="spellStart"/>
      <w:r w:rsidRPr="00853447">
        <w:rPr>
          <w:lang w:val="ru-RU"/>
        </w:rPr>
        <w:t>країн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включаючи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сім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країн</w:t>
      </w:r>
      <w:proofErr w:type="spellEnd"/>
      <w:r w:rsidRPr="00853447">
        <w:rPr>
          <w:lang w:val="ru-RU"/>
        </w:rPr>
        <w:t xml:space="preserve"> з </w:t>
      </w:r>
      <w:proofErr w:type="spellStart"/>
      <w:r w:rsidRPr="00853447">
        <w:rPr>
          <w:lang w:val="ru-RU"/>
        </w:rPr>
        <w:t>високим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навантаженням</w:t>
      </w:r>
      <w:proofErr w:type="spellEnd"/>
      <w:r w:rsidRPr="00853447">
        <w:rPr>
          <w:lang w:val="ru-RU"/>
        </w:rPr>
        <w:t xml:space="preserve">). </w:t>
      </w:r>
      <w:r>
        <w:t>MTB</w:t>
      </w:r>
      <w:r w:rsidRPr="00853447">
        <w:rPr>
          <w:lang w:val="ru-RU"/>
        </w:rPr>
        <w:t xml:space="preserve"> / </w:t>
      </w:r>
      <w:r>
        <w:t>RIF</w:t>
      </w:r>
      <w:r w:rsidRPr="00853447">
        <w:rPr>
          <w:lang w:val="ru-RU"/>
        </w:rPr>
        <w:t xml:space="preserve"> у </w:t>
      </w:r>
      <w:proofErr w:type="spellStart"/>
      <w:r w:rsidRPr="00853447">
        <w:rPr>
          <w:lang w:val="ru-RU"/>
        </w:rPr>
        <w:t>дорослих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із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позалегеневим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туберкульозом</w:t>
      </w:r>
      <w:proofErr w:type="spellEnd"/>
      <w:r w:rsidRPr="00853447">
        <w:rPr>
          <w:lang w:val="ru-RU"/>
        </w:rPr>
        <w:t xml:space="preserve">. </w:t>
      </w:r>
      <w:proofErr w:type="spellStart"/>
      <w:r w:rsidRPr="00853447">
        <w:rPr>
          <w:lang w:val="ru-RU"/>
        </w:rPr>
        <w:t>Дослідження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оцінювали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зразки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спинномозкової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рідини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аспірат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лімфатичних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вузлів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біопсію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лімфатичних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вузлів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плевральну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, сечу, </w:t>
      </w:r>
      <w:proofErr w:type="spellStart"/>
      <w:r w:rsidRPr="00853447">
        <w:rPr>
          <w:lang w:val="ru-RU"/>
        </w:rPr>
        <w:t>синовіальну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перитонеальну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перикардіальну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 та кров.</w:t>
      </w:r>
    </w:p>
    <w:p w14:paraId="26514440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</w:p>
    <w:p w14:paraId="16B40878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  <w:proofErr w:type="spellStart"/>
      <w:r w:rsidRPr="00853447">
        <w:rPr>
          <w:u w:val="single"/>
          <w:lang w:val="ru-RU"/>
        </w:rPr>
        <w:t>Результати</w:t>
      </w:r>
      <w:proofErr w:type="spellEnd"/>
      <w:r w:rsidRPr="00853447">
        <w:rPr>
          <w:u w:val="single"/>
          <w:lang w:val="ru-RU"/>
        </w:rPr>
        <w:t>: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Чутливість</w:t>
      </w:r>
      <w:proofErr w:type="spellEnd"/>
      <w:r w:rsidRPr="00853447">
        <w:rPr>
          <w:lang w:val="ru-RU"/>
        </w:rPr>
        <w:t xml:space="preserve"> </w:t>
      </w:r>
      <w:proofErr w:type="spellStart"/>
      <w:r>
        <w:t>Xpert</w:t>
      </w:r>
      <w:proofErr w:type="spellEnd"/>
      <w:r w:rsidRPr="00853447">
        <w:rPr>
          <w:lang w:val="ru-RU"/>
        </w:rPr>
        <w:t xml:space="preserve"> </w:t>
      </w:r>
      <w:r>
        <w:t>MTB</w:t>
      </w:r>
      <w:r w:rsidRPr="00853447">
        <w:rPr>
          <w:lang w:val="ru-RU"/>
        </w:rPr>
        <w:t xml:space="preserve"> / </w:t>
      </w:r>
      <w:r>
        <w:t>RIF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варіюється</w:t>
      </w:r>
      <w:proofErr w:type="spellEnd"/>
      <w:r w:rsidRPr="00853447">
        <w:rPr>
          <w:lang w:val="ru-RU"/>
        </w:rPr>
        <w:t xml:space="preserve"> за типом </w:t>
      </w:r>
      <w:proofErr w:type="spellStart"/>
      <w:r w:rsidRPr="00853447">
        <w:rPr>
          <w:lang w:val="ru-RU"/>
        </w:rPr>
        <w:t>зразка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від</w:t>
      </w:r>
      <w:proofErr w:type="spellEnd"/>
      <w:r w:rsidRPr="00853447">
        <w:rPr>
          <w:lang w:val="ru-RU"/>
        </w:rPr>
        <w:t xml:space="preserve"> 50% для </w:t>
      </w:r>
      <w:proofErr w:type="spellStart"/>
      <w:r w:rsidRPr="00853447">
        <w:rPr>
          <w:lang w:val="ru-RU"/>
        </w:rPr>
        <w:t>плевральної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рідини</w:t>
      </w:r>
      <w:proofErr w:type="spellEnd"/>
      <w:r w:rsidRPr="00853447">
        <w:rPr>
          <w:lang w:val="ru-RU"/>
        </w:rPr>
        <w:t xml:space="preserve"> до 97% для </w:t>
      </w:r>
      <w:proofErr w:type="spellStart"/>
      <w:r w:rsidRPr="00853447">
        <w:rPr>
          <w:lang w:val="ru-RU"/>
        </w:rPr>
        <w:t>синовіальної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рідини</w:t>
      </w:r>
      <w:proofErr w:type="spellEnd"/>
      <w:r w:rsidRPr="00853447">
        <w:rPr>
          <w:lang w:val="ru-RU"/>
        </w:rPr>
        <w:t xml:space="preserve">). </w:t>
      </w:r>
      <w:proofErr w:type="spellStart"/>
      <w:r w:rsidRPr="00853447">
        <w:rPr>
          <w:lang w:val="ru-RU"/>
        </w:rPr>
        <w:t>Специфічність</w:t>
      </w:r>
      <w:proofErr w:type="spellEnd"/>
      <w:r w:rsidRPr="00853447">
        <w:rPr>
          <w:lang w:val="ru-RU"/>
        </w:rPr>
        <w:t xml:space="preserve"> </w:t>
      </w:r>
      <w:proofErr w:type="spellStart"/>
      <w:r>
        <w:t>Xpert</w:t>
      </w:r>
      <w:proofErr w:type="spellEnd"/>
      <w:r w:rsidRPr="00853447">
        <w:rPr>
          <w:lang w:val="ru-RU"/>
        </w:rPr>
        <w:t xml:space="preserve"> </w:t>
      </w:r>
      <w:r>
        <w:t>MTB</w:t>
      </w:r>
      <w:r w:rsidRPr="00853447">
        <w:rPr>
          <w:lang w:val="ru-RU"/>
        </w:rPr>
        <w:t xml:space="preserve"> / </w:t>
      </w:r>
      <w:r>
        <w:t>RIF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також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змінювалася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залежно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від</w:t>
      </w:r>
      <w:proofErr w:type="spellEnd"/>
      <w:r w:rsidRPr="00853447">
        <w:rPr>
          <w:lang w:val="ru-RU"/>
        </w:rPr>
        <w:t xml:space="preserve"> типу </w:t>
      </w:r>
      <w:proofErr w:type="spellStart"/>
      <w:r w:rsidRPr="00853447">
        <w:rPr>
          <w:lang w:val="ru-RU"/>
        </w:rPr>
        <w:t>зразка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від</w:t>
      </w:r>
      <w:proofErr w:type="spellEnd"/>
      <w:r w:rsidRPr="00853447">
        <w:rPr>
          <w:lang w:val="ru-RU"/>
        </w:rPr>
        <w:t xml:space="preserve"> 79% для </w:t>
      </w:r>
      <w:proofErr w:type="spellStart"/>
      <w:r w:rsidRPr="00853447">
        <w:rPr>
          <w:lang w:val="ru-RU"/>
        </w:rPr>
        <w:t>біопсії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лімфатичних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вузлів</w:t>
      </w:r>
      <w:proofErr w:type="spellEnd"/>
      <w:r w:rsidRPr="00853447">
        <w:rPr>
          <w:lang w:val="ru-RU"/>
        </w:rPr>
        <w:t xml:space="preserve"> до 99% для </w:t>
      </w:r>
      <w:proofErr w:type="spellStart"/>
      <w:r w:rsidRPr="00853447">
        <w:rPr>
          <w:lang w:val="ru-RU"/>
        </w:rPr>
        <w:t>плевральної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рідини</w:t>
      </w:r>
      <w:proofErr w:type="spellEnd"/>
      <w:r w:rsidRPr="00853447">
        <w:rPr>
          <w:lang w:val="ru-RU"/>
        </w:rPr>
        <w:t>).</w:t>
      </w:r>
    </w:p>
    <w:p w14:paraId="13B5A66F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</w:p>
    <w:p w14:paraId="3ABEA4B3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  <w:proofErr w:type="spellStart"/>
      <w:r w:rsidRPr="00853447">
        <w:rPr>
          <w:u w:val="single"/>
          <w:lang w:val="ru-RU"/>
        </w:rPr>
        <w:t>Втручання</w:t>
      </w:r>
      <w:proofErr w:type="spellEnd"/>
      <w:r w:rsidRPr="00853447">
        <w:rPr>
          <w:u w:val="single"/>
          <w:lang w:val="ru-RU"/>
        </w:rPr>
        <w:t>:</w:t>
      </w:r>
      <w:r w:rsidRPr="00853447">
        <w:rPr>
          <w:lang w:val="ru-RU"/>
        </w:rPr>
        <w:t xml:space="preserve"> </w:t>
      </w:r>
      <w:proofErr w:type="spellStart"/>
      <w:r w:rsidRPr="00853447">
        <w:rPr>
          <w:i/>
          <w:color w:val="4471C4"/>
        </w:rPr>
        <w:t>Xpert</w:t>
      </w:r>
      <w:proofErr w:type="spellEnd"/>
      <w:r w:rsidRPr="00853447">
        <w:rPr>
          <w:i/>
          <w:color w:val="4471C4"/>
        </w:rPr>
        <w:t xml:space="preserve"> Ultra як </w:t>
      </w:r>
      <w:proofErr w:type="spellStart"/>
      <w:r w:rsidRPr="00853447">
        <w:rPr>
          <w:i/>
          <w:color w:val="4471C4"/>
        </w:rPr>
        <w:t>початковий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діагностичний</w:t>
      </w:r>
      <w:proofErr w:type="spellEnd"/>
      <w:r w:rsidRPr="00853447">
        <w:rPr>
          <w:i/>
          <w:color w:val="4471C4"/>
        </w:rPr>
        <w:t xml:space="preserve"> тест у </w:t>
      </w:r>
      <w:proofErr w:type="spellStart"/>
      <w:r w:rsidRPr="00853447">
        <w:rPr>
          <w:i/>
          <w:color w:val="4471C4"/>
        </w:rPr>
        <w:t>дорослих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із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позалегеневим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туберкульозом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бактеріологічна</w:t>
      </w:r>
      <w:proofErr w:type="spellEnd"/>
      <w:r w:rsidRPr="00853447">
        <w:rPr>
          <w:lang w:val="ru-RU"/>
        </w:rPr>
        <w:t xml:space="preserve"> культура як </w:t>
      </w:r>
      <w:proofErr w:type="spellStart"/>
      <w:r w:rsidRPr="00853447">
        <w:rPr>
          <w:lang w:val="ru-RU"/>
        </w:rPr>
        <w:t>еталонний</w:t>
      </w:r>
      <w:proofErr w:type="spellEnd"/>
      <w:r w:rsidRPr="00853447">
        <w:rPr>
          <w:lang w:val="ru-RU"/>
        </w:rPr>
        <w:t xml:space="preserve"> стандарт)</w:t>
      </w:r>
    </w:p>
    <w:p w14:paraId="3EC13F98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</w:p>
    <w:p w14:paraId="16B17886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  <w:proofErr w:type="spellStart"/>
      <w:r w:rsidRPr="00853447">
        <w:rPr>
          <w:u w:val="single"/>
          <w:lang w:val="ru-RU"/>
        </w:rPr>
        <w:t>Оцінені</w:t>
      </w:r>
      <w:proofErr w:type="spellEnd"/>
      <w:r w:rsidRPr="00853447">
        <w:rPr>
          <w:u w:val="single"/>
          <w:lang w:val="ru-RU"/>
        </w:rPr>
        <w:t xml:space="preserve"> </w:t>
      </w:r>
      <w:proofErr w:type="spellStart"/>
      <w:r w:rsidRPr="00853447">
        <w:rPr>
          <w:u w:val="single"/>
          <w:lang w:val="ru-RU"/>
        </w:rPr>
        <w:t>дані</w:t>
      </w:r>
      <w:proofErr w:type="spellEnd"/>
      <w:r w:rsidRPr="00853447">
        <w:rPr>
          <w:u w:val="single"/>
          <w:lang w:val="ru-RU"/>
        </w:rPr>
        <w:t>: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Шість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досліджень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що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беруть</w:t>
      </w:r>
      <w:proofErr w:type="spellEnd"/>
      <w:r w:rsidRPr="00853447">
        <w:rPr>
          <w:lang w:val="ru-RU"/>
        </w:rPr>
        <w:t xml:space="preserve"> участь у </w:t>
      </w:r>
      <w:proofErr w:type="spellStart"/>
      <w:r w:rsidRPr="00853447">
        <w:rPr>
          <w:lang w:val="ru-RU"/>
        </w:rPr>
        <w:t>трьох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країнах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включаючи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дві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країни</w:t>
      </w:r>
      <w:proofErr w:type="spellEnd"/>
      <w:r w:rsidRPr="00853447">
        <w:rPr>
          <w:lang w:val="ru-RU"/>
        </w:rPr>
        <w:t xml:space="preserve"> з великим </w:t>
      </w:r>
      <w:proofErr w:type="spellStart"/>
      <w:r w:rsidRPr="00853447">
        <w:rPr>
          <w:lang w:val="ru-RU"/>
        </w:rPr>
        <w:t>навантаженням</w:t>
      </w:r>
      <w:proofErr w:type="spellEnd"/>
      <w:r w:rsidRPr="00853447">
        <w:rPr>
          <w:lang w:val="ru-RU"/>
        </w:rPr>
        <w:t xml:space="preserve"> на </w:t>
      </w:r>
      <w:proofErr w:type="spellStart"/>
      <w:r w:rsidRPr="00853447">
        <w:rPr>
          <w:lang w:val="ru-RU"/>
        </w:rPr>
        <w:t>туберкульоз</w:t>
      </w:r>
      <w:proofErr w:type="spellEnd"/>
      <w:r w:rsidRPr="00853447">
        <w:rPr>
          <w:lang w:val="ru-RU"/>
        </w:rPr>
        <w:t xml:space="preserve">). </w:t>
      </w:r>
      <w:proofErr w:type="spellStart"/>
      <w:r w:rsidRPr="00853447">
        <w:rPr>
          <w:lang w:val="ru-RU"/>
        </w:rPr>
        <w:t>Дослідження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оцінювали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спинномозкову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, </w:t>
      </w:r>
      <w:proofErr w:type="spellStart"/>
      <w:r w:rsidRPr="00853447">
        <w:rPr>
          <w:lang w:val="ru-RU"/>
        </w:rPr>
        <w:t>плевральну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, сечу, </w:t>
      </w:r>
      <w:proofErr w:type="spellStart"/>
      <w:r w:rsidRPr="00853447">
        <w:rPr>
          <w:lang w:val="ru-RU"/>
        </w:rPr>
        <w:t>синовіальну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рідину</w:t>
      </w:r>
      <w:proofErr w:type="spellEnd"/>
      <w:r w:rsidRPr="00853447">
        <w:rPr>
          <w:lang w:val="ru-RU"/>
        </w:rPr>
        <w:t xml:space="preserve"> та сечу.</w:t>
      </w:r>
    </w:p>
    <w:p w14:paraId="3169590A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</w:p>
    <w:p w14:paraId="31899C7E" w14:textId="77777777" w:rsidR="00853447" w:rsidRPr="00853447" w:rsidRDefault="00853447" w:rsidP="00853447">
      <w:pPr>
        <w:pStyle w:val="a3"/>
        <w:ind w:left="100" w:right="82"/>
        <w:rPr>
          <w:lang w:val="ru-RU"/>
        </w:rPr>
      </w:pPr>
      <w:proofErr w:type="spellStart"/>
      <w:r w:rsidRPr="00853447">
        <w:rPr>
          <w:u w:val="single"/>
          <w:lang w:val="ru-RU"/>
        </w:rPr>
        <w:t>Результати</w:t>
      </w:r>
      <w:proofErr w:type="spellEnd"/>
      <w:r w:rsidRPr="00853447">
        <w:rPr>
          <w:u w:val="single"/>
          <w:lang w:val="ru-RU"/>
        </w:rPr>
        <w:t>: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Чутливість</w:t>
      </w:r>
      <w:proofErr w:type="spellEnd"/>
      <w:r w:rsidRPr="00853447">
        <w:rPr>
          <w:lang w:val="ru-RU"/>
        </w:rPr>
        <w:t xml:space="preserve"> до </w:t>
      </w:r>
      <w:proofErr w:type="spellStart"/>
      <w:r>
        <w:t>Xpert</w:t>
      </w:r>
      <w:proofErr w:type="spellEnd"/>
      <w:r w:rsidRPr="00853447">
        <w:rPr>
          <w:lang w:val="ru-RU"/>
        </w:rPr>
        <w:t xml:space="preserve"> </w:t>
      </w:r>
      <w:r>
        <w:t>Ultra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змінюється</w:t>
      </w:r>
      <w:proofErr w:type="spellEnd"/>
      <w:r w:rsidRPr="00853447">
        <w:rPr>
          <w:lang w:val="ru-RU"/>
        </w:rPr>
        <w:t xml:space="preserve"> за типом </w:t>
      </w:r>
      <w:proofErr w:type="spellStart"/>
      <w:r w:rsidRPr="00853447">
        <w:rPr>
          <w:lang w:val="ru-RU"/>
        </w:rPr>
        <w:t>зразка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від</w:t>
      </w:r>
      <w:proofErr w:type="spellEnd"/>
      <w:r w:rsidRPr="00853447">
        <w:rPr>
          <w:lang w:val="ru-RU"/>
        </w:rPr>
        <w:t xml:space="preserve"> 71% для </w:t>
      </w:r>
      <w:proofErr w:type="spellStart"/>
      <w:r w:rsidRPr="00853447">
        <w:rPr>
          <w:lang w:val="ru-RU"/>
        </w:rPr>
        <w:t>плевральної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рідини</w:t>
      </w:r>
      <w:proofErr w:type="spellEnd"/>
      <w:r w:rsidRPr="00853447">
        <w:rPr>
          <w:lang w:val="ru-RU"/>
        </w:rPr>
        <w:t xml:space="preserve"> до 100% для </w:t>
      </w:r>
      <w:proofErr w:type="spellStart"/>
      <w:r w:rsidRPr="00853447">
        <w:rPr>
          <w:lang w:val="ru-RU"/>
        </w:rPr>
        <w:t>біопсії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лімфатичних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вузлів</w:t>
      </w:r>
      <w:proofErr w:type="spellEnd"/>
      <w:r w:rsidRPr="00853447">
        <w:rPr>
          <w:lang w:val="ru-RU"/>
        </w:rPr>
        <w:t xml:space="preserve">). </w:t>
      </w:r>
      <w:proofErr w:type="spellStart"/>
      <w:r w:rsidRPr="00853447">
        <w:rPr>
          <w:lang w:val="ru-RU"/>
        </w:rPr>
        <w:t>Специфічність</w:t>
      </w:r>
      <w:proofErr w:type="spellEnd"/>
      <w:r w:rsidRPr="00853447">
        <w:rPr>
          <w:lang w:val="ru-RU"/>
        </w:rPr>
        <w:t xml:space="preserve"> </w:t>
      </w:r>
      <w:proofErr w:type="spellStart"/>
      <w:r>
        <w:t>Xpert</w:t>
      </w:r>
      <w:proofErr w:type="spellEnd"/>
      <w:r w:rsidRPr="00853447">
        <w:rPr>
          <w:lang w:val="ru-RU"/>
        </w:rPr>
        <w:t xml:space="preserve"> </w:t>
      </w:r>
      <w:r>
        <w:t>Ultra</w:t>
      </w:r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також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змінювалася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залежно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від</w:t>
      </w:r>
      <w:proofErr w:type="spellEnd"/>
      <w:r w:rsidRPr="00853447">
        <w:rPr>
          <w:lang w:val="ru-RU"/>
        </w:rPr>
        <w:t xml:space="preserve"> типу </w:t>
      </w:r>
      <w:proofErr w:type="spellStart"/>
      <w:r w:rsidRPr="00853447">
        <w:rPr>
          <w:lang w:val="ru-RU"/>
        </w:rPr>
        <w:t>зразка</w:t>
      </w:r>
      <w:proofErr w:type="spellEnd"/>
      <w:r w:rsidRPr="00853447">
        <w:rPr>
          <w:lang w:val="ru-RU"/>
        </w:rPr>
        <w:t xml:space="preserve"> (</w:t>
      </w:r>
      <w:proofErr w:type="spellStart"/>
      <w:r w:rsidRPr="00853447">
        <w:rPr>
          <w:lang w:val="ru-RU"/>
        </w:rPr>
        <w:t>від</w:t>
      </w:r>
      <w:proofErr w:type="spellEnd"/>
      <w:r w:rsidRPr="00853447">
        <w:rPr>
          <w:lang w:val="ru-RU"/>
        </w:rPr>
        <w:t xml:space="preserve"> 71% для </w:t>
      </w:r>
      <w:proofErr w:type="spellStart"/>
      <w:r w:rsidRPr="00853447">
        <w:rPr>
          <w:lang w:val="ru-RU"/>
        </w:rPr>
        <w:t>плевральної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рідини</w:t>
      </w:r>
      <w:proofErr w:type="spellEnd"/>
      <w:r w:rsidRPr="00853447">
        <w:rPr>
          <w:lang w:val="ru-RU"/>
        </w:rPr>
        <w:t xml:space="preserve"> до 100% для </w:t>
      </w:r>
      <w:proofErr w:type="spellStart"/>
      <w:r w:rsidRPr="00853447">
        <w:rPr>
          <w:lang w:val="ru-RU"/>
        </w:rPr>
        <w:t>сечі</w:t>
      </w:r>
      <w:proofErr w:type="spellEnd"/>
      <w:r w:rsidRPr="00853447">
        <w:rPr>
          <w:lang w:val="ru-RU"/>
        </w:rPr>
        <w:t>).</w:t>
      </w:r>
    </w:p>
    <w:p w14:paraId="074548AC" w14:textId="77777777" w:rsidR="00853447" w:rsidRPr="00853447" w:rsidRDefault="00853447" w:rsidP="00853447">
      <w:pPr>
        <w:pStyle w:val="a3"/>
        <w:ind w:left="100" w:right="407"/>
        <w:rPr>
          <w:lang w:val="ru-RU"/>
        </w:rPr>
      </w:pPr>
    </w:p>
    <w:p w14:paraId="0801991F" w14:textId="77777777" w:rsidR="00853447" w:rsidRPr="00853447" w:rsidRDefault="00853447" w:rsidP="00853447">
      <w:pPr>
        <w:pStyle w:val="a3"/>
        <w:ind w:left="100" w:right="407"/>
        <w:rPr>
          <w:lang w:val="ru-RU"/>
        </w:rPr>
      </w:pPr>
      <w:proofErr w:type="spellStart"/>
      <w:r w:rsidRPr="00853447">
        <w:rPr>
          <w:u w:val="single"/>
          <w:lang w:val="ru-RU"/>
        </w:rPr>
        <w:t>Втручання</w:t>
      </w:r>
      <w:proofErr w:type="spellEnd"/>
      <w:r w:rsidRPr="00853447">
        <w:rPr>
          <w:u w:val="single"/>
          <w:lang w:val="ru-RU"/>
        </w:rPr>
        <w:t>:</w:t>
      </w:r>
      <w:r w:rsidRPr="00853447">
        <w:rPr>
          <w:lang w:val="ru-RU"/>
        </w:rPr>
        <w:t xml:space="preserve"> </w:t>
      </w:r>
      <w:proofErr w:type="spellStart"/>
      <w:r w:rsidRPr="00853447">
        <w:rPr>
          <w:i/>
          <w:color w:val="4471C4"/>
        </w:rPr>
        <w:t>Xpert</w:t>
      </w:r>
      <w:proofErr w:type="spellEnd"/>
      <w:r w:rsidRPr="00853447">
        <w:rPr>
          <w:i/>
          <w:color w:val="4471C4"/>
        </w:rPr>
        <w:t xml:space="preserve"> MTB / RIF </w:t>
      </w:r>
      <w:proofErr w:type="spellStart"/>
      <w:r w:rsidRPr="00853447">
        <w:rPr>
          <w:i/>
          <w:color w:val="4471C4"/>
        </w:rPr>
        <w:t>або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Xpert</w:t>
      </w:r>
      <w:proofErr w:type="spellEnd"/>
      <w:r w:rsidRPr="00853447">
        <w:rPr>
          <w:i/>
          <w:color w:val="4471C4"/>
        </w:rPr>
        <w:t xml:space="preserve"> Ultra для </w:t>
      </w:r>
      <w:proofErr w:type="spellStart"/>
      <w:r w:rsidRPr="00853447">
        <w:rPr>
          <w:i/>
          <w:color w:val="4471C4"/>
        </w:rPr>
        <w:t>одночасного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виявлення</w:t>
      </w:r>
      <w:proofErr w:type="spellEnd"/>
      <w:r w:rsidRPr="00853447">
        <w:rPr>
          <w:i/>
          <w:color w:val="4471C4"/>
        </w:rPr>
        <w:t xml:space="preserve"> </w:t>
      </w:r>
      <w:proofErr w:type="spellStart"/>
      <w:r w:rsidRPr="00853447">
        <w:rPr>
          <w:i/>
          <w:color w:val="4471C4"/>
        </w:rPr>
        <w:t>резистентності</w:t>
      </w:r>
      <w:proofErr w:type="spellEnd"/>
      <w:r w:rsidRPr="00853447">
        <w:rPr>
          <w:i/>
          <w:color w:val="4471C4"/>
        </w:rPr>
        <w:t xml:space="preserve"> до </w:t>
      </w:r>
      <w:proofErr w:type="spellStart"/>
      <w:r w:rsidRPr="00853447">
        <w:rPr>
          <w:i/>
          <w:color w:val="4471C4"/>
        </w:rPr>
        <w:t>рифампіцину</w:t>
      </w:r>
      <w:proofErr w:type="spellEnd"/>
      <w:r w:rsidRPr="00853447">
        <w:rPr>
          <w:i/>
          <w:color w:val="4471C4"/>
        </w:rPr>
        <w:t xml:space="preserve"> (</w:t>
      </w:r>
      <w:r w:rsidRPr="00853447">
        <w:rPr>
          <w:lang w:val="ru-RU"/>
        </w:rPr>
        <w:t xml:space="preserve">тест на </w:t>
      </w:r>
      <w:proofErr w:type="spellStart"/>
      <w:r w:rsidRPr="00853447">
        <w:rPr>
          <w:lang w:val="ru-RU"/>
        </w:rPr>
        <w:t>фенотипічну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сприйнятливість</w:t>
      </w:r>
      <w:proofErr w:type="spellEnd"/>
      <w:r w:rsidRPr="00853447">
        <w:rPr>
          <w:lang w:val="ru-RU"/>
        </w:rPr>
        <w:t xml:space="preserve"> до </w:t>
      </w:r>
      <w:proofErr w:type="spellStart"/>
      <w:r w:rsidRPr="00853447">
        <w:rPr>
          <w:lang w:val="ru-RU"/>
        </w:rPr>
        <w:t>препаратів</w:t>
      </w:r>
      <w:proofErr w:type="spellEnd"/>
      <w:r w:rsidRPr="00853447">
        <w:rPr>
          <w:lang w:val="ru-RU"/>
        </w:rPr>
        <w:t xml:space="preserve"> як </w:t>
      </w:r>
      <w:proofErr w:type="spellStart"/>
      <w:r w:rsidRPr="00853447">
        <w:rPr>
          <w:lang w:val="ru-RU"/>
        </w:rPr>
        <w:t>еталонний</w:t>
      </w:r>
      <w:proofErr w:type="spellEnd"/>
      <w:r w:rsidRPr="00853447">
        <w:rPr>
          <w:lang w:val="ru-RU"/>
        </w:rPr>
        <w:t xml:space="preserve"> стандарт)</w:t>
      </w:r>
    </w:p>
    <w:p w14:paraId="405BFB4D" w14:textId="77777777" w:rsidR="00853447" w:rsidRPr="00853447" w:rsidRDefault="00853447" w:rsidP="00853447">
      <w:pPr>
        <w:pStyle w:val="a3"/>
        <w:ind w:left="100" w:right="407"/>
        <w:rPr>
          <w:lang w:val="ru-RU"/>
        </w:rPr>
      </w:pPr>
    </w:p>
    <w:p w14:paraId="4E6BB128" w14:textId="23C485ED" w:rsidR="002F6D72" w:rsidRPr="00853447" w:rsidRDefault="00853447" w:rsidP="00853447">
      <w:pPr>
        <w:pStyle w:val="a3"/>
        <w:ind w:left="100" w:right="407"/>
        <w:rPr>
          <w:lang w:val="ru-RU"/>
        </w:rPr>
      </w:pPr>
      <w:proofErr w:type="spellStart"/>
      <w:r w:rsidRPr="00853447">
        <w:rPr>
          <w:lang w:val="ru-RU"/>
        </w:rPr>
        <w:t>Дані</w:t>
      </w:r>
      <w:proofErr w:type="spellEnd"/>
      <w:r w:rsidRPr="00853447">
        <w:rPr>
          <w:lang w:val="ru-RU"/>
        </w:rPr>
        <w:t xml:space="preserve"> показали </w:t>
      </w:r>
      <w:proofErr w:type="spellStart"/>
      <w:r w:rsidRPr="00853447">
        <w:rPr>
          <w:lang w:val="ru-RU"/>
        </w:rPr>
        <w:t>загальну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високу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ефективність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обох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аналізів</w:t>
      </w:r>
      <w:proofErr w:type="spellEnd"/>
      <w:r w:rsidRPr="00853447">
        <w:rPr>
          <w:lang w:val="ru-RU"/>
        </w:rPr>
        <w:t xml:space="preserve"> для </w:t>
      </w:r>
      <w:proofErr w:type="spellStart"/>
      <w:r w:rsidRPr="00853447">
        <w:rPr>
          <w:lang w:val="ru-RU"/>
        </w:rPr>
        <w:t>виявлення</w:t>
      </w:r>
      <w:proofErr w:type="spellEnd"/>
      <w:r w:rsidRPr="00853447">
        <w:rPr>
          <w:lang w:val="ru-RU"/>
        </w:rPr>
        <w:t xml:space="preserve"> </w:t>
      </w:r>
      <w:proofErr w:type="spellStart"/>
      <w:r w:rsidRPr="00853447">
        <w:rPr>
          <w:lang w:val="ru-RU"/>
        </w:rPr>
        <w:t>резистентності</w:t>
      </w:r>
      <w:proofErr w:type="spellEnd"/>
      <w:r w:rsidRPr="00853447">
        <w:rPr>
          <w:lang w:val="ru-RU"/>
        </w:rPr>
        <w:t xml:space="preserve"> до </w:t>
      </w:r>
      <w:proofErr w:type="spellStart"/>
      <w:r w:rsidRPr="00853447">
        <w:rPr>
          <w:lang w:val="ru-RU"/>
        </w:rPr>
        <w:t>рифампіцину</w:t>
      </w:r>
      <w:proofErr w:type="spellEnd"/>
      <w:r w:rsidRPr="00853447">
        <w:rPr>
          <w:lang w:val="ru-RU"/>
        </w:rPr>
        <w:t xml:space="preserve">: </w:t>
      </w:r>
      <w:proofErr w:type="spellStart"/>
      <w:r w:rsidRPr="00853447">
        <w:rPr>
          <w:lang w:val="ru-RU"/>
        </w:rPr>
        <w:t>чутливість</w:t>
      </w:r>
      <w:proofErr w:type="spellEnd"/>
      <w:r w:rsidRPr="00853447">
        <w:rPr>
          <w:lang w:val="ru-RU"/>
        </w:rPr>
        <w:t xml:space="preserve"> 96-97% та </w:t>
      </w:r>
      <w:proofErr w:type="spellStart"/>
      <w:r w:rsidRPr="00853447">
        <w:rPr>
          <w:lang w:val="ru-RU"/>
        </w:rPr>
        <w:t>специфічність</w:t>
      </w:r>
      <w:proofErr w:type="spellEnd"/>
      <w:r w:rsidRPr="00853447">
        <w:rPr>
          <w:lang w:val="ru-RU"/>
        </w:rPr>
        <w:t xml:space="preserve"> 99%.</w:t>
      </w:r>
    </w:p>
    <w:p w14:paraId="5F4FE9EB" w14:textId="77777777" w:rsidR="002F6D72" w:rsidRPr="00853447" w:rsidRDefault="002F6D72">
      <w:pPr>
        <w:pStyle w:val="a3"/>
        <w:spacing w:before="1"/>
        <w:rPr>
          <w:lang w:val="ru-RU"/>
        </w:rPr>
      </w:pPr>
    </w:p>
    <w:p w14:paraId="49472DA0" w14:textId="5B71CE2B" w:rsidR="002F6D72" w:rsidRPr="00B47AC9" w:rsidRDefault="00991090" w:rsidP="00991090">
      <w:pPr>
        <w:pStyle w:val="3"/>
        <w:numPr>
          <w:ilvl w:val="0"/>
          <w:numId w:val="1"/>
        </w:numPr>
        <w:tabs>
          <w:tab w:val="left" w:pos="460"/>
          <w:tab w:val="left" w:pos="461"/>
        </w:tabs>
        <w:spacing w:before="2"/>
        <w:ind w:right="858"/>
        <w:rPr>
          <w:lang w:val="ru-RU"/>
        </w:rPr>
      </w:pPr>
      <w:proofErr w:type="spellStart"/>
      <w:r w:rsidRPr="00991090">
        <w:rPr>
          <w:color w:val="4F81BB"/>
          <w:lang w:val="ru-RU"/>
        </w:rPr>
        <w:t>Висока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діагностична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точність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</w:rPr>
        <w:t>Truenat</w:t>
      </w:r>
      <w:proofErr w:type="spellEnd"/>
      <w:r w:rsidRPr="00991090">
        <w:rPr>
          <w:color w:val="4F81BB"/>
          <w:lang w:val="ru-RU"/>
        </w:rPr>
        <w:t xml:space="preserve"> як початкового тесту для </w:t>
      </w:r>
      <w:proofErr w:type="spellStart"/>
      <w:r w:rsidRPr="00991090">
        <w:rPr>
          <w:color w:val="4F81BB"/>
          <w:lang w:val="ru-RU"/>
        </w:rPr>
        <w:t>діагностики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туберкульозу</w:t>
      </w:r>
      <w:proofErr w:type="spellEnd"/>
      <w:r w:rsidRPr="00991090">
        <w:rPr>
          <w:color w:val="4F81BB"/>
          <w:lang w:val="ru-RU"/>
        </w:rPr>
        <w:t xml:space="preserve"> (</w:t>
      </w:r>
      <w:proofErr w:type="spellStart"/>
      <w:r w:rsidRPr="00991090">
        <w:rPr>
          <w:color w:val="4F81BB"/>
          <w:lang w:val="ru-RU"/>
        </w:rPr>
        <w:t>тобто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заміщення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мікроскопії</w:t>
      </w:r>
      <w:proofErr w:type="spellEnd"/>
      <w:r w:rsidRPr="00991090">
        <w:rPr>
          <w:color w:val="4F81BB"/>
          <w:lang w:val="ru-RU"/>
        </w:rPr>
        <w:t xml:space="preserve"> мазка </w:t>
      </w:r>
      <w:proofErr w:type="spellStart"/>
      <w:r w:rsidRPr="00991090">
        <w:rPr>
          <w:color w:val="4F81BB"/>
          <w:lang w:val="ru-RU"/>
        </w:rPr>
        <w:t>мокротиння</w:t>
      </w:r>
      <w:proofErr w:type="spellEnd"/>
      <w:r w:rsidRPr="00991090">
        <w:rPr>
          <w:color w:val="4F81BB"/>
          <w:lang w:val="ru-RU"/>
        </w:rPr>
        <w:t xml:space="preserve">) та </w:t>
      </w:r>
      <w:proofErr w:type="spellStart"/>
      <w:r w:rsidRPr="00991090">
        <w:rPr>
          <w:color w:val="4F81BB"/>
          <w:lang w:val="ru-RU"/>
        </w:rPr>
        <w:t>послідовного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виявлення</w:t>
      </w:r>
      <w:proofErr w:type="spellEnd"/>
      <w:r w:rsidRPr="00991090">
        <w:rPr>
          <w:color w:val="4F81BB"/>
          <w:lang w:val="ru-RU"/>
        </w:rPr>
        <w:t xml:space="preserve"> </w:t>
      </w:r>
      <w:proofErr w:type="spellStart"/>
      <w:r w:rsidRPr="00991090">
        <w:rPr>
          <w:color w:val="4F81BB"/>
          <w:lang w:val="ru-RU"/>
        </w:rPr>
        <w:t>резистентності</w:t>
      </w:r>
      <w:proofErr w:type="spellEnd"/>
      <w:r w:rsidRPr="00991090">
        <w:rPr>
          <w:color w:val="4F81BB"/>
          <w:lang w:val="ru-RU"/>
        </w:rPr>
        <w:t xml:space="preserve"> до </w:t>
      </w:r>
      <w:proofErr w:type="spellStart"/>
      <w:r w:rsidRPr="00991090">
        <w:rPr>
          <w:color w:val="4F81BB"/>
          <w:lang w:val="ru-RU"/>
        </w:rPr>
        <w:t>рифампіцину</w:t>
      </w:r>
      <w:proofErr w:type="spellEnd"/>
      <w:r w:rsidRPr="00991090">
        <w:rPr>
          <w:color w:val="4F81BB"/>
          <w:lang w:val="ru-RU"/>
        </w:rPr>
        <w:t xml:space="preserve"> </w:t>
      </w:r>
    </w:p>
    <w:p w14:paraId="37FF1FE3" w14:textId="77777777" w:rsidR="00B47AC9" w:rsidRPr="00991090" w:rsidRDefault="00B47AC9" w:rsidP="00B47AC9">
      <w:pPr>
        <w:pStyle w:val="3"/>
        <w:tabs>
          <w:tab w:val="left" w:pos="460"/>
          <w:tab w:val="left" w:pos="461"/>
        </w:tabs>
        <w:spacing w:before="2"/>
        <w:ind w:right="858" w:firstLine="0"/>
        <w:rPr>
          <w:lang w:val="ru-RU"/>
        </w:rPr>
      </w:pPr>
    </w:p>
    <w:p w14:paraId="032D1DFC" w14:textId="77777777" w:rsidR="00B47AC9" w:rsidRP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  <w:proofErr w:type="spellStart"/>
      <w:r w:rsidRPr="00B47AC9">
        <w:rPr>
          <w:u w:val="single"/>
          <w:lang w:val="ru-RU"/>
        </w:rPr>
        <w:t>Втручання</w:t>
      </w:r>
      <w:proofErr w:type="spellEnd"/>
      <w:r w:rsidRPr="00B47AC9">
        <w:rPr>
          <w:u w:val="single"/>
          <w:lang w:val="ru-RU"/>
        </w:rPr>
        <w:t>:</w:t>
      </w:r>
      <w:r w:rsidRPr="00B47AC9">
        <w:rPr>
          <w:lang w:val="ru-RU"/>
        </w:rPr>
        <w:t xml:space="preserve"> </w:t>
      </w:r>
      <w:proofErr w:type="spellStart"/>
      <w:r w:rsidRPr="00B47AC9">
        <w:rPr>
          <w:i/>
          <w:color w:val="4471C4"/>
        </w:rPr>
        <w:t>Truenat</w:t>
      </w:r>
      <w:proofErr w:type="spellEnd"/>
      <w:r w:rsidRPr="00B47AC9">
        <w:rPr>
          <w:i/>
          <w:color w:val="4471C4"/>
        </w:rPr>
        <w:t xml:space="preserve"> MTB і MTB Plus як </w:t>
      </w:r>
      <w:proofErr w:type="spellStart"/>
      <w:r w:rsidRPr="00B47AC9">
        <w:rPr>
          <w:i/>
          <w:color w:val="4471C4"/>
        </w:rPr>
        <w:t>заміна</w:t>
      </w:r>
      <w:proofErr w:type="spellEnd"/>
      <w:r w:rsidRPr="00B47AC9">
        <w:rPr>
          <w:i/>
          <w:color w:val="4471C4"/>
        </w:rPr>
        <w:t xml:space="preserve"> </w:t>
      </w:r>
      <w:proofErr w:type="spellStart"/>
      <w:r w:rsidRPr="00B47AC9">
        <w:rPr>
          <w:i/>
          <w:color w:val="4471C4"/>
        </w:rPr>
        <w:t>мікроскопії</w:t>
      </w:r>
      <w:proofErr w:type="spellEnd"/>
      <w:r w:rsidRPr="00B47AC9">
        <w:rPr>
          <w:i/>
          <w:color w:val="4471C4"/>
        </w:rPr>
        <w:t xml:space="preserve"> мазка </w:t>
      </w:r>
      <w:proofErr w:type="spellStart"/>
      <w:r w:rsidRPr="00B47AC9">
        <w:rPr>
          <w:i/>
          <w:color w:val="4471C4"/>
        </w:rPr>
        <w:t>мокротиння</w:t>
      </w:r>
      <w:proofErr w:type="spellEnd"/>
      <w:r w:rsidRPr="00B47AC9">
        <w:rPr>
          <w:lang w:val="ru-RU"/>
        </w:rPr>
        <w:t xml:space="preserve"> (</w:t>
      </w:r>
      <w:proofErr w:type="spellStart"/>
      <w:r w:rsidRPr="00B47AC9">
        <w:rPr>
          <w:lang w:val="ru-RU"/>
        </w:rPr>
        <w:t>бактеріологічна</w:t>
      </w:r>
      <w:proofErr w:type="spellEnd"/>
      <w:r w:rsidRPr="00B47AC9">
        <w:rPr>
          <w:lang w:val="ru-RU"/>
        </w:rPr>
        <w:t xml:space="preserve"> культура як </w:t>
      </w:r>
      <w:proofErr w:type="spellStart"/>
      <w:r w:rsidRPr="00B47AC9">
        <w:rPr>
          <w:lang w:val="ru-RU"/>
        </w:rPr>
        <w:t>еталонний</w:t>
      </w:r>
      <w:proofErr w:type="spellEnd"/>
      <w:r w:rsidRPr="00B47AC9">
        <w:rPr>
          <w:lang w:val="ru-RU"/>
        </w:rPr>
        <w:t xml:space="preserve"> стандарт)</w:t>
      </w:r>
    </w:p>
    <w:p w14:paraId="74E4069D" w14:textId="77777777" w:rsidR="00B47AC9" w:rsidRP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</w:p>
    <w:p w14:paraId="6ADEAC79" w14:textId="77777777" w:rsidR="00B47AC9" w:rsidRP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  <w:proofErr w:type="spellStart"/>
      <w:r w:rsidRPr="00B47AC9">
        <w:rPr>
          <w:u w:val="single"/>
          <w:lang w:val="ru-RU"/>
        </w:rPr>
        <w:t>Оцінені</w:t>
      </w:r>
      <w:proofErr w:type="spellEnd"/>
      <w:r w:rsidRPr="00B47AC9">
        <w:rPr>
          <w:u w:val="single"/>
          <w:lang w:val="ru-RU"/>
        </w:rPr>
        <w:t xml:space="preserve"> </w:t>
      </w:r>
      <w:proofErr w:type="spellStart"/>
      <w:r w:rsidRPr="00B47AC9">
        <w:rPr>
          <w:u w:val="single"/>
          <w:lang w:val="ru-RU"/>
        </w:rPr>
        <w:t>дані</w:t>
      </w:r>
      <w:proofErr w:type="spellEnd"/>
      <w:r w:rsidRPr="00B47AC9">
        <w:rPr>
          <w:u w:val="single"/>
          <w:lang w:val="ru-RU"/>
        </w:rPr>
        <w:t>:</w:t>
      </w:r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Проміжні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дані</w:t>
      </w:r>
      <w:proofErr w:type="spellEnd"/>
      <w:r w:rsidRPr="00B47AC9">
        <w:rPr>
          <w:lang w:val="ru-RU"/>
        </w:rPr>
        <w:t xml:space="preserve">, </w:t>
      </w:r>
      <w:proofErr w:type="spellStart"/>
      <w:r w:rsidRPr="00B47AC9">
        <w:rPr>
          <w:lang w:val="ru-RU"/>
        </w:rPr>
        <w:t>проведені</w:t>
      </w:r>
      <w:proofErr w:type="spellEnd"/>
      <w:r w:rsidRPr="00B47AC9">
        <w:rPr>
          <w:lang w:val="ru-RU"/>
        </w:rPr>
        <w:t xml:space="preserve"> у </w:t>
      </w:r>
      <w:proofErr w:type="spellStart"/>
      <w:r w:rsidRPr="00B47AC9">
        <w:rPr>
          <w:lang w:val="ru-RU"/>
        </w:rPr>
        <w:t>централізованому</w:t>
      </w:r>
      <w:proofErr w:type="spellEnd"/>
      <w:r w:rsidRPr="00B47AC9">
        <w:rPr>
          <w:lang w:val="ru-RU"/>
        </w:rPr>
        <w:t xml:space="preserve">, перспективному </w:t>
      </w:r>
      <w:proofErr w:type="spellStart"/>
      <w:r w:rsidRPr="00B47AC9">
        <w:rPr>
          <w:lang w:val="ru-RU"/>
        </w:rPr>
        <w:t>польовому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оцінюванні</w:t>
      </w:r>
      <w:proofErr w:type="spellEnd"/>
      <w:r w:rsidRPr="00B47AC9">
        <w:rPr>
          <w:lang w:val="ru-RU"/>
        </w:rPr>
        <w:t xml:space="preserve">, </w:t>
      </w:r>
      <w:proofErr w:type="spellStart"/>
      <w:r w:rsidRPr="00B47AC9">
        <w:rPr>
          <w:lang w:val="ru-RU"/>
        </w:rPr>
        <w:t>проведеному</w:t>
      </w:r>
      <w:proofErr w:type="spellEnd"/>
      <w:r w:rsidRPr="00B47AC9">
        <w:rPr>
          <w:lang w:val="ru-RU"/>
        </w:rPr>
        <w:t xml:space="preserve"> за </w:t>
      </w:r>
      <w:proofErr w:type="spellStart"/>
      <w:r w:rsidRPr="00B47AC9">
        <w:rPr>
          <w:lang w:val="ru-RU"/>
        </w:rPr>
        <w:t>координацією</w:t>
      </w:r>
      <w:proofErr w:type="spellEnd"/>
      <w:r w:rsidRPr="00B47AC9">
        <w:rPr>
          <w:lang w:val="ru-RU"/>
        </w:rPr>
        <w:t xml:space="preserve"> </w:t>
      </w:r>
      <w:r w:rsidRPr="00B47AC9">
        <w:t>FIND</w:t>
      </w:r>
      <w:r w:rsidRPr="00B47AC9">
        <w:rPr>
          <w:lang w:val="ru-RU"/>
        </w:rPr>
        <w:t xml:space="preserve">, у </w:t>
      </w:r>
      <w:proofErr w:type="spellStart"/>
      <w:r w:rsidRPr="00B47AC9">
        <w:rPr>
          <w:lang w:val="ru-RU"/>
        </w:rPr>
        <w:t>чотирьох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країнах</w:t>
      </w:r>
      <w:proofErr w:type="spellEnd"/>
      <w:r w:rsidRPr="00B47AC9">
        <w:rPr>
          <w:lang w:val="ru-RU"/>
        </w:rPr>
        <w:t xml:space="preserve"> (</w:t>
      </w:r>
      <w:proofErr w:type="spellStart"/>
      <w:r w:rsidRPr="00B47AC9">
        <w:rPr>
          <w:lang w:val="ru-RU"/>
        </w:rPr>
        <w:t>Індія</w:t>
      </w:r>
      <w:proofErr w:type="spellEnd"/>
      <w:r w:rsidRPr="00B47AC9">
        <w:rPr>
          <w:lang w:val="ru-RU"/>
        </w:rPr>
        <w:t xml:space="preserve">, </w:t>
      </w:r>
      <w:proofErr w:type="spellStart"/>
      <w:r w:rsidRPr="00B47AC9">
        <w:rPr>
          <w:lang w:val="ru-RU"/>
        </w:rPr>
        <w:t>Ефіопія</w:t>
      </w:r>
      <w:proofErr w:type="spellEnd"/>
      <w:r w:rsidRPr="00B47AC9">
        <w:rPr>
          <w:lang w:val="ru-RU"/>
        </w:rPr>
        <w:t xml:space="preserve">, Перу, Папуа-Нова </w:t>
      </w:r>
      <w:proofErr w:type="spellStart"/>
      <w:r w:rsidRPr="00B47AC9">
        <w:rPr>
          <w:lang w:val="ru-RU"/>
        </w:rPr>
        <w:t>Гвінея</w:t>
      </w:r>
      <w:proofErr w:type="spellEnd"/>
      <w:r w:rsidRPr="00B47AC9">
        <w:rPr>
          <w:lang w:val="ru-RU"/>
        </w:rPr>
        <w:t xml:space="preserve">), в </w:t>
      </w:r>
      <w:proofErr w:type="spellStart"/>
      <w:r w:rsidRPr="00B47AC9">
        <w:rPr>
          <w:lang w:val="ru-RU"/>
        </w:rPr>
        <w:t>яких</w:t>
      </w:r>
      <w:proofErr w:type="spellEnd"/>
      <w:r w:rsidRPr="00B47AC9">
        <w:rPr>
          <w:lang w:val="ru-RU"/>
        </w:rPr>
        <w:t xml:space="preserve"> брали участь 744 </w:t>
      </w:r>
      <w:proofErr w:type="spellStart"/>
      <w:r w:rsidRPr="00B47AC9">
        <w:rPr>
          <w:lang w:val="ru-RU"/>
        </w:rPr>
        <w:t>учасники</w:t>
      </w:r>
      <w:proofErr w:type="spellEnd"/>
      <w:r w:rsidRPr="00B47AC9">
        <w:rPr>
          <w:lang w:val="ru-RU"/>
        </w:rPr>
        <w:t xml:space="preserve"> (</w:t>
      </w:r>
      <w:proofErr w:type="spellStart"/>
      <w:r w:rsidRPr="00B47AC9">
        <w:rPr>
          <w:lang w:val="ru-RU"/>
        </w:rPr>
        <w:t>із</w:t>
      </w:r>
      <w:proofErr w:type="spellEnd"/>
      <w:r w:rsidRPr="00B47AC9">
        <w:rPr>
          <w:lang w:val="ru-RU"/>
        </w:rPr>
        <w:t xml:space="preserve"> 1866 </w:t>
      </w:r>
      <w:proofErr w:type="spellStart"/>
      <w:r w:rsidRPr="00B47AC9">
        <w:rPr>
          <w:lang w:val="ru-RU"/>
        </w:rPr>
        <w:t>зареєстрованих</w:t>
      </w:r>
      <w:proofErr w:type="spellEnd"/>
      <w:r w:rsidRPr="00B47AC9">
        <w:rPr>
          <w:lang w:val="ru-RU"/>
        </w:rPr>
        <w:t xml:space="preserve">) з </w:t>
      </w:r>
      <w:proofErr w:type="spellStart"/>
      <w:r w:rsidRPr="00B47AC9">
        <w:rPr>
          <w:lang w:val="ru-RU"/>
        </w:rPr>
        <w:t>кінцевими</w:t>
      </w:r>
      <w:proofErr w:type="spellEnd"/>
      <w:r w:rsidRPr="00B47AC9">
        <w:rPr>
          <w:lang w:val="ru-RU"/>
        </w:rPr>
        <w:t xml:space="preserve"> результатами </w:t>
      </w:r>
      <w:proofErr w:type="spellStart"/>
      <w:r w:rsidRPr="00B47AC9">
        <w:rPr>
          <w:lang w:val="ru-RU"/>
        </w:rPr>
        <w:t>бактеріологічної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культури</w:t>
      </w:r>
      <w:proofErr w:type="spellEnd"/>
      <w:r w:rsidRPr="00B47AC9">
        <w:rPr>
          <w:lang w:val="ru-RU"/>
        </w:rPr>
        <w:t xml:space="preserve">. </w:t>
      </w:r>
      <w:proofErr w:type="spellStart"/>
      <w:r w:rsidRPr="00B47AC9">
        <w:rPr>
          <w:lang w:val="ru-RU"/>
        </w:rPr>
        <w:t>Огляд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ґрунтувався</w:t>
      </w:r>
      <w:proofErr w:type="spellEnd"/>
      <w:r w:rsidRPr="00B47AC9">
        <w:rPr>
          <w:lang w:val="ru-RU"/>
        </w:rPr>
        <w:t xml:space="preserve"> на </w:t>
      </w:r>
      <w:proofErr w:type="spellStart"/>
      <w:r w:rsidRPr="00B47AC9">
        <w:rPr>
          <w:lang w:val="ru-RU"/>
        </w:rPr>
        <w:t>проміжних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даних</w:t>
      </w:r>
      <w:proofErr w:type="spellEnd"/>
      <w:r w:rsidRPr="00B47AC9">
        <w:rPr>
          <w:lang w:val="ru-RU"/>
        </w:rPr>
        <w:t xml:space="preserve">, </w:t>
      </w:r>
      <w:proofErr w:type="spellStart"/>
      <w:r w:rsidRPr="00B47AC9">
        <w:rPr>
          <w:lang w:val="ru-RU"/>
        </w:rPr>
        <w:t>потрібно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більше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даних</w:t>
      </w:r>
      <w:proofErr w:type="spellEnd"/>
      <w:r w:rsidRPr="00B47AC9">
        <w:rPr>
          <w:lang w:val="ru-RU"/>
        </w:rPr>
        <w:t xml:space="preserve">, у тому </w:t>
      </w:r>
      <w:proofErr w:type="spellStart"/>
      <w:r w:rsidRPr="00B47AC9">
        <w:rPr>
          <w:lang w:val="ru-RU"/>
        </w:rPr>
        <w:t>числі</w:t>
      </w:r>
      <w:proofErr w:type="spellEnd"/>
      <w:r w:rsidRPr="00B47AC9">
        <w:rPr>
          <w:lang w:val="ru-RU"/>
        </w:rPr>
        <w:t xml:space="preserve"> про </w:t>
      </w:r>
      <w:proofErr w:type="spellStart"/>
      <w:r w:rsidRPr="00B47AC9">
        <w:rPr>
          <w:lang w:val="ru-RU"/>
        </w:rPr>
        <w:t>результати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пацієнтів</w:t>
      </w:r>
      <w:proofErr w:type="spellEnd"/>
      <w:r w:rsidRPr="00B47AC9">
        <w:rPr>
          <w:lang w:val="ru-RU"/>
        </w:rPr>
        <w:t>.</w:t>
      </w:r>
    </w:p>
    <w:p w14:paraId="7B8B7D0A" w14:textId="77777777" w:rsidR="00B47AC9" w:rsidRP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</w:p>
    <w:p w14:paraId="3148D5CE" w14:textId="77777777" w:rsidR="00B47AC9" w:rsidRP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  <w:proofErr w:type="spellStart"/>
      <w:r w:rsidRPr="00B47AC9">
        <w:rPr>
          <w:u w:val="single"/>
          <w:lang w:val="ru-RU"/>
        </w:rPr>
        <w:t>Результати</w:t>
      </w:r>
      <w:proofErr w:type="spellEnd"/>
      <w:r w:rsidRPr="00B47AC9">
        <w:rPr>
          <w:u w:val="single"/>
          <w:lang w:val="ru-RU"/>
        </w:rPr>
        <w:t>:</w:t>
      </w:r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Загальна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чутливість</w:t>
      </w:r>
      <w:proofErr w:type="spellEnd"/>
      <w:r w:rsidRPr="00B47AC9">
        <w:rPr>
          <w:lang w:val="ru-RU"/>
        </w:rPr>
        <w:t xml:space="preserve"> тесту </w:t>
      </w:r>
      <w:proofErr w:type="spellStart"/>
      <w:r w:rsidRPr="00B47AC9">
        <w:t>Truenat</w:t>
      </w:r>
      <w:proofErr w:type="spellEnd"/>
      <w:r w:rsidRPr="00B47AC9">
        <w:rPr>
          <w:lang w:val="ru-RU"/>
        </w:rPr>
        <w:t xml:space="preserve"> </w:t>
      </w:r>
      <w:r w:rsidRPr="00B47AC9">
        <w:t>MTB</w:t>
      </w:r>
      <w:r w:rsidRPr="00B47AC9">
        <w:rPr>
          <w:lang w:val="ru-RU"/>
        </w:rPr>
        <w:t xml:space="preserve"> становила 83%, а тест </w:t>
      </w:r>
      <w:proofErr w:type="spellStart"/>
      <w:r w:rsidRPr="00B47AC9">
        <w:t>MTBPlus</w:t>
      </w:r>
      <w:proofErr w:type="spellEnd"/>
      <w:r w:rsidRPr="00B47AC9">
        <w:rPr>
          <w:lang w:val="ru-RU"/>
        </w:rPr>
        <w:t xml:space="preserve"> - 89%. </w:t>
      </w:r>
      <w:proofErr w:type="spellStart"/>
      <w:r w:rsidRPr="00B47AC9">
        <w:rPr>
          <w:lang w:val="ru-RU"/>
        </w:rPr>
        <w:t>Специфічність</w:t>
      </w:r>
      <w:proofErr w:type="spellEnd"/>
      <w:r w:rsidRPr="00B47AC9">
        <w:rPr>
          <w:lang w:val="ru-RU"/>
        </w:rPr>
        <w:t xml:space="preserve"> становила 99% для </w:t>
      </w:r>
      <w:r w:rsidRPr="00B47AC9">
        <w:t>MTB</w:t>
      </w:r>
      <w:r w:rsidRPr="00B47AC9">
        <w:rPr>
          <w:lang w:val="ru-RU"/>
        </w:rPr>
        <w:t xml:space="preserve"> і 98% для </w:t>
      </w:r>
      <w:proofErr w:type="spellStart"/>
      <w:r w:rsidRPr="00B47AC9">
        <w:rPr>
          <w:lang w:val="ru-RU"/>
        </w:rPr>
        <w:t>аналізу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t>MTBPlus</w:t>
      </w:r>
      <w:proofErr w:type="spellEnd"/>
      <w:r w:rsidRPr="00B47AC9">
        <w:rPr>
          <w:lang w:val="ru-RU"/>
        </w:rPr>
        <w:t xml:space="preserve">. </w:t>
      </w:r>
      <w:proofErr w:type="spellStart"/>
      <w:r w:rsidRPr="00B47AC9">
        <w:rPr>
          <w:lang w:val="ru-RU"/>
        </w:rPr>
        <w:t>Проміжний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аналіз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також</w:t>
      </w:r>
      <w:proofErr w:type="spellEnd"/>
      <w:r w:rsidRPr="00B47AC9">
        <w:rPr>
          <w:lang w:val="ru-RU"/>
        </w:rPr>
        <w:t xml:space="preserve"> включав </w:t>
      </w:r>
      <w:proofErr w:type="spellStart"/>
      <w:r w:rsidRPr="00B47AC9">
        <w:rPr>
          <w:lang w:val="ru-RU"/>
        </w:rPr>
        <w:t>оцінку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експлуатаційних</w:t>
      </w:r>
      <w:proofErr w:type="spellEnd"/>
      <w:r w:rsidRPr="00B47AC9">
        <w:rPr>
          <w:lang w:val="ru-RU"/>
        </w:rPr>
        <w:t xml:space="preserve"> характеристик (</w:t>
      </w:r>
      <w:proofErr w:type="spellStart"/>
      <w:r w:rsidRPr="00B47AC9">
        <w:rPr>
          <w:lang w:val="ru-RU"/>
        </w:rPr>
        <w:t>наданих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виробником</w:t>
      </w:r>
      <w:proofErr w:type="spellEnd"/>
      <w:r w:rsidRPr="00B47AC9">
        <w:rPr>
          <w:lang w:val="ru-RU"/>
        </w:rPr>
        <w:t xml:space="preserve">) та простоту </w:t>
      </w:r>
      <w:proofErr w:type="spellStart"/>
      <w:r w:rsidRPr="00B47AC9">
        <w:rPr>
          <w:lang w:val="ru-RU"/>
        </w:rPr>
        <w:t>використання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аналізів</w:t>
      </w:r>
      <w:proofErr w:type="spellEnd"/>
      <w:r w:rsidRPr="00B47AC9">
        <w:rPr>
          <w:lang w:val="ru-RU"/>
        </w:rPr>
        <w:t xml:space="preserve"> (</w:t>
      </w:r>
      <w:proofErr w:type="spellStart"/>
      <w:r w:rsidRPr="00B47AC9">
        <w:rPr>
          <w:lang w:val="ru-RU"/>
        </w:rPr>
        <w:t>наданий</w:t>
      </w:r>
      <w:proofErr w:type="spellEnd"/>
      <w:r w:rsidRPr="00B47AC9">
        <w:rPr>
          <w:lang w:val="ru-RU"/>
        </w:rPr>
        <w:t xml:space="preserve"> </w:t>
      </w:r>
      <w:r w:rsidRPr="00B47AC9">
        <w:t>FIND</w:t>
      </w:r>
      <w:r w:rsidRPr="00B47AC9">
        <w:rPr>
          <w:lang w:val="ru-RU"/>
        </w:rPr>
        <w:t xml:space="preserve"> з </w:t>
      </w:r>
      <w:proofErr w:type="spellStart"/>
      <w:r w:rsidRPr="00B47AC9">
        <w:rPr>
          <w:lang w:val="ru-RU"/>
        </w:rPr>
        <w:t>досліджуваних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місць</w:t>
      </w:r>
      <w:proofErr w:type="spellEnd"/>
      <w:r w:rsidRPr="00B47AC9">
        <w:rPr>
          <w:lang w:val="ru-RU"/>
        </w:rPr>
        <w:t>).</w:t>
      </w:r>
    </w:p>
    <w:p w14:paraId="523F0C56" w14:textId="77777777" w:rsidR="00B47AC9" w:rsidRP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</w:p>
    <w:p w14:paraId="23DA1BFB" w14:textId="51772041" w:rsidR="00B47AC9" w:rsidRDefault="00B47AC9" w:rsidP="00B47AC9">
      <w:pPr>
        <w:spacing w:before="1" w:line="237" w:lineRule="auto"/>
        <w:ind w:left="100" w:right="283"/>
        <w:jc w:val="both"/>
        <w:rPr>
          <w:lang w:val="ru-RU"/>
        </w:rPr>
      </w:pPr>
      <w:proofErr w:type="spellStart"/>
      <w:r w:rsidRPr="00BA7ADE">
        <w:rPr>
          <w:lang w:val="ru-RU"/>
        </w:rPr>
        <w:t>Втручання</w:t>
      </w:r>
      <w:proofErr w:type="spellEnd"/>
      <w:r w:rsidRPr="00BA7ADE">
        <w:rPr>
          <w:lang w:val="ru-RU"/>
        </w:rPr>
        <w:t>:</w:t>
      </w:r>
      <w:r w:rsidRPr="00B47AC9">
        <w:rPr>
          <w:lang w:val="ru-RU"/>
        </w:rPr>
        <w:t xml:space="preserve"> </w:t>
      </w:r>
      <w:proofErr w:type="spellStart"/>
      <w:r w:rsidRPr="00B47AC9">
        <w:t>Truenat</w:t>
      </w:r>
      <w:proofErr w:type="spellEnd"/>
      <w:r w:rsidRPr="00B47AC9">
        <w:rPr>
          <w:lang w:val="ru-RU"/>
        </w:rPr>
        <w:t xml:space="preserve"> </w:t>
      </w:r>
      <w:r w:rsidRPr="00B47AC9">
        <w:t>MTB</w:t>
      </w:r>
      <w:r w:rsidRPr="00B47AC9">
        <w:rPr>
          <w:lang w:val="ru-RU"/>
        </w:rPr>
        <w:t>-</w:t>
      </w:r>
      <w:r w:rsidRPr="00B47AC9">
        <w:t>Rif</w:t>
      </w:r>
      <w:r w:rsidRPr="00B47AC9">
        <w:rPr>
          <w:lang w:val="ru-RU"/>
        </w:rPr>
        <w:t xml:space="preserve"> </w:t>
      </w:r>
      <w:r w:rsidRPr="00B47AC9">
        <w:t>Dx</w:t>
      </w:r>
      <w:r w:rsidRPr="00B47AC9">
        <w:rPr>
          <w:lang w:val="ru-RU"/>
        </w:rPr>
        <w:t xml:space="preserve"> для </w:t>
      </w:r>
      <w:proofErr w:type="spellStart"/>
      <w:r w:rsidRPr="00B47AC9">
        <w:rPr>
          <w:lang w:val="ru-RU"/>
        </w:rPr>
        <w:t>послідовного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виявлення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резистентності</w:t>
      </w:r>
      <w:proofErr w:type="spellEnd"/>
      <w:r w:rsidRPr="00B47AC9">
        <w:rPr>
          <w:lang w:val="ru-RU"/>
        </w:rPr>
        <w:t xml:space="preserve"> до </w:t>
      </w:r>
      <w:proofErr w:type="spellStart"/>
      <w:r w:rsidRPr="00B47AC9">
        <w:rPr>
          <w:lang w:val="ru-RU"/>
        </w:rPr>
        <w:t>рифампіцину</w:t>
      </w:r>
      <w:proofErr w:type="spellEnd"/>
      <w:r w:rsidRPr="00B47AC9">
        <w:rPr>
          <w:lang w:val="ru-RU"/>
        </w:rPr>
        <w:t xml:space="preserve"> (тест на </w:t>
      </w:r>
      <w:proofErr w:type="spellStart"/>
      <w:r w:rsidRPr="00B47AC9">
        <w:rPr>
          <w:lang w:val="ru-RU"/>
        </w:rPr>
        <w:t>фенотипічну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сприйнятливість</w:t>
      </w:r>
      <w:proofErr w:type="spellEnd"/>
      <w:r w:rsidRPr="00B47AC9">
        <w:rPr>
          <w:lang w:val="ru-RU"/>
        </w:rPr>
        <w:t xml:space="preserve"> до </w:t>
      </w:r>
      <w:proofErr w:type="spellStart"/>
      <w:r w:rsidRPr="00B47AC9">
        <w:rPr>
          <w:lang w:val="ru-RU"/>
        </w:rPr>
        <w:t>лікарських</w:t>
      </w:r>
      <w:proofErr w:type="spellEnd"/>
      <w:r w:rsidRPr="00B47AC9">
        <w:rPr>
          <w:lang w:val="ru-RU"/>
        </w:rPr>
        <w:t xml:space="preserve"> </w:t>
      </w:r>
      <w:proofErr w:type="spellStart"/>
      <w:r w:rsidRPr="00B47AC9">
        <w:rPr>
          <w:lang w:val="ru-RU"/>
        </w:rPr>
        <w:t>засобів</w:t>
      </w:r>
      <w:proofErr w:type="spellEnd"/>
      <w:r w:rsidRPr="00B47AC9">
        <w:rPr>
          <w:lang w:val="ru-RU"/>
        </w:rPr>
        <w:t xml:space="preserve"> як </w:t>
      </w:r>
      <w:proofErr w:type="spellStart"/>
      <w:r w:rsidRPr="00B47AC9">
        <w:rPr>
          <w:lang w:val="ru-RU"/>
        </w:rPr>
        <w:t>еталонний</w:t>
      </w:r>
      <w:proofErr w:type="spellEnd"/>
      <w:r w:rsidRPr="00B47AC9">
        <w:rPr>
          <w:lang w:val="ru-RU"/>
        </w:rPr>
        <w:t xml:space="preserve"> стандарт)</w:t>
      </w:r>
    </w:p>
    <w:p w14:paraId="4CFD6350" w14:textId="77777777" w:rsidR="00BA7ADE" w:rsidRDefault="00BA7ADE" w:rsidP="00BA7ADE">
      <w:pPr>
        <w:spacing w:before="1" w:line="237" w:lineRule="auto"/>
        <w:ind w:left="100" w:right="283"/>
        <w:jc w:val="both"/>
        <w:rPr>
          <w:lang w:val="ru-RU"/>
        </w:rPr>
      </w:pPr>
    </w:p>
    <w:p w14:paraId="01F5DF70" w14:textId="70C4E7CC" w:rsidR="00BA7ADE" w:rsidRPr="00BA7ADE" w:rsidRDefault="00BA7ADE" w:rsidP="00844C0F">
      <w:pPr>
        <w:spacing w:before="1" w:line="237" w:lineRule="auto"/>
        <w:ind w:left="100" w:right="283"/>
        <w:jc w:val="both"/>
        <w:rPr>
          <w:lang w:val="ru-RU"/>
        </w:rPr>
      </w:pPr>
      <w:proofErr w:type="spellStart"/>
      <w:r w:rsidRPr="00BA7ADE">
        <w:rPr>
          <w:u w:val="single"/>
          <w:lang w:val="ru-RU"/>
        </w:rPr>
        <w:t>Оцінені</w:t>
      </w:r>
      <w:proofErr w:type="spellEnd"/>
      <w:r w:rsidRPr="00BA7ADE">
        <w:rPr>
          <w:u w:val="single"/>
          <w:lang w:val="ru-RU"/>
        </w:rPr>
        <w:t xml:space="preserve"> </w:t>
      </w:r>
      <w:proofErr w:type="spellStart"/>
      <w:r w:rsidRPr="00BA7ADE">
        <w:rPr>
          <w:u w:val="single"/>
          <w:lang w:val="ru-RU"/>
        </w:rPr>
        <w:t>дані</w:t>
      </w:r>
      <w:proofErr w:type="spellEnd"/>
      <w:r w:rsidRPr="00BA7ADE">
        <w:rPr>
          <w:u w:val="single"/>
          <w:lang w:val="ru-RU"/>
        </w:rPr>
        <w:t>:</w:t>
      </w:r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Проміжні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дані</w:t>
      </w:r>
      <w:proofErr w:type="spellEnd"/>
      <w:r w:rsidRPr="00BA7ADE">
        <w:rPr>
          <w:lang w:val="ru-RU"/>
        </w:rPr>
        <w:t xml:space="preserve">, </w:t>
      </w:r>
      <w:proofErr w:type="spellStart"/>
      <w:r w:rsidRPr="00BA7ADE">
        <w:rPr>
          <w:lang w:val="ru-RU"/>
        </w:rPr>
        <w:t>проведені</w:t>
      </w:r>
      <w:proofErr w:type="spellEnd"/>
      <w:r w:rsidRPr="00BA7ADE">
        <w:rPr>
          <w:lang w:val="ru-RU"/>
        </w:rPr>
        <w:t xml:space="preserve"> у </w:t>
      </w:r>
      <w:proofErr w:type="spellStart"/>
      <w:r w:rsidRPr="00BA7ADE">
        <w:rPr>
          <w:lang w:val="ru-RU"/>
        </w:rPr>
        <w:t>централізованому</w:t>
      </w:r>
      <w:proofErr w:type="spellEnd"/>
      <w:r w:rsidRPr="00BA7ADE">
        <w:rPr>
          <w:lang w:val="ru-RU"/>
        </w:rPr>
        <w:t xml:space="preserve">, перспективному </w:t>
      </w:r>
      <w:proofErr w:type="spellStart"/>
      <w:r w:rsidRPr="00BA7ADE">
        <w:rPr>
          <w:lang w:val="ru-RU"/>
        </w:rPr>
        <w:t>польовому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дослідженні</w:t>
      </w:r>
      <w:proofErr w:type="spellEnd"/>
      <w:r w:rsidRPr="00BA7ADE">
        <w:rPr>
          <w:lang w:val="ru-RU"/>
        </w:rPr>
        <w:t xml:space="preserve"> </w:t>
      </w:r>
      <w:bookmarkStart w:id="2" w:name="_GoBack"/>
      <w:r w:rsidRPr="00BA7ADE">
        <w:rPr>
          <w:lang w:val="ru-RU"/>
        </w:rPr>
        <w:lastRenderedPageBreak/>
        <w:t xml:space="preserve">з </w:t>
      </w:r>
      <w:proofErr w:type="spellStart"/>
      <w:r w:rsidRPr="00BA7ADE">
        <w:rPr>
          <w:lang w:val="ru-RU"/>
        </w:rPr>
        <w:t>оцінки</w:t>
      </w:r>
      <w:proofErr w:type="spellEnd"/>
      <w:r w:rsidRPr="00BA7ADE">
        <w:rPr>
          <w:lang w:val="ru-RU"/>
        </w:rPr>
        <w:t xml:space="preserve">, </w:t>
      </w:r>
      <w:proofErr w:type="spellStart"/>
      <w:r w:rsidRPr="00BA7ADE">
        <w:rPr>
          <w:lang w:val="ru-RU"/>
        </w:rPr>
        <w:t>проведеному</w:t>
      </w:r>
      <w:proofErr w:type="spellEnd"/>
      <w:r w:rsidRPr="00BA7ADE">
        <w:rPr>
          <w:lang w:val="ru-RU"/>
        </w:rPr>
        <w:t xml:space="preserve"> в </w:t>
      </w:r>
      <w:proofErr w:type="spellStart"/>
      <w:r w:rsidRPr="00BA7ADE">
        <w:rPr>
          <w:lang w:val="ru-RU"/>
        </w:rPr>
        <w:t>чотирьох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країнах</w:t>
      </w:r>
      <w:proofErr w:type="spellEnd"/>
      <w:r w:rsidRPr="00BA7ADE">
        <w:rPr>
          <w:lang w:val="ru-RU"/>
        </w:rPr>
        <w:t xml:space="preserve"> (</w:t>
      </w:r>
      <w:proofErr w:type="spellStart"/>
      <w:r w:rsidRPr="00BA7ADE">
        <w:rPr>
          <w:lang w:val="ru-RU"/>
        </w:rPr>
        <w:t>Індія</w:t>
      </w:r>
      <w:proofErr w:type="spellEnd"/>
      <w:r w:rsidRPr="00BA7ADE">
        <w:rPr>
          <w:lang w:val="ru-RU"/>
        </w:rPr>
        <w:t xml:space="preserve">, </w:t>
      </w:r>
      <w:proofErr w:type="spellStart"/>
      <w:r w:rsidRPr="00BA7ADE">
        <w:rPr>
          <w:lang w:val="ru-RU"/>
        </w:rPr>
        <w:t>Ефіопія</w:t>
      </w:r>
      <w:proofErr w:type="spellEnd"/>
      <w:r w:rsidRPr="00BA7ADE">
        <w:rPr>
          <w:lang w:val="ru-RU"/>
        </w:rPr>
        <w:t xml:space="preserve">, Перу, Папуа-Нова </w:t>
      </w:r>
      <w:proofErr w:type="spellStart"/>
      <w:r w:rsidRPr="00BA7ADE">
        <w:rPr>
          <w:lang w:val="ru-RU"/>
        </w:rPr>
        <w:t>Гвінея</w:t>
      </w:r>
      <w:proofErr w:type="spellEnd"/>
      <w:r w:rsidRPr="00BA7ADE">
        <w:rPr>
          <w:lang w:val="ru-RU"/>
        </w:rPr>
        <w:t xml:space="preserve">), у </w:t>
      </w:r>
      <w:proofErr w:type="spellStart"/>
      <w:r w:rsidRPr="00BA7ADE">
        <w:rPr>
          <w:lang w:val="ru-RU"/>
        </w:rPr>
        <w:t>яких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беруть</w:t>
      </w:r>
      <w:proofErr w:type="spellEnd"/>
      <w:r w:rsidRPr="00BA7ADE">
        <w:rPr>
          <w:lang w:val="ru-RU"/>
        </w:rPr>
        <w:t xml:space="preserve"> участь 163 </w:t>
      </w:r>
      <w:proofErr w:type="spellStart"/>
      <w:r w:rsidRPr="00BA7ADE">
        <w:rPr>
          <w:lang w:val="ru-RU"/>
        </w:rPr>
        <w:t>учасники</w:t>
      </w:r>
      <w:proofErr w:type="spellEnd"/>
      <w:r w:rsidRPr="00BA7ADE">
        <w:rPr>
          <w:lang w:val="ru-RU"/>
        </w:rPr>
        <w:t xml:space="preserve"> (</w:t>
      </w:r>
      <w:proofErr w:type="spellStart"/>
      <w:r w:rsidRPr="00BA7ADE">
        <w:rPr>
          <w:lang w:val="ru-RU"/>
        </w:rPr>
        <w:t>із</w:t>
      </w:r>
      <w:proofErr w:type="spellEnd"/>
      <w:r w:rsidRPr="00BA7ADE">
        <w:rPr>
          <w:lang w:val="ru-RU"/>
        </w:rPr>
        <w:t xml:space="preserve"> 744 - </w:t>
      </w:r>
      <w:proofErr w:type="spellStart"/>
      <w:r w:rsidRPr="00BA7ADE">
        <w:rPr>
          <w:lang w:val="ru-RU"/>
        </w:rPr>
        <w:t>позитивні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результати</w:t>
      </w:r>
      <w:proofErr w:type="spellEnd"/>
      <w:r w:rsidRPr="00BA7ADE">
        <w:rPr>
          <w:lang w:val="ru-RU"/>
        </w:rPr>
        <w:t xml:space="preserve"> MTB та MTB </w:t>
      </w:r>
      <w:proofErr w:type="spellStart"/>
      <w:r w:rsidRPr="00BA7ADE">
        <w:rPr>
          <w:lang w:val="ru-RU"/>
        </w:rPr>
        <w:t>Plus</w:t>
      </w:r>
      <w:proofErr w:type="spellEnd"/>
      <w:r w:rsidRPr="00BA7ADE">
        <w:rPr>
          <w:lang w:val="ru-RU"/>
        </w:rPr>
        <w:t xml:space="preserve">) та </w:t>
      </w:r>
      <w:proofErr w:type="spellStart"/>
      <w:r w:rsidRPr="00BA7ADE">
        <w:rPr>
          <w:lang w:val="ru-RU"/>
        </w:rPr>
        <w:t>остаточне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тестування</w:t>
      </w:r>
      <w:proofErr w:type="spellEnd"/>
      <w:r w:rsidRPr="00BA7ADE">
        <w:rPr>
          <w:lang w:val="ru-RU"/>
        </w:rPr>
        <w:t xml:space="preserve"> на </w:t>
      </w:r>
      <w:proofErr w:type="spellStart"/>
      <w:r w:rsidRPr="00BA7ADE">
        <w:rPr>
          <w:lang w:val="ru-RU"/>
        </w:rPr>
        <w:t>сприйнятливість</w:t>
      </w:r>
      <w:proofErr w:type="spellEnd"/>
      <w:r w:rsidRPr="00BA7ADE">
        <w:rPr>
          <w:lang w:val="ru-RU"/>
        </w:rPr>
        <w:t xml:space="preserve"> до </w:t>
      </w:r>
      <w:proofErr w:type="spellStart"/>
      <w:r w:rsidRPr="00BA7ADE">
        <w:rPr>
          <w:lang w:val="ru-RU"/>
        </w:rPr>
        <w:t>фенотипічного</w:t>
      </w:r>
      <w:proofErr w:type="spellEnd"/>
      <w:r w:rsidRPr="00BA7ADE">
        <w:rPr>
          <w:lang w:val="ru-RU"/>
        </w:rPr>
        <w:t xml:space="preserve"> препарату.</w:t>
      </w:r>
    </w:p>
    <w:p w14:paraId="50896EC1" w14:textId="77777777" w:rsidR="00BA7ADE" w:rsidRPr="00BA7ADE" w:rsidRDefault="00BA7ADE" w:rsidP="00844C0F">
      <w:pPr>
        <w:spacing w:before="1" w:line="237" w:lineRule="auto"/>
        <w:ind w:left="100" w:right="283"/>
        <w:jc w:val="both"/>
        <w:rPr>
          <w:lang w:val="ru-RU"/>
        </w:rPr>
      </w:pPr>
    </w:p>
    <w:p w14:paraId="621D40D1" w14:textId="436ABC41" w:rsidR="00B47AC9" w:rsidRPr="00B47AC9" w:rsidRDefault="00BA7ADE" w:rsidP="00844C0F">
      <w:pPr>
        <w:spacing w:before="1" w:line="237" w:lineRule="auto"/>
        <w:ind w:left="100" w:right="283"/>
        <w:jc w:val="both"/>
        <w:rPr>
          <w:lang w:val="ru-RU"/>
        </w:rPr>
      </w:pPr>
      <w:proofErr w:type="spellStart"/>
      <w:r w:rsidRPr="00BA7ADE">
        <w:rPr>
          <w:u w:val="single"/>
          <w:lang w:val="ru-RU"/>
        </w:rPr>
        <w:t>Результати</w:t>
      </w:r>
      <w:proofErr w:type="spellEnd"/>
      <w:r w:rsidRPr="00BA7ADE">
        <w:rPr>
          <w:lang w:val="ru-RU"/>
        </w:rPr>
        <w:t xml:space="preserve">: </w:t>
      </w:r>
      <w:proofErr w:type="spellStart"/>
      <w:r w:rsidRPr="00BA7ADE">
        <w:rPr>
          <w:lang w:val="ru-RU"/>
        </w:rPr>
        <w:t>Чутливість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аналізу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Truenat</w:t>
      </w:r>
      <w:proofErr w:type="spellEnd"/>
      <w:r w:rsidRPr="00BA7ADE">
        <w:rPr>
          <w:lang w:val="ru-RU"/>
        </w:rPr>
        <w:t xml:space="preserve"> MTB-</w:t>
      </w:r>
      <w:proofErr w:type="spellStart"/>
      <w:r w:rsidRPr="00BA7ADE">
        <w:rPr>
          <w:lang w:val="ru-RU"/>
        </w:rPr>
        <w:t>Rif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Dx</w:t>
      </w:r>
      <w:proofErr w:type="spellEnd"/>
      <w:r w:rsidRPr="00BA7ADE">
        <w:rPr>
          <w:lang w:val="ru-RU"/>
        </w:rPr>
        <w:t xml:space="preserve"> становила 93%, а </w:t>
      </w:r>
      <w:proofErr w:type="spellStart"/>
      <w:r w:rsidRPr="00BA7ADE">
        <w:rPr>
          <w:lang w:val="ru-RU"/>
        </w:rPr>
        <w:t>специфічність</w:t>
      </w:r>
      <w:proofErr w:type="spellEnd"/>
      <w:r w:rsidRPr="00BA7ADE">
        <w:rPr>
          <w:lang w:val="ru-RU"/>
        </w:rPr>
        <w:t xml:space="preserve"> - 95%.</w:t>
      </w:r>
    </w:p>
    <w:p w14:paraId="5582303D" w14:textId="77777777" w:rsidR="00BA7ADE" w:rsidRDefault="00BA7ADE" w:rsidP="00844C0F">
      <w:pPr>
        <w:pStyle w:val="a3"/>
        <w:jc w:val="both"/>
      </w:pPr>
    </w:p>
    <w:p w14:paraId="7E8181B4" w14:textId="77777777" w:rsidR="00BA7ADE" w:rsidRPr="003E7DC8" w:rsidRDefault="00BA7ADE" w:rsidP="00844C0F">
      <w:pPr>
        <w:pStyle w:val="2"/>
        <w:jc w:val="both"/>
        <w:rPr>
          <w:lang w:val="uk-UA"/>
        </w:rPr>
      </w:pPr>
      <w:r>
        <w:rPr>
          <w:color w:val="4F81BA"/>
          <w:lang w:val="uk-UA"/>
        </w:rPr>
        <w:t>Загальні висновки</w:t>
      </w:r>
    </w:p>
    <w:p w14:paraId="4959C5A9" w14:textId="77777777" w:rsidR="00BA7ADE" w:rsidRPr="003E7DC8" w:rsidRDefault="00BA7ADE" w:rsidP="00844C0F">
      <w:pPr>
        <w:pStyle w:val="a3"/>
        <w:spacing w:before="161"/>
        <w:ind w:left="100" w:right="78"/>
        <w:jc w:val="both"/>
        <w:rPr>
          <w:lang w:val="ru-RU"/>
        </w:rPr>
      </w:pPr>
      <w:proofErr w:type="spellStart"/>
      <w:r>
        <w:t>Останні</w:t>
      </w:r>
      <w:proofErr w:type="spellEnd"/>
      <w:r>
        <w:t xml:space="preserve"> </w:t>
      </w:r>
      <w:proofErr w:type="spellStart"/>
      <w:r>
        <w:t>переглянуті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Xpert</w:t>
      </w:r>
      <w:proofErr w:type="spellEnd"/>
      <w:r>
        <w:t xml:space="preserve"> MTB / RIF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Xpert</w:t>
      </w:r>
      <w:proofErr w:type="spellEnd"/>
      <w:r>
        <w:t xml:space="preserve"> Ultra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туберкульоз</w:t>
      </w:r>
      <w:proofErr w:type="spellEnd"/>
      <w:r>
        <w:t xml:space="preserve"> </w:t>
      </w:r>
      <w:proofErr w:type="spellStart"/>
      <w:r>
        <w:t>легенів</w:t>
      </w:r>
      <w:proofErr w:type="spellEnd"/>
      <w:r>
        <w:t xml:space="preserve"> у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будь-якого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Xpert</w:t>
      </w:r>
      <w:proofErr w:type="spellEnd"/>
      <w:r>
        <w:t xml:space="preserve"> MTB / RIF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Xpert</w:t>
      </w:r>
      <w:proofErr w:type="spellEnd"/>
      <w:r>
        <w:t xml:space="preserve"> Ultra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діагностичної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позалегеневим</w:t>
      </w:r>
      <w:proofErr w:type="spellEnd"/>
      <w:r>
        <w:t xml:space="preserve"> </w:t>
      </w:r>
      <w:proofErr w:type="spellStart"/>
      <w:r>
        <w:t>туберкульозом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туберкульозом</w:t>
      </w:r>
      <w:proofErr w:type="spellEnd"/>
      <w:r>
        <w:t xml:space="preserve"> (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шлункових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, </w:t>
      </w:r>
      <w:proofErr w:type="spellStart"/>
      <w:r>
        <w:t>назофарингеальних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калу</w:t>
      </w:r>
      <w:proofErr w:type="spellEnd"/>
      <w:r>
        <w:t xml:space="preserve">). </w:t>
      </w:r>
      <w:proofErr w:type="spellStart"/>
      <w:r w:rsidRPr="003E7DC8">
        <w:rPr>
          <w:lang w:val="ru-RU"/>
        </w:rPr>
        <w:t>Обидва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аналізи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також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показують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високу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точність</w:t>
      </w:r>
      <w:proofErr w:type="spellEnd"/>
      <w:r w:rsidRPr="003E7DC8">
        <w:rPr>
          <w:lang w:val="ru-RU"/>
        </w:rPr>
        <w:t xml:space="preserve"> при </w:t>
      </w:r>
      <w:proofErr w:type="spellStart"/>
      <w:r w:rsidRPr="003E7DC8">
        <w:rPr>
          <w:lang w:val="ru-RU"/>
        </w:rPr>
        <w:t>одночасному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виявленні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резистентності</w:t>
      </w:r>
      <w:proofErr w:type="spellEnd"/>
      <w:r w:rsidRPr="003E7DC8">
        <w:rPr>
          <w:lang w:val="ru-RU"/>
        </w:rPr>
        <w:t xml:space="preserve"> до </w:t>
      </w:r>
      <w:proofErr w:type="spellStart"/>
      <w:r w:rsidRPr="003E7DC8">
        <w:rPr>
          <w:lang w:val="ru-RU"/>
        </w:rPr>
        <w:t>рифампіцину</w:t>
      </w:r>
      <w:proofErr w:type="spellEnd"/>
      <w:r w:rsidRPr="003E7DC8">
        <w:rPr>
          <w:lang w:val="ru-RU"/>
        </w:rPr>
        <w:t>.</w:t>
      </w:r>
    </w:p>
    <w:p w14:paraId="1400B432" w14:textId="77777777" w:rsidR="00BA7ADE" w:rsidRPr="003E7DC8" w:rsidRDefault="00BA7ADE" w:rsidP="00844C0F">
      <w:pPr>
        <w:pStyle w:val="a3"/>
        <w:spacing w:before="161"/>
        <w:ind w:left="100" w:right="78"/>
        <w:jc w:val="both"/>
        <w:rPr>
          <w:lang w:val="ru-RU"/>
        </w:rPr>
      </w:pPr>
      <w:proofErr w:type="spellStart"/>
      <w:r w:rsidRPr="003E7DC8">
        <w:rPr>
          <w:lang w:val="ru-RU"/>
        </w:rPr>
        <w:t>Продуктивність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аналізів</w:t>
      </w:r>
      <w:proofErr w:type="spellEnd"/>
      <w:r w:rsidRPr="003E7DC8">
        <w:rPr>
          <w:lang w:val="ru-RU"/>
        </w:rPr>
        <w:t xml:space="preserve"> </w:t>
      </w:r>
      <w:proofErr w:type="spellStart"/>
      <w:r>
        <w:t>Truenat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 xml:space="preserve">, </w:t>
      </w:r>
      <w:r>
        <w:t>MTB</w:t>
      </w:r>
      <w:r w:rsidRPr="003E7DC8">
        <w:rPr>
          <w:lang w:val="ru-RU"/>
        </w:rPr>
        <w:t xml:space="preserve"> </w:t>
      </w:r>
      <w:r>
        <w:t>Plus</w:t>
      </w:r>
      <w:r w:rsidRPr="003E7DC8">
        <w:rPr>
          <w:lang w:val="ru-RU"/>
        </w:rPr>
        <w:t xml:space="preserve"> і </w:t>
      </w:r>
      <w:r>
        <w:t>MTB</w:t>
      </w:r>
      <w:r w:rsidRPr="003E7DC8">
        <w:rPr>
          <w:lang w:val="ru-RU"/>
        </w:rPr>
        <w:t>-</w:t>
      </w:r>
      <w:r>
        <w:t>RIF</w:t>
      </w:r>
      <w:r w:rsidRPr="003E7DC8">
        <w:rPr>
          <w:lang w:val="ru-RU"/>
        </w:rPr>
        <w:t xml:space="preserve"> </w:t>
      </w:r>
      <w:r>
        <w:t>Dx</w:t>
      </w:r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демонструє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порівнянну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точність</w:t>
      </w:r>
      <w:proofErr w:type="spellEnd"/>
      <w:r w:rsidRPr="003E7DC8">
        <w:rPr>
          <w:lang w:val="ru-RU"/>
        </w:rPr>
        <w:t xml:space="preserve"> з </w:t>
      </w:r>
      <w:proofErr w:type="spellStart"/>
      <w:r>
        <w:t>Xpert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 xml:space="preserve"> / </w:t>
      </w:r>
      <w:r>
        <w:t>RIF</w:t>
      </w:r>
      <w:r w:rsidRPr="003E7DC8">
        <w:rPr>
          <w:lang w:val="ru-RU"/>
        </w:rPr>
        <w:t xml:space="preserve"> і </w:t>
      </w:r>
      <w:proofErr w:type="spellStart"/>
      <w:r>
        <w:t>Xpert</w:t>
      </w:r>
      <w:proofErr w:type="spellEnd"/>
      <w:r w:rsidRPr="003E7DC8">
        <w:rPr>
          <w:lang w:val="ru-RU"/>
        </w:rPr>
        <w:t xml:space="preserve"> </w:t>
      </w:r>
      <w:r>
        <w:t>Ultra</w:t>
      </w:r>
      <w:r w:rsidRPr="003E7DC8">
        <w:rPr>
          <w:lang w:val="ru-RU"/>
        </w:rPr>
        <w:t xml:space="preserve"> для </w:t>
      </w:r>
      <w:proofErr w:type="spellStart"/>
      <w:r w:rsidRPr="003E7DC8">
        <w:rPr>
          <w:lang w:val="ru-RU"/>
        </w:rPr>
        <w:t>виявлення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туберкульозу</w:t>
      </w:r>
      <w:proofErr w:type="spellEnd"/>
      <w:r w:rsidRPr="003E7DC8">
        <w:rPr>
          <w:lang w:val="ru-RU"/>
        </w:rPr>
        <w:t xml:space="preserve"> (</w:t>
      </w:r>
      <w:proofErr w:type="spellStart"/>
      <w:r>
        <w:t>Truenat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 xml:space="preserve"> і </w:t>
      </w:r>
      <w:proofErr w:type="spellStart"/>
      <w:r>
        <w:t>Truenat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 xml:space="preserve"> </w:t>
      </w:r>
      <w:r>
        <w:t>Plus</w:t>
      </w:r>
      <w:r w:rsidRPr="003E7DC8">
        <w:rPr>
          <w:lang w:val="ru-RU"/>
        </w:rPr>
        <w:t xml:space="preserve">) і для </w:t>
      </w:r>
      <w:proofErr w:type="spellStart"/>
      <w:r w:rsidRPr="003E7DC8">
        <w:rPr>
          <w:lang w:val="ru-RU"/>
        </w:rPr>
        <w:t>послідовного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виявлення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стійкості</w:t>
      </w:r>
      <w:proofErr w:type="spellEnd"/>
      <w:r w:rsidRPr="003E7DC8">
        <w:rPr>
          <w:lang w:val="ru-RU"/>
        </w:rPr>
        <w:t xml:space="preserve"> до </w:t>
      </w:r>
      <w:proofErr w:type="spellStart"/>
      <w:r w:rsidRPr="003E7DC8">
        <w:rPr>
          <w:lang w:val="ru-RU"/>
        </w:rPr>
        <w:t>рифампіцину</w:t>
      </w:r>
      <w:proofErr w:type="spellEnd"/>
      <w:r w:rsidRPr="003E7DC8">
        <w:rPr>
          <w:lang w:val="ru-RU"/>
        </w:rPr>
        <w:t xml:space="preserve"> (</w:t>
      </w:r>
      <w:proofErr w:type="spellStart"/>
      <w:r>
        <w:t>Truenat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>-</w:t>
      </w:r>
      <w:r>
        <w:t>Rif</w:t>
      </w:r>
      <w:r w:rsidRPr="003E7DC8">
        <w:rPr>
          <w:lang w:val="ru-RU"/>
        </w:rPr>
        <w:t xml:space="preserve"> </w:t>
      </w:r>
      <w:r>
        <w:t>Dx</w:t>
      </w:r>
      <w:r w:rsidRPr="003E7DC8">
        <w:rPr>
          <w:lang w:val="ru-RU"/>
        </w:rPr>
        <w:t>).</w:t>
      </w:r>
    </w:p>
    <w:p w14:paraId="7A0DA6CC" w14:textId="77777777" w:rsidR="00BA7ADE" w:rsidRPr="003E7DC8" w:rsidRDefault="00BA7ADE" w:rsidP="00844C0F">
      <w:pPr>
        <w:pStyle w:val="a3"/>
        <w:spacing w:before="161"/>
        <w:ind w:left="100" w:right="78"/>
        <w:jc w:val="both"/>
        <w:rPr>
          <w:lang w:val="ru-RU"/>
        </w:rPr>
      </w:pPr>
      <w:proofErr w:type="spellStart"/>
      <w:r w:rsidRPr="003E7DC8">
        <w:rPr>
          <w:lang w:val="ru-RU"/>
        </w:rPr>
        <w:t>Аналізи</w:t>
      </w:r>
      <w:proofErr w:type="spellEnd"/>
      <w:r w:rsidRPr="003E7DC8">
        <w:rPr>
          <w:lang w:val="ru-RU"/>
        </w:rPr>
        <w:t xml:space="preserve"> </w:t>
      </w:r>
      <w:proofErr w:type="spellStart"/>
      <w:r>
        <w:t>Truenat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 xml:space="preserve"> і </w:t>
      </w:r>
      <w:r>
        <w:t>MTB</w:t>
      </w:r>
      <w:r w:rsidRPr="003E7DC8">
        <w:rPr>
          <w:lang w:val="ru-RU"/>
        </w:rPr>
        <w:t xml:space="preserve"> </w:t>
      </w:r>
      <w:r>
        <w:t>Plus</w:t>
      </w:r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також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показують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порівнянну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точність</w:t>
      </w:r>
      <w:proofErr w:type="spellEnd"/>
      <w:r w:rsidRPr="003E7DC8">
        <w:rPr>
          <w:lang w:val="ru-RU"/>
        </w:rPr>
        <w:t xml:space="preserve"> з </w:t>
      </w:r>
      <w:proofErr w:type="spellStart"/>
      <w:r w:rsidRPr="003E7DC8">
        <w:rPr>
          <w:lang w:val="ru-RU"/>
        </w:rPr>
        <w:t>аналізом</w:t>
      </w:r>
      <w:proofErr w:type="spellEnd"/>
      <w:r w:rsidRPr="003E7DC8">
        <w:rPr>
          <w:lang w:val="ru-RU"/>
        </w:rPr>
        <w:t xml:space="preserve"> </w:t>
      </w:r>
      <w:r>
        <w:t>TB</w:t>
      </w:r>
      <w:r w:rsidRPr="003E7DC8">
        <w:rPr>
          <w:lang w:val="ru-RU"/>
        </w:rPr>
        <w:t>-</w:t>
      </w:r>
      <w:r>
        <w:t>LAMP</w:t>
      </w:r>
      <w:r w:rsidRPr="003E7DC8">
        <w:rPr>
          <w:lang w:val="ru-RU"/>
        </w:rPr>
        <w:t>® (</w:t>
      </w:r>
      <w:proofErr w:type="spellStart"/>
      <w:r>
        <w:t>Eiken</w:t>
      </w:r>
      <w:proofErr w:type="spellEnd"/>
      <w:r w:rsidRPr="003E7DC8">
        <w:rPr>
          <w:lang w:val="ru-RU"/>
        </w:rPr>
        <w:t xml:space="preserve"> </w:t>
      </w:r>
      <w:r>
        <w:t>Chemical</w:t>
      </w:r>
      <w:r w:rsidRPr="003E7DC8">
        <w:rPr>
          <w:lang w:val="ru-RU"/>
        </w:rPr>
        <w:t xml:space="preserve"> </w:t>
      </w:r>
      <w:r>
        <w:t>Company</w:t>
      </w:r>
      <w:r w:rsidRPr="003E7DC8">
        <w:rPr>
          <w:lang w:val="ru-RU"/>
        </w:rPr>
        <w:t xml:space="preserve"> </w:t>
      </w:r>
      <w:r>
        <w:t>Ltd</w:t>
      </w:r>
      <w:r w:rsidRPr="003E7DC8">
        <w:rPr>
          <w:lang w:val="ru-RU"/>
        </w:rPr>
        <w:t xml:space="preserve"> (</w:t>
      </w:r>
      <w:proofErr w:type="spellStart"/>
      <w:r w:rsidRPr="003E7DC8">
        <w:rPr>
          <w:lang w:val="ru-RU"/>
        </w:rPr>
        <w:t>Токіо</w:t>
      </w:r>
      <w:proofErr w:type="spellEnd"/>
      <w:r w:rsidRPr="003E7DC8">
        <w:rPr>
          <w:lang w:val="ru-RU"/>
        </w:rPr>
        <w:t xml:space="preserve">, </w:t>
      </w:r>
      <w:proofErr w:type="spellStart"/>
      <w:r w:rsidRPr="003E7DC8">
        <w:rPr>
          <w:lang w:val="ru-RU"/>
        </w:rPr>
        <w:t>Японія</w:t>
      </w:r>
      <w:proofErr w:type="spellEnd"/>
      <w:r w:rsidRPr="003E7DC8">
        <w:rPr>
          <w:lang w:val="ru-RU"/>
        </w:rPr>
        <w:t xml:space="preserve">) в </w:t>
      </w:r>
      <w:proofErr w:type="spellStart"/>
      <w:r w:rsidRPr="003E7DC8">
        <w:rPr>
          <w:lang w:val="ru-RU"/>
        </w:rPr>
        <w:t>якості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замісних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тестів</w:t>
      </w:r>
      <w:proofErr w:type="spellEnd"/>
      <w:r w:rsidRPr="003E7DC8">
        <w:rPr>
          <w:lang w:val="ru-RU"/>
        </w:rPr>
        <w:t xml:space="preserve"> для </w:t>
      </w:r>
      <w:proofErr w:type="spellStart"/>
      <w:r w:rsidRPr="003E7DC8">
        <w:rPr>
          <w:lang w:val="ru-RU"/>
        </w:rPr>
        <w:t>мікроскопії</w:t>
      </w:r>
      <w:proofErr w:type="spellEnd"/>
      <w:r w:rsidRPr="003E7DC8">
        <w:rPr>
          <w:lang w:val="ru-RU"/>
        </w:rPr>
        <w:t xml:space="preserve"> мазка </w:t>
      </w:r>
      <w:proofErr w:type="spellStart"/>
      <w:r w:rsidRPr="003E7DC8">
        <w:rPr>
          <w:lang w:val="ru-RU"/>
        </w:rPr>
        <w:t>мокротиння</w:t>
      </w:r>
      <w:proofErr w:type="spellEnd"/>
      <w:r w:rsidRPr="003E7DC8">
        <w:rPr>
          <w:lang w:val="ru-RU"/>
        </w:rPr>
        <w:t>.</w:t>
      </w:r>
    </w:p>
    <w:p w14:paraId="78C4C8A2" w14:textId="77777777" w:rsidR="00BA7ADE" w:rsidRPr="003E7DC8" w:rsidRDefault="00BA7ADE" w:rsidP="00844C0F">
      <w:pPr>
        <w:pStyle w:val="a3"/>
        <w:spacing w:before="161"/>
        <w:ind w:left="100" w:right="78"/>
        <w:jc w:val="both"/>
        <w:rPr>
          <w:lang w:val="ru-RU"/>
        </w:rPr>
      </w:pPr>
      <w:proofErr w:type="spellStart"/>
      <w:r w:rsidRPr="003E7DC8">
        <w:rPr>
          <w:lang w:val="ru-RU"/>
        </w:rPr>
        <w:t>Дані</w:t>
      </w:r>
      <w:proofErr w:type="spellEnd"/>
      <w:r w:rsidRPr="003E7DC8">
        <w:rPr>
          <w:lang w:val="ru-RU"/>
        </w:rPr>
        <w:t xml:space="preserve"> для </w:t>
      </w:r>
      <w:proofErr w:type="spellStart"/>
      <w:r>
        <w:t>Truenat</w:t>
      </w:r>
      <w:proofErr w:type="spellEnd"/>
      <w:r w:rsidRPr="003E7DC8">
        <w:rPr>
          <w:lang w:val="ru-RU"/>
        </w:rPr>
        <w:t xml:space="preserve"> </w:t>
      </w:r>
      <w:r>
        <w:t>MTB</w:t>
      </w:r>
      <w:r w:rsidRPr="003E7DC8">
        <w:rPr>
          <w:lang w:val="ru-RU"/>
        </w:rPr>
        <w:t>-</w:t>
      </w:r>
      <w:r>
        <w:t>Rif</w:t>
      </w:r>
      <w:r w:rsidRPr="003E7DC8">
        <w:rPr>
          <w:lang w:val="ru-RU"/>
        </w:rPr>
        <w:t xml:space="preserve"> </w:t>
      </w:r>
      <w:r>
        <w:t>Dx</w:t>
      </w:r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демонструють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аналогічну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точність</w:t>
      </w:r>
      <w:proofErr w:type="spellEnd"/>
      <w:r w:rsidRPr="003E7DC8">
        <w:rPr>
          <w:lang w:val="ru-RU"/>
        </w:rPr>
        <w:t xml:space="preserve">, </w:t>
      </w:r>
      <w:proofErr w:type="spellStart"/>
      <w:r w:rsidRPr="003E7DC8">
        <w:rPr>
          <w:lang w:val="ru-RU"/>
        </w:rPr>
        <w:t>ніж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затверджені</w:t>
      </w:r>
      <w:proofErr w:type="spellEnd"/>
      <w:r w:rsidRPr="003E7DC8">
        <w:rPr>
          <w:lang w:val="ru-RU"/>
        </w:rPr>
        <w:t xml:space="preserve"> ВОЗ </w:t>
      </w:r>
      <w:proofErr w:type="spellStart"/>
      <w:r w:rsidRPr="003E7DC8">
        <w:rPr>
          <w:lang w:val="ru-RU"/>
        </w:rPr>
        <w:t>аналізами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комерційних</w:t>
      </w:r>
      <w:proofErr w:type="spellEnd"/>
      <w:r w:rsidRPr="003E7DC8">
        <w:rPr>
          <w:lang w:val="ru-RU"/>
        </w:rPr>
        <w:t xml:space="preserve"> </w:t>
      </w:r>
      <w:proofErr w:type="spellStart"/>
      <w:r w:rsidRPr="003E7DC8">
        <w:rPr>
          <w:lang w:val="ru-RU"/>
        </w:rPr>
        <w:t>ліній</w:t>
      </w:r>
      <w:proofErr w:type="spellEnd"/>
      <w:r w:rsidRPr="003E7DC8">
        <w:rPr>
          <w:lang w:val="ru-RU"/>
        </w:rPr>
        <w:t xml:space="preserve"> (</w:t>
      </w:r>
      <w:proofErr w:type="spellStart"/>
      <w:r>
        <w:rPr>
          <w:rFonts w:ascii="Sylfaen" w:hAnsi="Sylfaen"/>
          <w:color w:val="333333"/>
          <w:sz w:val="20"/>
        </w:rPr>
        <w:t>GenoType</w:t>
      </w:r>
      <w:proofErr w:type="spellEnd"/>
      <w:r w:rsidRPr="003E7DC8">
        <w:rPr>
          <w:rFonts w:ascii="Sylfaen" w:hAnsi="Sylfaen"/>
          <w:color w:val="333333"/>
          <w:sz w:val="20"/>
          <w:lang w:val="ru-RU"/>
        </w:rPr>
        <w:t xml:space="preserve"> </w:t>
      </w:r>
      <w:proofErr w:type="spellStart"/>
      <w:r>
        <w:rPr>
          <w:rFonts w:ascii="Sylfaen" w:hAnsi="Sylfaen"/>
          <w:color w:val="333333"/>
          <w:sz w:val="20"/>
        </w:rPr>
        <w:t>MTBDRplus</w:t>
      </w:r>
      <w:proofErr w:type="spellEnd"/>
      <w:r w:rsidRPr="003E7DC8">
        <w:rPr>
          <w:rFonts w:ascii="Sylfaen" w:hAnsi="Sylfaen"/>
          <w:color w:val="333333"/>
          <w:sz w:val="20"/>
          <w:lang w:val="ru-RU"/>
        </w:rPr>
        <w:t xml:space="preserve"> ®</w:t>
      </w:r>
      <w:r>
        <w:rPr>
          <w:rFonts w:ascii="Sylfaen" w:hAnsi="Sylfaen"/>
          <w:color w:val="333333"/>
          <w:sz w:val="20"/>
        </w:rPr>
        <w:t>VER</w:t>
      </w:r>
      <w:r w:rsidRPr="003E7DC8">
        <w:rPr>
          <w:rFonts w:ascii="Sylfaen" w:hAnsi="Sylfaen"/>
          <w:color w:val="333333"/>
          <w:sz w:val="20"/>
          <w:lang w:val="ru-RU"/>
        </w:rPr>
        <w:t xml:space="preserve"> 1 </w:t>
      </w:r>
      <w:r>
        <w:rPr>
          <w:rFonts w:ascii="Sylfaen" w:hAnsi="Sylfaen"/>
          <w:color w:val="333333"/>
          <w:sz w:val="20"/>
        </w:rPr>
        <w:t>and</w:t>
      </w:r>
      <w:r w:rsidRPr="003E7DC8">
        <w:rPr>
          <w:rFonts w:ascii="Sylfaen" w:hAnsi="Sylfaen"/>
          <w:color w:val="333333"/>
          <w:sz w:val="20"/>
          <w:lang w:val="ru-RU"/>
        </w:rPr>
        <w:t xml:space="preserve"> 2 (</w:t>
      </w:r>
      <w:r>
        <w:rPr>
          <w:rFonts w:ascii="Sylfaen" w:hAnsi="Sylfaen"/>
          <w:color w:val="333333"/>
          <w:sz w:val="20"/>
        </w:rPr>
        <w:t>Hain</w:t>
      </w:r>
      <w:r w:rsidRPr="003E7DC8">
        <w:rPr>
          <w:rFonts w:ascii="Sylfaen" w:hAnsi="Sylfaen"/>
          <w:color w:val="333333"/>
          <w:sz w:val="20"/>
          <w:lang w:val="ru-RU"/>
        </w:rPr>
        <w:t xml:space="preserve"> </w:t>
      </w:r>
      <w:proofErr w:type="spellStart"/>
      <w:r>
        <w:rPr>
          <w:rFonts w:ascii="Sylfaen" w:hAnsi="Sylfaen"/>
          <w:color w:val="333333"/>
          <w:sz w:val="20"/>
        </w:rPr>
        <w:t>Lifescience</w:t>
      </w:r>
      <w:proofErr w:type="spellEnd"/>
      <w:r w:rsidRPr="003E7DC8">
        <w:rPr>
          <w:rFonts w:ascii="Sylfaen" w:hAnsi="Sylfaen"/>
          <w:color w:val="333333"/>
          <w:sz w:val="20"/>
          <w:lang w:val="ru-RU"/>
        </w:rPr>
        <w:t xml:space="preserve">, </w:t>
      </w:r>
      <w:r>
        <w:rPr>
          <w:rFonts w:ascii="Sylfaen" w:hAnsi="Sylfaen"/>
          <w:color w:val="333333"/>
          <w:sz w:val="20"/>
        </w:rPr>
        <w:t>Germany</w:t>
      </w:r>
      <w:r w:rsidRPr="003E7DC8">
        <w:rPr>
          <w:rFonts w:ascii="Sylfaen" w:hAnsi="Sylfaen"/>
          <w:color w:val="333333"/>
          <w:sz w:val="20"/>
          <w:lang w:val="ru-RU"/>
        </w:rPr>
        <w:t xml:space="preserve">); </w:t>
      </w:r>
      <w:proofErr w:type="spellStart"/>
      <w:r>
        <w:rPr>
          <w:rFonts w:ascii="Sylfaen" w:hAnsi="Sylfaen"/>
          <w:color w:val="333333"/>
          <w:sz w:val="20"/>
        </w:rPr>
        <w:t>Nipro</w:t>
      </w:r>
      <w:proofErr w:type="spellEnd"/>
      <w:r w:rsidRPr="003E7DC8">
        <w:rPr>
          <w:rFonts w:ascii="Sylfaen" w:hAnsi="Sylfaen"/>
          <w:color w:val="333333"/>
          <w:sz w:val="20"/>
          <w:lang w:val="ru-RU"/>
        </w:rPr>
        <w:t xml:space="preserve"> </w:t>
      </w:r>
      <w:r>
        <w:rPr>
          <w:rFonts w:ascii="Sylfaen" w:hAnsi="Sylfaen"/>
          <w:color w:val="333333"/>
          <w:sz w:val="20"/>
        </w:rPr>
        <w:t>NTM</w:t>
      </w:r>
      <w:r w:rsidRPr="003E7DC8">
        <w:rPr>
          <w:rFonts w:ascii="Sylfaen" w:hAnsi="Sylfaen"/>
          <w:color w:val="333333"/>
          <w:sz w:val="20"/>
          <w:lang w:val="ru-RU"/>
        </w:rPr>
        <w:t>+</w:t>
      </w:r>
      <w:r>
        <w:rPr>
          <w:rFonts w:ascii="Sylfaen" w:hAnsi="Sylfaen"/>
          <w:color w:val="333333"/>
          <w:sz w:val="20"/>
        </w:rPr>
        <w:t>MDRTB</w:t>
      </w:r>
      <w:r w:rsidRPr="003E7DC8">
        <w:rPr>
          <w:rFonts w:ascii="Sylfaen" w:hAnsi="Sylfaen"/>
          <w:color w:val="333333"/>
          <w:sz w:val="20"/>
          <w:lang w:val="ru-RU"/>
        </w:rPr>
        <w:t xml:space="preserve"> </w:t>
      </w:r>
      <w:r>
        <w:rPr>
          <w:rFonts w:ascii="Sylfaen" w:hAnsi="Sylfaen"/>
          <w:color w:val="333333"/>
          <w:sz w:val="20"/>
        </w:rPr>
        <w:t>detection</w:t>
      </w:r>
      <w:r w:rsidRPr="003E7DC8">
        <w:rPr>
          <w:rFonts w:ascii="Sylfaen" w:hAnsi="Sylfaen"/>
          <w:color w:val="333333"/>
          <w:sz w:val="20"/>
          <w:lang w:val="ru-RU"/>
        </w:rPr>
        <w:t xml:space="preserve"> </w:t>
      </w:r>
      <w:r>
        <w:rPr>
          <w:rFonts w:ascii="Sylfaen" w:hAnsi="Sylfaen"/>
          <w:color w:val="333333"/>
          <w:sz w:val="20"/>
        </w:rPr>
        <w:t>kit</w:t>
      </w:r>
      <w:r w:rsidRPr="003E7DC8">
        <w:rPr>
          <w:rFonts w:ascii="Sylfaen" w:hAnsi="Sylfaen"/>
          <w:color w:val="333333"/>
          <w:sz w:val="20"/>
          <w:lang w:val="ru-RU"/>
        </w:rPr>
        <w:t xml:space="preserve"> 2® (</w:t>
      </w:r>
      <w:proofErr w:type="spellStart"/>
      <w:r>
        <w:rPr>
          <w:rFonts w:ascii="Sylfaen" w:hAnsi="Sylfaen"/>
          <w:color w:val="333333"/>
          <w:sz w:val="20"/>
        </w:rPr>
        <w:t>Nipro</w:t>
      </w:r>
      <w:proofErr w:type="spellEnd"/>
      <w:r w:rsidRPr="003E7DC8">
        <w:rPr>
          <w:rFonts w:ascii="Sylfaen" w:hAnsi="Sylfaen"/>
          <w:color w:val="333333"/>
          <w:sz w:val="20"/>
          <w:lang w:val="ru-RU"/>
        </w:rPr>
        <w:t xml:space="preserve">, </w:t>
      </w:r>
      <w:r>
        <w:rPr>
          <w:rFonts w:ascii="Sylfaen" w:hAnsi="Sylfaen"/>
          <w:color w:val="333333"/>
          <w:sz w:val="20"/>
        </w:rPr>
        <w:t>Japan</w:t>
      </w:r>
      <w:r w:rsidRPr="003E7DC8">
        <w:rPr>
          <w:rFonts w:ascii="Sylfaen" w:hAnsi="Sylfaen"/>
          <w:color w:val="333333"/>
          <w:sz w:val="20"/>
          <w:lang w:val="ru-RU"/>
        </w:rPr>
        <w:t>).</w:t>
      </w:r>
    </w:p>
    <w:p w14:paraId="3051D7AD" w14:textId="77777777" w:rsidR="00BA7ADE" w:rsidRPr="003E7DC8" w:rsidRDefault="00BA7ADE" w:rsidP="00844C0F">
      <w:pPr>
        <w:pStyle w:val="a3"/>
        <w:spacing w:before="9"/>
        <w:jc w:val="both"/>
        <w:rPr>
          <w:rFonts w:ascii="Sylfaen"/>
          <w:sz w:val="16"/>
          <w:lang w:val="ru-RU"/>
        </w:rPr>
      </w:pPr>
    </w:p>
    <w:p w14:paraId="4ECBE62F" w14:textId="77777777" w:rsidR="00BA7ADE" w:rsidRDefault="00BA7ADE" w:rsidP="00844C0F">
      <w:pPr>
        <w:pStyle w:val="2"/>
        <w:jc w:val="both"/>
        <w:rPr>
          <w:color w:val="4F81BA"/>
          <w:lang w:val="uk-UA"/>
        </w:rPr>
      </w:pPr>
      <w:r>
        <w:rPr>
          <w:color w:val="4F81BA"/>
          <w:lang w:val="uk-UA"/>
        </w:rPr>
        <w:t>Наступні кроки</w:t>
      </w:r>
    </w:p>
    <w:p w14:paraId="7F4A66D9" w14:textId="77777777" w:rsidR="00BA7ADE" w:rsidRPr="0087042A" w:rsidRDefault="00BA7ADE" w:rsidP="00844C0F">
      <w:pPr>
        <w:pStyle w:val="2"/>
        <w:jc w:val="both"/>
        <w:rPr>
          <w:lang w:val="uk-UA"/>
        </w:rPr>
      </w:pPr>
    </w:p>
    <w:p w14:paraId="64588180" w14:textId="77777777" w:rsidR="00BA7ADE" w:rsidRPr="0087042A" w:rsidRDefault="00BA7ADE" w:rsidP="00844C0F">
      <w:pPr>
        <w:pStyle w:val="a3"/>
        <w:spacing w:before="1" w:line="259" w:lineRule="auto"/>
        <w:ind w:left="100" w:right="78"/>
        <w:jc w:val="both"/>
        <w:rPr>
          <w:lang w:val="ru-RU"/>
        </w:rPr>
      </w:pPr>
      <w:r>
        <w:rPr>
          <w:lang w:val="uk-UA"/>
        </w:rPr>
        <w:t>О</w:t>
      </w:r>
      <w:proofErr w:type="spellStart"/>
      <w:r w:rsidRPr="00BA7ADE">
        <w:rPr>
          <w:lang w:val="ru-RU"/>
        </w:rPr>
        <w:t>новлені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політичні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вказівки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щодо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молекулярних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аналізів</w:t>
      </w:r>
      <w:proofErr w:type="spellEnd"/>
      <w:r w:rsidRPr="00BA7ADE">
        <w:rPr>
          <w:lang w:val="ru-RU"/>
        </w:rPr>
        <w:t xml:space="preserve">, </w:t>
      </w:r>
      <w:proofErr w:type="spellStart"/>
      <w:r w:rsidRPr="00BA7ADE">
        <w:rPr>
          <w:lang w:val="ru-RU"/>
        </w:rPr>
        <w:t>призначені</w:t>
      </w:r>
      <w:proofErr w:type="spellEnd"/>
      <w:r w:rsidRPr="00BA7ADE">
        <w:rPr>
          <w:lang w:val="ru-RU"/>
        </w:rPr>
        <w:t xml:space="preserve"> в </w:t>
      </w:r>
      <w:proofErr w:type="spellStart"/>
      <w:r w:rsidRPr="00BA7ADE">
        <w:rPr>
          <w:lang w:val="ru-RU"/>
        </w:rPr>
        <w:t>якості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початкових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тестів</w:t>
      </w:r>
      <w:proofErr w:type="spellEnd"/>
      <w:r w:rsidRPr="00BA7ADE">
        <w:rPr>
          <w:lang w:val="ru-RU"/>
        </w:rPr>
        <w:t xml:space="preserve"> для </w:t>
      </w:r>
      <w:proofErr w:type="spellStart"/>
      <w:r w:rsidRPr="00BA7ADE">
        <w:rPr>
          <w:lang w:val="ru-RU"/>
        </w:rPr>
        <w:t>діагностики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туберкульозу</w:t>
      </w:r>
      <w:proofErr w:type="spellEnd"/>
      <w:r w:rsidRPr="00BA7ADE">
        <w:rPr>
          <w:lang w:val="ru-RU"/>
        </w:rPr>
        <w:t xml:space="preserve"> та </w:t>
      </w:r>
      <w:proofErr w:type="spellStart"/>
      <w:r w:rsidRPr="00BA7ADE">
        <w:rPr>
          <w:lang w:val="ru-RU"/>
        </w:rPr>
        <w:t>резистентності</w:t>
      </w:r>
      <w:proofErr w:type="spellEnd"/>
      <w:r w:rsidRPr="00BA7ADE">
        <w:rPr>
          <w:lang w:val="ru-RU"/>
        </w:rPr>
        <w:t xml:space="preserve"> до </w:t>
      </w:r>
      <w:proofErr w:type="spellStart"/>
      <w:r w:rsidRPr="00BA7ADE">
        <w:rPr>
          <w:lang w:val="ru-RU"/>
        </w:rPr>
        <w:t>рифампіцину</w:t>
      </w:r>
      <w:proofErr w:type="spellEnd"/>
      <w:r w:rsidRPr="00BA7ADE">
        <w:rPr>
          <w:lang w:val="ru-RU"/>
        </w:rPr>
        <w:t xml:space="preserve">, </w:t>
      </w:r>
      <w:proofErr w:type="spellStart"/>
      <w:r w:rsidRPr="00BA7ADE">
        <w:rPr>
          <w:lang w:val="ru-RU"/>
        </w:rPr>
        <w:t>будуть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опубліковані</w:t>
      </w:r>
      <w:proofErr w:type="spellEnd"/>
      <w:r w:rsidRPr="00BA7ADE">
        <w:rPr>
          <w:lang w:val="ru-RU"/>
        </w:rPr>
        <w:t xml:space="preserve"> до </w:t>
      </w:r>
      <w:proofErr w:type="spellStart"/>
      <w:r w:rsidRPr="00BA7ADE">
        <w:rPr>
          <w:lang w:val="ru-RU"/>
        </w:rPr>
        <w:t>квітня</w:t>
      </w:r>
      <w:proofErr w:type="spellEnd"/>
      <w:r w:rsidRPr="00BA7ADE">
        <w:rPr>
          <w:lang w:val="ru-RU"/>
        </w:rPr>
        <w:t xml:space="preserve"> 2020 року в рамках </w:t>
      </w:r>
      <w:proofErr w:type="spellStart"/>
      <w:r w:rsidRPr="00BA7ADE">
        <w:rPr>
          <w:lang w:val="ru-RU"/>
        </w:rPr>
        <w:t>передбачуваних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зведених</w:t>
      </w:r>
      <w:proofErr w:type="spellEnd"/>
      <w:r w:rsidRPr="00BA7ADE">
        <w:rPr>
          <w:lang w:val="ru-RU"/>
        </w:rPr>
        <w:t xml:space="preserve"> </w:t>
      </w:r>
      <w:r>
        <w:rPr>
          <w:lang w:val="uk-UA"/>
        </w:rPr>
        <w:t>Керівництв</w:t>
      </w:r>
      <w:r w:rsidRPr="00BA7ADE">
        <w:rPr>
          <w:lang w:val="ru-RU"/>
        </w:rPr>
        <w:t xml:space="preserve"> ВООЗ </w:t>
      </w:r>
      <w:proofErr w:type="spellStart"/>
      <w:r w:rsidRPr="00BA7ADE">
        <w:rPr>
          <w:lang w:val="ru-RU"/>
        </w:rPr>
        <w:t>щодо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діагностики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туберкульозу</w:t>
      </w:r>
      <w:proofErr w:type="spellEnd"/>
      <w:r w:rsidRPr="00BA7ADE">
        <w:rPr>
          <w:lang w:val="ru-RU"/>
        </w:rPr>
        <w:t xml:space="preserve"> </w:t>
      </w:r>
      <w:proofErr w:type="spellStart"/>
      <w:r w:rsidRPr="00BA7ADE">
        <w:rPr>
          <w:lang w:val="ru-RU"/>
        </w:rPr>
        <w:t>протягом</w:t>
      </w:r>
      <w:proofErr w:type="spellEnd"/>
      <w:r w:rsidRPr="00BA7ADE">
        <w:rPr>
          <w:lang w:val="ru-RU"/>
        </w:rPr>
        <w:t xml:space="preserve"> 2010 року. </w:t>
      </w:r>
      <w:proofErr w:type="spellStart"/>
      <w:r w:rsidRPr="0087042A">
        <w:rPr>
          <w:lang w:val="ru-RU"/>
        </w:rPr>
        <w:t>Оновлені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керівні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принципи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щодо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впровадження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також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будуть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розроблені</w:t>
      </w:r>
      <w:proofErr w:type="spellEnd"/>
      <w:r w:rsidRPr="0087042A">
        <w:rPr>
          <w:lang w:val="ru-RU"/>
        </w:rPr>
        <w:t xml:space="preserve"> до 2020 року.</w:t>
      </w:r>
    </w:p>
    <w:p w14:paraId="326CF048" w14:textId="77777777" w:rsidR="00BA7ADE" w:rsidRPr="0087042A" w:rsidRDefault="00BA7ADE" w:rsidP="00844C0F">
      <w:pPr>
        <w:pStyle w:val="a3"/>
        <w:spacing w:before="1" w:line="259" w:lineRule="auto"/>
        <w:ind w:left="100" w:right="78"/>
        <w:jc w:val="both"/>
        <w:rPr>
          <w:lang w:val="ru-RU"/>
        </w:rPr>
      </w:pPr>
      <w:proofErr w:type="spellStart"/>
      <w:r w:rsidRPr="0087042A">
        <w:rPr>
          <w:lang w:val="ru-RU"/>
        </w:rPr>
        <w:t>Національні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програми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протитуберкульозу</w:t>
      </w:r>
      <w:proofErr w:type="spellEnd"/>
      <w:r w:rsidRPr="0087042A">
        <w:rPr>
          <w:lang w:val="ru-RU"/>
        </w:rPr>
        <w:t xml:space="preserve"> та </w:t>
      </w:r>
      <w:proofErr w:type="spellStart"/>
      <w:r w:rsidRPr="0087042A">
        <w:rPr>
          <w:lang w:val="ru-RU"/>
        </w:rPr>
        <w:t>інші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зацікавлені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сторони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заохочуються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проводити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якісні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впроваджувальні</w:t>
      </w:r>
      <w:proofErr w:type="spellEnd"/>
      <w:r w:rsidRPr="0087042A">
        <w:rPr>
          <w:lang w:val="ru-RU"/>
        </w:rPr>
        <w:t xml:space="preserve"> / </w:t>
      </w:r>
      <w:proofErr w:type="spellStart"/>
      <w:r w:rsidRPr="0087042A">
        <w:rPr>
          <w:lang w:val="ru-RU"/>
        </w:rPr>
        <w:t>оперативні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дослідження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щоб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зібрати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більше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доказів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щодо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точності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ефективності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доцільності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прийнятності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вартості</w:t>
      </w:r>
      <w:proofErr w:type="spellEnd"/>
      <w:r w:rsidRPr="0087042A">
        <w:rPr>
          <w:lang w:val="ru-RU"/>
        </w:rPr>
        <w:t xml:space="preserve"> та </w:t>
      </w:r>
      <w:proofErr w:type="spellStart"/>
      <w:r w:rsidRPr="0087042A">
        <w:rPr>
          <w:lang w:val="ru-RU"/>
        </w:rPr>
        <w:t>впливу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діагностичних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інструментів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рекомендованих</w:t>
      </w:r>
      <w:proofErr w:type="spellEnd"/>
      <w:r w:rsidRPr="0087042A">
        <w:rPr>
          <w:lang w:val="ru-RU"/>
        </w:rPr>
        <w:t xml:space="preserve"> ВООЗ.</w:t>
      </w:r>
    </w:p>
    <w:p w14:paraId="184AB966" w14:textId="77777777" w:rsidR="00BA7ADE" w:rsidRDefault="00BA7ADE" w:rsidP="00844C0F">
      <w:pPr>
        <w:pStyle w:val="a3"/>
        <w:spacing w:before="1" w:line="259" w:lineRule="auto"/>
        <w:ind w:left="100" w:right="78"/>
        <w:jc w:val="both"/>
        <w:rPr>
          <w:lang w:val="ru-RU"/>
        </w:rPr>
      </w:pPr>
      <w:r w:rsidRPr="0087042A">
        <w:rPr>
          <w:lang w:val="ru-RU"/>
        </w:rPr>
        <w:t xml:space="preserve">ВООЗ </w:t>
      </w:r>
      <w:proofErr w:type="spellStart"/>
      <w:r w:rsidRPr="0087042A">
        <w:rPr>
          <w:lang w:val="ru-RU"/>
        </w:rPr>
        <w:t>скликає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глобальну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консультацію</w:t>
      </w:r>
      <w:proofErr w:type="spellEnd"/>
      <w:r w:rsidRPr="0087042A">
        <w:rPr>
          <w:lang w:val="ru-RU"/>
        </w:rPr>
        <w:t xml:space="preserve"> до 2020 року для </w:t>
      </w:r>
      <w:proofErr w:type="spellStart"/>
      <w:r w:rsidRPr="0087042A">
        <w:rPr>
          <w:lang w:val="ru-RU"/>
        </w:rPr>
        <w:t>інформування</w:t>
      </w:r>
      <w:proofErr w:type="spellEnd"/>
      <w:r w:rsidRPr="0087042A">
        <w:rPr>
          <w:lang w:val="ru-RU"/>
        </w:rPr>
        <w:t xml:space="preserve"> держав-</w:t>
      </w:r>
      <w:proofErr w:type="spellStart"/>
      <w:r w:rsidRPr="0087042A">
        <w:rPr>
          <w:lang w:val="ru-RU"/>
        </w:rPr>
        <w:t>членів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технічних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партнерів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донорів</w:t>
      </w:r>
      <w:proofErr w:type="spellEnd"/>
      <w:r w:rsidRPr="0087042A">
        <w:rPr>
          <w:lang w:val="ru-RU"/>
        </w:rPr>
        <w:t xml:space="preserve"> та </w:t>
      </w:r>
      <w:proofErr w:type="spellStart"/>
      <w:r w:rsidRPr="0087042A">
        <w:rPr>
          <w:lang w:val="ru-RU"/>
        </w:rPr>
        <w:t>громадянського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суспільства</w:t>
      </w:r>
      <w:proofErr w:type="spellEnd"/>
      <w:r w:rsidRPr="0087042A">
        <w:rPr>
          <w:lang w:val="ru-RU"/>
        </w:rPr>
        <w:t xml:space="preserve"> про </w:t>
      </w:r>
      <w:proofErr w:type="spellStart"/>
      <w:r w:rsidRPr="0087042A">
        <w:rPr>
          <w:lang w:val="ru-RU"/>
        </w:rPr>
        <w:t>ключові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зміни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оновлених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керівних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принципів</w:t>
      </w:r>
      <w:proofErr w:type="spellEnd"/>
      <w:r w:rsidRPr="0087042A">
        <w:rPr>
          <w:lang w:val="ru-RU"/>
        </w:rPr>
        <w:t xml:space="preserve">. </w:t>
      </w:r>
      <w:proofErr w:type="spellStart"/>
      <w:r w:rsidRPr="0087042A">
        <w:rPr>
          <w:lang w:val="ru-RU"/>
        </w:rPr>
        <w:t>Нарада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має</w:t>
      </w:r>
      <w:proofErr w:type="spellEnd"/>
      <w:r w:rsidRPr="0087042A">
        <w:rPr>
          <w:lang w:val="ru-RU"/>
        </w:rPr>
        <w:t xml:space="preserve"> на </w:t>
      </w:r>
      <w:proofErr w:type="spellStart"/>
      <w:r w:rsidRPr="0087042A">
        <w:rPr>
          <w:lang w:val="ru-RU"/>
        </w:rPr>
        <w:t>меті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підтримати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країни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оновити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свої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національні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настанови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інформувати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бюджети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програми</w:t>
      </w:r>
      <w:proofErr w:type="spellEnd"/>
      <w:r w:rsidRPr="0087042A">
        <w:rPr>
          <w:lang w:val="ru-RU"/>
        </w:rPr>
        <w:t xml:space="preserve"> та </w:t>
      </w:r>
      <w:proofErr w:type="spellStart"/>
      <w:r w:rsidRPr="0087042A">
        <w:rPr>
          <w:lang w:val="ru-RU"/>
        </w:rPr>
        <w:t>дати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можливість</w:t>
      </w:r>
      <w:proofErr w:type="spellEnd"/>
      <w:r w:rsidRPr="0087042A">
        <w:rPr>
          <w:lang w:val="ru-RU"/>
        </w:rPr>
        <w:t xml:space="preserve"> системам </w:t>
      </w:r>
      <w:proofErr w:type="spellStart"/>
      <w:r w:rsidRPr="0087042A">
        <w:rPr>
          <w:lang w:val="ru-RU"/>
        </w:rPr>
        <w:t>моніторингу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сприяти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швидкому</w:t>
      </w:r>
      <w:proofErr w:type="spellEnd"/>
      <w:r w:rsidRPr="0087042A">
        <w:rPr>
          <w:lang w:val="ru-RU"/>
        </w:rPr>
        <w:t xml:space="preserve"> переходу до </w:t>
      </w:r>
      <w:proofErr w:type="spellStart"/>
      <w:r w:rsidRPr="0087042A">
        <w:rPr>
          <w:lang w:val="ru-RU"/>
        </w:rPr>
        <w:t>більш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ефективної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діагностики</w:t>
      </w:r>
      <w:proofErr w:type="spellEnd"/>
      <w:r w:rsidRPr="0087042A">
        <w:rPr>
          <w:lang w:val="ru-RU"/>
        </w:rPr>
        <w:t xml:space="preserve"> та </w:t>
      </w:r>
      <w:proofErr w:type="spellStart"/>
      <w:r w:rsidRPr="0087042A">
        <w:rPr>
          <w:lang w:val="ru-RU"/>
        </w:rPr>
        <w:t>лікування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хворих</w:t>
      </w:r>
      <w:proofErr w:type="spellEnd"/>
      <w:r w:rsidRPr="0087042A">
        <w:rPr>
          <w:lang w:val="ru-RU"/>
        </w:rPr>
        <w:t xml:space="preserve"> на </w:t>
      </w:r>
      <w:proofErr w:type="spellStart"/>
      <w:r w:rsidRPr="0087042A">
        <w:rPr>
          <w:lang w:val="ru-RU"/>
        </w:rPr>
        <w:t>туберкульоз</w:t>
      </w:r>
      <w:proofErr w:type="spellEnd"/>
      <w:r w:rsidRPr="0087042A">
        <w:rPr>
          <w:lang w:val="ru-RU"/>
        </w:rPr>
        <w:t xml:space="preserve"> та </w:t>
      </w:r>
      <w:proofErr w:type="spellStart"/>
      <w:r w:rsidRPr="0087042A">
        <w:rPr>
          <w:lang w:val="ru-RU"/>
        </w:rPr>
        <w:t>туберкульоз</w:t>
      </w:r>
      <w:proofErr w:type="spellEnd"/>
      <w:r w:rsidRPr="0087042A">
        <w:rPr>
          <w:lang w:val="ru-RU"/>
        </w:rPr>
        <w:t>.</w:t>
      </w:r>
    </w:p>
    <w:p w14:paraId="05B73D39" w14:textId="77777777" w:rsidR="00BA7ADE" w:rsidRPr="00BA7ADE" w:rsidRDefault="00BA7ADE" w:rsidP="00844C0F">
      <w:pPr>
        <w:pStyle w:val="a3"/>
        <w:spacing w:before="1" w:line="259" w:lineRule="auto"/>
        <w:ind w:left="100" w:right="78"/>
        <w:jc w:val="both"/>
        <w:rPr>
          <w:lang w:val="ru-RU"/>
        </w:rPr>
      </w:pPr>
    </w:p>
    <w:p w14:paraId="61B46BE7" w14:textId="77777777" w:rsidR="00BA7ADE" w:rsidRPr="00BA7ADE" w:rsidRDefault="00BA7ADE" w:rsidP="00844C0F">
      <w:pPr>
        <w:pStyle w:val="2"/>
        <w:ind w:right="78"/>
        <w:jc w:val="both"/>
        <w:rPr>
          <w:lang w:val="ru-RU"/>
        </w:rPr>
      </w:pPr>
      <w:r>
        <w:rPr>
          <w:color w:val="5B9BD4"/>
          <w:lang w:val="uk-UA"/>
        </w:rPr>
        <w:t xml:space="preserve">Подяка </w:t>
      </w:r>
    </w:p>
    <w:p w14:paraId="619C5F99" w14:textId="77777777" w:rsidR="00BA7ADE" w:rsidRPr="0087042A" w:rsidRDefault="00BA7ADE" w:rsidP="00844C0F">
      <w:pPr>
        <w:pStyle w:val="a3"/>
        <w:spacing w:before="185"/>
        <w:ind w:left="100" w:right="78"/>
        <w:jc w:val="both"/>
        <w:rPr>
          <w:lang w:val="ru-RU"/>
        </w:rPr>
      </w:pPr>
      <w:r w:rsidRPr="0087042A">
        <w:rPr>
          <w:lang w:val="ru-RU"/>
        </w:rPr>
        <w:t xml:space="preserve">Ми </w:t>
      </w:r>
      <w:proofErr w:type="spellStart"/>
      <w:r w:rsidRPr="0087042A">
        <w:rPr>
          <w:lang w:val="ru-RU"/>
        </w:rPr>
        <w:t>вдячні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визнанню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роботи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членів</w:t>
      </w:r>
      <w:proofErr w:type="spellEnd"/>
      <w:r w:rsidRPr="0087042A">
        <w:rPr>
          <w:lang w:val="ru-RU"/>
        </w:rPr>
        <w:t xml:space="preserve"> ГРГ, </w:t>
      </w:r>
      <w:proofErr w:type="spellStart"/>
      <w:r w:rsidRPr="0087042A">
        <w:rPr>
          <w:lang w:val="ru-RU"/>
        </w:rPr>
        <w:t>систематичних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рецензентів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консультантів</w:t>
      </w:r>
      <w:proofErr w:type="spellEnd"/>
      <w:r w:rsidRPr="0087042A">
        <w:rPr>
          <w:lang w:val="ru-RU"/>
        </w:rPr>
        <w:t xml:space="preserve"> з </w:t>
      </w:r>
      <w:proofErr w:type="spellStart"/>
      <w:r w:rsidRPr="0087042A">
        <w:rPr>
          <w:lang w:val="ru-RU"/>
        </w:rPr>
        <w:t>додатковими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технічними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знаннями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учасників</w:t>
      </w:r>
      <w:proofErr w:type="spellEnd"/>
      <w:r w:rsidRPr="0087042A">
        <w:rPr>
          <w:lang w:val="ru-RU"/>
        </w:rPr>
        <w:t xml:space="preserve"> </w:t>
      </w:r>
      <w:proofErr w:type="spellStart"/>
      <w:r w:rsidRPr="0087042A">
        <w:rPr>
          <w:lang w:val="ru-RU"/>
        </w:rPr>
        <w:t>даних</w:t>
      </w:r>
      <w:proofErr w:type="spellEnd"/>
      <w:r w:rsidRPr="0087042A">
        <w:rPr>
          <w:lang w:val="ru-RU"/>
        </w:rPr>
        <w:t xml:space="preserve"> та - головне - </w:t>
      </w:r>
      <w:proofErr w:type="spellStart"/>
      <w:r w:rsidRPr="0087042A">
        <w:rPr>
          <w:lang w:val="ru-RU"/>
        </w:rPr>
        <w:t>хворих</w:t>
      </w:r>
      <w:proofErr w:type="spellEnd"/>
      <w:r w:rsidRPr="0087042A">
        <w:rPr>
          <w:lang w:val="ru-RU"/>
        </w:rPr>
        <w:t xml:space="preserve"> на </w:t>
      </w:r>
      <w:proofErr w:type="spellStart"/>
      <w:r w:rsidRPr="0087042A">
        <w:rPr>
          <w:lang w:val="ru-RU"/>
        </w:rPr>
        <w:t>туберкульоз</w:t>
      </w:r>
      <w:proofErr w:type="spellEnd"/>
      <w:r w:rsidRPr="0087042A">
        <w:rPr>
          <w:lang w:val="ru-RU"/>
        </w:rPr>
        <w:t xml:space="preserve">, </w:t>
      </w:r>
      <w:proofErr w:type="spellStart"/>
      <w:r w:rsidRPr="0087042A">
        <w:rPr>
          <w:lang w:val="ru-RU"/>
        </w:rPr>
        <w:t>які</w:t>
      </w:r>
      <w:proofErr w:type="spellEnd"/>
      <w:r w:rsidRPr="0087042A">
        <w:rPr>
          <w:lang w:val="ru-RU"/>
        </w:rPr>
        <w:t xml:space="preserve"> брали участь у </w:t>
      </w:r>
      <w:proofErr w:type="spellStart"/>
      <w:r w:rsidRPr="0087042A">
        <w:rPr>
          <w:lang w:val="ru-RU"/>
        </w:rPr>
        <w:t>дослідженнях</w:t>
      </w:r>
      <w:proofErr w:type="spellEnd"/>
      <w:r>
        <w:rPr>
          <w:lang w:val="uk-UA"/>
        </w:rPr>
        <w:t xml:space="preserve"> </w:t>
      </w:r>
    </w:p>
    <w:bookmarkEnd w:id="2"/>
    <w:p w14:paraId="1E27C0A7" w14:textId="470C52E3" w:rsidR="002F6D72" w:rsidRDefault="00BA7ADE" w:rsidP="00500EB9">
      <w:pPr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3ED4B44B" wp14:editId="01157552">
            <wp:extent cx="2008940" cy="589788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4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A27E7" w14:textId="46CA415B" w:rsidR="00BA7ADE" w:rsidRDefault="00BA7ADE">
      <w:pPr>
        <w:sectPr w:rsidR="00BA7ADE" w:rsidSect="00853447">
          <w:pgSz w:w="12240" w:h="15840"/>
          <w:pgMar w:top="1400" w:right="900" w:bottom="1200" w:left="1340" w:header="0" w:footer="932" w:gutter="0"/>
          <w:cols w:space="720"/>
        </w:sectPr>
      </w:pPr>
    </w:p>
    <w:p w14:paraId="17E503B5" w14:textId="62EFB2CA" w:rsidR="002F6D72" w:rsidRDefault="002F6D72" w:rsidP="00BF3AAE">
      <w:pPr>
        <w:pStyle w:val="a3"/>
        <w:spacing w:before="185"/>
        <w:ind w:left="100" w:right="671"/>
        <w:jc w:val="right"/>
        <w:sectPr w:rsidR="002F6D72" w:rsidSect="00B125A0">
          <w:pgSz w:w="12240" w:h="15840"/>
          <w:pgMar w:top="1400" w:right="1041" w:bottom="993" w:left="1340" w:header="0" w:footer="932" w:gutter="0"/>
          <w:cols w:space="720"/>
        </w:sectPr>
      </w:pPr>
    </w:p>
    <w:p w14:paraId="49544EC7" w14:textId="77777777" w:rsidR="00BF3AAE" w:rsidRPr="00BF3AAE" w:rsidRDefault="00BF3AAE" w:rsidP="00D55B04"/>
    <w:sectPr w:rsidR="00BF3AAE" w:rsidRPr="00BF3AAE">
      <w:pgSz w:w="12240" w:h="15840"/>
      <w:pgMar w:top="1500" w:right="1320" w:bottom="1120" w:left="134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E62E" w14:textId="77777777" w:rsidR="002D47B3" w:rsidRDefault="002D47B3">
      <w:r>
        <w:separator/>
      </w:r>
    </w:p>
  </w:endnote>
  <w:endnote w:type="continuationSeparator" w:id="0">
    <w:p w14:paraId="221C6566" w14:textId="77777777" w:rsidR="002D47B3" w:rsidRDefault="002D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596F" w14:textId="74E9A6A1" w:rsidR="002F6D72" w:rsidRDefault="00362779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3CBBF9" wp14:editId="0CB41DD8">
              <wp:simplePos x="0" y="0"/>
              <wp:positionH relativeFrom="page">
                <wp:posOffset>6764020</wp:posOffset>
              </wp:positionH>
              <wp:positionV relativeFrom="page">
                <wp:posOffset>9276080</wp:posOffset>
              </wp:positionV>
              <wp:extent cx="1219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121A" w14:textId="77777777" w:rsidR="002F6D72" w:rsidRDefault="005D4B7B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CB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" filled="f" stroked="f">
              <v:textbox inset="0,0,0,0">
                <w:txbxContent>
                  <w:p w14:paraId="5E04121A" w14:textId="77777777" w:rsidR="002F6D72" w:rsidRDefault="005D4B7B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7BC9" w14:textId="77777777" w:rsidR="002D47B3" w:rsidRDefault="002D47B3">
      <w:r>
        <w:separator/>
      </w:r>
    </w:p>
  </w:footnote>
  <w:footnote w:type="continuationSeparator" w:id="0">
    <w:p w14:paraId="041E9E18" w14:textId="77777777" w:rsidR="002D47B3" w:rsidRDefault="002D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4E3C"/>
    <w:multiLevelType w:val="hybridMultilevel"/>
    <w:tmpl w:val="50E6F956"/>
    <w:lvl w:ilvl="0" w:tplc="EDB8657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4F81BB"/>
        <w:w w:val="99"/>
        <w:sz w:val="26"/>
        <w:szCs w:val="26"/>
        <w:lang w:val="en-US" w:eastAsia="en-US" w:bidi="en-US"/>
      </w:rPr>
    </w:lvl>
    <w:lvl w:ilvl="1" w:tplc="F8FED0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AA7CDB8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56F69DD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0BC831D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EA1CF7D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759C638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84C8512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7910BD7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72"/>
    <w:rsid w:val="0009353B"/>
    <w:rsid w:val="001124BF"/>
    <w:rsid w:val="00194EF8"/>
    <w:rsid w:val="001A103E"/>
    <w:rsid w:val="002D47B3"/>
    <w:rsid w:val="002F6D72"/>
    <w:rsid w:val="00306AEB"/>
    <w:rsid w:val="00362779"/>
    <w:rsid w:val="003870E1"/>
    <w:rsid w:val="003E788F"/>
    <w:rsid w:val="003E7942"/>
    <w:rsid w:val="003E7DC8"/>
    <w:rsid w:val="004E0A89"/>
    <w:rsid w:val="00500EB9"/>
    <w:rsid w:val="005426A9"/>
    <w:rsid w:val="005919DA"/>
    <w:rsid w:val="005D4B7B"/>
    <w:rsid w:val="005E3534"/>
    <w:rsid w:val="00670052"/>
    <w:rsid w:val="00776D4C"/>
    <w:rsid w:val="007D073F"/>
    <w:rsid w:val="00840FC3"/>
    <w:rsid w:val="00844C0F"/>
    <w:rsid w:val="00853447"/>
    <w:rsid w:val="0087042A"/>
    <w:rsid w:val="008E7A07"/>
    <w:rsid w:val="0095469D"/>
    <w:rsid w:val="00991090"/>
    <w:rsid w:val="00A155DA"/>
    <w:rsid w:val="00AD2EFE"/>
    <w:rsid w:val="00AE692C"/>
    <w:rsid w:val="00B125A0"/>
    <w:rsid w:val="00B47AC9"/>
    <w:rsid w:val="00BA7ADE"/>
    <w:rsid w:val="00BB6580"/>
    <w:rsid w:val="00BF3AAE"/>
    <w:rsid w:val="00D14D49"/>
    <w:rsid w:val="00D4218C"/>
    <w:rsid w:val="00D55B04"/>
    <w:rsid w:val="00D71BEA"/>
    <w:rsid w:val="00EC5646"/>
    <w:rsid w:val="00F04718"/>
    <w:rsid w:val="00F16BD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C651"/>
  <w15:docId w15:val="{1BEF1A6A-D7E4-4C36-9265-8EFB2AE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9"/>
    <w:qFormat/>
    <w:pPr>
      <w:ind w:left="105" w:right="12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60" w:right="349" w:hanging="36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60" w:right="34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ho.int/about/licens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pps.who.int/bookord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who.int/ir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.int/tb/publications/2015/end_tb_essential.pdf?ua=1" TargetMode="External"/><Relationship Id="rId10" Type="http://schemas.openxmlformats.org/officeDocument/2006/relationships/hyperlink" Target="https://creativecommons.org/licenses/by-nc-sa/3.0/i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igo" TargetMode="External"/><Relationship Id="rId14" Type="http://schemas.openxmlformats.org/officeDocument/2006/relationships/hyperlink" Target="https://www.who.int/tb/publications/global_repor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11753</Words>
  <Characters>6700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KOROBITSYN, Alexei</dc:creator>
  <cp:lastModifiedBy>PHC22</cp:lastModifiedBy>
  <cp:revision>2</cp:revision>
  <dcterms:created xsi:type="dcterms:W3CDTF">2020-01-14T12:06:00Z</dcterms:created>
  <dcterms:modified xsi:type="dcterms:W3CDTF">2020-01-14T12:06:00Z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